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6"/>
              </w:rPr>
              <w:t>Form 6-K</w:t>
            </w:r>
          </w:p>
        </w:tc>
        <w:tc>
          <w:tcPr>
            <w:tcW w:w="640" w:type="dxa"/>
            <w:vAlign w:val="bottom"/>
          </w:tcPr>
          <w:p>
            <w:pPr>
              <w:spacing w:after="0"/>
              <w:rPr>
                <w:sz w:val="20"/>
                <w:szCs w:val="20"/>
                <w:color w:val="auto"/>
              </w:rPr>
            </w:pPr>
          </w:p>
        </w:tc>
      </w:tr>
      <w:tr>
        <w:trPr>
          <w:trHeight w:val="414"/>
        </w:trPr>
        <w:tc>
          <w:tcPr>
            <w:tcW w:w="1064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640" w:type="dxa"/>
            <w:vAlign w:val="bottom"/>
          </w:tcPr>
          <w:p>
            <w:pPr>
              <w:spacing w:after="0"/>
              <w:rPr>
                <w:sz w:val="24"/>
                <w:szCs w:val="24"/>
                <w:color w:val="auto"/>
              </w:rPr>
            </w:pPr>
          </w:p>
        </w:tc>
      </w:tr>
      <w:tr>
        <w:trPr>
          <w:trHeight w:val="234"/>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8"/>
              </w:rPr>
              <w:t>EXCHANGE ACT OF 1934</w:t>
            </w:r>
          </w:p>
        </w:tc>
        <w:tc>
          <w:tcPr>
            <w:tcW w:w="6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August 2020</w:t>
            </w:r>
          </w:p>
        </w:tc>
        <w:tc>
          <w:tcPr>
            <w:tcW w:w="64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640" w:type="dxa"/>
            <w:vAlign w:val="bottom"/>
          </w:tcPr>
          <w:p>
            <w:pPr>
              <w:spacing w:after="0"/>
              <w:rPr>
                <w:sz w:val="24"/>
                <w:szCs w:val="24"/>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GasLog Ltd.</w:t>
            </w:r>
          </w:p>
        </w:tc>
        <w:tc>
          <w:tcPr>
            <w:tcW w:w="640" w:type="dxa"/>
            <w:vAlign w:val="bottom"/>
          </w:tcPr>
          <w:p>
            <w:pPr>
              <w:spacing w:after="0"/>
              <w:rPr>
                <w:sz w:val="24"/>
                <w:szCs w:val="24"/>
                <w:color w:val="auto"/>
              </w:rPr>
            </w:pPr>
          </w:p>
        </w:tc>
      </w:tr>
      <w:tr>
        <w:trPr>
          <w:trHeight w:val="230"/>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1"/>
              </w:rPr>
              <w:t>(Translation of registrant’s name into English)</w:t>
            </w:r>
          </w:p>
        </w:tc>
        <w:tc>
          <w:tcPr>
            <w:tcW w:w="640" w:type="dxa"/>
            <w:vAlign w:val="bottom"/>
          </w:tcPr>
          <w:p>
            <w:pPr>
              <w:spacing w:after="0"/>
              <w:rPr>
                <w:sz w:val="20"/>
                <w:szCs w:val="20"/>
                <w:color w:val="auto"/>
              </w:rPr>
            </w:pPr>
          </w:p>
        </w:tc>
      </w:tr>
      <w:tr>
        <w:trPr>
          <w:trHeight w:val="418"/>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92"/>
              </w:rPr>
              <w:t>c/o GasLog LNG Services Ltd.</w:t>
            </w:r>
          </w:p>
        </w:tc>
        <w:tc>
          <w:tcPr>
            <w:tcW w:w="640" w:type="dxa"/>
            <w:vAlign w:val="bottom"/>
          </w:tcPr>
          <w:p>
            <w:pPr>
              <w:spacing w:after="0"/>
              <w:rPr>
                <w:sz w:val="24"/>
                <w:szCs w:val="24"/>
                <w:color w:val="auto"/>
              </w:rPr>
            </w:pPr>
          </w:p>
        </w:tc>
      </w:tr>
      <w:tr>
        <w:trPr>
          <w:trHeight w:val="216"/>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6"/>
              </w:rPr>
              <w:t>69 Akti Miaouli 18537</w:t>
            </w:r>
          </w:p>
        </w:tc>
        <w:tc>
          <w:tcPr>
            <w:tcW w:w="640" w:type="dxa"/>
            <w:vAlign w:val="bottom"/>
          </w:tcPr>
          <w:p>
            <w:pPr>
              <w:spacing w:after="0"/>
              <w:rPr>
                <w:sz w:val="18"/>
                <w:szCs w:val="18"/>
                <w:color w:val="auto"/>
              </w:rPr>
            </w:pPr>
          </w:p>
        </w:tc>
      </w:tr>
      <w:tr>
        <w:trPr>
          <w:trHeight w:val="216"/>
        </w:trPr>
        <w:tc>
          <w:tcPr>
            <w:tcW w:w="10640" w:type="dxa"/>
            <w:vAlign w:val="bottom"/>
          </w:tcPr>
          <w:p>
            <w:pPr>
              <w:jc w:val="center"/>
              <w:ind w:left="510"/>
              <w:spacing w:after="0"/>
              <w:rPr>
                <w:sz w:val="20"/>
                <w:szCs w:val="20"/>
                <w:color w:val="auto"/>
              </w:rPr>
            </w:pPr>
            <w:r>
              <w:rPr>
                <w:rFonts w:ascii="Arial" w:cs="Arial" w:eastAsia="Arial" w:hAnsi="Arial"/>
                <w:sz w:val="18"/>
                <w:szCs w:val="18"/>
                <w:color w:val="auto"/>
                <w:w w:val="86"/>
              </w:rPr>
              <w:t>Piraeus Greece</w:t>
            </w:r>
          </w:p>
        </w:tc>
        <w:tc>
          <w:tcPr>
            <w:tcW w:w="640" w:type="dxa"/>
            <w:vAlign w:val="bottom"/>
          </w:tcPr>
          <w:p>
            <w:pPr>
              <w:spacing w:after="0"/>
              <w:rPr>
                <w:sz w:val="18"/>
                <w:szCs w:val="18"/>
                <w:color w:val="auto"/>
              </w:rPr>
            </w:pPr>
          </w:p>
        </w:tc>
      </w:tr>
      <w:tr>
        <w:trPr>
          <w:trHeight w:val="230"/>
        </w:trPr>
        <w:tc>
          <w:tcPr>
            <w:tcW w:w="10640" w:type="dxa"/>
            <w:vAlign w:val="bottom"/>
          </w:tcPr>
          <w:p>
            <w:pPr>
              <w:jc w:val="center"/>
              <w:ind w:left="530"/>
              <w:spacing w:after="0"/>
              <w:rPr>
                <w:sz w:val="20"/>
                <w:szCs w:val="20"/>
                <w:color w:val="auto"/>
              </w:rPr>
            </w:pPr>
            <w:r>
              <w:rPr>
                <w:rFonts w:ascii="Arial" w:cs="Arial" w:eastAsia="Arial" w:hAnsi="Arial"/>
                <w:sz w:val="18"/>
                <w:szCs w:val="18"/>
                <w:color w:val="auto"/>
                <w:w w:val="92"/>
              </w:rPr>
              <w:t>(Address of principal executive office)</w:t>
            </w:r>
          </w:p>
        </w:tc>
        <w:tc>
          <w:tcPr>
            <w:tcW w:w="64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64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64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48"/>
        </w:trPr>
        <w:tc>
          <w:tcPr>
            <w:tcW w:w="106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160" w:firstLine="356"/>
        <w:spacing w:after="0" w:line="293" w:lineRule="auto"/>
        <w:rPr>
          <w:sz w:val="20"/>
          <w:szCs w:val="20"/>
          <w:color w:val="auto"/>
        </w:rPr>
      </w:pPr>
      <w:r>
        <w:rPr>
          <w:rFonts w:ascii="Arial" w:cs="Arial" w:eastAsia="Arial" w:hAnsi="Arial"/>
          <w:sz w:val="16"/>
          <w:szCs w:val="16"/>
          <w:color w:val="auto"/>
        </w:rPr>
        <w:t>The press release issued by GasLog Ltd. on August 5, 2020 relating to its results for the three-month period ended June 30, 2020 and the related financial report are attached hereto as Exhibits 99.1 and 99.2, respectively.</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271" w:lineRule="auto"/>
        <w:rPr>
          <w:rFonts w:ascii="Arial" w:cs="Arial" w:eastAsia="Arial" w:hAnsi="Arial"/>
          <w:sz w:val="16"/>
          <w:szCs w:val="16"/>
          <w:color w:val="auto"/>
        </w:rPr>
      </w:pPr>
      <w:r>
        <w:rPr>
          <w:rFonts w:ascii="Arial" w:cs="Arial" w:eastAsia="Arial" w:hAnsi="Arial"/>
          <w:sz w:val="16"/>
          <w:szCs w:val="16"/>
          <w:color w:val="auto"/>
        </w:rPr>
        <w:t xml:space="preserve">Exhibits 4.1 and 99.2 to this Report on Form 6-K shall be incorporated by reference into our registration statements on Form F-3 (File Nos. 333-194894, 333-230205 and 333-239797), initially filed with the Securities and Exchange Commission (the “SEC”) on </w:t>
      </w:r>
      <w:hyperlink r:id="rId10">
        <w:r>
          <w:rPr>
            <w:rFonts w:ascii="Arial" w:cs="Arial" w:eastAsia="Arial" w:hAnsi="Arial"/>
            <w:sz w:val="16"/>
            <w:szCs w:val="16"/>
            <w:u w:val="single" w:color="auto"/>
            <w:color w:val="0000EE"/>
          </w:rPr>
          <w:t>March 28, 2014</w:t>
        </w:r>
      </w:hyperlink>
      <w:r>
        <w:rPr>
          <w:rFonts w:ascii="Arial" w:cs="Arial" w:eastAsia="Arial" w:hAnsi="Arial"/>
          <w:sz w:val="16"/>
          <w:szCs w:val="16"/>
          <w:color w:val="auto"/>
        </w:rPr>
        <w:t xml:space="preserve">, </w:t>
      </w:r>
      <w:hyperlink r:id="rId11">
        <w:r>
          <w:rPr>
            <w:rFonts w:ascii="Arial" w:cs="Arial" w:eastAsia="Arial" w:hAnsi="Arial"/>
            <w:sz w:val="16"/>
            <w:szCs w:val="16"/>
            <w:u w:val="single" w:color="auto"/>
            <w:color w:val="0000EE"/>
          </w:rPr>
          <w:t>March 12,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2">
        <w:r>
          <w:rPr>
            <w:rFonts w:ascii="Arial" w:cs="Arial" w:eastAsia="Arial" w:hAnsi="Arial"/>
            <w:sz w:val="16"/>
            <w:szCs w:val="16"/>
            <w:u w:val="single" w:color="auto"/>
            <w:color w:val="0000EE"/>
          </w:rPr>
          <w:t>July 10, 2020</w:t>
        </w:r>
      </w:hyperlink>
      <w:r>
        <w:rPr>
          <w:rFonts w:ascii="Arial" w:cs="Arial" w:eastAsia="Arial" w:hAnsi="Arial"/>
          <w:sz w:val="16"/>
          <w:szCs w:val="16"/>
          <w:color w:val="auto"/>
        </w:rPr>
        <w:t xml:space="preserve">, respectively, as amended, and the registration statement on Form S-8 (File No. 333-187020), filed with the SEC on </w:t>
      </w:r>
      <w:hyperlink r:id="rId13">
        <w:r>
          <w:rPr>
            <w:rFonts w:ascii="Arial" w:cs="Arial" w:eastAsia="Arial" w:hAnsi="Arial"/>
            <w:sz w:val="16"/>
            <w:szCs w:val="16"/>
            <w:u w:val="single" w:color="auto"/>
            <w:color w:val="0000EE"/>
          </w:rPr>
          <w:t>March 4, 2013</w:t>
        </w:r>
      </w:hyperlink>
      <w:r>
        <w:rPr>
          <w:rFonts w:ascii="Arial" w:cs="Arial" w:eastAsia="Arial" w:hAnsi="Arial"/>
          <w:sz w:val="16"/>
          <w:szCs w:val="16"/>
          <w:color w:val="auto"/>
        </w:rPr>
        <w:t>,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spacing w:after="0"/>
              <w:rPr>
                <w:sz w:val="17"/>
                <w:szCs w:val="17"/>
                <w:color w:val="auto"/>
              </w:rPr>
            </w:pPr>
          </w:p>
        </w:tc>
        <w:tc>
          <w:tcPr>
            <w:tcW w:w="9960" w:type="dxa"/>
            <w:vAlign w:val="bottom"/>
            <w:gridSpan w:val="3"/>
          </w:tcPr>
          <w:p>
            <w:pPr>
              <w:ind w:left="4000"/>
              <w:spacing w:after="0"/>
              <w:rPr>
                <w:sz w:val="20"/>
                <w:szCs w:val="20"/>
                <w:color w:val="auto"/>
              </w:rPr>
            </w:pPr>
            <w:r>
              <w:rPr>
                <w:rFonts w:ascii="Arial" w:cs="Arial" w:eastAsia="Arial" w:hAnsi="Arial"/>
                <w:sz w:val="16"/>
                <w:szCs w:val="16"/>
                <w:color w:val="auto"/>
              </w:rPr>
              <w:t>EXHIBIT LIST</w:t>
            </w:r>
          </w:p>
        </w:tc>
      </w:tr>
      <w:tr>
        <w:trPr>
          <w:trHeight w:val="418"/>
        </w:trPr>
        <w:tc>
          <w:tcPr>
            <w:tcW w:w="1120" w:type="dxa"/>
            <w:vAlign w:val="bottom"/>
          </w:tcPr>
          <w:p>
            <w:pPr>
              <w:spacing w:after="0"/>
              <w:rPr>
                <w:sz w:val="20"/>
                <w:szCs w:val="20"/>
                <w:color w:val="auto"/>
              </w:rPr>
            </w:pPr>
            <w:r>
              <w:rPr>
                <w:rFonts w:ascii="Arial" w:cs="Arial" w:eastAsia="Arial" w:hAnsi="Arial"/>
                <w:sz w:val="16"/>
                <w:szCs w:val="16"/>
                <w:color w:val="auto"/>
              </w:rPr>
              <w:t>Exhibit</w:t>
            </w:r>
          </w:p>
        </w:tc>
        <w:tc>
          <w:tcPr>
            <w:tcW w:w="996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384"/>
        </w:trPr>
        <w:tc>
          <w:tcPr>
            <w:tcW w:w="1120" w:type="dxa"/>
            <w:vAlign w:val="bottom"/>
          </w:tcPr>
          <w:p>
            <w:pPr>
              <w:spacing w:after="0"/>
              <w:rPr>
                <w:sz w:val="20"/>
                <w:szCs w:val="20"/>
                <w:color w:val="auto"/>
              </w:rPr>
            </w:pPr>
            <w:r>
              <w:rPr>
                <w:rFonts w:ascii="Arial" w:cs="Arial" w:eastAsia="Arial" w:hAnsi="Arial"/>
                <w:sz w:val="16"/>
                <w:szCs w:val="16"/>
                <w:color w:val="auto"/>
              </w:rPr>
              <w:t>4.1</w:t>
            </w:r>
          </w:p>
        </w:tc>
        <w:tc>
          <w:tcPr>
            <w:tcW w:w="9960" w:type="dxa"/>
            <w:vAlign w:val="bottom"/>
            <w:tcBorders>
              <w:bottom w:val="single" w:sz="8" w:color="0000EE"/>
            </w:tcBorders>
            <w:gridSpan w:val="3"/>
          </w:tcPr>
          <w:p>
            <w:pPr>
              <w:spacing w:after="0"/>
              <w:rPr>
                <w:rFonts w:ascii="Arial" w:cs="Arial" w:eastAsia="Arial" w:hAnsi="Arial"/>
                <w:sz w:val="16"/>
                <w:szCs w:val="16"/>
                <w:color w:val="0000EE"/>
                <w:w w:val="94"/>
              </w:rPr>
            </w:pPr>
            <w:hyperlink w:anchor="page4">
              <w:r>
                <w:rPr>
                  <w:rFonts w:ascii="Arial" w:cs="Arial" w:eastAsia="Arial" w:hAnsi="Arial"/>
                  <w:sz w:val="16"/>
                  <w:szCs w:val="16"/>
                  <w:color w:val="0000EE"/>
                  <w:w w:val="94"/>
                </w:rPr>
                <w:t xml:space="preserve">Facility Agreement dated July 16, 2020, relating to </w:t>
              </w:r>
              <w:r>
                <w:rPr>
                  <w:rFonts w:ascii="Arial" w:cs="Arial" w:eastAsia="Arial" w:hAnsi="Arial"/>
                  <w:sz w:val="16"/>
                  <w:szCs w:val="16"/>
                  <w:u w:val="single" w:color="auto"/>
                  <w:color w:val="0000EE"/>
                  <w:w w:val="94"/>
                </w:rPr>
                <w:t>$</w:t>
              </w:r>
              <w:r>
                <w:rPr>
                  <w:rFonts w:ascii="Arial" w:cs="Arial" w:eastAsia="Arial" w:hAnsi="Arial"/>
                  <w:sz w:val="16"/>
                  <w:szCs w:val="16"/>
                  <w:color w:val="0000EE"/>
                  <w:w w:val="94"/>
                </w:rPr>
                <w:t>576,887,500 loan facility among GAS-one Ltd., GAS-two Ltd., GAS-six Ltd., GAS-nine Ltd., GAS-</w:t>
              </w:r>
            </w:hyperlink>
          </w:p>
        </w:tc>
      </w:tr>
      <w:tr>
        <w:trPr>
          <w:trHeight w:val="183"/>
        </w:trPr>
        <w:tc>
          <w:tcPr>
            <w:tcW w:w="1120" w:type="dxa"/>
            <w:vAlign w:val="bottom"/>
          </w:tcPr>
          <w:p>
            <w:pPr>
              <w:spacing w:after="0"/>
              <w:rPr>
                <w:sz w:val="15"/>
                <w:szCs w:val="15"/>
                <w:color w:val="auto"/>
              </w:rPr>
            </w:pPr>
          </w:p>
        </w:tc>
        <w:tc>
          <w:tcPr>
            <w:tcW w:w="9960" w:type="dxa"/>
            <w:vAlign w:val="bottom"/>
            <w:gridSpan w:val="3"/>
          </w:tcPr>
          <w:p>
            <w:pPr>
              <w:spacing w:after="0" w:line="183" w:lineRule="exact"/>
              <w:rPr>
                <w:rFonts w:ascii="Arial" w:cs="Arial" w:eastAsia="Arial" w:hAnsi="Arial"/>
                <w:sz w:val="16"/>
                <w:szCs w:val="16"/>
                <w:color w:val="0000EE"/>
                <w:w w:val="95"/>
              </w:rPr>
            </w:pPr>
            <w:hyperlink w:anchor="page4">
              <w:r>
                <w:rPr>
                  <w:rFonts w:ascii="Arial" w:cs="Arial" w:eastAsia="Arial" w:hAnsi="Arial"/>
                  <w:sz w:val="16"/>
                  <w:szCs w:val="16"/>
                  <w:color w:val="0000EE"/>
                  <w:w w:val="95"/>
                </w:rPr>
                <w:t>ten Ltd. and GAS-eighteen Ltd. as borrowers, ABN Amro Bank N.V., Citigroup Global Markets Limited, Nordea Bank ABP, Filial I Norge and HSBC</w:t>
              </w:r>
            </w:hyperlink>
          </w:p>
        </w:tc>
      </w:tr>
      <w:tr>
        <w:trPr>
          <w:trHeight w:val="20"/>
        </w:trPr>
        <w:tc>
          <w:tcPr>
            <w:tcW w:w="1120" w:type="dxa"/>
            <w:vAlign w:val="bottom"/>
          </w:tcPr>
          <w:p>
            <w:pPr>
              <w:spacing w:after="0" w:line="20" w:lineRule="exact"/>
              <w:rPr>
                <w:sz w:val="1"/>
                <w:szCs w:val="1"/>
                <w:color w:val="auto"/>
              </w:rPr>
            </w:pPr>
          </w:p>
        </w:tc>
        <w:tc>
          <w:tcPr>
            <w:tcW w:w="9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9880" w:type="dxa"/>
            <w:vAlign w:val="bottom"/>
            <w:tcBorders>
              <w:bottom w:val="single" w:sz="8" w:color="0000EE"/>
            </w:tcBorders>
            <w:gridSpan w:val="2"/>
          </w:tcPr>
          <w:p>
            <w:pPr>
              <w:spacing w:after="0" w:line="183" w:lineRule="exact"/>
              <w:rPr>
                <w:rFonts w:ascii="Arial" w:cs="Arial" w:eastAsia="Arial" w:hAnsi="Arial"/>
                <w:sz w:val="16"/>
                <w:szCs w:val="16"/>
                <w:color w:val="0000EE"/>
                <w:w w:val="92"/>
              </w:rPr>
            </w:pPr>
            <w:hyperlink w:anchor="page4">
              <w:r>
                <w:rPr>
                  <w:rFonts w:ascii="Arial" w:cs="Arial" w:eastAsia="Arial" w:hAnsi="Arial"/>
                  <w:sz w:val="16"/>
                  <w:szCs w:val="16"/>
                  <w:color w:val="0000EE"/>
                  <w:w w:val="92"/>
                </w:rPr>
                <w:t>Bank PLC as mandated lead arrangers and Credit Agricole Corporate and Investment Bank, Unicredit Bank AG and National Australia Bank Limited as</w:t>
              </w:r>
            </w:hyperlink>
          </w:p>
        </w:tc>
        <w:tc>
          <w:tcPr>
            <w:tcW w:w="80" w:type="dxa"/>
            <w:vAlign w:val="bottom"/>
          </w:tcPr>
          <w:p>
            <w:pPr>
              <w:spacing w:after="0"/>
              <w:rPr>
                <w:sz w:val="15"/>
                <w:szCs w:val="15"/>
                <w:color w:val="auto"/>
              </w:rPr>
            </w:pPr>
          </w:p>
        </w:tc>
      </w:tr>
      <w:tr>
        <w:trPr>
          <w:trHeight w:val="213"/>
        </w:trPr>
        <w:tc>
          <w:tcPr>
            <w:tcW w:w="1120" w:type="dxa"/>
            <w:vAlign w:val="bottom"/>
          </w:tcPr>
          <w:p>
            <w:pPr>
              <w:spacing w:after="0"/>
              <w:rPr>
                <w:sz w:val="18"/>
                <w:szCs w:val="18"/>
                <w:color w:val="auto"/>
              </w:rPr>
            </w:pPr>
          </w:p>
        </w:tc>
        <w:tc>
          <w:tcPr>
            <w:tcW w:w="9960" w:type="dxa"/>
            <w:vAlign w:val="bottom"/>
            <w:gridSpan w:val="3"/>
          </w:tcPr>
          <w:p>
            <w:pPr>
              <w:spacing w:after="0"/>
              <w:rPr>
                <w:rFonts w:ascii="Arial" w:cs="Arial" w:eastAsia="Arial" w:hAnsi="Arial"/>
                <w:sz w:val="16"/>
                <w:szCs w:val="16"/>
                <w:u w:val="single" w:color="auto"/>
                <w:color w:val="0000EE"/>
                <w:w w:val="93"/>
              </w:rPr>
            </w:pPr>
            <w:hyperlink w:anchor="page4">
              <w:r>
                <w:rPr>
                  <w:rFonts w:ascii="Arial" w:cs="Arial" w:eastAsia="Arial" w:hAnsi="Arial"/>
                  <w:sz w:val="16"/>
                  <w:szCs w:val="16"/>
                  <w:u w:val="single" w:color="auto"/>
                  <w:color w:val="0000EE"/>
                  <w:w w:val="93"/>
                </w:rPr>
                <w:t>arrangers, with ABN Amro Bank N.V. as agent and security agent and ABN Amro Bank N.V., Citigroup Global Markets Limited and Nordea Bank ABO,</w:t>
              </w:r>
            </w:hyperlink>
          </w:p>
        </w:tc>
      </w:tr>
      <w:tr>
        <w:trPr>
          <w:trHeight w:val="206"/>
        </w:trPr>
        <w:tc>
          <w:tcPr>
            <w:tcW w:w="1120" w:type="dxa"/>
            <w:vAlign w:val="bottom"/>
          </w:tcPr>
          <w:p>
            <w:pPr>
              <w:spacing w:after="0"/>
              <w:rPr>
                <w:sz w:val="17"/>
                <w:szCs w:val="17"/>
                <w:color w:val="auto"/>
              </w:rPr>
            </w:pPr>
          </w:p>
        </w:tc>
        <w:tc>
          <w:tcPr>
            <w:tcW w:w="9960" w:type="dxa"/>
            <w:vAlign w:val="bottom"/>
            <w:gridSpan w:val="3"/>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Filial I Norge as bookrunners, guaranteed by GasLog Ltd., GasLog Carriers Ltd., GasLog Partners LP and GasLog Partners Holdings LLC*</w:t>
              </w:r>
            </w:hyperlink>
          </w:p>
        </w:tc>
      </w:tr>
      <w:tr>
        <w:trPr>
          <w:trHeight w:val="419"/>
        </w:trPr>
        <w:tc>
          <w:tcPr>
            <w:tcW w:w="1120" w:type="dxa"/>
            <w:vAlign w:val="bottom"/>
          </w:tcPr>
          <w:p>
            <w:pPr>
              <w:spacing w:after="0"/>
              <w:rPr>
                <w:sz w:val="20"/>
                <w:szCs w:val="20"/>
                <w:color w:val="auto"/>
              </w:rPr>
            </w:pPr>
            <w:r>
              <w:rPr>
                <w:rFonts w:ascii="Arial" w:cs="Arial" w:eastAsia="Arial" w:hAnsi="Arial"/>
                <w:sz w:val="16"/>
                <w:szCs w:val="16"/>
                <w:color w:val="auto"/>
              </w:rPr>
              <w:t>99.1</w:t>
            </w:r>
          </w:p>
        </w:tc>
        <w:tc>
          <w:tcPr>
            <w:tcW w:w="9960" w:type="dxa"/>
            <w:vAlign w:val="bottom"/>
            <w:gridSpan w:val="3"/>
          </w:tcPr>
          <w:p>
            <w:pPr>
              <w:spacing w:after="0"/>
              <w:rPr>
                <w:rFonts w:ascii="Arial" w:cs="Arial" w:eastAsia="Arial" w:hAnsi="Arial"/>
                <w:sz w:val="16"/>
                <w:szCs w:val="16"/>
                <w:u w:val="single" w:color="auto"/>
                <w:color w:val="0000EE"/>
              </w:rPr>
            </w:pPr>
            <w:hyperlink w:anchor="page206">
              <w:r>
                <w:rPr>
                  <w:rFonts w:ascii="Arial" w:cs="Arial" w:eastAsia="Arial" w:hAnsi="Arial"/>
                  <w:sz w:val="16"/>
                  <w:szCs w:val="16"/>
                  <w:u w:val="single" w:color="auto"/>
                  <w:color w:val="0000EE"/>
                </w:rPr>
                <w:t>Press Release dated August 5, 2020</w:t>
              </w:r>
            </w:hyperlink>
          </w:p>
        </w:tc>
      </w:tr>
      <w:tr>
        <w:trPr>
          <w:trHeight w:val="418"/>
        </w:trPr>
        <w:tc>
          <w:tcPr>
            <w:tcW w:w="1120" w:type="dxa"/>
            <w:vAlign w:val="bottom"/>
          </w:tcPr>
          <w:p>
            <w:pPr>
              <w:spacing w:after="0"/>
              <w:rPr>
                <w:sz w:val="20"/>
                <w:szCs w:val="20"/>
                <w:color w:val="auto"/>
              </w:rPr>
            </w:pPr>
            <w:r>
              <w:rPr>
                <w:rFonts w:ascii="Arial" w:cs="Arial" w:eastAsia="Arial" w:hAnsi="Arial"/>
                <w:sz w:val="16"/>
                <w:szCs w:val="16"/>
                <w:color w:val="auto"/>
              </w:rPr>
              <w:t>99.2</w:t>
            </w:r>
          </w:p>
        </w:tc>
        <w:tc>
          <w:tcPr>
            <w:tcW w:w="9960" w:type="dxa"/>
            <w:vAlign w:val="bottom"/>
            <w:gridSpan w:val="3"/>
          </w:tcPr>
          <w:p>
            <w:pPr>
              <w:spacing w:after="0"/>
              <w:rPr>
                <w:rFonts w:ascii="Arial" w:cs="Arial" w:eastAsia="Arial" w:hAnsi="Arial"/>
                <w:sz w:val="16"/>
                <w:szCs w:val="16"/>
                <w:u w:val="single" w:color="auto"/>
                <w:color w:val="0000EE"/>
              </w:rPr>
            </w:pPr>
            <w:hyperlink w:anchor="page222">
              <w:r>
                <w:rPr>
                  <w:rFonts w:ascii="Arial" w:cs="Arial" w:eastAsia="Arial" w:hAnsi="Arial"/>
                  <w:sz w:val="16"/>
                  <w:szCs w:val="16"/>
                  <w:u w:val="single" w:color="auto"/>
                  <w:color w:val="0000EE"/>
                </w:rPr>
                <w:t>Financial Report for the Three and Six Months Ended June 30, 2020</w:t>
              </w:r>
            </w:hyperlink>
          </w:p>
        </w:tc>
      </w:tr>
      <w:tr>
        <w:trPr>
          <w:trHeight w:val="418"/>
        </w:trPr>
        <w:tc>
          <w:tcPr>
            <w:tcW w:w="112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w:t>
            </w:r>
          </w:p>
        </w:tc>
      </w:tr>
      <w:tr>
        <w:trPr>
          <w:trHeight w:val="418"/>
        </w:trPr>
        <w:tc>
          <w:tcPr>
            <w:tcW w:w="112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6"/>
                <w:szCs w:val="16"/>
                <w:color w:val="auto"/>
              </w:rPr>
              <w:t>Unaudited Condensed Consolidated Financial Statements</w:t>
            </w:r>
          </w:p>
        </w:tc>
      </w:tr>
      <w:tr>
        <w:trPr>
          <w:trHeight w:val="418"/>
        </w:trPr>
        <w:tc>
          <w:tcPr>
            <w:tcW w:w="1120" w:type="dxa"/>
            <w:vAlign w:val="bottom"/>
          </w:tcPr>
          <w:p>
            <w:pPr>
              <w:spacing w:after="0"/>
              <w:rPr>
                <w:sz w:val="20"/>
                <w:szCs w:val="20"/>
                <w:color w:val="auto"/>
              </w:rPr>
            </w:pPr>
            <w:r>
              <w:rPr>
                <w:rFonts w:ascii="Arial" w:cs="Arial" w:eastAsia="Arial" w:hAnsi="Arial"/>
                <w:sz w:val="16"/>
                <w:szCs w:val="16"/>
                <w:color w:val="auto"/>
              </w:rPr>
              <w:t>101.INS</w:t>
            </w:r>
          </w:p>
        </w:tc>
        <w:tc>
          <w:tcPr>
            <w:tcW w:w="9960" w:type="dxa"/>
            <w:vAlign w:val="bottom"/>
            <w:gridSpan w:val="3"/>
          </w:tcPr>
          <w:p>
            <w:pPr>
              <w:spacing w:after="0"/>
              <w:rPr>
                <w:sz w:val="20"/>
                <w:szCs w:val="20"/>
                <w:color w:val="auto"/>
              </w:rPr>
            </w:pPr>
            <w:r>
              <w:rPr>
                <w:rFonts w:ascii="Arial" w:cs="Arial" w:eastAsia="Arial" w:hAnsi="Arial"/>
                <w:sz w:val="16"/>
                <w:szCs w:val="16"/>
                <w:color w:val="auto"/>
              </w:rPr>
              <w:t>XBRL Instance Document</w:t>
            </w:r>
          </w:p>
        </w:tc>
      </w:tr>
      <w:tr>
        <w:trPr>
          <w:trHeight w:val="418"/>
        </w:trPr>
        <w:tc>
          <w:tcPr>
            <w:tcW w:w="1120" w:type="dxa"/>
            <w:vAlign w:val="bottom"/>
          </w:tcPr>
          <w:p>
            <w:pPr>
              <w:spacing w:after="0"/>
              <w:rPr>
                <w:sz w:val="20"/>
                <w:szCs w:val="20"/>
                <w:color w:val="auto"/>
              </w:rPr>
            </w:pPr>
            <w:r>
              <w:rPr>
                <w:rFonts w:ascii="Arial" w:cs="Arial" w:eastAsia="Arial" w:hAnsi="Arial"/>
                <w:sz w:val="16"/>
                <w:szCs w:val="16"/>
                <w:color w:val="auto"/>
              </w:rPr>
              <w:t>101.SCH</w:t>
            </w:r>
          </w:p>
        </w:tc>
        <w:tc>
          <w:tcPr>
            <w:tcW w:w="9960" w:type="dxa"/>
            <w:vAlign w:val="bottom"/>
            <w:gridSpan w:val="3"/>
          </w:tcPr>
          <w:p>
            <w:pPr>
              <w:spacing w:after="0"/>
              <w:rPr>
                <w:sz w:val="20"/>
                <w:szCs w:val="20"/>
                <w:color w:val="auto"/>
              </w:rPr>
            </w:pPr>
            <w:r>
              <w:rPr>
                <w:rFonts w:ascii="Arial" w:cs="Arial" w:eastAsia="Arial" w:hAnsi="Arial"/>
                <w:sz w:val="16"/>
                <w:szCs w:val="16"/>
                <w:color w:val="auto"/>
              </w:rPr>
              <w:t>XBRL Taxonomy Extension Schema</w:t>
            </w:r>
          </w:p>
        </w:tc>
      </w:tr>
      <w:tr>
        <w:trPr>
          <w:trHeight w:val="418"/>
        </w:trPr>
        <w:tc>
          <w:tcPr>
            <w:tcW w:w="1120" w:type="dxa"/>
            <w:vAlign w:val="bottom"/>
          </w:tcPr>
          <w:p>
            <w:pPr>
              <w:spacing w:after="0"/>
              <w:rPr>
                <w:sz w:val="20"/>
                <w:szCs w:val="20"/>
                <w:color w:val="auto"/>
              </w:rPr>
            </w:pPr>
            <w:r>
              <w:rPr>
                <w:rFonts w:ascii="Arial" w:cs="Arial" w:eastAsia="Arial" w:hAnsi="Arial"/>
                <w:sz w:val="16"/>
                <w:szCs w:val="16"/>
                <w:color w:val="auto"/>
              </w:rPr>
              <w:t>101.CAL</w:t>
            </w:r>
          </w:p>
        </w:tc>
        <w:tc>
          <w:tcPr>
            <w:tcW w:w="9960" w:type="dxa"/>
            <w:vAlign w:val="bottom"/>
            <w:gridSpan w:val="3"/>
          </w:tcPr>
          <w:p>
            <w:pPr>
              <w:spacing w:after="0"/>
              <w:rPr>
                <w:sz w:val="20"/>
                <w:szCs w:val="20"/>
                <w:color w:val="auto"/>
              </w:rPr>
            </w:pPr>
            <w:r>
              <w:rPr>
                <w:rFonts w:ascii="Arial" w:cs="Arial" w:eastAsia="Arial" w:hAnsi="Arial"/>
                <w:sz w:val="16"/>
                <w:szCs w:val="16"/>
                <w:color w:val="auto"/>
              </w:rPr>
              <w:t>XBRL Taxonomy Extension Scheme Calculation Linkbase</w:t>
            </w:r>
          </w:p>
        </w:tc>
      </w:tr>
      <w:tr>
        <w:trPr>
          <w:trHeight w:val="418"/>
        </w:trPr>
        <w:tc>
          <w:tcPr>
            <w:tcW w:w="1120" w:type="dxa"/>
            <w:vAlign w:val="bottom"/>
          </w:tcPr>
          <w:p>
            <w:pPr>
              <w:spacing w:after="0"/>
              <w:rPr>
                <w:sz w:val="20"/>
                <w:szCs w:val="20"/>
                <w:color w:val="auto"/>
              </w:rPr>
            </w:pPr>
            <w:r>
              <w:rPr>
                <w:rFonts w:ascii="Arial" w:cs="Arial" w:eastAsia="Arial" w:hAnsi="Arial"/>
                <w:sz w:val="16"/>
                <w:szCs w:val="16"/>
                <w:color w:val="auto"/>
              </w:rPr>
              <w:t>101.DEF</w:t>
            </w:r>
          </w:p>
        </w:tc>
        <w:tc>
          <w:tcPr>
            <w:tcW w:w="9960" w:type="dxa"/>
            <w:vAlign w:val="bottom"/>
            <w:gridSpan w:val="3"/>
          </w:tcPr>
          <w:p>
            <w:pPr>
              <w:spacing w:after="0"/>
              <w:rPr>
                <w:sz w:val="20"/>
                <w:szCs w:val="20"/>
                <w:color w:val="auto"/>
              </w:rPr>
            </w:pPr>
            <w:r>
              <w:rPr>
                <w:rFonts w:ascii="Arial" w:cs="Arial" w:eastAsia="Arial" w:hAnsi="Arial"/>
                <w:sz w:val="16"/>
                <w:szCs w:val="16"/>
                <w:color w:val="auto"/>
              </w:rPr>
              <w:t>XBRL Taxonomy Extension Scheme Definition Linkbase</w:t>
            </w:r>
          </w:p>
        </w:tc>
      </w:tr>
      <w:tr>
        <w:trPr>
          <w:trHeight w:val="419"/>
        </w:trPr>
        <w:tc>
          <w:tcPr>
            <w:tcW w:w="1120" w:type="dxa"/>
            <w:vAlign w:val="bottom"/>
          </w:tcPr>
          <w:p>
            <w:pPr>
              <w:spacing w:after="0"/>
              <w:rPr>
                <w:sz w:val="20"/>
                <w:szCs w:val="20"/>
                <w:color w:val="auto"/>
              </w:rPr>
            </w:pPr>
            <w:r>
              <w:rPr>
                <w:rFonts w:ascii="Arial" w:cs="Arial" w:eastAsia="Arial" w:hAnsi="Arial"/>
                <w:sz w:val="16"/>
                <w:szCs w:val="16"/>
                <w:color w:val="auto"/>
              </w:rPr>
              <w:t>101.LAB</w:t>
            </w:r>
          </w:p>
        </w:tc>
        <w:tc>
          <w:tcPr>
            <w:tcW w:w="9960" w:type="dxa"/>
            <w:vAlign w:val="bottom"/>
            <w:gridSpan w:val="3"/>
          </w:tcPr>
          <w:p>
            <w:pPr>
              <w:spacing w:after="0"/>
              <w:rPr>
                <w:sz w:val="20"/>
                <w:szCs w:val="20"/>
                <w:color w:val="auto"/>
              </w:rPr>
            </w:pPr>
            <w:r>
              <w:rPr>
                <w:rFonts w:ascii="Arial" w:cs="Arial" w:eastAsia="Arial" w:hAnsi="Arial"/>
                <w:sz w:val="16"/>
                <w:szCs w:val="16"/>
                <w:color w:val="auto"/>
              </w:rPr>
              <w:t>XBRL Taxonomy Extension Scheme Label Linkbase</w:t>
            </w:r>
          </w:p>
        </w:tc>
      </w:tr>
      <w:tr>
        <w:trPr>
          <w:trHeight w:val="418"/>
        </w:trPr>
        <w:tc>
          <w:tcPr>
            <w:tcW w:w="1120" w:type="dxa"/>
            <w:vAlign w:val="bottom"/>
          </w:tcPr>
          <w:p>
            <w:pPr>
              <w:spacing w:after="0"/>
              <w:rPr>
                <w:sz w:val="20"/>
                <w:szCs w:val="20"/>
                <w:color w:val="auto"/>
              </w:rPr>
            </w:pPr>
            <w:r>
              <w:rPr>
                <w:rFonts w:ascii="Arial" w:cs="Arial" w:eastAsia="Arial" w:hAnsi="Arial"/>
                <w:sz w:val="16"/>
                <w:szCs w:val="16"/>
                <w:color w:val="auto"/>
              </w:rPr>
              <w:t>101.PRE</w:t>
            </w:r>
          </w:p>
        </w:tc>
        <w:tc>
          <w:tcPr>
            <w:tcW w:w="9960" w:type="dxa"/>
            <w:vAlign w:val="bottom"/>
            <w:gridSpan w:val="3"/>
          </w:tcPr>
          <w:p>
            <w:pPr>
              <w:spacing w:after="0"/>
              <w:rPr>
                <w:sz w:val="20"/>
                <w:szCs w:val="20"/>
                <w:color w:val="auto"/>
              </w:rPr>
            </w:pPr>
            <w:r>
              <w:rPr>
                <w:rFonts w:ascii="Arial" w:cs="Arial" w:eastAsia="Arial" w:hAnsi="Arial"/>
                <w:sz w:val="16"/>
                <w:szCs w:val="16"/>
                <w:color w:val="auto"/>
              </w:rPr>
              <w:t>XBRL Taxonomy Extension Scheme Presentation Linkbase</w:t>
            </w:r>
          </w:p>
        </w:tc>
      </w:tr>
    </w:tbl>
    <w:p>
      <w:pPr>
        <w:spacing w:after="0" w:line="212" w:lineRule="exact"/>
        <w:rPr>
          <w:sz w:val="20"/>
          <w:szCs w:val="20"/>
          <w:color w:val="auto"/>
        </w:rPr>
      </w:pPr>
    </w:p>
    <w:p>
      <w:pPr>
        <w:ind w:left="1120" w:right="40" w:hanging="1112"/>
        <w:spacing w:after="0" w:line="293"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Certain schedules have been omitted. The registrant hereby undertakes to furnish supplemental copies of any of the omitted schedules upon request by the SEC.</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6" w:right="4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140"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gridSpan w:val="2"/>
          </w:tcPr>
          <w:p>
            <w:pPr>
              <w:ind w:left="5480"/>
              <w:spacing w:after="0"/>
              <w:rPr>
                <w:sz w:val="20"/>
                <w:szCs w:val="20"/>
                <w:color w:val="auto"/>
              </w:rPr>
            </w:pPr>
            <w:r>
              <w:rPr>
                <w:rFonts w:ascii="Arial" w:cs="Arial" w:eastAsia="Arial" w:hAnsi="Arial"/>
                <w:sz w:val="16"/>
                <w:szCs w:val="16"/>
                <w:color w:val="auto"/>
              </w:rPr>
              <w:t>GASLOG LTD.,</w:t>
            </w:r>
          </w:p>
        </w:tc>
        <w:tc>
          <w:tcPr>
            <w:tcW w:w="4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08"/>
        </w:trPr>
        <w:tc>
          <w:tcPr>
            <w:tcW w:w="6320" w:type="dxa"/>
            <w:vAlign w:val="bottom"/>
          </w:tcPr>
          <w:p>
            <w:pPr>
              <w:jc w:val="right"/>
              <w:ind w:right="242"/>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Paul Wogan</w:t>
            </w:r>
          </w:p>
        </w:tc>
        <w:tc>
          <w:tcPr>
            <w:tcW w:w="40" w:type="dxa"/>
            <w:vAlign w:val="bottom"/>
          </w:tcPr>
          <w:p>
            <w:pPr>
              <w:spacing w:after="0"/>
              <w:rPr>
                <w:sz w:val="24"/>
                <w:szCs w:val="24"/>
                <w:color w:val="auto"/>
              </w:rPr>
            </w:pPr>
          </w:p>
        </w:tc>
      </w:tr>
      <w:tr>
        <w:trPr>
          <w:trHeight w:val="189"/>
        </w:trPr>
        <w:tc>
          <w:tcPr>
            <w:tcW w:w="632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4380" w:type="dxa"/>
            <w:vAlign w:val="bottom"/>
          </w:tcPr>
          <w:p>
            <w:pPr>
              <w:ind w:left="80"/>
              <w:spacing w:after="0"/>
              <w:rPr>
                <w:sz w:val="20"/>
                <w:szCs w:val="20"/>
                <w:color w:val="auto"/>
              </w:rPr>
            </w:pPr>
            <w:r>
              <w:rPr>
                <w:rFonts w:ascii="Arial" w:cs="Arial" w:eastAsia="Arial" w:hAnsi="Arial"/>
                <w:sz w:val="16"/>
                <w:szCs w:val="16"/>
                <w:color w:val="auto"/>
              </w:rPr>
              <w:t>Paul Wogan</w:t>
            </w:r>
          </w:p>
        </w:tc>
        <w:tc>
          <w:tcPr>
            <w:tcW w:w="40" w:type="dxa"/>
            <w:vAlign w:val="bottom"/>
          </w:tcPr>
          <w:p>
            <w:pPr>
              <w:spacing w:after="0"/>
              <w:rPr>
                <w:sz w:val="16"/>
                <w:szCs w:val="16"/>
                <w:color w:val="auto"/>
              </w:rPr>
            </w:pPr>
          </w:p>
        </w:tc>
      </w:tr>
      <w:tr>
        <w:trPr>
          <w:trHeight w:val="206"/>
        </w:trPr>
        <w:tc>
          <w:tcPr>
            <w:tcW w:w="63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4380" w:type="dxa"/>
            <w:vAlign w:val="bottom"/>
          </w:tcPr>
          <w:p>
            <w:pPr>
              <w:ind w:left="80"/>
              <w:spacing w:after="0"/>
              <w:rPr>
                <w:sz w:val="20"/>
                <w:szCs w:val="20"/>
                <w:color w:val="auto"/>
              </w:rPr>
            </w:pPr>
            <w:r>
              <w:rPr>
                <w:rFonts w:ascii="Arial" w:cs="Arial" w:eastAsia="Arial" w:hAnsi="Arial"/>
                <w:sz w:val="16"/>
                <w:szCs w:val="16"/>
                <w:color w:val="auto"/>
              </w:rPr>
              <w:t>Chief Executive Officer</w:t>
            </w:r>
          </w:p>
        </w:tc>
        <w:tc>
          <w:tcPr>
            <w:tcW w:w="40" w:type="dxa"/>
            <w:vAlign w:val="bottom"/>
          </w:tcPr>
          <w:p>
            <w:pPr>
              <w:spacing w:after="0"/>
              <w:rPr>
                <w:sz w:val="17"/>
                <w:szCs w:val="17"/>
                <w:color w:val="auto"/>
              </w:rPr>
            </w:pPr>
          </w:p>
        </w:tc>
      </w:tr>
      <w:tr>
        <w:trPr>
          <w:trHeight w:val="385"/>
        </w:trPr>
        <w:tc>
          <w:tcPr>
            <w:tcW w:w="6320" w:type="dxa"/>
            <w:vAlign w:val="bottom"/>
          </w:tcPr>
          <w:p>
            <w:pPr>
              <w:jc w:val="right"/>
              <w:ind w:right="582"/>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6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Private and Confidential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Dated 16 July 2020</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ENTITIES LISTED IN SCHEDULE 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Borrowers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ABN AMRO BANK N.V.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CITIGROUP GLOBAL MARKETS LIMITED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NORDEA BANK ABP, FILIAL I NORGE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HSBC BANK PLC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mandated lead arrangers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AGRICOLE CORPORATE AND INVESTMENT BANK</w:t>
      </w:r>
    </w:p>
    <w:p>
      <w:pPr>
        <w:jc w:val="center"/>
        <w:spacing w:after="0" w:line="237" w:lineRule="auto"/>
        <w:rPr>
          <w:sz w:val="20"/>
          <w:szCs w:val="20"/>
          <w:color w:val="auto"/>
        </w:rPr>
      </w:pPr>
      <w:r>
        <w:rPr>
          <w:rFonts w:ascii="Arial" w:cs="Arial" w:eastAsia="Arial" w:hAnsi="Arial"/>
          <w:sz w:val="18"/>
          <w:szCs w:val="18"/>
          <w:b w:val="1"/>
          <w:bCs w:val="1"/>
          <w:color w:val="auto"/>
        </w:rPr>
        <w:t>UNICREDIT BANK AG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AUSTRALIA BANK LIMITED</w:t>
      </w:r>
    </w:p>
    <w:p>
      <w:pPr>
        <w:jc w:val="center"/>
        <w:spacing w:after="0"/>
        <w:rPr>
          <w:sz w:val="20"/>
          <w:szCs w:val="20"/>
          <w:color w:val="auto"/>
        </w:rPr>
      </w:pPr>
      <w:r>
        <w:rPr>
          <w:rFonts w:ascii="Arial" w:cs="Arial" w:eastAsia="Arial" w:hAnsi="Arial"/>
          <w:sz w:val="16"/>
          <w:szCs w:val="16"/>
          <w:b w:val="1"/>
          <w:bCs w:val="1"/>
          <w:color w:val="auto"/>
        </w:rPr>
        <w:t>as arrangers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(together, the Arrangers)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with</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ABN AMRO BANK N.V.</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ABN AMRO BANK N.V.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Security Agent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ABN AMRO BANK N.V.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CITIGROUP GLOBAL MARKETS LIMITED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NORDEA BANK ABP, FILIAL I NORGE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Bookrunners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guaranteed by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CARRIERS LTD.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 AGREEMENT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jc w:val="center"/>
        <w:spacing w:after="0" w:line="234" w:lineRule="auto"/>
        <w:rPr>
          <w:sz w:val="20"/>
          <w:szCs w:val="20"/>
          <w:color w:val="auto"/>
        </w:rPr>
      </w:pPr>
      <w:r>
        <w:rPr>
          <w:rFonts w:ascii="Arial" w:cs="Arial" w:eastAsia="Arial" w:hAnsi="Arial"/>
          <w:sz w:val="18"/>
          <w:szCs w:val="18"/>
          <w:b w:val="1"/>
          <w:bCs w:val="1"/>
          <w:color w:val="auto"/>
        </w:rPr>
        <w:t>$576,887,500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 and Revolving Credit Facilities</w:t>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6198870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2618105</wp:posOffset>
            </wp:positionV>
            <wp:extent cx="7132320" cy="857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800" w:type="dxa"/>
            <w:vAlign w:val="bottom"/>
          </w:tcPr>
          <w:p>
            <w:pPr>
              <w:jc w:val="right"/>
              <w:ind w:right="5170"/>
              <w:spacing w:after="0"/>
              <w:rPr>
                <w:sz w:val="20"/>
                <w:szCs w:val="20"/>
                <w:color w:val="auto"/>
              </w:rPr>
            </w:pPr>
            <w:r>
              <w:rPr>
                <w:rFonts w:ascii="Arial" w:cs="Arial" w:eastAsia="Arial" w:hAnsi="Arial"/>
                <w:sz w:val="18"/>
                <w:szCs w:val="18"/>
                <w:b w:val="1"/>
                <w:bCs w:val="1"/>
                <w:color w:val="auto"/>
              </w:rPr>
              <w:t>Contents</w:t>
            </w:r>
          </w:p>
        </w:tc>
      </w:tr>
      <w:tr>
        <w:trPr>
          <w:trHeight w:val="405"/>
        </w:trPr>
        <w:tc>
          <w:tcPr>
            <w:tcW w:w="64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384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w:t>
            </w:r>
          </w:p>
        </w:tc>
        <w:tc>
          <w:tcPr>
            <w:tcW w:w="3840" w:type="dxa"/>
            <w:vAlign w:val="bottom"/>
          </w:tcPr>
          <w:p>
            <w:pPr>
              <w:ind w:left="20"/>
              <w:spacing w:after="0"/>
              <w:rPr>
                <w:sz w:val="20"/>
                <w:szCs w:val="20"/>
                <w:color w:val="auto"/>
              </w:rPr>
            </w:pPr>
            <w:r>
              <w:rPr>
                <w:rFonts w:ascii="Arial" w:cs="Arial" w:eastAsia="Arial" w:hAnsi="Arial"/>
                <w:sz w:val="18"/>
                <w:szCs w:val="18"/>
                <w:color w:val="auto"/>
              </w:rPr>
              <w:t>Definitions and interpretation</w:t>
            </w:r>
          </w:p>
        </w:tc>
        <w:tc>
          <w:tcPr>
            <w:tcW w:w="6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3840" w:type="dxa"/>
            <w:vAlign w:val="bottom"/>
          </w:tcPr>
          <w:p>
            <w:pPr>
              <w:ind w:left="20"/>
              <w:spacing w:after="0"/>
              <w:rPr>
                <w:sz w:val="20"/>
                <w:szCs w:val="20"/>
                <w:color w:val="auto"/>
              </w:rPr>
            </w:pPr>
            <w:r>
              <w:rPr>
                <w:rFonts w:ascii="Arial" w:cs="Arial" w:eastAsia="Arial" w:hAnsi="Arial"/>
                <w:sz w:val="18"/>
                <w:szCs w:val="18"/>
                <w:color w:val="auto"/>
              </w:rPr>
              <w:t>The Facilities</w:t>
            </w:r>
          </w:p>
        </w:tc>
        <w:tc>
          <w:tcPr>
            <w:tcW w:w="6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3840" w:type="dxa"/>
            <w:vAlign w:val="bottom"/>
          </w:tcPr>
          <w:p>
            <w:pPr>
              <w:ind w:left="20"/>
              <w:spacing w:after="0"/>
              <w:rPr>
                <w:sz w:val="20"/>
                <w:szCs w:val="20"/>
                <w:color w:val="auto"/>
              </w:rPr>
            </w:pPr>
            <w:r>
              <w:rPr>
                <w:rFonts w:ascii="Arial" w:cs="Arial" w:eastAsia="Arial" w:hAnsi="Arial"/>
                <w:sz w:val="18"/>
                <w:szCs w:val="18"/>
                <w:color w:val="auto"/>
              </w:rPr>
              <w:t>Purpose</w:t>
            </w:r>
          </w:p>
        </w:tc>
        <w:tc>
          <w:tcPr>
            <w:tcW w:w="6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3840" w:type="dxa"/>
            <w:vAlign w:val="bottom"/>
          </w:tcPr>
          <w:p>
            <w:pPr>
              <w:ind w:left="20"/>
              <w:spacing w:after="0"/>
              <w:rPr>
                <w:sz w:val="20"/>
                <w:szCs w:val="20"/>
                <w:color w:val="auto"/>
              </w:rPr>
            </w:pPr>
            <w:r>
              <w:rPr>
                <w:rFonts w:ascii="Arial" w:cs="Arial" w:eastAsia="Arial" w:hAnsi="Arial"/>
                <w:sz w:val="18"/>
                <w:szCs w:val="18"/>
                <w:color w:val="auto"/>
              </w:rPr>
              <w:t>Conditions of Utilisation</w:t>
            </w:r>
          </w:p>
        </w:tc>
        <w:tc>
          <w:tcPr>
            <w:tcW w:w="6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3840" w:type="dxa"/>
            <w:vAlign w:val="bottom"/>
          </w:tcPr>
          <w:p>
            <w:pPr>
              <w:ind w:left="20"/>
              <w:spacing w:after="0"/>
              <w:rPr>
                <w:sz w:val="20"/>
                <w:szCs w:val="20"/>
                <w:color w:val="auto"/>
              </w:rPr>
            </w:pPr>
            <w:r>
              <w:rPr>
                <w:rFonts w:ascii="Arial" w:cs="Arial" w:eastAsia="Arial" w:hAnsi="Arial"/>
                <w:sz w:val="18"/>
                <w:szCs w:val="18"/>
                <w:color w:val="auto"/>
              </w:rPr>
              <w:t>Utilisation</w:t>
            </w:r>
          </w:p>
        </w:tc>
        <w:tc>
          <w:tcPr>
            <w:tcW w:w="6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6</w:t>
            </w:r>
          </w:p>
        </w:tc>
        <w:tc>
          <w:tcPr>
            <w:tcW w:w="3840" w:type="dxa"/>
            <w:vAlign w:val="bottom"/>
          </w:tcPr>
          <w:p>
            <w:pPr>
              <w:ind w:left="20"/>
              <w:spacing w:after="0"/>
              <w:rPr>
                <w:sz w:val="20"/>
                <w:szCs w:val="20"/>
                <w:color w:val="auto"/>
              </w:rPr>
            </w:pPr>
            <w:r>
              <w:rPr>
                <w:rFonts w:ascii="Arial" w:cs="Arial" w:eastAsia="Arial" w:hAnsi="Arial"/>
                <w:sz w:val="18"/>
                <w:szCs w:val="18"/>
                <w:color w:val="auto"/>
              </w:rPr>
              <w:t>Repayment</w:t>
            </w:r>
          </w:p>
        </w:tc>
        <w:tc>
          <w:tcPr>
            <w:tcW w:w="6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7</w:t>
            </w:r>
          </w:p>
        </w:tc>
        <w:tc>
          <w:tcPr>
            <w:tcW w:w="3840" w:type="dxa"/>
            <w:vAlign w:val="bottom"/>
          </w:tcPr>
          <w:p>
            <w:pPr>
              <w:ind w:left="20"/>
              <w:spacing w:after="0"/>
              <w:rPr>
                <w:sz w:val="20"/>
                <w:szCs w:val="20"/>
                <w:color w:val="auto"/>
              </w:rPr>
            </w:pPr>
            <w:r>
              <w:rPr>
                <w:rFonts w:ascii="Arial" w:cs="Arial" w:eastAsia="Arial" w:hAnsi="Arial"/>
                <w:sz w:val="18"/>
                <w:szCs w:val="18"/>
                <w:color w:val="auto"/>
              </w:rPr>
              <w:t>Illegality, prepayment and cancellation</w:t>
            </w:r>
          </w:p>
        </w:tc>
        <w:tc>
          <w:tcPr>
            <w:tcW w:w="6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8</w:t>
            </w:r>
          </w:p>
        </w:tc>
        <w:tc>
          <w:tcPr>
            <w:tcW w:w="3840" w:type="dxa"/>
            <w:vAlign w:val="bottom"/>
          </w:tcPr>
          <w:p>
            <w:pPr>
              <w:ind w:left="20"/>
              <w:spacing w:after="0"/>
              <w:rPr>
                <w:sz w:val="20"/>
                <w:szCs w:val="20"/>
                <w:color w:val="auto"/>
              </w:rPr>
            </w:pPr>
            <w:r>
              <w:rPr>
                <w:rFonts w:ascii="Arial" w:cs="Arial" w:eastAsia="Arial" w:hAnsi="Arial"/>
                <w:sz w:val="18"/>
                <w:szCs w:val="18"/>
                <w:color w:val="auto"/>
              </w:rPr>
              <w:t>Interest</w:t>
            </w:r>
          </w:p>
        </w:tc>
        <w:tc>
          <w:tcPr>
            <w:tcW w:w="6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9</w:t>
            </w:r>
          </w:p>
        </w:tc>
        <w:tc>
          <w:tcPr>
            <w:tcW w:w="3840" w:type="dxa"/>
            <w:vAlign w:val="bottom"/>
          </w:tcPr>
          <w:p>
            <w:pPr>
              <w:ind w:left="20"/>
              <w:spacing w:after="0"/>
              <w:rPr>
                <w:sz w:val="20"/>
                <w:szCs w:val="20"/>
                <w:color w:val="auto"/>
              </w:rPr>
            </w:pPr>
            <w:r>
              <w:rPr>
                <w:rFonts w:ascii="Arial" w:cs="Arial" w:eastAsia="Arial" w:hAnsi="Arial"/>
                <w:sz w:val="18"/>
                <w:szCs w:val="18"/>
                <w:color w:val="auto"/>
              </w:rPr>
              <w:t>Interest Periods</w:t>
            </w:r>
          </w:p>
        </w:tc>
        <w:tc>
          <w:tcPr>
            <w:tcW w:w="6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10</w:t>
            </w:r>
          </w:p>
        </w:tc>
        <w:tc>
          <w:tcPr>
            <w:tcW w:w="3840" w:type="dxa"/>
            <w:vAlign w:val="bottom"/>
          </w:tcPr>
          <w:p>
            <w:pPr>
              <w:ind w:left="20"/>
              <w:spacing w:after="0"/>
              <w:rPr>
                <w:sz w:val="20"/>
                <w:szCs w:val="20"/>
                <w:color w:val="auto"/>
              </w:rPr>
            </w:pPr>
            <w:r>
              <w:rPr>
                <w:rFonts w:ascii="Arial" w:cs="Arial" w:eastAsia="Arial" w:hAnsi="Arial"/>
                <w:sz w:val="18"/>
                <w:szCs w:val="18"/>
                <w:color w:val="auto"/>
              </w:rPr>
              <w:t>Changes to the calculation of interest</w:t>
            </w:r>
          </w:p>
        </w:tc>
        <w:tc>
          <w:tcPr>
            <w:tcW w:w="6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3840" w:type="dxa"/>
            <w:vAlign w:val="bottom"/>
          </w:tcPr>
          <w:p>
            <w:pPr>
              <w:ind w:left="20"/>
              <w:spacing w:after="0"/>
              <w:rPr>
                <w:sz w:val="20"/>
                <w:szCs w:val="20"/>
                <w:color w:val="auto"/>
              </w:rPr>
            </w:pPr>
            <w:r>
              <w:rPr>
                <w:rFonts w:ascii="Arial" w:cs="Arial" w:eastAsia="Arial" w:hAnsi="Arial"/>
                <w:sz w:val="18"/>
                <w:szCs w:val="18"/>
                <w:color w:val="auto"/>
              </w:rPr>
              <w:t>Fees</w:t>
            </w:r>
          </w:p>
        </w:tc>
        <w:tc>
          <w:tcPr>
            <w:tcW w:w="6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12</w:t>
            </w:r>
          </w:p>
        </w:tc>
        <w:tc>
          <w:tcPr>
            <w:tcW w:w="3840" w:type="dxa"/>
            <w:vAlign w:val="bottom"/>
          </w:tcPr>
          <w:p>
            <w:pPr>
              <w:ind w:left="20"/>
              <w:spacing w:after="0"/>
              <w:rPr>
                <w:sz w:val="20"/>
                <w:szCs w:val="20"/>
                <w:color w:val="auto"/>
              </w:rPr>
            </w:pPr>
            <w:r>
              <w:rPr>
                <w:rFonts w:ascii="Arial" w:cs="Arial" w:eastAsia="Arial" w:hAnsi="Arial"/>
                <w:sz w:val="18"/>
                <w:szCs w:val="18"/>
                <w:color w:val="auto"/>
              </w:rPr>
              <w:t>Tax gross-up and indemnities</w:t>
            </w:r>
          </w:p>
        </w:tc>
        <w:tc>
          <w:tcPr>
            <w:tcW w:w="6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13</w:t>
            </w:r>
          </w:p>
        </w:tc>
        <w:tc>
          <w:tcPr>
            <w:tcW w:w="3840" w:type="dxa"/>
            <w:vAlign w:val="bottom"/>
          </w:tcPr>
          <w:p>
            <w:pPr>
              <w:ind w:left="20"/>
              <w:spacing w:after="0"/>
              <w:rPr>
                <w:sz w:val="20"/>
                <w:szCs w:val="20"/>
                <w:color w:val="auto"/>
              </w:rPr>
            </w:pPr>
            <w:r>
              <w:rPr>
                <w:rFonts w:ascii="Arial" w:cs="Arial" w:eastAsia="Arial" w:hAnsi="Arial"/>
                <w:sz w:val="18"/>
                <w:szCs w:val="18"/>
                <w:color w:val="auto"/>
              </w:rPr>
              <w:t>Increased Costs</w:t>
            </w:r>
          </w:p>
        </w:tc>
        <w:tc>
          <w:tcPr>
            <w:tcW w:w="6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14</w:t>
            </w:r>
          </w:p>
        </w:tc>
        <w:tc>
          <w:tcPr>
            <w:tcW w:w="3840" w:type="dxa"/>
            <w:vAlign w:val="bottom"/>
          </w:tcPr>
          <w:p>
            <w:pPr>
              <w:ind w:left="20"/>
              <w:spacing w:after="0"/>
              <w:rPr>
                <w:sz w:val="20"/>
                <w:szCs w:val="20"/>
                <w:color w:val="auto"/>
              </w:rPr>
            </w:pPr>
            <w:r>
              <w:rPr>
                <w:rFonts w:ascii="Arial" w:cs="Arial" w:eastAsia="Arial" w:hAnsi="Arial"/>
                <w:sz w:val="18"/>
                <w:szCs w:val="18"/>
                <w:color w:val="auto"/>
              </w:rPr>
              <w:t>Other indemnities</w:t>
            </w:r>
          </w:p>
        </w:tc>
        <w:tc>
          <w:tcPr>
            <w:tcW w:w="6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15</w:t>
            </w:r>
          </w:p>
        </w:tc>
        <w:tc>
          <w:tcPr>
            <w:tcW w:w="3840" w:type="dxa"/>
            <w:vAlign w:val="bottom"/>
          </w:tcPr>
          <w:p>
            <w:pPr>
              <w:ind w:left="20"/>
              <w:spacing w:after="0"/>
              <w:rPr>
                <w:sz w:val="20"/>
                <w:szCs w:val="20"/>
                <w:color w:val="auto"/>
              </w:rPr>
            </w:pPr>
            <w:r>
              <w:rPr>
                <w:rFonts w:ascii="Arial" w:cs="Arial" w:eastAsia="Arial" w:hAnsi="Arial"/>
                <w:sz w:val="18"/>
                <w:szCs w:val="18"/>
                <w:color w:val="auto"/>
              </w:rPr>
              <w:t>Mitigation by the Lenders</w:t>
            </w:r>
          </w:p>
        </w:tc>
        <w:tc>
          <w:tcPr>
            <w:tcW w:w="6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16</w:t>
            </w:r>
          </w:p>
        </w:tc>
        <w:tc>
          <w:tcPr>
            <w:tcW w:w="3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6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17</w:t>
            </w:r>
          </w:p>
        </w:tc>
        <w:tc>
          <w:tcPr>
            <w:tcW w:w="3840" w:type="dxa"/>
            <w:vAlign w:val="bottom"/>
          </w:tcPr>
          <w:p>
            <w:pPr>
              <w:ind w:left="20"/>
              <w:spacing w:after="0"/>
              <w:rPr>
                <w:sz w:val="20"/>
                <w:szCs w:val="20"/>
                <w:color w:val="auto"/>
              </w:rPr>
            </w:pPr>
            <w:r>
              <w:rPr>
                <w:rFonts w:ascii="Arial" w:cs="Arial" w:eastAsia="Arial" w:hAnsi="Arial"/>
                <w:sz w:val="18"/>
                <w:szCs w:val="18"/>
                <w:color w:val="auto"/>
              </w:rPr>
              <w:t>Guarantee and indemnity</w:t>
            </w:r>
          </w:p>
        </w:tc>
        <w:tc>
          <w:tcPr>
            <w:tcW w:w="6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18</w:t>
            </w:r>
          </w:p>
        </w:tc>
        <w:tc>
          <w:tcPr>
            <w:tcW w:w="3840" w:type="dxa"/>
            <w:vAlign w:val="bottom"/>
          </w:tcPr>
          <w:p>
            <w:pPr>
              <w:ind w:left="20"/>
              <w:spacing w:after="0"/>
              <w:rPr>
                <w:sz w:val="20"/>
                <w:szCs w:val="20"/>
                <w:color w:val="auto"/>
              </w:rPr>
            </w:pPr>
            <w:r>
              <w:rPr>
                <w:rFonts w:ascii="Arial" w:cs="Arial" w:eastAsia="Arial" w:hAnsi="Arial"/>
                <w:sz w:val="18"/>
                <w:szCs w:val="18"/>
                <w:color w:val="auto"/>
              </w:rPr>
              <w:t>Representations</w:t>
            </w:r>
          </w:p>
        </w:tc>
        <w:tc>
          <w:tcPr>
            <w:tcW w:w="6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19</w:t>
            </w:r>
          </w:p>
        </w:tc>
        <w:tc>
          <w:tcPr>
            <w:tcW w:w="3840" w:type="dxa"/>
            <w:vAlign w:val="bottom"/>
          </w:tcPr>
          <w:p>
            <w:pPr>
              <w:ind w:left="20"/>
              <w:spacing w:after="0"/>
              <w:rPr>
                <w:sz w:val="20"/>
                <w:szCs w:val="20"/>
                <w:color w:val="auto"/>
              </w:rPr>
            </w:pPr>
            <w:r>
              <w:rPr>
                <w:rFonts w:ascii="Arial" w:cs="Arial" w:eastAsia="Arial" w:hAnsi="Arial"/>
                <w:sz w:val="18"/>
                <w:szCs w:val="18"/>
                <w:color w:val="auto"/>
              </w:rPr>
              <w:t>Information undertakings</w:t>
            </w:r>
          </w:p>
        </w:tc>
        <w:tc>
          <w:tcPr>
            <w:tcW w:w="6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20</w:t>
            </w:r>
          </w:p>
        </w:tc>
        <w:tc>
          <w:tcPr>
            <w:tcW w:w="3840" w:type="dxa"/>
            <w:vAlign w:val="bottom"/>
          </w:tcPr>
          <w:p>
            <w:pPr>
              <w:ind w:left="20"/>
              <w:spacing w:after="0"/>
              <w:rPr>
                <w:sz w:val="20"/>
                <w:szCs w:val="20"/>
                <w:color w:val="auto"/>
              </w:rPr>
            </w:pPr>
            <w:r>
              <w:rPr>
                <w:rFonts w:ascii="Arial" w:cs="Arial" w:eastAsia="Arial" w:hAnsi="Arial"/>
                <w:sz w:val="18"/>
                <w:szCs w:val="18"/>
                <w:color w:val="auto"/>
              </w:rPr>
              <w:t>Financial covenants</w:t>
            </w:r>
          </w:p>
        </w:tc>
        <w:tc>
          <w:tcPr>
            <w:tcW w:w="6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3840" w:type="dxa"/>
            <w:vAlign w:val="bottom"/>
          </w:tcPr>
          <w:p>
            <w:pPr>
              <w:ind w:left="20"/>
              <w:spacing w:after="0"/>
              <w:rPr>
                <w:sz w:val="20"/>
                <w:szCs w:val="20"/>
                <w:color w:val="auto"/>
              </w:rPr>
            </w:pPr>
            <w:r>
              <w:rPr>
                <w:rFonts w:ascii="Arial" w:cs="Arial" w:eastAsia="Arial" w:hAnsi="Arial"/>
                <w:sz w:val="18"/>
                <w:szCs w:val="18"/>
                <w:color w:val="auto"/>
              </w:rPr>
              <w:t>General undertakings</w:t>
            </w:r>
          </w:p>
        </w:tc>
        <w:tc>
          <w:tcPr>
            <w:tcW w:w="6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22</w:t>
            </w:r>
          </w:p>
        </w:tc>
        <w:tc>
          <w:tcPr>
            <w:tcW w:w="3840" w:type="dxa"/>
            <w:vAlign w:val="bottom"/>
          </w:tcPr>
          <w:p>
            <w:pPr>
              <w:ind w:left="20"/>
              <w:spacing w:after="0"/>
              <w:rPr>
                <w:sz w:val="20"/>
                <w:szCs w:val="20"/>
                <w:color w:val="auto"/>
              </w:rPr>
            </w:pPr>
            <w:r>
              <w:rPr>
                <w:rFonts w:ascii="Arial" w:cs="Arial" w:eastAsia="Arial" w:hAnsi="Arial"/>
                <w:sz w:val="18"/>
                <w:szCs w:val="18"/>
                <w:color w:val="auto"/>
              </w:rPr>
              <w:t>Dealings with Ship</w:t>
            </w:r>
          </w:p>
        </w:tc>
        <w:tc>
          <w:tcPr>
            <w:tcW w:w="68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23</w:t>
            </w:r>
          </w:p>
        </w:tc>
        <w:tc>
          <w:tcPr>
            <w:tcW w:w="3840" w:type="dxa"/>
            <w:vAlign w:val="bottom"/>
          </w:tcPr>
          <w:p>
            <w:pPr>
              <w:ind w:left="20"/>
              <w:spacing w:after="0"/>
              <w:rPr>
                <w:sz w:val="20"/>
                <w:szCs w:val="20"/>
                <w:color w:val="auto"/>
              </w:rPr>
            </w:pPr>
            <w:r>
              <w:rPr>
                <w:rFonts w:ascii="Arial" w:cs="Arial" w:eastAsia="Arial" w:hAnsi="Arial"/>
                <w:sz w:val="18"/>
                <w:szCs w:val="18"/>
                <w:color w:val="auto"/>
              </w:rPr>
              <w:t>Condition and operation of Ship</w:t>
            </w:r>
          </w:p>
        </w:tc>
        <w:tc>
          <w:tcPr>
            <w:tcW w:w="68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24</w:t>
            </w:r>
          </w:p>
        </w:tc>
        <w:tc>
          <w:tcPr>
            <w:tcW w:w="38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68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25</w:t>
            </w:r>
          </w:p>
        </w:tc>
        <w:tc>
          <w:tcPr>
            <w:tcW w:w="3840" w:type="dxa"/>
            <w:vAlign w:val="bottom"/>
          </w:tcPr>
          <w:p>
            <w:pPr>
              <w:ind w:left="20"/>
              <w:spacing w:after="0"/>
              <w:rPr>
                <w:sz w:val="20"/>
                <w:szCs w:val="20"/>
                <w:color w:val="auto"/>
              </w:rPr>
            </w:pPr>
            <w:r>
              <w:rPr>
                <w:rFonts w:ascii="Arial" w:cs="Arial" w:eastAsia="Arial" w:hAnsi="Arial"/>
                <w:sz w:val="18"/>
                <w:szCs w:val="18"/>
                <w:color w:val="auto"/>
              </w:rPr>
              <w:t>Minimum security value</w:t>
            </w:r>
          </w:p>
        </w:tc>
        <w:tc>
          <w:tcPr>
            <w:tcW w:w="68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26</w:t>
            </w:r>
          </w:p>
        </w:tc>
        <w:tc>
          <w:tcPr>
            <w:tcW w:w="3840" w:type="dxa"/>
            <w:vAlign w:val="bottom"/>
          </w:tcPr>
          <w:p>
            <w:pPr>
              <w:ind w:left="20"/>
              <w:spacing w:after="0"/>
              <w:rPr>
                <w:sz w:val="20"/>
                <w:szCs w:val="20"/>
                <w:color w:val="auto"/>
              </w:rPr>
            </w:pPr>
            <w:r>
              <w:rPr>
                <w:rFonts w:ascii="Arial" w:cs="Arial" w:eastAsia="Arial" w:hAnsi="Arial"/>
                <w:sz w:val="18"/>
                <w:szCs w:val="18"/>
                <w:color w:val="auto"/>
              </w:rPr>
              <w:t>Chartering undertakings</w:t>
            </w:r>
          </w:p>
        </w:tc>
        <w:tc>
          <w:tcPr>
            <w:tcW w:w="6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27</w:t>
            </w:r>
          </w:p>
        </w:tc>
        <w:tc>
          <w:tcPr>
            <w:tcW w:w="3840" w:type="dxa"/>
            <w:vAlign w:val="bottom"/>
          </w:tcPr>
          <w:p>
            <w:pPr>
              <w:ind w:left="20"/>
              <w:spacing w:after="0"/>
              <w:rPr>
                <w:sz w:val="20"/>
                <w:szCs w:val="20"/>
                <w:color w:val="auto"/>
              </w:rPr>
            </w:pPr>
            <w:r>
              <w:rPr>
                <w:rFonts w:ascii="Arial" w:cs="Arial" w:eastAsia="Arial" w:hAnsi="Arial"/>
                <w:sz w:val="18"/>
                <w:szCs w:val="18"/>
                <w:color w:val="auto"/>
              </w:rPr>
              <w:t>Bank accounts</w:t>
            </w:r>
          </w:p>
        </w:tc>
        <w:tc>
          <w:tcPr>
            <w:tcW w:w="68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1"/>
        </w:trPr>
        <w:tc>
          <w:tcPr>
            <w:tcW w:w="64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6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28</w:t>
            </w:r>
          </w:p>
        </w:tc>
        <w:tc>
          <w:tcPr>
            <w:tcW w:w="8060" w:type="dxa"/>
            <w:vAlign w:val="bottom"/>
          </w:tcPr>
          <w:p>
            <w:pPr>
              <w:ind w:left="220"/>
              <w:spacing w:after="0"/>
              <w:rPr>
                <w:sz w:val="20"/>
                <w:szCs w:val="20"/>
                <w:color w:val="auto"/>
              </w:rPr>
            </w:pPr>
            <w:r>
              <w:rPr>
                <w:rFonts w:ascii="Arial" w:cs="Arial" w:eastAsia="Arial" w:hAnsi="Arial"/>
                <w:sz w:val="18"/>
                <w:szCs w:val="18"/>
                <w:color w:val="auto"/>
              </w:rPr>
              <w:t>Business restrictions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29</w:t>
            </w:r>
          </w:p>
        </w:tc>
        <w:tc>
          <w:tcPr>
            <w:tcW w:w="806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7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30</w:t>
            </w:r>
          </w:p>
        </w:tc>
        <w:tc>
          <w:tcPr>
            <w:tcW w:w="8060" w:type="dxa"/>
            <w:vAlign w:val="bottom"/>
          </w:tcPr>
          <w:p>
            <w:pPr>
              <w:ind w:left="220"/>
              <w:spacing w:after="0"/>
              <w:rPr>
                <w:sz w:val="20"/>
                <w:szCs w:val="20"/>
                <w:color w:val="auto"/>
              </w:rPr>
            </w:pPr>
            <w:r>
              <w:rPr>
                <w:rFonts w:ascii="Arial" w:cs="Arial" w:eastAsia="Arial" w:hAnsi="Arial"/>
                <w:sz w:val="18"/>
                <w:szCs w:val="18"/>
                <w:color w:val="auto"/>
              </w:rPr>
              <w:t>Changes to the Lenders</w:t>
            </w:r>
          </w:p>
        </w:tc>
        <w:tc>
          <w:tcPr>
            <w:tcW w:w="2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31</w:t>
            </w:r>
          </w:p>
        </w:tc>
        <w:tc>
          <w:tcPr>
            <w:tcW w:w="8060" w:type="dxa"/>
            <w:vAlign w:val="bottom"/>
          </w:tcPr>
          <w:p>
            <w:pPr>
              <w:ind w:left="220"/>
              <w:spacing w:after="0"/>
              <w:rPr>
                <w:sz w:val="20"/>
                <w:szCs w:val="20"/>
                <w:color w:val="auto"/>
              </w:rPr>
            </w:pPr>
            <w:r>
              <w:rPr>
                <w:rFonts w:ascii="Arial" w:cs="Arial" w:eastAsia="Arial" w:hAnsi="Arial"/>
                <w:sz w:val="18"/>
                <w:szCs w:val="18"/>
                <w:color w:val="auto"/>
              </w:rPr>
              <w:t>Changes to the Obligors/Restriction on Debt Purchase Transactions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32</w:t>
            </w:r>
          </w:p>
        </w:tc>
        <w:tc>
          <w:tcPr>
            <w:tcW w:w="8060" w:type="dxa"/>
            <w:vAlign w:val="bottom"/>
          </w:tcPr>
          <w:p>
            <w:pPr>
              <w:ind w:left="220"/>
              <w:spacing w:after="0"/>
              <w:rPr>
                <w:sz w:val="20"/>
                <w:szCs w:val="20"/>
                <w:color w:val="auto"/>
              </w:rPr>
            </w:pPr>
            <w:r>
              <w:rPr>
                <w:rFonts w:ascii="Arial" w:cs="Arial" w:eastAsia="Arial" w:hAnsi="Arial"/>
                <w:sz w:val="18"/>
                <w:szCs w:val="18"/>
                <w:color w:val="auto"/>
              </w:rPr>
              <w:t>Roles of Agent, Security Agent and Arrangers</w:t>
            </w:r>
          </w:p>
        </w:tc>
        <w:tc>
          <w:tcPr>
            <w:tcW w:w="27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33</w:t>
            </w:r>
          </w:p>
        </w:tc>
        <w:tc>
          <w:tcPr>
            <w:tcW w:w="8060" w:type="dxa"/>
            <w:vAlign w:val="bottom"/>
          </w:tcPr>
          <w:p>
            <w:pPr>
              <w:ind w:left="220"/>
              <w:spacing w:after="0"/>
              <w:rPr>
                <w:sz w:val="20"/>
                <w:szCs w:val="20"/>
                <w:color w:val="auto"/>
              </w:rPr>
            </w:pPr>
            <w:r>
              <w:rPr>
                <w:rFonts w:ascii="Arial" w:cs="Arial" w:eastAsia="Arial" w:hAnsi="Arial"/>
                <w:sz w:val="18"/>
                <w:szCs w:val="18"/>
                <w:color w:val="auto"/>
              </w:rPr>
              <w:t>Conduct of business by the Finance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34</w:t>
            </w:r>
          </w:p>
        </w:tc>
        <w:tc>
          <w:tcPr>
            <w:tcW w:w="8060" w:type="dxa"/>
            <w:vAlign w:val="bottom"/>
          </w:tcPr>
          <w:p>
            <w:pPr>
              <w:ind w:left="220"/>
              <w:spacing w:after="0"/>
              <w:rPr>
                <w:sz w:val="20"/>
                <w:szCs w:val="20"/>
                <w:color w:val="auto"/>
              </w:rPr>
            </w:pPr>
            <w:r>
              <w:rPr>
                <w:rFonts w:ascii="Arial" w:cs="Arial" w:eastAsia="Arial" w:hAnsi="Arial"/>
                <w:sz w:val="18"/>
                <w:szCs w:val="18"/>
                <w:color w:val="auto"/>
              </w:rPr>
              <w:t>Sharing among the Finance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35</w:t>
            </w:r>
          </w:p>
        </w:tc>
        <w:tc>
          <w:tcPr>
            <w:tcW w:w="8060" w:type="dxa"/>
            <w:vAlign w:val="bottom"/>
          </w:tcPr>
          <w:p>
            <w:pPr>
              <w:ind w:left="220"/>
              <w:spacing w:after="0"/>
              <w:rPr>
                <w:sz w:val="20"/>
                <w:szCs w:val="20"/>
                <w:color w:val="auto"/>
              </w:rPr>
            </w:pPr>
            <w:r>
              <w:rPr>
                <w:rFonts w:ascii="Arial" w:cs="Arial" w:eastAsia="Arial" w:hAnsi="Arial"/>
                <w:sz w:val="18"/>
                <w:szCs w:val="18"/>
                <w:color w:val="auto"/>
              </w:rPr>
              <w:t>Payment mechanics</w:t>
            </w:r>
          </w:p>
        </w:tc>
        <w:tc>
          <w:tcPr>
            <w:tcW w:w="27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36</w:t>
            </w:r>
          </w:p>
        </w:tc>
        <w:tc>
          <w:tcPr>
            <w:tcW w:w="8060" w:type="dxa"/>
            <w:vAlign w:val="bottom"/>
          </w:tcPr>
          <w:p>
            <w:pPr>
              <w:ind w:left="220"/>
              <w:spacing w:after="0"/>
              <w:rPr>
                <w:sz w:val="20"/>
                <w:szCs w:val="20"/>
                <w:color w:val="auto"/>
              </w:rPr>
            </w:pPr>
            <w:r>
              <w:rPr>
                <w:rFonts w:ascii="Arial" w:cs="Arial" w:eastAsia="Arial" w:hAnsi="Arial"/>
                <w:sz w:val="18"/>
                <w:szCs w:val="18"/>
                <w:color w:val="auto"/>
              </w:rPr>
              <w:t>Set-off</w:t>
            </w:r>
          </w:p>
        </w:tc>
        <w:tc>
          <w:tcPr>
            <w:tcW w:w="27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37</w:t>
            </w:r>
          </w:p>
        </w:tc>
        <w:tc>
          <w:tcPr>
            <w:tcW w:w="8060" w:type="dxa"/>
            <w:vAlign w:val="bottom"/>
          </w:tcPr>
          <w:p>
            <w:pPr>
              <w:ind w:left="22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38</w:t>
            </w:r>
          </w:p>
        </w:tc>
        <w:tc>
          <w:tcPr>
            <w:tcW w:w="8060" w:type="dxa"/>
            <w:vAlign w:val="bottom"/>
          </w:tcPr>
          <w:p>
            <w:pPr>
              <w:ind w:left="220"/>
              <w:spacing w:after="0"/>
              <w:rPr>
                <w:sz w:val="20"/>
                <w:szCs w:val="20"/>
                <w:color w:val="auto"/>
              </w:rPr>
            </w:pPr>
            <w:r>
              <w:rPr>
                <w:rFonts w:ascii="Arial" w:cs="Arial" w:eastAsia="Arial" w:hAnsi="Arial"/>
                <w:sz w:val="18"/>
                <w:szCs w:val="18"/>
                <w:color w:val="auto"/>
              </w:rPr>
              <w:t>Calculations and certificates</w:t>
            </w:r>
          </w:p>
        </w:tc>
        <w:tc>
          <w:tcPr>
            <w:tcW w:w="27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39</w:t>
            </w:r>
          </w:p>
        </w:tc>
        <w:tc>
          <w:tcPr>
            <w:tcW w:w="8060" w:type="dxa"/>
            <w:vAlign w:val="bottom"/>
          </w:tcPr>
          <w:p>
            <w:pPr>
              <w:ind w:left="220"/>
              <w:spacing w:after="0"/>
              <w:rPr>
                <w:sz w:val="20"/>
                <w:szCs w:val="20"/>
                <w:color w:val="auto"/>
              </w:rPr>
            </w:pPr>
            <w:r>
              <w:rPr>
                <w:rFonts w:ascii="Arial" w:cs="Arial" w:eastAsia="Arial" w:hAnsi="Arial"/>
                <w:sz w:val="18"/>
                <w:szCs w:val="18"/>
                <w:color w:val="auto"/>
              </w:rPr>
              <w:t>Partial invalidity</w:t>
            </w:r>
          </w:p>
        </w:tc>
        <w:tc>
          <w:tcPr>
            <w:tcW w:w="27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40</w:t>
            </w:r>
          </w:p>
        </w:tc>
        <w:tc>
          <w:tcPr>
            <w:tcW w:w="8060" w:type="dxa"/>
            <w:vAlign w:val="bottom"/>
          </w:tcPr>
          <w:p>
            <w:pPr>
              <w:ind w:left="220"/>
              <w:spacing w:after="0"/>
              <w:rPr>
                <w:sz w:val="20"/>
                <w:szCs w:val="20"/>
                <w:color w:val="auto"/>
              </w:rPr>
            </w:pPr>
            <w:r>
              <w:rPr>
                <w:rFonts w:ascii="Arial" w:cs="Arial" w:eastAsia="Arial" w:hAnsi="Arial"/>
                <w:sz w:val="18"/>
                <w:szCs w:val="18"/>
                <w:color w:val="auto"/>
              </w:rPr>
              <w:t>Remedies and waivers</w:t>
            </w:r>
          </w:p>
        </w:tc>
        <w:tc>
          <w:tcPr>
            <w:tcW w:w="27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41</w:t>
            </w:r>
          </w:p>
        </w:tc>
        <w:tc>
          <w:tcPr>
            <w:tcW w:w="8060" w:type="dxa"/>
            <w:vAlign w:val="bottom"/>
          </w:tcPr>
          <w:p>
            <w:pPr>
              <w:ind w:left="220"/>
              <w:spacing w:after="0"/>
              <w:rPr>
                <w:sz w:val="20"/>
                <w:szCs w:val="20"/>
                <w:color w:val="auto"/>
              </w:rPr>
            </w:pPr>
            <w:r>
              <w:rPr>
                <w:rFonts w:ascii="Arial" w:cs="Arial" w:eastAsia="Arial" w:hAnsi="Arial"/>
                <w:sz w:val="18"/>
                <w:szCs w:val="18"/>
                <w:color w:val="auto"/>
              </w:rPr>
              <w:t>Amendments and grant of waivers</w:t>
            </w:r>
          </w:p>
        </w:tc>
        <w:tc>
          <w:tcPr>
            <w:tcW w:w="27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42</w:t>
            </w:r>
          </w:p>
        </w:tc>
        <w:tc>
          <w:tcPr>
            <w:tcW w:w="806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43</w:t>
            </w:r>
          </w:p>
        </w:tc>
        <w:tc>
          <w:tcPr>
            <w:tcW w:w="806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27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44</w:t>
            </w:r>
          </w:p>
        </w:tc>
        <w:tc>
          <w:tcPr>
            <w:tcW w:w="806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7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405"/>
        </w:trPr>
        <w:tc>
          <w:tcPr>
            <w:tcW w:w="440" w:type="dxa"/>
            <w:vAlign w:val="bottom"/>
          </w:tcPr>
          <w:p>
            <w:pPr>
              <w:spacing w:after="0"/>
              <w:rPr>
                <w:sz w:val="20"/>
                <w:szCs w:val="20"/>
                <w:color w:val="auto"/>
              </w:rPr>
            </w:pPr>
            <w:r>
              <w:rPr>
                <w:rFonts w:ascii="Arial" w:cs="Arial" w:eastAsia="Arial" w:hAnsi="Arial"/>
                <w:sz w:val="18"/>
                <w:szCs w:val="18"/>
                <w:color w:val="auto"/>
              </w:rPr>
              <w:t>45</w:t>
            </w:r>
          </w:p>
        </w:tc>
        <w:tc>
          <w:tcPr>
            <w:tcW w:w="8060" w:type="dxa"/>
            <w:vAlign w:val="bottom"/>
          </w:tcPr>
          <w:p>
            <w:pPr>
              <w:ind w:left="220"/>
              <w:spacing w:after="0"/>
              <w:rPr>
                <w:sz w:val="20"/>
                <w:szCs w:val="20"/>
                <w:color w:val="auto"/>
              </w:rPr>
            </w:pPr>
            <w:r>
              <w:rPr>
                <w:rFonts w:ascii="Arial" w:cs="Arial" w:eastAsia="Arial" w:hAnsi="Arial"/>
                <w:sz w:val="18"/>
                <w:szCs w:val="18"/>
                <w:color w:val="auto"/>
              </w:rPr>
              <w:t>Enforcement</w:t>
            </w:r>
          </w:p>
        </w:tc>
        <w:tc>
          <w:tcPr>
            <w:tcW w:w="27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2 Ship information</w:t>
            </w:r>
          </w:p>
        </w:tc>
        <w:tc>
          <w:tcPr>
            <w:tcW w:w="27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3 Conditions precedent</w:t>
            </w:r>
          </w:p>
        </w:tc>
        <w:tc>
          <w:tcPr>
            <w:tcW w:w="27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4 Utilisation Request</w:t>
            </w:r>
          </w:p>
        </w:tc>
        <w:tc>
          <w:tcPr>
            <w:tcW w:w="27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5 Selection Notice</w:t>
            </w:r>
          </w:p>
        </w:tc>
        <w:tc>
          <w:tcPr>
            <w:tcW w:w="27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6 Form of Compliance Certificate</w:t>
            </w:r>
          </w:p>
        </w:tc>
        <w:tc>
          <w:tcPr>
            <w:tcW w:w="27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7 Form of Transfer Certificate</w:t>
            </w:r>
          </w:p>
        </w:tc>
        <w:tc>
          <w:tcPr>
            <w:tcW w:w="27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8 Forms of Notifiable Debt Purchase Transaction Notice</w:t>
            </w:r>
          </w:p>
        </w:tc>
        <w:tc>
          <w:tcPr>
            <w:tcW w:w="27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405"/>
        </w:trPr>
        <w:tc>
          <w:tcPr>
            <w:tcW w:w="8500" w:type="dxa"/>
            <w:vAlign w:val="bottom"/>
            <w:gridSpan w:val="2"/>
          </w:tcPr>
          <w:p>
            <w:pPr>
              <w:spacing w:after="0"/>
              <w:rPr>
                <w:sz w:val="20"/>
                <w:szCs w:val="20"/>
                <w:color w:val="auto"/>
              </w:rPr>
            </w:pPr>
            <w:r>
              <w:rPr>
                <w:rFonts w:ascii="Arial" w:cs="Arial" w:eastAsia="Arial" w:hAnsi="Arial"/>
                <w:sz w:val="18"/>
                <w:szCs w:val="18"/>
                <w:color w:val="auto"/>
              </w:rPr>
              <w:t>Schedule 9 Table of Repayment Instalments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321"/>
        </w:trPr>
        <w:tc>
          <w:tcPr>
            <w:tcW w:w="44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16 July 2020, and made between:</w:t>
      </w:r>
    </w:p>
    <w:p>
      <w:pPr>
        <w:spacing w:after="0" w:line="198"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borrowers (the</w:t>
      </w:r>
      <w:r>
        <w:rPr>
          <w:rFonts w:ascii="Arial" w:cs="Arial" w:eastAsia="Arial" w:hAnsi="Arial"/>
          <w:sz w:val="18"/>
          <w:szCs w:val="18"/>
          <w:b w:val="1"/>
          <w:bCs w:val="1"/>
          <w:color w:val="auto"/>
        </w:rPr>
        <w:t xml:space="preserve"> Borrowers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GASLOG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GASLOG CARRIERS LTD. </w:t>
      </w:r>
      <w:r>
        <w:rPr>
          <w:rFonts w:ascii="Arial" w:cs="Arial" w:eastAsia="Arial" w:hAnsi="Arial"/>
          <w:sz w:val="18"/>
          <w:szCs w:val="18"/>
          <w:color w:val="auto"/>
        </w:rPr>
        <w:t>(</w:t>
      </w:r>
      <w:r>
        <w:rPr>
          <w:rFonts w:ascii="Arial" w:cs="Arial" w:eastAsia="Arial" w:hAnsi="Arial"/>
          <w:sz w:val="18"/>
          <w:szCs w:val="18"/>
          <w:b w:val="1"/>
          <w:bCs w:val="1"/>
          <w:color w:val="auto"/>
        </w:rPr>
        <w:t>GasLog Carriers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LP </w:t>
      </w:r>
      <w:r>
        <w:rPr>
          <w:rFonts w:ascii="Arial" w:cs="Arial" w:eastAsia="Arial" w:hAnsi="Arial"/>
          <w:sz w:val="18"/>
          <w:szCs w:val="18"/>
          <w:color w:val="auto"/>
        </w:rPr>
        <w:t>(</w:t>
      </w:r>
      <w:r>
        <w:rPr>
          <w:rFonts w:ascii="Arial" w:cs="Arial" w:eastAsia="Arial" w:hAnsi="Arial"/>
          <w:sz w:val="18"/>
          <w:szCs w:val="18"/>
          <w:b w:val="1"/>
          <w:bCs w:val="1"/>
          <w:color w:val="auto"/>
        </w:rPr>
        <w:t>MLP</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HOLDINGS LLC </w:t>
      </w:r>
      <w:r>
        <w:rPr>
          <w:rFonts w:ascii="Arial" w:cs="Arial" w:eastAsia="Arial" w:hAnsi="Arial"/>
          <w:sz w:val="18"/>
          <w:szCs w:val="18"/>
          <w:color w:val="auto"/>
        </w:rPr>
        <w:t>(</w:t>
      </w:r>
      <w:r>
        <w:rPr>
          <w:rFonts w:ascii="Arial" w:cs="Arial" w:eastAsia="Arial" w:hAnsi="Arial"/>
          <w:sz w:val="18"/>
          <w:szCs w:val="18"/>
          <w:b w:val="1"/>
          <w:bCs w:val="1"/>
          <w:color w:val="auto"/>
        </w:rPr>
        <w:t>GPHL</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color w:val="auto"/>
        </w:rPr>
      </w:pPr>
    </w:p>
    <w:p>
      <w:pPr>
        <w:jc w:val="both"/>
        <w:ind w:left="520" w:hanging="512"/>
        <w:spacing w:after="0" w:line="253" w:lineRule="auto"/>
        <w:tabs>
          <w:tab w:leader="none" w:pos="5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ABN AMRO BANK N.V.</w:t>
      </w:r>
      <w:r>
        <w:rPr>
          <w:rFonts w:ascii="Arial" w:cs="Arial" w:eastAsia="Arial" w:hAnsi="Arial"/>
          <w:sz w:val="18"/>
          <w:szCs w:val="18"/>
          <w:color w:val="auto"/>
        </w:rPr>
        <w:t>,</w:t>
      </w:r>
      <w:r>
        <w:rPr>
          <w:rFonts w:ascii="Arial" w:cs="Arial" w:eastAsia="Arial" w:hAnsi="Arial"/>
          <w:sz w:val="18"/>
          <w:szCs w:val="18"/>
          <w:b w:val="1"/>
          <w:bCs w:val="1"/>
          <w:color w:val="auto"/>
        </w:rPr>
        <w:t xml:space="preserve"> CITIGROUP GLOBAL MARKETS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NORDEA BANK ABP, FILIAL I NORGE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HSBC BANK PLC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mandated lead arrangers and </w:t>
      </w:r>
      <w:r>
        <w:rPr>
          <w:rFonts w:ascii="Arial" w:cs="Arial" w:eastAsia="Arial" w:hAnsi="Arial"/>
          <w:sz w:val="18"/>
          <w:szCs w:val="18"/>
          <w:b w:val="1"/>
          <w:bCs w:val="1"/>
          <w:color w:val="auto"/>
        </w:rPr>
        <w:t>CREDIT AGRICOLE CORPORATE AND INVESTMENT BANK, NATIONAL AUSTRALIA BANK</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LIMITED </w:t>
      </w:r>
      <w:r>
        <w:rPr>
          <w:rFonts w:ascii="Arial" w:cs="Arial" w:eastAsia="Arial" w:hAnsi="Arial"/>
          <w:sz w:val="18"/>
          <w:szCs w:val="18"/>
          <w:color w:val="auto"/>
        </w:rPr>
        <w:t>and</w:t>
      </w:r>
      <w:r>
        <w:rPr>
          <w:rFonts w:ascii="Arial" w:cs="Arial" w:eastAsia="Arial" w:hAnsi="Arial"/>
          <w:sz w:val="18"/>
          <w:szCs w:val="18"/>
          <w:b w:val="1"/>
          <w:bCs w:val="1"/>
          <w:color w:val="auto"/>
        </w:rPr>
        <w:t xml:space="preserve"> UNICREDIT BANK AG </w:t>
      </w:r>
      <w:r>
        <w:rPr>
          <w:rFonts w:ascii="Arial" w:cs="Arial" w:eastAsia="Arial" w:hAnsi="Arial"/>
          <w:sz w:val="18"/>
          <w:szCs w:val="18"/>
          <w:color w:val="auto"/>
        </w:rPr>
        <w:t>as arrangers (whether acting individually or together, the</w:t>
      </w:r>
      <w:r>
        <w:rPr>
          <w:rFonts w:ascii="Arial" w:cs="Arial" w:eastAsia="Arial" w:hAnsi="Arial"/>
          <w:sz w:val="18"/>
          <w:szCs w:val="18"/>
          <w:b w:val="1"/>
          <w:bCs w:val="1"/>
          <w:color w:val="auto"/>
        </w:rPr>
        <w:t xml:space="preserve"> Arrangers</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520" w:hanging="512"/>
        <w:spacing w:after="0" w:line="271" w:lineRule="auto"/>
        <w:tabs>
          <w:tab w:leader="none" w:pos="651"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ABN AMRO BANK N.V., CITIGROUP GLOBAL MARKETS LIMITED </w:t>
      </w:r>
      <w:r>
        <w:rPr>
          <w:rFonts w:ascii="Arial" w:cs="Arial" w:eastAsia="Arial" w:hAnsi="Arial"/>
          <w:sz w:val="18"/>
          <w:szCs w:val="18"/>
          <w:color w:val="auto"/>
        </w:rPr>
        <w:t>and</w:t>
      </w:r>
      <w:r>
        <w:rPr>
          <w:rFonts w:ascii="Arial" w:cs="Arial" w:eastAsia="Arial" w:hAnsi="Arial"/>
          <w:sz w:val="18"/>
          <w:szCs w:val="18"/>
          <w:b w:val="1"/>
          <w:bCs w:val="1"/>
          <w:color w:val="auto"/>
        </w:rPr>
        <w:t xml:space="preserve"> NORDEA BANK ABP, FILIAL I NORGE </w:t>
      </w:r>
      <w:r>
        <w:rPr>
          <w:rFonts w:ascii="Arial" w:cs="Arial" w:eastAsia="Arial" w:hAnsi="Arial"/>
          <w:sz w:val="18"/>
          <w:szCs w:val="18"/>
          <w:color w:val="auto"/>
        </w:rPr>
        <w:t>as bookrunners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(whether acting individually or together, the </w:t>
      </w:r>
      <w:r>
        <w:rPr>
          <w:rFonts w:ascii="Arial" w:cs="Arial" w:eastAsia="Arial" w:hAnsi="Arial"/>
          <w:sz w:val="18"/>
          <w:szCs w:val="18"/>
          <w:b w:val="1"/>
          <w:bCs w:val="1"/>
          <w:color w:val="auto"/>
        </w:rPr>
        <w:t>Bookrunner</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ABN AMRO BANK N.V.</w:t>
      </w:r>
      <w:r>
        <w:rPr>
          <w:rFonts w:ascii="Arial" w:cs="Arial" w:eastAsia="Arial" w:hAnsi="Arial"/>
          <w:sz w:val="18"/>
          <w:szCs w:val="18"/>
          <w:color w:val="auto"/>
        </w:rPr>
        <w:t>, as security agent and trustee for and on behalf of the other Finance Parties (the</w:t>
      </w:r>
      <w:r>
        <w:rPr>
          <w:rFonts w:ascii="Arial" w:cs="Arial" w:eastAsia="Arial" w:hAnsi="Arial"/>
          <w:sz w:val="18"/>
          <w:szCs w:val="18"/>
          <w:b w:val="1"/>
          <w:bCs w:val="1"/>
          <w:color w:val="auto"/>
        </w:rPr>
        <w:t xml:space="preserve"> Security Agent</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88" w:lineRule="exact"/>
        <w:rPr>
          <w:sz w:val="20"/>
          <w:szCs w:val="20"/>
          <w:color w:val="auto"/>
        </w:rPr>
      </w:pPr>
    </w:p>
    <w:p>
      <w:pPr>
        <w:ind w:left="540" w:hanging="532"/>
        <w:spacing w:after="0"/>
        <w:tabs>
          <w:tab w:leader="none" w:pos="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tab/>
        <w:t>Definitions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220" w:lineRule="exact"/>
        <w:rPr>
          <w:sz w:val="20"/>
          <w:szCs w:val="20"/>
          <w:color w:val="auto"/>
        </w:rPr>
      </w:pPr>
    </w:p>
    <w:p>
      <w:pPr>
        <w:jc w:val="both"/>
        <w:ind w:left="1020" w:hanging="502"/>
        <w:spacing w:after="0"/>
        <w:tabs>
          <w:tab w:leader="none" w:pos="108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“A-” or higher by Standard &amp; Poor’s Rating Services or Fitch Ratings Ltd or “Baa1” or higher by Moody’s Investor Services Limited or a comparable rating from another internationally recognised credit rating agency; or</w:t>
      </w:r>
    </w:p>
    <w:p>
      <w:pPr>
        <w:spacing w:after="0" w:line="189" w:lineRule="exact"/>
        <w:rPr>
          <w:rFonts w:ascii="Arial" w:cs="Arial" w:eastAsia="Arial" w:hAnsi="Arial"/>
          <w:sz w:val="18"/>
          <w:szCs w:val="18"/>
          <w:color w:val="auto"/>
        </w:rPr>
      </w:pPr>
    </w:p>
    <w:p>
      <w:pPr>
        <w:ind w:left="1020" w:hanging="50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which is approved by the Borrowers.</w:t>
      </w:r>
    </w:p>
    <w:p>
      <w:pPr>
        <w:spacing w:after="0" w:line="176"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b w:val="1"/>
          <w:bCs w:val="1"/>
          <w:color w:val="auto"/>
        </w:rPr>
        <w:t xml:space="preserve">Account </w:t>
      </w:r>
      <w:r>
        <w:rPr>
          <w:rFonts w:ascii="Arial" w:cs="Arial" w:eastAsia="Arial" w:hAnsi="Arial"/>
          <w:sz w:val="18"/>
          <w:szCs w:val="18"/>
          <w:color w:val="auto"/>
        </w:rPr>
        <w:t>means any bank account, deposit or certificate of deposit opened, made or established in accordance with clause 27 (Bank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40"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Account Bank </w:t>
      </w:r>
      <w:r>
        <w:rPr>
          <w:rFonts w:ascii="Arial" w:cs="Arial" w:eastAsia="Arial" w:hAnsi="Arial"/>
          <w:sz w:val="18"/>
          <w:szCs w:val="18"/>
          <w:color w:val="auto"/>
        </w:rPr>
        <w:t>means, in relation to any Account, ABN AMRO Bank N.V., acting through its office at Gustav Mahlerlaan 10, 1082 PP</w:t>
      </w:r>
      <w:r>
        <w:rPr>
          <w:rFonts w:ascii="Arial" w:cs="Arial" w:eastAsia="Arial" w:hAnsi="Arial"/>
          <w:sz w:val="18"/>
          <w:szCs w:val="18"/>
          <w:b w:val="1"/>
          <w:bCs w:val="1"/>
          <w:color w:val="auto"/>
        </w:rPr>
        <w:t xml:space="preserve"> </w:t>
      </w:r>
      <w:r>
        <w:rPr>
          <w:rFonts w:ascii="Arial" w:cs="Arial" w:eastAsia="Arial" w:hAnsi="Arial"/>
          <w:sz w:val="18"/>
          <w:szCs w:val="18"/>
          <w:color w:val="auto"/>
        </w:rPr>
        <w:t>Amsterdam, The Netherlands (or any of its Affiliates) or otherwise another bank or financial institution approved by the Majority Lenders at the request of the Borrowers.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Security Agent and/or any other Finance Parties in an agreed form conferring a Security Interest over that 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Active Guarantor </w:t>
      </w:r>
      <w:r>
        <w:rPr>
          <w:rFonts w:ascii="Arial" w:cs="Arial" w:eastAsia="Arial" w:hAnsi="Arial"/>
          <w:sz w:val="18"/>
          <w:szCs w:val="18"/>
          <w:color w:val="auto"/>
        </w:rPr>
        <w:t>means, at any relevant time, a Guarantor who is at that time liable under the Guarantee for amounts owing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in relation to the Loans (having regard for that purpose to the provisions of clauses 17.10 (</w:t>
      </w:r>
      <w:r>
        <w:rPr>
          <w:rFonts w:ascii="Arial" w:cs="Arial" w:eastAsia="Arial" w:hAnsi="Arial"/>
          <w:sz w:val="18"/>
          <w:szCs w:val="18"/>
          <w:i w:val="1"/>
          <w:iCs w:val="1"/>
          <w:color w:val="auto"/>
        </w:rPr>
        <w:t>Limited recourse</w:t>
      </w:r>
      <w:r>
        <w:rPr>
          <w:rFonts w:ascii="Arial" w:cs="Arial" w:eastAsia="Arial" w:hAnsi="Arial"/>
          <w:sz w:val="18"/>
          <w:szCs w:val="18"/>
          <w:color w:val="auto"/>
        </w:rPr>
        <w:t>) and 17.11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limited recourse</w:t>
      </w:r>
      <w:r>
        <w:rPr>
          <w:rFonts w:ascii="Arial" w:cs="Arial" w:eastAsia="Arial" w:hAnsi="Arial"/>
          <w:sz w:val="18"/>
          <w:szCs w:val="18"/>
          <w:color w:val="auto"/>
        </w:rPr>
        <w:t>)).</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Holding Company.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32.12 (</w:t>
      </w:r>
      <w:r>
        <w:rPr>
          <w:rFonts w:ascii="Arial" w:cs="Arial" w:eastAsia="Arial" w:hAnsi="Arial"/>
          <w:sz w:val="18"/>
          <w:szCs w:val="18"/>
          <w:i w:val="1"/>
          <w:iCs w:val="1"/>
          <w:color w:val="auto"/>
        </w:rPr>
        <w:t>Resignation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or any other provision of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Affinity LNG LLP, Clarksons Platou Group, Braemar ACM Shipbroking, Fearnleys AS, Simpson,</w:t>
      </w:r>
      <w:r>
        <w:rPr>
          <w:rFonts w:ascii="Arial" w:cs="Arial" w:eastAsia="Arial" w:hAnsi="Arial"/>
          <w:sz w:val="18"/>
          <w:szCs w:val="18"/>
          <w:b w:val="1"/>
          <w:bCs w:val="1"/>
          <w:color w:val="auto"/>
        </w:rPr>
        <w:t xml:space="preserve"> </w:t>
      </w:r>
      <w:r>
        <w:rPr>
          <w:rFonts w:ascii="Arial" w:cs="Arial" w:eastAsia="Arial" w:hAnsi="Arial"/>
          <w:sz w:val="18"/>
          <w:szCs w:val="18"/>
          <w:color w:val="auto"/>
        </w:rPr>
        <w:t>Spence &amp; Young Ltd and Poten &amp; Partners (London) or any other independent firm of shipbrokers agreed in writing from time to time between the Borrowers and the Agent (acting on the instructions of the Majority Lenders).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reputable stock exchange agreed by the Parent and the 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each of Bermuda, Cayman Islands, Hellenic Republic, Cyprus, Hong Kong, Malta, Marshall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Panama, Singapore or the United Kingdom.</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Approved Technical Managers </w:t>
      </w:r>
      <w:r>
        <w:rPr>
          <w:rFonts w:ascii="Arial" w:cs="Arial" w:eastAsia="Arial" w:hAnsi="Arial"/>
          <w:sz w:val="18"/>
          <w:szCs w:val="18"/>
          <w:color w:val="auto"/>
        </w:rPr>
        <w:t>means each of the Parent, any wholly-owned subsidiary of the Parent or any other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manager entity agreed in writing from time to time between the Borrowers and the Agent (acting on the instructions of the Majority Lenders).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Auditors </w:t>
      </w:r>
      <w:r>
        <w:rPr>
          <w:rFonts w:ascii="Arial" w:cs="Arial" w:eastAsia="Arial" w:hAnsi="Arial"/>
          <w:sz w:val="18"/>
          <w:szCs w:val="18"/>
          <w:color w:val="auto"/>
        </w:rPr>
        <w:t>means one of PricewaterhouseCoopers, Ernst &amp; Young, KPMG or Deloitte &amp; Touche or another firm proposed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and 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the Available Term Loan Facility and the Available Revolving Loan Facility.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Available Revolving Loan Facility </w:t>
      </w:r>
      <w:r>
        <w:rPr>
          <w:rFonts w:ascii="Arial" w:cs="Arial" w:eastAsia="Arial" w:hAnsi="Arial"/>
          <w:sz w:val="18"/>
          <w:szCs w:val="18"/>
          <w:color w:val="auto"/>
        </w:rPr>
        <w:t>means, at any relevant time, such part of the Total Revolving Loan Commitments (drawn and</w:t>
      </w:r>
      <w:r>
        <w:rPr>
          <w:rFonts w:ascii="Arial" w:cs="Arial" w:eastAsia="Arial" w:hAnsi="Arial"/>
          <w:sz w:val="18"/>
          <w:szCs w:val="18"/>
          <w:b w:val="1"/>
          <w:bCs w:val="1"/>
          <w:color w:val="auto"/>
        </w:rPr>
        <w:t xml:space="preserve"> </w:t>
      </w:r>
      <w:r>
        <w:rPr>
          <w:rFonts w:ascii="Arial" w:cs="Arial" w:eastAsia="Arial" w:hAnsi="Arial"/>
          <w:sz w:val="18"/>
          <w:szCs w:val="18"/>
          <w:color w:val="auto"/>
        </w:rPr>
        <w:t>undrawn) which is available for borrowing under 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Revolving Loan Commitments is not cancelled or reduced under this Agreement.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Available Term Loan Facility </w:t>
      </w:r>
      <w:r>
        <w:rPr>
          <w:rFonts w:ascii="Arial" w:cs="Arial" w:eastAsia="Arial" w:hAnsi="Arial"/>
          <w:sz w:val="18"/>
          <w:szCs w:val="18"/>
          <w:color w:val="auto"/>
        </w:rPr>
        <w:t>means, at any relevant time, such part of the Total Term Loan Commitments (drawn and undrawn)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available for borrowing under 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Term Loan Commitments is not cancelled or reduced under this Agreement.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w:t>
      </w:r>
      <w:r>
        <w:rPr>
          <w:rFonts w:ascii="Arial" w:cs="Arial" w:eastAsia="Arial" w:hAnsi="Arial"/>
          <w:sz w:val="18"/>
          <w:szCs w:val="18"/>
          <w:b w:val="1"/>
          <w:bCs w:val="1"/>
          <w:color w:val="auto"/>
        </w:rPr>
        <w:t xml:space="preserve"> </w:t>
      </w:r>
      <w:r>
        <w:rPr>
          <w:rFonts w:ascii="Arial" w:cs="Arial" w:eastAsia="Arial" w:hAnsi="Arial"/>
          <w:sz w:val="18"/>
          <w:szCs w:val="18"/>
          <w:color w:val="auto"/>
        </w:rPr>
        <w:t>published by the Basel Committee on Banking Supervision in June 2004 as updated prior to, and in the form existing on, the date of this Agreement, excluding any amendment thereto arising out of the Basel III Accord or Reformed Basel III.</w:t>
      </w:r>
    </w:p>
    <w:p>
      <w:pPr>
        <w:spacing w:after="0" w:line="17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64135</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0"/>
          </w:cols>
          <w:pgMar w:left="840" w:top="319" w:right="339" w:bottom="1440" w:gutter="0" w:footer="0" w:header="0"/>
        </w:sectPr>
      </w:pPr>
    </w:p>
    <w:bookmarkStart w:id="9" w:name="page10"/>
    <w:bookmarkEnd w:id="9"/>
    <w:p>
      <w:pPr>
        <w:jc w:val="both"/>
        <w:ind w:left="7"/>
        <w:spacing w:after="0" w:line="253"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(each as defined in the Basel II Regulations applicable to such Finance Party) adopted by that Finance Party (or any of its Affiliates) for the purposes of implementing or complying with the Basel II Accord.</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20" w:lineRule="exact"/>
        <w:rPr>
          <w:sz w:val="20"/>
          <w:szCs w:val="20"/>
          <w:color w:val="auto"/>
        </w:rPr>
      </w:pPr>
    </w:p>
    <w:p>
      <w:pPr>
        <w:jc w:val="both"/>
        <w:ind w:left="507" w:hanging="502"/>
        <w:spacing w:after="0"/>
        <w:tabs>
          <w:tab w:leader="none" w:pos="611"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189" w:lineRule="exact"/>
        <w:rPr>
          <w:rFonts w:ascii="Arial" w:cs="Arial" w:eastAsia="Arial" w:hAnsi="Arial"/>
          <w:sz w:val="18"/>
          <w:szCs w:val="18"/>
          <w:color w:val="auto"/>
        </w:rPr>
      </w:pPr>
    </w:p>
    <w:p>
      <w:pPr>
        <w:ind w:left="507" w:hanging="502"/>
        <w:spacing w:after="0"/>
        <w:tabs>
          <w:tab w:leader="none" w:pos="50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20" w:lineRule="exact"/>
        <w:rPr>
          <w:sz w:val="20"/>
          <w:szCs w:val="20"/>
          <w:color w:val="auto"/>
        </w:rPr>
      </w:pPr>
    </w:p>
    <w:p>
      <w:pPr>
        <w:jc w:val="both"/>
        <w:ind w:left="507" w:hanging="507"/>
        <w:spacing w:after="0" w:line="238" w:lineRule="auto"/>
        <w:tabs>
          <w:tab w:leader="none" w:pos="7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91" w:lineRule="exact"/>
        <w:rPr>
          <w:rFonts w:ascii="Arial" w:cs="Arial" w:eastAsia="Arial" w:hAnsi="Arial"/>
          <w:sz w:val="18"/>
          <w:szCs w:val="18"/>
          <w:color w:val="auto"/>
        </w:rPr>
      </w:pPr>
    </w:p>
    <w:p>
      <w:pPr>
        <w:jc w:val="both"/>
        <w:ind w:left="507" w:hanging="507"/>
        <w:spacing w:after="0"/>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89" w:lineRule="exact"/>
        <w:rPr>
          <w:rFonts w:ascii="Arial" w:cs="Arial" w:eastAsia="Arial" w:hAnsi="Arial"/>
          <w:sz w:val="18"/>
          <w:szCs w:val="18"/>
          <w:color w:val="auto"/>
        </w:rPr>
      </w:pPr>
    </w:p>
    <w:p>
      <w:pPr>
        <w:ind w:left="527" w:hanging="527"/>
        <w:spacing w:after="0"/>
        <w:tabs>
          <w:tab w:leader="none" w:pos="527"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198"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8"/>
          <w:szCs w:val="18"/>
          <w:color w:val="auto"/>
        </w:rPr>
        <w:t>other than, in each such case, the agreements, rules, guidance and standards set out in Reformed Basel III as amended, supplemented or restated.</w:t>
      </w:r>
    </w:p>
    <w:p>
      <w:pPr>
        <w:spacing w:after="0" w:line="161" w:lineRule="exact"/>
        <w:rPr>
          <w:sz w:val="20"/>
          <w:szCs w:val="20"/>
          <w:color w:val="auto"/>
        </w:rPr>
      </w:pPr>
    </w:p>
    <w:p>
      <w:pPr>
        <w:jc w:val="both"/>
        <w:ind w:left="7"/>
        <w:spacing w:after="0" w:line="253" w:lineRule="auto"/>
        <w:rPr>
          <w:sz w:val="20"/>
          <w:szCs w:val="20"/>
          <w:color w:val="auto"/>
        </w:rPr>
      </w:pPr>
      <w:r>
        <w:rPr>
          <w:rFonts w:ascii="Arial" w:cs="Arial" w:eastAsia="Arial" w:hAnsi="Arial"/>
          <w:sz w:val="18"/>
          <w:szCs w:val="18"/>
          <w:b w:val="1"/>
          <w:bCs w:val="1"/>
          <w:color w:val="auto"/>
        </w:rPr>
        <w:t xml:space="preserve">Basel III Increased Cost </w:t>
      </w:r>
      <w:r>
        <w:rPr>
          <w:rFonts w:ascii="Arial" w:cs="Arial" w:eastAsia="Arial" w:hAnsi="Arial"/>
          <w:sz w:val="18"/>
          <w:szCs w:val="18"/>
          <w:color w:val="auto"/>
        </w:rPr>
        <w:t>means an Increased Cost which is attributable to the implementation or application of or compliance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Basel III Regulation (whether such implementation, application or compliance is by a government, regulator, Finance Party or any of its Affiliates).</w:t>
      </w:r>
    </w:p>
    <w:p>
      <w:pPr>
        <w:spacing w:after="0" w:line="155" w:lineRule="exact"/>
        <w:rPr>
          <w:sz w:val="20"/>
          <w:szCs w:val="20"/>
          <w:color w:val="auto"/>
        </w:rPr>
      </w:pPr>
    </w:p>
    <w:p>
      <w:pPr>
        <w:jc w:val="both"/>
        <w:ind w:left="7"/>
        <w:spacing w:after="0" w:line="253" w:lineRule="auto"/>
        <w:rPr>
          <w:sz w:val="20"/>
          <w:szCs w:val="20"/>
          <w:color w:val="auto"/>
        </w:rPr>
      </w:pPr>
      <w:r>
        <w:rPr>
          <w:rFonts w:ascii="Arial" w:cs="Arial" w:eastAsia="Arial" w:hAnsi="Arial"/>
          <w:sz w:val="18"/>
          <w:szCs w:val="18"/>
          <w:b w:val="1"/>
          <w:bCs w:val="1"/>
          <w:color w:val="auto"/>
        </w:rPr>
        <w:t xml:space="preserve">Basel III Regulation </w:t>
      </w:r>
      <w:r>
        <w:rPr>
          <w:rFonts w:ascii="Arial" w:cs="Arial" w:eastAsia="Arial" w:hAnsi="Arial"/>
          <w:sz w:val="18"/>
          <w:szCs w:val="18"/>
          <w:color w:val="auto"/>
        </w:rPr>
        <w:t>means any law or regulation implementing the Basel III Accord (including the relevant provisions of CRD IV and</w:t>
      </w:r>
      <w:r>
        <w:rPr>
          <w:rFonts w:ascii="Arial" w:cs="Arial" w:eastAsia="Arial" w:hAnsi="Arial"/>
          <w:sz w:val="18"/>
          <w:szCs w:val="18"/>
          <w:b w:val="1"/>
          <w:bCs w:val="1"/>
          <w:color w:val="auto"/>
        </w:rPr>
        <w:t xml:space="preserve"> </w:t>
      </w:r>
      <w:r>
        <w:rPr>
          <w:rFonts w:ascii="Arial" w:cs="Arial" w:eastAsia="Arial" w:hAnsi="Arial"/>
          <w:sz w:val="18"/>
          <w:szCs w:val="18"/>
          <w:color w:val="auto"/>
        </w:rPr>
        <w:t>CRR) save and to the extent that it re-enacts a Basel II Regulation and excluding any such law or regulation which implements Reformed Basel III.</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20" w:lineRule="exact"/>
        <w:rPr>
          <w:sz w:val="20"/>
          <w:szCs w:val="20"/>
          <w:color w:val="auto"/>
        </w:rPr>
      </w:pPr>
    </w:p>
    <w:p>
      <w:pPr>
        <w:jc w:val="both"/>
        <w:ind w:left="507" w:hanging="502"/>
        <w:spacing w:after="0"/>
        <w:tabs>
          <w:tab w:leader="none" w:pos="5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color w:val="auto"/>
        </w:rPr>
        <w:t>exceeds:</w:t>
      </w:r>
    </w:p>
    <w:p>
      <w:pPr>
        <w:spacing w:after="0" w:line="198" w:lineRule="exact"/>
        <w:rPr>
          <w:sz w:val="20"/>
          <w:szCs w:val="20"/>
          <w:color w:val="auto"/>
        </w:rPr>
      </w:pPr>
    </w:p>
    <w:p>
      <w:pPr>
        <w:jc w:val="both"/>
        <w:ind w:left="507" w:hanging="502"/>
        <w:spacing w:after="0"/>
        <w:tabs>
          <w:tab w:leader="none" w:pos="77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67" w:lineRule="exact"/>
        <w:rPr>
          <w:sz w:val="20"/>
          <w:szCs w:val="20"/>
          <w:color w:val="auto"/>
        </w:rPr>
      </w:pPr>
    </w:p>
    <w:p>
      <w:pPr>
        <w:ind w:left="7"/>
        <w:spacing w:after="0" w:line="27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London, Oslo,</w:t>
      </w:r>
      <w:r>
        <w:rPr>
          <w:rFonts w:ascii="Arial" w:cs="Arial" w:eastAsia="Arial" w:hAnsi="Arial"/>
          <w:sz w:val="18"/>
          <w:szCs w:val="18"/>
          <w:b w:val="1"/>
          <w:bCs w:val="1"/>
          <w:color w:val="auto"/>
        </w:rPr>
        <w:t xml:space="preserve"> </w:t>
      </w:r>
      <w:r>
        <w:rPr>
          <w:rFonts w:ascii="Arial" w:cs="Arial" w:eastAsia="Arial" w:hAnsi="Arial"/>
          <w:sz w:val="18"/>
          <w:szCs w:val="18"/>
          <w:color w:val="auto"/>
        </w:rPr>
        <w:t>Amsterdam, Athens, Paris, Munich and (in relation to any date for payment or purchase of dollars) New York.</w:t>
      </w:r>
    </w:p>
    <w:p>
      <w:pPr>
        <w:spacing w:after="0" w:line="162" w:lineRule="exact"/>
        <w:rPr>
          <w:sz w:val="20"/>
          <w:szCs w:val="20"/>
          <w:color w:val="auto"/>
        </w:rPr>
      </w:pPr>
    </w:p>
    <w:p>
      <w:pPr>
        <w:jc w:val="center"/>
        <w:ind w:right="49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64135</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7"/>
          </w:cols>
          <w:pgMar w:left="833" w:top="319" w:right="339" w:bottom="1440" w:gutter="0" w:footer="0" w:header="0"/>
        </w:sectPr>
      </w:pPr>
    </w:p>
    <w:bookmarkStart w:id="10" w:name="page11"/>
    <w:bookmarkEnd w:id="10"/>
    <w:p>
      <w:pPr>
        <w:ind w:left="2"/>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20" w:lineRule="exact"/>
        <w:rPr>
          <w:sz w:val="20"/>
          <w:szCs w:val="20"/>
          <w:color w:val="auto"/>
        </w:rPr>
      </w:pPr>
    </w:p>
    <w:p>
      <w:pPr>
        <w:jc w:val="both"/>
        <w:ind w:left="502" w:hanging="502"/>
        <w:spacing w:after="0"/>
        <w:tabs>
          <w:tab w:leader="none" w:pos="511"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person or persons, acting in concert (other than the Permitted Holders or any of them) have or acquire the right or the ability to control, either directly or indirectly, the affairs or composition of the majority of the board of directors (or equivalent) of the Parent; or</w:t>
      </w:r>
    </w:p>
    <w:p>
      <w:pPr>
        <w:spacing w:after="0" w:line="189" w:lineRule="exact"/>
        <w:rPr>
          <w:rFonts w:ascii="Arial" w:cs="Arial" w:eastAsia="Arial" w:hAnsi="Arial"/>
          <w:sz w:val="18"/>
          <w:szCs w:val="18"/>
          <w:color w:val="auto"/>
        </w:rPr>
      </w:pPr>
    </w:p>
    <w:p>
      <w:pPr>
        <w:ind w:left="502" w:hanging="502"/>
        <w:spacing w:after="0" w:line="246" w:lineRule="auto"/>
        <w:tabs>
          <w:tab w:leader="none" w:pos="63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the Holding Company of any of the Borrowers; or</w:t>
      </w:r>
    </w:p>
    <w:p>
      <w:pPr>
        <w:spacing w:after="0" w:line="183" w:lineRule="exact"/>
        <w:rPr>
          <w:rFonts w:ascii="Arial" w:cs="Arial" w:eastAsia="Arial" w:hAnsi="Arial"/>
          <w:sz w:val="18"/>
          <w:szCs w:val="18"/>
          <w:color w:val="auto"/>
        </w:rPr>
      </w:pPr>
    </w:p>
    <w:p>
      <w:pPr>
        <w:ind w:left="502" w:hanging="502"/>
        <w:spacing w:after="0" w:line="246"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the MLP; or</w:t>
      </w:r>
    </w:p>
    <w:p>
      <w:pPr>
        <w:spacing w:after="0" w:line="183" w:lineRule="exact"/>
        <w:rPr>
          <w:rFonts w:ascii="Arial" w:cs="Arial" w:eastAsia="Arial" w:hAnsi="Arial"/>
          <w:sz w:val="18"/>
          <w:szCs w:val="18"/>
          <w:color w:val="auto"/>
        </w:rPr>
      </w:pPr>
    </w:p>
    <w:p>
      <w:pPr>
        <w:jc w:val="both"/>
        <w:ind w:left="502" w:hanging="502"/>
        <w:spacing w:after="0"/>
        <w:tabs>
          <w:tab w:leader="none" w:pos="55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GasLog Carriers ceases to control, directly or indirectly, any Borrower, unless (following a Dropdown relating to a Borrower and provided no Reverse Dropdown has occurred relating to the same Borrower) all of the issued and outstanding shares (including the voting shares) of such Borrower are legally and beneficially (directly or indirectly through GPHL) owned by MLP; or</w:t>
      </w:r>
    </w:p>
    <w:p>
      <w:pPr>
        <w:spacing w:after="0" w:line="189" w:lineRule="exact"/>
        <w:rPr>
          <w:rFonts w:ascii="Arial" w:cs="Arial" w:eastAsia="Arial" w:hAnsi="Arial"/>
          <w:sz w:val="18"/>
          <w:szCs w:val="18"/>
          <w:color w:val="auto"/>
        </w:rPr>
      </w:pPr>
    </w:p>
    <w:p>
      <w:pPr>
        <w:jc w:val="both"/>
        <w:ind w:left="502" w:hanging="502"/>
        <w:spacing w:after="0" w:line="238" w:lineRule="auto"/>
        <w:tabs>
          <w:tab w:leader="none" w:pos="74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any Borrower cease to be legally and beneficially owned by the Parent or GasLog Carriers unless (following a Dropdown relating to a Borrower and provided no Reverse Dropdown has occurred relating to the same Borrower) all of the issued and outstanding shares (including the voting shares) of such Borrower are legally and beneficially (directly or indirectly through GPHL) owned by MLP; or</w:t>
      </w:r>
    </w:p>
    <w:p>
      <w:pPr>
        <w:spacing w:after="0" w:line="191" w:lineRule="exact"/>
        <w:rPr>
          <w:rFonts w:ascii="Arial" w:cs="Arial" w:eastAsia="Arial" w:hAnsi="Arial"/>
          <w:sz w:val="18"/>
          <w:szCs w:val="18"/>
          <w:color w:val="auto"/>
        </w:rPr>
      </w:pPr>
    </w:p>
    <w:p>
      <w:pPr>
        <w:ind w:left="502" w:hanging="502"/>
        <w:spacing w:after="0"/>
        <w:tabs>
          <w:tab w:leader="none" w:pos="502"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GasLog Carriers ceases to be a wholly-owned subsidiary of the Parent; or</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9"/>
        </w:numPr>
        <w:rPr>
          <w:rFonts w:ascii="Arial" w:cs="Arial" w:eastAsia="Arial" w:hAnsi="Arial"/>
          <w:sz w:val="18"/>
          <w:szCs w:val="18"/>
          <w:color w:val="auto"/>
        </w:rPr>
      </w:pPr>
      <w:r>
        <w:rPr>
          <w:rFonts w:ascii="Arial" w:cs="Arial" w:eastAsia="Arial" w:hAnsi="Arial"/>
          <w:sz w:val="18"/>
          <w:szCs w:val="18"/>
          <w:color w:val="auto"/>
        </w:rPr>
        <w:t>GPHL ceases to be a wholly-owned subsidiary of MLP;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GasLog Partners GP LLC ceases to be a wholly-owned subsidiary of the Parent;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GasLog Partners GP LLC ceases to be the general partner of MLP,</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any case without the prior written consent of the Agent (acting with the authorisation of the Majority Lenders).</w:t>
      </w:r>
    </w:p>
    <w:p>
      <w:pPr>
        <w:spacing w:after="0" w:line="176"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Security Documents.</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in relation to a Ship, the charter commitment (if any) for that Ship details of which are provided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or (where the conditions in proviso (ii) of clause 29.21 (</w:t>
      </w:r>
      <w:r>
        <w:rPr>
          <w:rFonts w:ascii="Arial" w:cs="Arial" w:eastAsia="Arial" w:hAnsi="Arial"/>
          <w:sz w:val="18"/>
          <w:szCs w:val="18"/>
          <w:i w:val="1"/>
          <w:iCs w:val="1"/>
          <w:color w:val="auto"/>
        </w:rPr>
        <w:t>Charters</w:t>
      </w:r>
      <w:r>
        <w:rPr>
          <w:rFonts w:ascii="Arial" w:cs="Arial" w:eastAsia="Arial" w:hAnsi="Arial"/>
          <w:sz w:val="18"/>
          <w:szCs w:val="18"/>
          <w:color w:val="auto"/>
        </w:rPr>
        <w:t>) have been satisfied in accordance with such proviso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that Ship), the relevant Replacement Charter for that Ship, in each case as it may be amended from time to time.</w:t>
      </w:r>
    </w:p>
    <w:p>
      <w:pPr>
        <w:spacing w:after="0" w:line="155"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a Ship and its Charter Documents, an assignment by the relevant Owner of its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Charter Documents in favour of the Security Agent in the agreed form.</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Charter Documents </w:t>
      </w:r>
      <w:r>
        <w:rPr>
          <w:rFonts w:ascii="Arial" w:cs="Arial" w:eastAsia="Arial" w:hAnsi="Arial"/>
          <w:sz w:val="18"/>
          <w:szCs w:val="18"/>
          <w:color w:val="auto"/>
        </w:rPr>
        <w:t>means, in relation to a Ship, the Charter (if any) of that Ship, any documents supplementing it and any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or security given by any person to the relevant Owner for the relevant Charterer’s obligations under it.</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Charter Guarantee </w:t>
      </w:r>
      <w:r>
        <w:rPr>
          <w:rFonts w:ascii="Arial" w:cs="Arial" w:eastAsia="Arial" w:hAnsi="Arial"/>
          <w:sz w:val="18"/>
          <w:szCs w:val="18"/>
          <w:color w:val="auto"/>
        </w:rPr>
        <w:t>means, in relation to a Ship and a Charter for that Ship, any guarantee issued by any person to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Owner for the relevant Charterer’s obligations under the relevant Charter.</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Charter Guarantor </w:t>
      </w:r>
      <w:r>
        <w:rPr>
          <w:rFonts w:ascii="Arial" w:cs="Arial" w:eastAsia="Arial" w:hAnsi="Arial"/>
          <w:sz w:val="18"/>
          <w:szCs w:val="18"/>
          <w:color w:val="auto"/>
        </w:rPr>
        <w:t>means, in relation to a Ship and a Charter Guarantee relevant to it, the person giving such guarantee.</w:t>
      </w:r>
    </w:p>
    <w:p>
      <w:pPr>
        <w:spacing w:after="0" w:line="220" w:lineRule="exact"/>
        <w:rPr>
          <w:sz w:val="20"/>
          <w:szCs w:val="20"/>
          <w:color w:val="auto"/>
        </w:rPr>
      </w:pPr>
    </w:p>
    <w:p>
      <w:pPr>
        <w:ind w:left="506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11" w:name="page12"/>
    <w:bookmarkEnd w:id="11"/>
    <w:p>
      <w:pPr>
        <w:jc w:val="both"/>
        <w:ind w:left="20"/>
        <w:spacing w:after="0" w:line="253" w:lineRule="auto"/>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in relation to a Ship, the charterer named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charterer of that Ship or (where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specified in proviso (ii) of clause 29.21 (</w:t>
      </w:r>
      <w:r>
        <w:rPr>
          <w:rFonts w:ascii="Arial" w:cs="Arial" w:eastAsia="Arial" w:hAnsi="Arial"/>
          <w:sz w:val="18"/>
          <w:szCs w:val="18"/>
          <w:i w:val="1"/>
          <w:iCs w:val="1"/>
          <w:color w:val="auto"/>
        </w:rPr>
        <w:t>Charters</w:t>
      </w:r>
      <w:r>
        <w:rPr>
          <w:rFonts w:ascii="Arial" w:cs="Arial" w:eastAsia="Arial" w:hAnsi="Arial"/>
          <w:sz w:val="18"/>
          <w:szCs w:val="18"/>
          <w:color w:val="auto"/>
        </w:rPr>
        <w:t>) have been satisfied in accordance with such proviso in respect of that Ship), the person chartering that Ship under the relevant Replacement Charter for that Ship.</w:t>
      </w:r>
    </w:p>
    <w:p>
      <w:pPr>
        <w:spacing w:after="0" w:line="155"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in relation to a Ship, the classification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Classification Society or another classification approved by the Majority Lenders as its classification (such approval not to be unreasonably withheld), at the request of the relevant Owner.</w:t>
      </w:r>
    </w:p>
    <w:p>
      <w:pPr>
        <w:spacing w:after="0" w:line="155" w:lineRule="exact"/>
        <w:rPr>
          <w:sz w:val="20"/>
          <w:szCs w:val="20"/>
          <w:color w:val="auto"/>
        </w:rPr>
      </w:pPr>
    </w:p>
    <w:p>
      <w:pPr>
        <w:jc w:val="both"/>
        <w:ind w:left="20"/>
        <w:spacing w:after="0" w:line="242" w:lineRule="auto"/>
        <w:rPr>
          <w:sz w:val="20"/>
          <w:szCs w:val="20"/>
          <w:color w:val="auto"/>
        </w:rPr>
      </w:pPr>
      <w:r>
        <w:rPr>
          <w:rFonts w:ascii="Arial" w:cs="Arial" w:eastAsia="Arial" w:hAnsi="Arial"/>
          <w:sz w:val="18"/>
          <w:szCs w:val="18"/>
          <w:b w:val="1"/>
          <w:bCs w:val="1"/>
          <w:color w:val="auto"/>
        </w:rPr>
        <w:t xml:space="preserve">Classification Society </w:t>
      </w:r>
      <w:r>
        <w:rPr>
          <w:rFonts w:ascii="Arial" w:cs="Arial" w:eastAsia="Arial" w:hAnsi="Arial"/>
          <w:sz w:val="18"/>
          <w:szCs w:val="18"/>
          <w:color w:val="auto"/>
        </w:rPr>
        <w:t>means, in relation to a Ship, the classification society specified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or any one of Det Norske Veritas, American Bureau of Shipping, Lloyd’s Register of Shipping, Bureau Veritas, Korean</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China Classification Society, Nippon Kaiji Kyokai or another classification society which is member 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relevant Owner.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19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Commercial Manager </w:t>
      </w:r>
      <w:r>
        <w:rPr>
          <w:rFonts w:ascii="Arial" w:cs="Arial" w:eastAsia="Arial" w:hAnsi="Arial"/>
          <w:sz w:val="18"/>
          <w:szCs w:val="18"/>
          <w:color w:val="auto"/>
        </w:rPr>
        <w:t>means, in relation to a Ship, (a) the Parent (up to the first Utilisation Date) or (b) GasLog LNG Services Ltd. of</w:t>
      </w:r>
      <w:r>
        <w:rPr>
          <w:rFonts w:ascii="Arial" w:cs="Arial" w:eastAsia="Arial" w:hAnsi="Arial"/>
          <w:sz w:val="18"/>
          <w:szCs w:val="18"/>
          <w:b w:val="1"/>
          <w:bCs w:val="1"/>
          <w:color w:val="auto"/>
        </w:rPr>
        <w:t xml:space="preserve"> </w:t>
      </w:r>
      <w:r>
        <w:rPr>
          <w:rFonts w:ascii="Arial" w:cs="Arial" w:eastAsia="Arial" w:hAnsi="Arial"/>
          <w:sz w:val="18"/>
          <w:szCs w:val="18"/>
          <w:color w:val="auto"/>
        </w:rPr>
        <w:t>Bermuda (whose appointment as Commercial Manager of each Ship shall be effective on and from the first Utilisation Date) or</w:t>
      </w:r>
    </w:p>
    <w:p>
      <w:pPr>
        <w:spacing w:after="0" w:line="1" w:lineRule="exact"/>
        <w:rPr>
          <w:sz w:val="20"/>
          <w:szCs w:val="20"/>
          <w:color w:val="auto"/>
        </w:rPr>
      </w:pPr>
    </w:p>
    <w:p>
      <w:pPr>
        <w:ind w:left="20" w:right="20" w:hanging="2"/>
        <w:spacing w:after="0" w:line="246" w:lineRule="auto"/>
        <w:tabs>
          <w:tab w:leader="none" w:pos="3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another manager appointed as the commercial manager of that Ship 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 in relation to a Lender, its Term Loan Commitment and its Revolving Loan Commitment.</w:t>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set out in Schedule 6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approved.</w:t>
      </w:r>
    </w:p>
    <w:p>
      <w:pPr>
        <w:spacing w:after="0" w:line="140" w:lineRule="exact"/>
        <w:rPr>
          <w:sz w:val="20"/>
          <w:szCs w:val="20"/>
          <w:color w:val="auto"/>
        </w:rPr>
      </w:pPr>
    </w:p>
    <w:p>
      <w:pPr>
        <w:jc w:val="both"/>
        <w:ind w:left="20"/>
        <w:spacing w:after="0" w:line="244"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an Obligor, the Group, the MLP Group, the Finance Documents,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Charter Documents for each Ship or any other charter commitments (to the extent such information is confidential as a matter of law or contract) for each Ship or the Facilities of which a Finance Party becomes aware in its capacity as, or for the purpose of becoming, a Finance Party or which is received by a Finance Party in relation to, or for the purpose of becoming a Finance Party under, the Finance Documents or the Facilities from either:</w:t>
      </w:r>
    </w:p>
    <w:p>
      <w:pPr>
        <w:spacing w:after="0" w:line="185"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Group Member or any of its advisers; or</w:t>
      </w:r>
    </w:p>
    <w:p>
      <w:pPr>
        <w:spacing w:after="0" w:line="198" w:lineRule="exact"/>
        <w:rPr>
          <w:rFonts w:ascii="Arial" w:cs="Arial" w:eastAsia="Arial" w:hAnsi="Arial"/>
          <w:sz w:val="18"/>
          <w:szCs w:val="18"/>
          <w:color w:val="auto"/>
        </w:rPr>
      </w:pPr>
    </w:p>
    <w:p>
      <w:pPr>
        <w:ind w:left="520" w:hanging="512"/>
        <w:spacing w:after="0" w:line="246"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Group Member or any of its advisers,</w:t>
      </w:r>
    </w:p>
    <w:p>
      <w:pPr>
        <w:spacing w:after="0" w:line="183"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83" w:lineRule="exact"/>
        <w:rPr>
          <w:sz w:val="20"/>
          <w:szCs w:val="20"/>
          <w:color w:val="auto"/>
        </w:rPr>
      </w:pPr>
    </w:p>
    <w:p>
      <w:pPr>
        <w:ind w:left="1100" w:hanging="57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98" w:lineRule="exact"/>
        <w:rPr>
          <w:rFonts w:ascii="Arial" w:cs="Arial" w:eastAsia="Arial" w:hAnsi="Arial"/>
          <w:sz w:val="18"/>
          <w:szCs w:val="18"/>
          <w:color w:val="auto"/>
        </w:rPr>
      </w:pPr>
    </w:p>
    <w:p>
      <w:pPr>
        <w:ind w:left="1540" w:hanging="501"/>
        <w:spacing w:after="0" w:line="246" w:lineRule="auto"/>
        <w:tabs>
          <w:tab w:leader="none" w:pos="17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560" w:hanging="521"/>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or any of its advisers; or</w:t>
      </w:r>
    </w:p>
    <w:p>
      <w:pPr>
        <w:spacing w:after="0" w:line="193" w:lineRule="exact"/>
        <w:rPr>
          <w:rFonts w:ascii="Arial" w:cs="Arial" w:eastAsia="Arial" w:hAnsi="Arial"/>
          <w:sz w:val="18"/>
          <w:szCs w:val="18"/>
          <w:color w:val="auto"/>
        </w:rPr>
      </w:pPr>
    </w:p>
    <w:p>
      <w:pPr>
        <w:ind w:left="1780" w:hanging="741"/>
        <w:spacing w:after="0"/>
        <w:tabs>
          <w:tab w:leader="none" w:pos="17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w:t>
      </w:r>
    </w:p>
    <w:p>
      <w:pPr>
        <w:ind w:left="1820" w:hanging="271"/>
        <w:spacing w:after="0"/>
        <w:tabs>
          <w:tab w:leader="none" w:pos="18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or (b) above or is lawfully obtained by that</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12" w:name="page13"/>
    <w:bookmarkEnd w:id="12"/>
    <w:p>
      <w:pPr>
        <w:jc w:val="both"/>
        <w:ind w:left="1522"/>
        <w:spacing w:after="0"/>
        <w:rPr>
          <w:sz w:val="20"/>
          <w:szCs w:val="20"/>
          <w:color w:val="auto"/>
        </w:rPr>
      </w:pPr>
      <w:r>
        <w:rPr>
          <w:rFonts w:ascii="Arial" w:cs="Arial" w:eastAsia="Arial" w:hAnsi="Arial"/>
          <w:sz w:val="18"/>
          <w:szCs w:val="18"/>
          <w:color w:val="auto"/>
        </w:rPr>
        <w:t>Finance Party after that date, from a source which is, as far as that Finance Party is aware, unconnected with the Group or the MLP Group and which, in either case, as far as that Finance Party is aware, has not been obtained in breach of, and is not otherwise subject to, any obligation of confidentiality; and</w:t>
      </w:r>
    </w:p>
    <w:p>
      <w:pPr>
        <w:spacing w:after="0" w:line="189" w:lineRule="exact"/>
        <w:rPr>
          <w:sz w:val="20"/>
          <w:szCs w:val="20"/>
          <w:color w:val="auto"/>
        </w:rPr>
      </w:pPr>
    </w:p>
    <w:p>
      <w:pPr>
        <w:ind w:left="1062" w:hanging="551"/>
        <w:spacing w:after="0"/>
        <w:tabs>
          <w:tab w:leader="none" w:pos="10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Funding Rate.</w:t>
      </w:r>
    </w:p>
    <w:p>
      <w:pPr>
        <w:spacing w:after="0" w:line="176"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Confidentiality Undertaking </w:t>
      </w:r>
      <w:r>
        <w:rPr>
          <w:rFonts w:ascii="Arial" w:cs="Arial" w:eastAsia="Arial" w:hAnsi="Arial"/>
          <w:sz w:val="18"/>
          <w:szCs w:val="18"/>
          <w:color w:val="auto"/>
        </w:rPr>
        <w:t>means a confidentiality undertaking substantially in the form recommended by the Loan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or in any other form agreed between the Borrowers and the Agent.</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Constitutional Documents </w:t>
      </w:r>
      <w:r>
        <w:rPr>
          <w:rFonts w:ascii="Arial" w:cs="Arial" w:eastAsia="Arial" w:hAnsi="Arial"/>
          <w:sz w:val="18"/>
          <w:szCs w:val="18"/>
          <w:color w:val="auto"/>
        </w:rPr>
        <w:t>means, in respect of an Obligor, such Obligor’s memorandum and articles of association, by-laws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constitutional documents including as referred to in any certificate relating to an Obligor delivered pursuant to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w:t>
      </w:r>
    </w:p>
    <w:p>
      <w:pPr>
        <w:spacing w:after="0" w:line="155"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credit institutions and investment firms.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20" w:lineRule="exact"/>
        <w:rPr>
          <w:sz w:val="20"/>
          <w:szCs w:val="20"/>
          <w:color w:val="auto"/>
        </w:rPr>
      </w:pPr>
    </w:p>
    <w:p>
      <w:pPr>
        <w:ind w:left="522" w:hanging="522"/>
        <w:spacing w:after="0"/>
        <w:tabs>
          <w:tab w:leader="none" w:pos="5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198" w:lineRule="exact"/>
        <w:rPr>
          <w:rFonts w:ascii="Arial" w:cs="Arial" w:eastAsia="Arial" w:hAnsi="Arial"/>
          <w:sz w:val="18"/>
          <w:szCs w:val="18"/>
          <w:color w:val="auto"/>
        </w:rPr>
      </w:pPr>
    </w:p>
    <w:p>
      <w:pPr>
        <w:ind w:left="502" w:hanging="502"/>
        <w:spacing w:after="0" w:line="246" w:lineRule="auto"/>
        <w:tabs>
          <w:tab w:leader="none" w:pos="5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color w:val="auto"/>
        </w:rPr>
        <w:t>any Commitment or amount outstanding under this Agreement.</w:t>
      </w:r>
    </w:p>
    <w:p>
      <w:pPr>
        <w:spacing w:after="0" w:line="176"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Deed of Covenant </w:t>
      </w:r>
      <w:r>
        <w:rPr>
          <w:rFonts w:ascii="Arial" w:cs="Arial" w:eastAsia="Arial" w:hAnsi="Arial"/>
          <w:sz w:val="18"/>
          <w:szCs w:val="18"/>
          <w:color w:val="auto"/>
        </w:rPr>
        <w:t>means, in relation to a Ship, a first deed of covenant (including a first assignment of its interest in the Ship’s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Insurances, Earnings and Requisition Compensation) in respect of such Ship by the relevant Owner in favour of the Security Agent in the agreed form.</w:t>
      </w:r>
    </w:p>
    <w:p>
      <w:pPr>
        <w:spacing w:after="0" w:line="155"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the making of any determination under the Finance Documents or any combination of them) be an Event of Default.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20" w:lineRule="exact"/>
        <w:rPr>
          <w:sz w:val="20"/>
          <w:szCs w:val="20"/>
          <w:color w:val="auto"/>
        </w:rPr>
      </w:pPr>
    </w:p>
    <w:p>
      <w:pPr>
        <w:ind w:left="502" w:hanging="502"/>
        <w:spacing w:after="0" w:line="246" w:lineRule="auto"/>
        <w:tabs>
          <w:tab w:leader="none" w:pos="6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502" w:hanging="502"/>
        <w:spacing w:after="0"/>
        <w:tabs>
          <w:tab w:leader="none" w:pos="5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in the case of paragraph (a) above:</w:t>
      </w:r>
    </w:p>
    <w:p>
      <w:pPr>
        <w:spacing w:after="0" w:line="198" w:lineRule="exact"/>
        <w:rPr>
          <w:sz w:val="20"/>
          <w:szCs w:val="20"/>
          <w:color w:val="auto"/>
        </w:rPr>
      </w:pPr>
    </w:p>
    <w:p>
      <w:pPr>
        <w:ind w:left="1082" w:hanging="571"/>
        <w:spacing w:after="0"/>
        <w:tabs>
          <w:tab w:leader="none" w:pos="10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8" w:lineRule="exact"/>
        <w:rPr>
          <w:rFonts w:ascii="Arial" w:cs="Arial" w:eastAsia="Arial" w:hAnsi="Arial"/>
          <w:sz w:val="18"/>
          <w:szCs w:val="18"/>
          <w:color w:val="auto"/>
        </w:rPr>
      </w:pPr>
    </w:p>
    <w:p>
      <w:pPr>
        <w:ind w:left="1582" w:hanging="561"/>
        <w:spacing w:after="0"/>
        <w:tabs>
          <w:tab w:leader="none" w:pos="15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8" w:lineRule="exact"/>
        <w:rPr>
          <w:rFonts w:ascii="Arial" w:cs="Arial" w:eastAsia="Arial" w:hAnsi="Arial"/>
          <w:sz w:val="18"/>
          <w:szCs w:val="18"/>
          <w:color w:val="auto"/>
        </w:rPr>
      </w:pPr>
    </w:p>
    <w:p>
      <w:pPr>
        <w:ind w:left="1582" w:hanging="561"/>
        <w:spacing w:after="0"/>
        <w:tabs>
          <w:tab w:leader="none" w:pos="15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198"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3 Business Days of its due date; or</w:t>
      </w:r>
    </w:p>
    <w:p>
      <w:pPr>
        <w:spacing w:after="0" w:line="198" w:lineRule="exact"/>
        <w:rPr>
          <w:sz w:val="20"/>
          <w:szCs w:val="20"/>
          <w:color w:val="auto"/>
        </w:rPr>
      </w:pPr>
    </w:p>
    <w:p>
      <w:pPr>
        <w:ind w:left="506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3" w:name="page14"/>
    <w:bookmarkEnd w:id="13"/>
    <w:p>
      <w:pPr>
        <w:ind w:left="1062" w:hanging="551"/>
        <w:spacing w:after="0"/>
        <w:tabs>
          <w:tab w:leader="none" w:pos="10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176"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any Finance Document.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Disposal Repayment Date </w:t>
      </w:r>
      <w:r>
        <w:rPr>
          <w:rFonts w:ascii="Arial" w:cs="Arial" w:eastAsia="Arial" w:hAnsi="Arial"/>
          <w:sz w:val="18"/>
          <w:szCs w:val="18"/>
          <w:color w:val="auto"/>
        </w:rPr>
        <w:t>means, in relation to:</w:t>
      </w:r>
    </w:p>
    <w:p>
      <w:pPr>
        <w:spacing w:after="0" w:line="220" w:lineRule="exact"/>
        <w:rPr>
          <w:sz w:val="20"/>
          <w:szCs w:val="20"/>
          <w:color w:val="auto"/>
        </w:rPr>
      </w:pPr>
    </w:p>
    <w:p>
      <w:pPr>
        <w:ind w:left="562" w:hanging="562"/>
        <w:spacing w:after="0"/>
        <w:tabs>
          <w:tab w:leader="none" w:pos="5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Total Loss of a Mortgaged Ship, the applicable Total Loss Repayment Date; or</w:t>
      </w:r>
    </w:p>
    <w:p>
      <w:pPr>
        <w:spacing w:after="0" w:line="198" w:lineRule="exact"/>
        <w:rPr>
          <w:rFonts w:ascii="Arial" w:cs="Arial" w:eastAsia="Arial" w:hAnsi="Arial"/>
          <w:sz w:val="18"/>
          <w:szCs w:val="18"/>
          <w:color w:val="auto"/>
        </w:rPr>
      </w:pPr>
    </w:p>
    <w:p>
      <w:pPr>
        <w:jc w:val="both"/>
        <w:ind w:left="502" w:hanging="502"/>
        <w:spacing w:after="0"/>
        <w:tabs>
          <w:tab w:leader="none" w:pos="7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sale of a Mortgaged Ship by the relevant Owner, the date upon which such sale is completed by the transfer of title to the purchaser in exchange for payment of all or part of the relevant purchase price (and upon or immediately prior to such completion).</w:t>
      </w:r>
    </w:p>
    <w:p>
      <w:pPr>
        <w:spacing w:after="0" w:line="167"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Dropdown </w:t>
      </w:r>
      <w:r>
        <w:rPr>
          <w:rFonts w:ascii="Arial" w:cs="Arial" w:eastAsia="Arial" w:hAnsi="Arial"/>
          <w:sz w:val="18"/>
          <w:szCs w:val="18"/>
          <w:color w:val="auto"/>
        </w:rPr>
        <w:t>means a transfer of the shares in one or more Borrowers from GasLog Carriers or the Parent to GPHL or MLP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in accordance with the provisions of, and as defined in, paragraph (b) of clause 21.5 (</w:t>
      </w:r>
      <w:r>
        <w:rPr>
          <w:rFonts w:ascii="Arial" w:cs="Arial" w:eastAsia="Arial" w:hAnsi="Arial"/>
          <w:sz w:val="18"/>
          <w:szCs w:val="18"/>
          <w:i w:val="1"/>
          <w:iCs w:val="1"/>
          <w:color w:val="auto"/>
        </w:rPr>
        <w:t>Change of business or</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w:t>
      </w:r>
      <w:r>
        <w:rPr>
          <w:rFonts w:ascii="Arial" w:cs="Arial" w:eastAsia="Arial" w:hAnsi="Arial"/>
          <w:sz w:val="18"/>
          <w:szCs w:val="18"/>
          <w:color w:val="auto"/>
        </w:rPr>
        <w:t>).</w:t>
      </w:r>
    </w:p>
    <w:p>
      <w:pPr>
        <w:spacing w:after="0" w:line="155" w:lineRule="exact"/>
        <w:rPr>
          <w:sz w:val="20"/>
          <w:szCs w:val="20"/>
          <w:color w:val="auto"/>
        </w:rPr>
      </w:pPr>
    </w:p>
    <w:p>
      <w:pPr>
        <w:jc w:val="both"/>
        <w:ind w:left="2"/>
        <w:spacing w:after="0" w:line="244" w:lineRule="auto"/>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means, in relation to a Ship and a person, all money at any time payable to that person for or in relation to the use or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such Ship 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63"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each of the interest bearing dollar accounts of a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 clause 27 (Bank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 and</w:t>
      </w:r>
      <w:r>
        <w:rPr>
          <w:rFonts w:ascii="Arial" w:cs="Arial" w:eastAsia="Arial" w:hAnsi="Arial"/>
          <w:sz w:val="18"/>
          <w:szCs w:val="18"/>
          <w:b w:val="1"/>
          <w:bCs w:val="1"/>
          <w:color w:val="auto"/>
        </w:rPr>
        <w:t xml:space="preserve"> Earnings Accounts </w:t>
      </w:r>
      <w:r>
        <w:rPr>
          <w:rFonts w:ascii="Arial" w:cs="Arial" w:eastAsia="Arial" w:hAnsi="Arial"/>
          <w:sz w:val="18"/>
          <w:szCs w:val="18"/>
          <w:color w:val="auto"/>
        </w:rPr>
        <w:t>means all of them.</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20" w:lineRule="exact"/>
        <w:rPr>
          <w:sz w:val="20"/>
          <w:szCs w:val="20"/>
          <w:color w:val="auto"/>
        </w:rPr>
      </w:pPr>
    </w:p>
    <w:p>
      <w:pPr>
        <w:ind w:left="502" w:hanging="502"/>
        <w:spacing w:after="0" w:line="246" w:lineRule="auto"/>
        <w:tabs>
          <w:tab w:leader="none" w:pos="6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83" w:lineRule="exact"/>
        <w:rPr>
          <w:rFonts w:ascii="Arial" w:cs="Arial" w:eastAsia="Arial" w:hAnsi="Arial"/>
          <w:sz w:val="18"/>
          <w:szCs w:val="18"/>
          <w:color w:val="auto"/>
        </w:rPr>
      </w:pPr>
    </w:p>
    <w:p>
      <w:pPr>
        <w:ind w:left="502" w:hanging="502"/>
        <w:spacing w:after="0"/>
        <w:tabs>
          <w:tab w:leader="none" w:pos="5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20" w:lineRule="exact"/>
        <w:rPr>
          <w:sz w:val="20"/>
          <w:szCs w:val="20"/>
          <w:color w:val="auto"/>
        </w:rPr>
      </w:pPr>
    </w:p>
    <w:p>
      <w:pPr>
        <w:ind w:left="502" w:hanging="502"/>
        <w:spacing w:after="0" w:line="24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83" w:lineRule="exact"/>
        <w:rPr>
          <w:rFonts w:ascii="Arial" w:cs="Arial" w:eastAsia="Arial" w:hAnsi="Arial"/>
          <w:sz w:val="18"/>
          <w:szCs w:val="18"/>
          <w:color w:val="auto"/>
        </w:rPr>
      </w:pPr>
    </w:p>
    <w:p>
      <w:pPr>
        <w:ind w:left="502" w:hanging="502"/>
        <w:spacing w:after="0"/>
        <w:tabs>
          <w:tab w:leader="none" w:pos="5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176"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means all laws, regulations and conventions concerning pollution or protection of human health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Existing Indebtedness </w:t>
      </w:r>
      <w:r>
        <w:rPr>
          <w:rFonts w:ascii="Arial" w:cs="Arial" w:eastAsia="Arial" w:hAnsi="Arial"/>
          <w:sz w:val="18"/>
          <w:szCs w:val="18"/>
          <w:color w:val="auto"/>
        </w:rPr>
        <w:t>means, at any relevant time, the aggregate principal amounts owing by the Borrowers or any of them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on the Ships or any of them by way of first priority ship mortgage or mortgages, under certain credit facilities as disclosed by or on behalf of the Borrowers to the Lenders prior to the date of this Agreement, together with interest thereon and any other amounts owing thereunder or in connection therewith.</w:t>
      </w:r>
    </w:p>
    <w:p>
      <w:pPr>
        <w:spacing w:after="0" w:line="160" w:lineRule="exact"/>
        <w:rPr>
          <w:sz w:val="20"/>
          <w:szCs w:val="20"/>
          <w:color w:val="auto"/>
        </w:rPr>
      </w:pPr>
    </w:p>
    <w:p>
      <w:pPr>
        <w:jc w:val="center"/>
        <w:ind w:right="578"/>
        <w:spacing w:after="0" w:line="506" w:lineRule="auto"/>
        <w:rPr>
          <w:sz w:val="20"/>
          <w:szCs w:val="20"/>
          <w:color w:val="auto"/>
        </w:rPr>
      </w:pPr>
      <w:r>
        <w:rPr>
          <w:rFonts w:ascii="Arial" w:cs="Arial" w:eastAsia="Arial" w:hAnsi="Arial"/>
          <w:sz w:val="18"/>
          <w:szCs w:val="18"/>
          <w:b w:val="1"/>
          <w:bCs w:val="1"/>
          <w:color w:val="auto"/>
        </w:rPr>
        <w:t xml:space="preserve">Existing Indebtedness Lender </w:t>
      </w:r>
      <w:r>
        <w:rPr>
          <w:rFonts w:ascii="Arial" w:cs="Arial" w:eastAsia="Arial" w:hAnsi="Arial"/>
          <w:sz w:val="18"/>
          <w:szCs w:val="18"/>
          <w:color w:val="auto"/>
        </w:rPr>
        <w:t>means any bank, financial institution or other person, who is a lender of Existing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-86995</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4" w:name="page15"/>
    <w:bookmarkEnd w:id="14"/>
    <w:p>
      <w:pPr>
        <w:ind w:left="6"/>
        <w:spacing w:after="0"/>
        <w:rPr>
          <w:sz w:val="20"/>
          <w:szCs w:val="20"/>
          <w:color w:val="auto"/>
        </w:rPr>
      </w:pPr>
      <w:r>
        <w:rPr>
          <w:rFonts w:ascii="Arial" w:cs="Arial" w:eastAsia="Arial" w:hAnsi="Arial"/>
          <w:sz w:val="18"/>
          <w:szCs w:val="18"/>
          <w:b w:val="1"/>
          <w:bCs w:val="1"/>
          <w:color w:val="auto"/>
        </w:rPr>
        <w:t xml:space="preserve">Facilities </w:t>
      </w:r>
      <w:r>
        <w:rPr>
          <w:rFonts w:ascii="Arial" w:cs="Arial" w:eastAsia="Arial" w:hAnsi="Arial"/>
          <w:sz w:val="18"/>
          <w:szCs w:val="18"/>
          <w:color w:val="auto"/>
        </w:rPr>
        <w:t>means the Term Loan Facility and the Revolving Loan Facility and</w:t>
      </w:r>
      <w:r>
        <w:rPr>
          <w:rFonts w:ascii="Arial" w:cs="Arial" w:eastAsia="Arial" w:hAnsi="Arial"/>
          <w:sz w:val="18"/>
          <w:szCs w:val="18"/>
          <w:b w:val="1"/>
          <w:bCs w:val="1"/>
          <w:color w:val="auto"/>
        </w:rPr>
        <w:t xml:space="preserve"> Facility </w:t>
      </w:r>
      <w:r>
        <w:rPr>
          <w:rFonts w:ascii="Arial" w:cs="Arial" w:eastAsia="Arial" w:hAnsi="Arial"/>
          <w:sz w:val="18"/>
          <w:szCs w:val="18"/>
          <w:color w:val="auto"/>
        </w:rPr>
        <w:t>means any of them.</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w:t>
      </w:r>
    </w:p>
    <w:p>
      <w:pPr>
        <w:spacing w:after="0" w:line="220" w:lineRule="exact"/>
        <w:rPr>
          <w:sz w:val="20"/>
          <w:szCs w:val="20"/>
          <w:color w:val="auto"/>
        </w:rPr>
      </w:pPr>
    </w:p>
    <w:p>
      <w:pPr>
        <w:jc w:val="both"/>
        <w:ind w:left="506" w:hanging="506"/>
        <w:spacing w:after="0"/>
        <w:tabs>
          <w:tab w:leader="none" w:pos="6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189" w:lineRule="exact"/>
        <w:rPr>
          <w:rFonts w:ascii="Arial" w:cs="Arial" w:eastAsia="Arial" w:hAnsi="Arial"/>
          <w:sz w:val="18"/>
          <w:szCs w:val="18"/>
          <w:color w:val="auto"/>
        </w:rPr>
      </w:pPr>
    </w:p>
    <w:p>
      <w:pPr>
        <w:ind w:left="526" w:hanging="522"/>
        <w:spacing w:after="0"/>
        <w:tabs>
          <w:tab w:leader="none" w:pos="5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176"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b w:val="1"/>
          <w:bCs w:val="1"/>
          <w:color w:val="auto"/>
        </w:rPr>
        <w:t xml:space="preserve">Facility Period </w:t>
      </w:r>
      <w:r>
        <w:rPr>
          <w:rFonts w:ascii="Arial" w:cs="Arial" w:eastAsia="Arial" w:hAnsi="Arial"/>
          <w:sz w:val="18"/>
          <w:szCs w:val="18"/>
          <w:color w:val="auto"/>
        </w:rPr>
        <w:t>means the period from and including the date of this Agreement to and including the date on which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 have reduced to zero and all indebtedness of the Obligors under the Finance Documents has been irrevocably and unconditionally paid and discharged in full.</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20" w:lineRule="exact"/>
        <w:rPr>
          <w:sz w:val="20"/>
          <w:szCs w:val="20"/>
          <w:color w:val="auto"/>
        </w:rPr>
      </w:pPr>
    </w:p>
    <w:p>
      <w:pPr>
        <w:ind w:left="526" w:hanging="526"/>
        <w:spacing w:after="0"/>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98" w:lineRule="exact"/>
        <w:rPr>
          <w:rFonts w:ascii="Arial" w:cs="Arial" w:eastAsia="Arial" w:hAnsi="Arial"/>
          <w:sz w:val="18"/>
          <w:szCs w:val="18"/>
          <w:color w:val="auto"/>
        </w:rPr>
      </w:pPr>
    </w:p>
    <w:p>
      <w:pPr>
        <w:jc w:val="both"/>
        <w:ind w:left="506" w:hanging="506"/>
        <w:spacing w:after="0"/>
        <w:tabs>
          <w:tab w:leader="none" w:pos="5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89" w:lineRule="exact"/>
        <w:rPr>
          <w:rFonts w:ascii="Arial" w:cs="Arial" w:eastAsia="Arial" w:hAnsi="Arial"/>
          <w:sz w:val="18"/>
          <w:szCs w:val="18"/>
          <w:color w:val="auto"/>
        </w:rPr>
      </w:pPr>
    </w:p>
    <w:p>
      <w:pPr>
        <w:ind w:left="506" w:hanging="506"/>
        <w:spacing w:after="0" w:line="246" w:lineRule="auto"/>
        <w:tabs>
          <w:tab w:leader="none" w:pos="5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20" w:lineRule="exact"/>
        <w:rPr>
          <w:sz w:val="20"/>
          <w:szCs w:val="20"/>
          <w:color w:val="auto"/>
        </w:rPr>
      </w:pPr>
    </w:p>
    <w:p>
      <w:pPr>
        <w:ind w:left="506" w:hanging="506"/>
        <w:spacing w:after="0" w:line="246" w:lineRule="auto"/>
        <w:tabs>
          <w:tab w:leader="none" w:pos="5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83" w:lineRule="exact"/>
        <w:rPr>
          <w:rFonts w:ascii="Arial" w:cs="Arial" w:eastAsia="Arial" w:hAnsi="Arial"/>
          <w:sz w:val="18"/>
          <w:szCs w:val="18"/>
          <w:color w:val="auto"/>
        </w:rPr>
      </w:pPr>
    </w:p>
    <w:p>
      <w:pPr>
        <w:ind w:left="506" w:hanging="506"/>
        <w:spacing w:after="0" w:line="246" w:lineRule="auto"/>
        <w:tabs>
          <w:tab w:leader="none" w:pos="5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198" w:lineRule="exact"/>
        <w:rPr>
          <w:sz w:val="20"/>
          <w:szCs w:val="20"/>
          <w:color w:val="auto"/>
        </w:rPr>
      </w:pPr>
    </w:p>
    <w:p>
      <w:pPr>
        <w:ind w:left="6"/>
        <w:spacing w:after="0" w:line="271"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relation to any fees 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4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Final Maturity Date </w:t>
      </w:r>
      <w:r>
        <w:rPr>
          <w:rFonts w:ascii="Arial" w:cs="Arial" w:eastAsia="Arial" w:hAnsi="Arial"/>
          <w:sz w:val="18"/>
          <w:szCs w:val="18"/>
          <w:color w:val="auto"/>
        </w:rPr>
        <w:t>means the Final Repayment Date which falls due last.</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w:t>
      </w:r>
    </w:p>
    <w:p>
      <w:pPr>
        <w:spacing w:after="0" w:line="220" w:lineRule="exact"/>
        <w:rPr>
          <w:sz w:val="20"/>
          <w:szCs w:val="20"/>
          <w:color w:val="auto"/>
        </w:rPr>
      </w:pPr>
    </w:p>
    <w:p>
      <w:pPr>
        <w:ind w:left="506" w:hanging="506"/>
        <w:spacing w:after="0" w:line="246" w:lineRule="auto"/>
        <w:tabs>
          <w:tab w:leader="none" w:pos="5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respect of each Term Loan, the earlier of (i) 1 August 2025 and (ii) the date falling 53 months after the First Repayment Date for that Term Loan; or</w:t>
      </w:r>
    </w:p>
    <w:p>
      <w:pPr>
        <w:spacing w:after="0" w:line="183" w:lineRule="exact"/>
        <w:rPr>
          <w:rFonts w:ascii="Arial" w:cs="Arial" w:eastAsia="Arial" w:hAnsi="Arial"/>
          <w:sz w:val="18"/>
          <w:szCs w:val="18"/>
          <w:color w:val="auto"/>
        </w:rPr>
      </w:pPr>
    </w:p>
    <w:p>
      <w:pPr>
        <w:ind w:left="506" w:right="20" w:hanging="506"/>
        <w:spacing w:after="0" w:line="246"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respect of the Revolving Loans, the earlier of (i) 1 August 2025 and (ii) the date falling 59 months after the date of this Agreement.</w:t>
      </w:r>
    </w:p>
    <w:p>
      <w:pPr>
        <w:spacing w:after="0" w:line="183"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64135</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6"/>
          </w:cols>
          <w:pgMar w:left="834" w:top="319" w:right="339" w:bottom="1440" w:gutter="0" w:footer="0" w:header="0"/>
        </w:sectPr>
      </w:pPr>
    </w:p>
    <w:bookmarkStart w:id="15" w:name="page16"/>
    <w:bookmarkEnd w:id="15"/>
    <w:p>
      <w:pPr>
        <w:ind w:left="2"/>
        <w:spacing w:after="0" w:line="271" w:lineRule="auto"/>
        <w:rPr>
          <w:sz w:val="20"/>
          <w:szCs w:val="20"/>
          <w:color w:val="auto"/>
        </w:rPr>
      </w:pPr>
      <w:r>
        <w:rPr>
          <w:rFonts w:ascii="Arial" w:cs="Arial" w:eastAsia="Arial" w:hAnsi="Arial"/>
          <w:sz w:val="18"/>
          <w:szCs w:val="18"/>
          <w:b w:val="1"/>
          <w:bCs w:val="1"/>
          <w:color w:val="auto"/>
        </w:rPr>
        <w:t xml:space="preserve">Finance Documents </w:t>
      </w:r>
      <w:r>
        <w:rPr>
          <w:rFonts w:ascii="Arial" w:cs="Arial" w:eastAsia="Arial" w:hAnsi="Arial"/>
          <w:sz w:val="18"/>
          <w:szCs w:val="18"/>
          <w:color w:val="auto"/>
        </w:rPr>
        <w:t>means this Agreement, any Fee Letter, the Security Documents, any Transfer Certificate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designated as such by the Agent and the Borrowers.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Security Agent, the Bookrunner, any Arranger or a Lender.</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20" w:lineRule="exact"/>
        <w:rPr>
          <w:sz w:val="20"/>
          <w:szCs w:val="20"/>
          <w:color w:val="auto"/>
        </w:rPr>
      </w:pPr>
    </w:p>
    <w:p>
      <w:pPr>
        <w:ind w:left="522" w:hanging="522"/>
        <w:spacing w:after="0"/>
        <w:tabs>
          <w:tab w:leader="none" w:pos="5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198" w:lineRule="exact"/>
        <w:rPr>
          <w:rFonts w:ascii="Arial" w:cs="Arial" w:eastAsia="Arial" w:hAnsi="Arial"/>
          <w:sz w:val="18"/>
          <w:szCs w:val="18"/>
          <w:color w:val="auto"/>
        </w:rPr>
      </w:pPr>
    </w:p>
    <w:p>
      <w:pPr>
        <w:ind w:left="502" w:hanging="502"/>
        <w:spacing w:after="0" w:line="246" w:lineRule="auto"/>
        <w:tabs>
          <w:tab w:leader="none" w:pos="5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183" w:lineRule="exact"/>
        <w:rPr>
          <w:rFonts w:ascii="Arial" w:cs="Arial" w:eastAsia="Arial" w:hAnsi="Arial"/>
          <w:sz w:val="18"/>
          <w:szCs w:val="18"/>
          <w:color w:val="auto"/>
        </w:rPr>
      </w:pPr>
    </w:p>
    <w:p>
      <w:pPr>
        <w:ind w:left="502" w:hanging="502"/>
        <w:spacing w:after="0" w:line="246" w:lineRule="auto"/>
        <w:tabs>
          <w:tab w:leader="none" w:pos="5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balance sheet liability;</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198" w:lineRule="exact"/>
        <w:rPr>
          <w:rFonts w:ascii="Arial" w:cs="Arial" w:eastAsia="Arial" w:hAnsi="Arial"/>
          <w:sz w:val="18"/>
          <w:szCs w:val="18"/>
          <w:color w:val="auto"/>
        </w:rPr>
      </w:pPr>
    </w:p>
    <w:p>
      <w:pPr>
        <w:jc w:val="both"/>
        <w:ind w:left="502" w:hanging="502"/>
        <w:spacing w:after="0"/>
        <w:tabs>
          <w:tab w:leader="none" w:pos="5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Treasury Transaction (and, when calculating the value of that Treasury Transaction, only the marked to market value (or, if any actual amount is due as a result of the termination or close-out of that Treasury Transaction, that amount) shall be taken into account);</w:t>
      </w:r>
    </w:p>
    <w:p>
      <w:pPr>
        <w:spacing w:after="0" w:line="189" w:lineRule="exact"/>
        <w:rPr>
          <w:rFonts w:ascii="Arial" w:cs="Arial" w:eastAsia="Arial" w:hAnsi="Arial"/>
          <w:sz w:val="18"/>
          <w:szCs w:val="18"/>
          <w:color w:val="auto"/>
        </w:rPr>
      </w:pPr>
    </w:p>
    <w:p>
      <w:pPr>
        <w:ind w:left="502" w:hanging="502"/>
        <w:spacing w:after="0" w:line="246" w:lineRule="auto"/>
        <w:tabs>
          <w:tab w:leader="none" w:pos="5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83" w:lineRule="exact"/>
        <w:rPr>
          <w:rFonts w:ascii="Arial" w:cs="Arial" w:eastAsia="Arial" w:hAnsi="Arial"/>
          <w:sz w:val="18"/>
          <w:szCs w:val="18"/>
          <w:color w:val="auto"/>
        </w:rPr>
      </w:pPr>
    </w:p>
    <w:p>
      <w:pPr>
        <w:jc w:val="both"/>
        <w:ind w:left="502" w:hanging="502"/>
        <w:spacing w:after="0"/>
        <w:tabs>
          <w:tab w:leader="none" w:pos="5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180 days after the date of supply;</w:t>
      </w:r>
    </w:p>
    <w:p>
      <w:pPr>
        <w:spacing w:after="0" w:line="189" w:lineRule="exact"/>
        <w:rPr>
          <w:rFonts w:ascii="Arial" w:cs="Arial" w:eastAsia="Arial" w:hAnsi="Arial"/>
          <w:sz w:val="18"/>
          <w:szCs w:val="18"/>
          <w:color w:val="auto"/>
        </w:rPr>
      </w:pPr>
    </w:p>
    <w:p>
      <w:pPr>
        <w:ind w:left="502" w:hanging="502"/>
        <w:spacing w:after="0" w:line="246" w:lineRule="auto"/>
        <w:tabs>
          <w:tab w:leader="none" w:pos="6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83" w:lineRule="exact"/>
        <w:rPr>
          <w:rFonts w:ascii="Arial" w:cs="Arial" w:eastAsia="Arial" w:hAnsi="Arial"/>
          <w:sz w:val="18"/>
          <w:szCs w:val="18"/>
          <w:color w:val="auto"/>
        </w:rPr>
      </w:pPr>
    </w:p>
    <w:p>
      <w:pPr>
        <w:ind w:left="502" w:hanging="502"/>
        <w:spacing w:after="0"/>
        <w:tabs>
          <w:tab w:leader="none" w:pos="5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176"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First Repayment Date </w:t>
      </w:r>
      <w:r>
        <w:rPr>
          <w:rFonts w:ascii="Arial" w:cs="Arial" w:eastAsia="Arial" w:hAnsi="Arial"/>
          <w:sz w:val="18"/>
          <w:szCs w:val="18"/>
          <w:color w:val="auto"/>
        </w:rPr>
        <w:t>means, in respect of each Term Loan and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 the earlier of (a) 28</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2021 and (b) the date falling 6 months after the date of this Agreement.</w:t>
      </w:r>
    </w:p>
    <w:p>
      <w:pPr>
        <w:spacing w:after="0" w:line="140"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Flag State </w:t>
      </w:r>
      <w:r>
        <w:rPr>
          <w:rFonts w:ascii="Arial" w:cs="Arial" w:eastAsia="Arial" w:hAnsi="Arial"/>
          <w:sz w:val="18"/>
          <w:szCs w:val="18"/>
          <w:color w:val="auto"/>
        </w:rPr>
        <w:t>means, in relation to a Ship, the country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Approved Flag State (provided that the provisions of clause 22.1(b) are complied with) or such other state or territory as may be approved by all the Lenders (acting reasonably), at the request of the relevant Owner, as being the </w:t>
      </w:r>
      <w:r>
        <w:rPr>
          <w:rFonts w:ascii="Arial" w:cs="Arial" w:eastAsia="Arial" w:hAnsi="Arial"/>
          <w:sz w:val="18"/>
          <w:szCs w:val="18"/>
          <w:b w:val="1"/>
          <w:bCs w:val="1"/>
          <w:color w:val="auto"/>
        </w:rPr>
        <w:t>Flag State</w:t>
      </w:r>
      <w:r>
        <w:rPr>
          <w:rFonts w:ascii="Arial" w:cs="Arial" w:eastAsia="Arial" w:hAnsi="Arial"/>
          <w:sz w:val="18"/>
          <w:szCs w:val="18"/>
          <w:color w:val="auto"/>
        </w:rPr>
        <w:t xml:space="preserve"> of such Ship for the purposes of the Finance Documents.</w:t>
      </w:r>
    </w:p>
    <w:p>
      <w:pPr>
        <w:spacing w:after="0" w:line="16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each Mortgaged Ship and any other vessel directly or indirectly owned, wholly or partly, by any Group Member</w:t>
      </w:r>
      <w:r>
        <w:rPr>
          <w:rFonts w:ascii="Arial" w:cs="Arial" w:eastAsia="Arial" w:hAnsi="Arial"/>
          <w:sz w:val="18"/>
          <w:szCs w:val="18"/>
          <w:b w:val="1"/>
          <w:bCs w:val="1"/>
          <w:color w:val="auto"/>
        </w:rPr>
        <w:t xml:space="preserve"> </w:t>
      </w:r>
      <w:r>
        <w:rPr>
          <w:rFonts w:ascii="Arial" w:cs="Arial" w:eastAsia="Arial" w:hAnsi="Arial"/>
          <w:sz w:val="18"/>
          <w:szCs w:val="18"/>
          <w:color w:val="auto"/>
        </w:rPr>
        <w:t>(for so long as the Parent is an Active Guarantor) or by any MLP Group Member (for as long as MLP is an Active Guarantor).</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Funding Rate </w:t>
      </w:r>
      <w:r>
        <w:rPr>
          <w:rFonts w:ascii="Arial" w:cs="Arial" w:eastAsia="Arial" w:hAnsi="Arial"/>
          <w:sz w:val="18"/>
          <w:szCs w:val="18"/>
          <w:color w:val="auto"/>
        </w:rPr>
        <w:t>means any individual rate notified by a Lender to the Agent pursuant to paragraph (a)(ii) of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International Accounting Standards, International Financial Reporting Standards and related interpretations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supplemented, issued or adopted from time to time by</w:t>
      </w:r>
    </w:p>
    <w:p>
      <w:pPr>
        <w:spacing w:after="0" w:line="162"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16" w:name="page17"/>
    <w:bookmarkEnd w:id="16"/>
    <w:p>
      <w:pPr>
        <w:ind w:left="2"/>
        <w:spacing w:after="0"/>
        <w:rPr>
          <w:sz w:val="20"/>
          <w:szCs w:val="20"/>
          <w:color w:val="auto"/>
        </w:rPr>
      </w:pPr>
      <w:r>
        <w:rPr>
          <w:rFonts w:ascii="Arial" w:cs="Arial" w:eastAsia="Arial" w:hAnsi="Arial"/>
          <w:sz w:val="18"/>
          <w:szCs w:val="18"/>
          <w:color w:val="auto"/>
        </w:rPr>
        <w:t>the International Accounting Standards Board to the extent applicable to the relevant financial statements.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GasLog Carriers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a Ship in respect of which the mortgage is not an account current form, a first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interest in the Ship’s Insurances, Earnings and Requisition Compensation by the relevant Owner in favour of the Security Agent and/or any of the other Finance Parties in the agreed form.</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GPHL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Parent and its Subsidiaries for the time being (including the MLP Group) and, for the purposes of clause 19.1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Financial statements</w:t>
      </w:r>
      <w:r>
        <w:rPr>
          <w:rFonts w:ascii="Arial" w:cs="Arial" w:eastAsia="Arial" w:hAnsi="Arial"/>
          <w:sz w:val="18"/>
          <w:szCs w:val="18"/>
          <w:color w:val="auto"/>
        </w:rPr>
        <w:t>) and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any other entity required to be treated as a subsidiary in the Parent’s consolidated accounts in accordance with GAAP and/or any applicable law.</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Group.</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the obligations of the Guarantors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 together, the Parent, GasLog Carriers, MLP and GPHL and</w:t>
      </w:r>
      <w:r>
        <w:rPr>
          <w:rFonts w:ascii="Arial" w:cs="Arial" w:eastAsia="Arial" w:hAnsi="Arial"/>
          <w:sz w:val="18"/>
          <w:szCs w:val="18"/>
          <w:b w:val="1"/>
          <w:bCs w:val="1"/>
          <w:color w:val="auto"/>
        </w:rPr>
        <w:t xml:space="preserve"> Guarantor </w:t>
      </w:r>
      <w:r>
        <w:rPr>
          <w:rFonts w:ascii="Arial" w:cs="Arial" w:eastAsia="Arial" w:hAnsi="Arial"/>
          <w:sz w:val="18"/>
          <w:szCs w:val="18"/>
          <w:color w:val="auto"/>
        </w:rPr>
        <w:t>means any of them.</w:t>
      </w:r>
    </w:p>
    <w:p>
      <w:pPr>
        <w:spacing w:after="0" w:line="198"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which it is a Subsidiary.</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20" w:lineRule="exact"/>
        <w:rPr>
          <w:sz w:val="20"/>
          <w:szCs w:val="20"/>
          <w:color w:val="auto"/>
        </w:rPr>
      </w:pPr>
    </w:p>
    <w:p>
      <w:pPr>
        <w:ind w:left="502" w:hanging="502"/>
        <w:spacing w:after="0" w:line="246" w:lineRule="auto"/>
        <w:tabs>
          <w:tab w:leader="none" w:pos="6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in the case of paragraph (a) above:</w:t>
      </w:r>
    </w:p>
    <w:p>
      <w:pPr>
        <w:spacing w:after="0" w:line="198" w:lineRule="exact"/>
        <w:rPr>
          <w:sz w:val="20"/>
          <w:szCs w:val="20"/>
          <w:color w:val="auto"/>
        </w:rPr>
      </w:pPr>
    </w:p>
    <w:p>
      <w:pPr>
        <w:ind w:left="1022" w:hanging="511"/>
        <w:spacing w:after="0"/>
        <w:tabs>
          <w:tab w:leader="none" w:pos="10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98" w:lineRule="exact"/>
        <w:rPr>
          <w:rFonts w:ascii="Arial" w:cs="Arial" w:eastAsia="Arial" w:hAnsi="Arial"/>
          <w:sz w:val="18"/>
          <w:szCs w:val="18"/>
          <w:color w:val="auto"/>
        </w:rPr>
      </w:pPr>
    </w:p>
    <w:p>
      <w:pPr>
        <w:ind w:left="1562" w:hanging="541"/>
        <w:spacing w:after="0"/>
        <w:tabs>
          <w:tab w:leader="none" w:pos="15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98" w:lineRule="exact"/>
        <w:rPr>
          <w:rFonts w:ascii="Arial" w:cs="Arial" w:eastAsia="Arial" w:hAnsi="Arial"/>
          <w:sz w:val="18"/>
          <w:szCs w:val="18"/>
          <w:color w:val="auto"/>
        </w:rPr>
      </w:pPr>
    </w:p>
    <w:p>
      <w:pPr>
        <w:ind w:left="1562" w:hanging="541"/>
        <w:spacing w:after="0"/>
        <w:tabs>
          <w:tab w:leader="none" w:pos="15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198"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3 Business Days of its due date; or</w:t>
      </w:r>
    </w:p>
    <w:p>
      <w:pPr>
        <w:spacing w:after="0" w:line="198" w:lineRule="exact"/>
        <w:rPr>
          <w:sz w:val="20"/>
          <w:szCs w:val="20"/>
          <w:color w:val="auto"/>
        </w:rPr>
      </w:pPr>
    </w:p>
    <w:p>
      <w:pPr>
        <w:ind w:left="1002" w:hanging="491"/>
        <w:spacing w:after="0"/>
        <w:tabs>
          <w:tab w:leader="none" w:pos="10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has the meaning given to it in clause 13.1(b).</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means:</w:t>
      </w:r>
    </w:p>
    <w:p>
      <w:pPr>
        <w:spacing w:after="0" w:line="220" w:lineRule="exact"/>
        <w:rPr>
          <w:sz w:val="20"/>
          <w:szCs w:val="20"/>
          <w:color w:val="auto"/>
        </w:rPr>
      </w:pPr>
    </w:p>
    <w:p>
      <w:pPr>
        <w:ind w:left="502" w:hanging="502"/>
        <w:spacing w:after="0" w:line="246" w:lineRule="auto"/>
        <w:tabs>
          <w:tab w:leader="none" w:pos="5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Finance Party, each Receiver, any Delegate and any other attorney, agent or other person appointed by them under the Finance Documents;</w:t>
      </w:r>
    </w:p>
    <w:p>
      <w:pPr>
        <w:spacing w:after="0" w:line="18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7" w:name="page18"/>
    <w:bookmarkEnd w:id="17"/>
    <w:p>
      <w:pPr>
        <w:ind w:left="522" w:hanging="522"/>
        <w:spacing w:after="0"/>
        <w:tabs>
          <w:tab w:leader="none" w:pos="5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Affiliate of each Finance Party, each Receiver and each Delegate; and</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officers, directors, employees, representatives or agents of each Finance Party, each Receiver and each Delegate.</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 Finance Party means that the Finance Party:</w:t>
      </w:r>
    </w:p>
    <w:p>
      <w:pPr>
        <w:spacing w:after="0" w:line="220" w:lineRule="exact"/>
        <w:rPr>
          <w:sz w:val="20"/>
          <w:szCs w:val="20"/>
          <w:color w:val="auto"/>
        </w:rPr>
      </w:pPr>
    </w:p>
    <w:p>
      <w:pPr>
        <w:ind w:left="522" w:hanging="522"/>
        <w:spacing w:after="0"/>
        <w:tabs>
          <w:tab w:leader="none" w:pos="5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198" w:lineRule="exact"/>
        <w:rPr>
          <w:rFonts w:ascii="Arial" w:cs="Arial" w:eastAsia="Arial" w:hAnsi="Arial"/>
          <w:sz w:val="18"/>
          <w:szCs w:val="18"/>
          <w:color w:val="auto"/>
        </w:rPr>
      </w:pPr>
    </w:p>
    <w:p>
      <w:pPr>
        <w:ind w:left="502" w:hanging="502"/>
        <w:spacing w:after="0" w:line="246" w:lineRule="auto"/>
        <w:tabs>
          <w:tab w:leader="none" w:pos="5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83" w:lineRule="exact"/>
        <w:rPr>
          <w:rFonts w:ascii="Arial" w:cs="Arial" w:eastAsia="Arial" w:hAnsi="Arial"/>
          <w:sz w:val="18"/>
          <w:szCs w:val="18"/>
          <w:color w:val="auto"/>
        </w:rPr>
      </w:pPr>
    </w:p>
    <w:p>
      <w:pPr>
        <w:ind w:left="502" w:hanging="502"/>
        <w:spacing w:after="0"/>
        <w:tabs>
          <w:tab w:leader="none" w:pos="5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198" w:lineRule="exact"/>
        <w:rPr>
          <w:rFonts w:ascii="Arial" w:cs="Arial" w:eastAsia="Arial" w:hAnsi="Arial"/>
          <w:sz w:val="18"/>
          <w:szCs w:val="18"/>
          <w:color w:val="auto"/>
        </w:rPr>
      </w:pPr>
    </w:p>
    <w:p>
      <w:pPr>
        <w:jc w:val="both"/>
        <w:ind w:left="502" w:hanging="502"/>
        <w:spacing w:after="0" w:line="238" w:lineRule="auto"/>
        <w:tabs>
          <w:tab w:leader="none" w:pos="6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88" w:lineRule="exact"/>
        <w:rPr>
          <w:rFonts w:ascii="Arial" w:cs="Arial" w:eastAsia="Arial" w:hAnsi="Arial"/>
          <w:sz w:val="18"/>
          <w:szCs w:val="18"/>
          <w:color w:val="auto"/>
        </w:rPr>
      </w:pPr>
    </w:p>
    <w:p>
      <w:pPr>
        <w:jc w:val="both"/>
        <w:ind w:left="502" w:hanging="502"/>
        <w:spacing w:after="0" w:line="238" w:lineRule="auto"/>
        <w:tabs>
          <w:tab w:leader="none" w:pos="5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91" w:lineRule="exact"/>
        <w:rPr>
          <w:rFonts w:ascii="Arial" w:cs="Arial" w:eastAsia="Arial" w:hAnsi="Arial"/>
          <w:sz w:val="18"/>
          <w:szCs w:val="18"/>
          <w:color w:val="auto"/>
        </w:rPr>
      </w:pPr>
    </w:p>
    <w:p>
      <w:pPr>
        <w:ind w:left="1022" w:hanging="511"/>
        <w:spacing w:after="0" w:line="246" w:lineRule="auto"/>
        <w:tabs>
          <w:tab w:leader="none" w:pos="11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83" w:lineRule="exact"/>
        <w:rPr>
          <w:rFonts w:ascii="Arial" w:cs="Arial" w:eastAsia="Arial" w:hAnsi="Arial"/>
          <w:sz w:val="18"/>
          <w:szCs w:val="18"/>
          <w:color w:val="auto"/>
        </w:rPr>
      </w:pPr>
    </w:p>
    <w:p>
      <w:pPr>
        <w:ind w:left="1002" w:hanging="491"/>
        <w:spacing w:after="0"/>
        <w:tabs>
          <w:tab w:leader="none" w:pos="10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198" w:lineRule="exact"/>
        <w:rPr>
          <w:rFonts w:ascii="Arial" w:cs="Arial" w:eastAsia="Arial" w:hAnsi="Arial"/>
          <w:sz w:val="18"/>
          <w:szCs w:val="18"/>
          <w:color w:val="auto"/>
        </w:rPr>
      </w:pPr>
    </w:p>
    <w:p>
      <w:pPr>
        <w:jc w:val="both"/>
        <w:ind w:left="502" w:hanging="502"/>
        <w:spacing w:after="0"/>
        <w:tabs>
          <w:tab w:leader="none" w:pos="5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89" w:lineRule="exact"/>
        <w:rPr>
          <w:rFonts w:ascii="Arial" w:cs="Arial" w:eastAsia="Arial" w:hAnsi="Arial"/>
          <w:sz w:val="18"/>
          <w:szCs w:val="18"/>
          <w:color w:val="auto"/>
        </w:rPr>
      </w:pPr>
    </w:p>
    <w:p>
      <w:pPr>
        <w:ind w:left="502" w:right="20" w:hanging="502"/>
        <w:spacing w:after="0" w:line="246" w:lineRule="auto"/>
        <w:tabs>
          <w:tab w:leader="none" w:pos="7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83" w:lineRule="exact"/>
        <w:rPr>
          <w:rFonts w:ascii="Arial" w:cs="Arial" w:eastAsia="Arial" w:hAnsi="Arial"/>
          <w:sz w:val="18"/>
          <w:szCs w:val="18"/>
          <w:color w:val="auto"/>
        </w:rPr>
      </w:pPr>
    </w:p>
    <w:p>
      <w:pPr>
        <w:ind w:left="502" w:hanging="502"/>
        <w:spacing w:after="0" w:line="246" w:lineRule="auto"/>
        <w:tabs>
          <w:tab w:leader="none" w:pos="5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83" w:lineRule="exact"/>
        <w:rPr>
          <w:rFonts w:ascii="Arial" w:cs="Arial" w:eastAsia="Arial" w:hAnsi="Arial"/>
          <w:sz w:val="18"/>
          <w:szCs w:val="18"/>
          <w:color w:val="auto"/>
        </w:rPr>
      </w:pPr>
    </w:p>
    <w:p>
      <w:pPr>
        <w:jc w:val="both"/>
        <w:ind w:left="502" w:hanging="502"/>
        <w:spacing w:after="0"/>
        <w:tabs>
          <w:tab w:leader="none" w:pos="4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9" w:lineRule="exact"/>
        <w:rPr>
          <w:rFonts w:ascii="Arial" w:cs="Arial" w:eastAsia="Arial" w:hAnsi="Arial"/>
          <w:sz w:val="18"/>
          <w:szCs w:val="18"/>
          <w:color w:val="auto"/>
        </w:rPr>
      </w:pPr>
    </w:p>
    <w:p>
      <w:pPr>
        <w:ind w:left="502" w:hanging="502"/>
        <w:spacing w:after="0" w:line="246" w:lineRule="auto"/>
        <w:tabs>
          <w:tab w:leader="none" w:pos="4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83" w:lineRule="exact"/>
        <w:rPr>
          <w:rFonts w:ascii="Arial" w:cs="Arial" w:eastAsia="Arial" w:hAnsi="Arial"/>
          <w:sz w:val="18"/>
          <w:szCs w:val="18"/>
          <w:color w:val="auto"/>
        </w:rPr>
      </w:pPr>
    </w:p>
    <w:p>
      <w:pPr>
        <w:ind w:left="502" w:hanging="502"/>
        <w:spacing w:after="0"/>
        <w:tabs>
          <w:tab w:leader="none" w:pos="5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198"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18" w:name="page19"/>
    <w:bookmarkEnd w:id="18"/>
    <w:p>
      <w:pPr>
        <w:ind w:left="6"/>
        <w:spacing w:after="0" w:line="271" w:lineRule="auto"/>
        <w:rPr>
          <w:sz w:val="20"/>
          <w:szCs w:val="20"/>
          <w:color w:val="auto"/>
        </w:rPr>
      </w:pPr>
      <w:r>
        <w:rPr>
          <w:rFonts w:ascii="Arial" w:cs="Arial" w:eastAsia="Arial" w:hAnsi="Arial"/>
          <w:sz w:val="18"/>
          <w:szCs w:val="18"/>
          <w:b w:val="1"/>
          <w:bCs w:val="1"/>
          <w:color w:val="auto"/>
        </w:rPr>
        <w:t xml:space="preserve">Insurance Notice </w:t>
      </w:r>
      <w:r>
        <w:rPr>
          <w:rFonts w:ascii="Arial" w:cs="Arial" w:eastAsia="Arial" w:hAnsi="Arial"/>
          <w:sz w:val="18"/>
          <w:szCs w:val="18"/>
          <w:color w:val="auto"/>
        </w:rPr>
        <w:t>means, in relation to a Ship, a notice of assignment in the form scheduled to that Ship’s General Assignment or</w:t>
      </w:r>
      <w:r>
        <w:rPr>
          <w:rFonts w:ascii="Arial" w:cs="Arial" w:eastAsia="Arial" w:hAnsi="Arial"/>
          <w:sz w:val="18"/>
          <w:szCs w:val="18"/>
          <w:b w:val="1"/>
          <w:bCs w:val="1"/>
          <w:color w:val="auto"/>
        </w:rPr>
        <w:t xml:space="preserve"> </w:t>
      </w:r>
      <w:r>
        <w:rPr>
          <w:rFonts w:ascii="Arial" w:cs="Arial" w:eastAsia="Arial" w:hAnsi="Arial"/>
          <w:sz w:val="18"/>
          <w:szCs w:val="18"/>
          <w:color w:val="auto"/>
        </w:rPr>
        <w:t>Deed of Covenant or in another approved form.</w:t>
      </w:r>
    </w:p>
    <w:p>
      <w:pPr>
        <w:spacing w:after="0" w:line="14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a Ship:</w:t>
      </w:r>
    </w:p>
    <w:p>
      <w:pPr>
        <w:spacing w:after="0" w:line="220" w:lineRule="exact"/>
        <w:rPr>
          <w:sz w:val="20"/>
          <w:szCs w:val="20"/>
          <w:color w:val="auto"/>
        </w:rPr>
      </w:pPr>
    </w:p>
    <w:p>
      <w:pPr>
        <w:ind w:left="526" w:hanging="522"/>
        <w:spacing w:after="0"/>
        <w:tabs>
          <w:tab w:leader="none" w:pos="5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198" w:lineRule="exact"/>
        <w:rPr>
          <w:rFonts w:ascii="Arial" w:cs="Arial" w:eastAsia="Arial" w:hAnsi="Arial"/>
          <w:sz w:val="18"/>
          <w:szCs w:val="18"/>
          <w:color w:val="auto"/>
        </w:rPr>
      </w:pPr>
    </w:p>
    <w:p>
      <w:pPr>
        <w:ind w:left="526" w:hanging="522"/>
        <w:spacing w:after="0"/>
        <w:tabs>
          <w:tab w:leader="none" w:pos="5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198" w:lineRule="exact"/>
        <w:rPr>
          <w:sz w:val="20"/>
          <w:szCs w:val="20"/>
          <w:color w:val="auto"/>
        </w:rPr>
      </w:pPr>
    </w:p>
    <w:p>
      <w:pPr>
        <w:jc w:val="both"/>
        <w:ind w:left="6"/>
        <w:spacing w:after="0"/>
        <w:rPr>
          <w:sz w:val="20"/>
          <w:szCs w:val="20"/>
          <w:color w:val="auto"/>
        </w:rPr>
      </w:pPr>
      <w:r>
        <w:rPr>
          <w:rFonts w:ascii="Arial" w:cs="Arial" w:eastAsia="Arial" w:hAnsi="Arial"/>
          <w:sz w:val="18"/>
          <w:szCs w:val="18"/>
          <w:color w:val="auto"/>
        </w:rPr>
        <w:t>in the name of such Ship’s Owner or the joint names of its Owner and any other person in respect of or in connection with such Ship and/or its Owner’s Earnings from the Ship and includes all benefits thereof (including the right to receive claims and to return of premiums).</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19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40"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b w:val="1"/>
          <w:bCs w:val="1"/>
          <w:color w:val="auto"/>
        </w:rPr>
        <w:t xml:space="preserve">Interpolated Screen Rate </w:t>
      </w:r>
      <w:r>
        <w:rPr>
          <w:rFonts w:ascii="Arial" w:cs="Arial" w:eastAsia="Arial" w:hAnsi="Arial"/>
          <w:sz w:val="18"/>
          <w:szCs w:val="18"/>
          <w:color w:val="auto"/>
        </w:rPr>
        <w:t>means, in relation to LIBOR for an Interest Period with respect to any Loan or any part of it or any Unpaid</w:t>
      </w:r>
      <w:r>
        <w:rPr>
          <w:rFonts w:ascii="Arial" w:cs="Arial" w:eastAsia="Arial" w:hAnsi="Arial"/>
          <w:sz w:val="18"/>
          <w:szCs w:val="18"/>
          <w:b w:val="1"/>
          <w:bCs w:val="1"/>
          <w:color w:val="auto"/>
        </w:rPr>
        <w:t xml:space="preserve"> </w:t>
      </w:r>
      <w:r>
        <w:rPr>
          <w:rFonts w:ascii="Arial" w:cs="Arial" w:eastAsia="Arial" w:hAnsi="Arial"/>
          <w:sz w:val="18"/>
          <w:szCs w:val="18"/>
          <w:color w:val="auto"/>
        </w:rPr>
        <w:t>Sum, the rate (rounded to the same number of decimal places as the two (2) relevant Screen Rates) which results from interpolating on a linear basis between:</w:t>
      </w:r>
    </w:p>
    <w:p>
      <w:pPr>
        <w:spacing w:after="0" w:line="177" w:lineRule="exact"/>
        <w:rPr>
          <w:sz w:val="20"/>
          <w:szCs w:val="20"/>
          <w:color w:val="auto"/>
        </w:rPr>
      </w:pPr>
    </w:p>
    <w:p>
      <w:pPr>
        <w:ind w:left="506" w:hanging="506"/>
        <w:spacing w:after="0" w:line="246" w:lineRule="auto"/>
        <w:tabs>
          <w:tab w:leader="none" w:pos="6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that Loan (or the relevant part of it) or the relevant Unpaid Sum; and</w:t>
      </w:r>
    </w:p>
    <w:p>
      <w:pPr>
        <w:spacing w:after="0" w:line="183" w:lineRule="exact"/>
        <w:rPr>
          <w:rFonts w:ascii="Arial" w:cs="Arial" w:eastAsia="Arial" w:hAnsi="Arial"/>
          <w:sz w:val="18"/>
          <w:szCs w:val="18"/>
          <w:color w:val="auto"/>
        </w:rPr>
      </w:pPr>
    </w:p>
    <w:p>
      <w:pPr>
        <w:ind w:left="506" w:hanging="506"/>
        <w:spacing w:after="0" w:line="246" w:lineRule="auto"/>
        <w:tabs>
          <w:tab w:leader="none" w:pos="5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that Loan (or the relevant part of it) or the relevant Unpaid Sum,</w:t>
      </w:r>
    </w:p>
    <w:p>
      <w:pPr>
        <w:spacing w:after="0" w:line="183" w:lineRule="exact"/>
        <w:rPr>
          <w:sz w:val="20"/>
          <w:szCs w:val="20"/>
          <w:color w:val="auto"/>
        </w:rPr>
      </w:pPr>
    </w:p>
    <w:p>
      <w:pPr>
        <w:jc w:val="both"/>
        <w:ind w:left="6" w:right="20"/>
        <w:spacing w:after="0" w:line="246" w:lineRule="auto"/>
        <w:rPr>
          <w:sz w:val="20"/>
          <w:szCs w:val="20"/>
          <w:color w:val="auto"/>
        </w:rPr>
      </w:pPr>
      <w:r>
        <w:rPr>
          <w:rFonts w:ascii="Arial" w:cs="Arial" w:eastAsia="Arial" w:hAnsi="Arial"/>
          <w:sz w:val="18"/>
          <w:szCs w:val="18"/>
          <w:color w:val="auto"/>
        </w:rPr>
        <w:t>each as of 11:00 a.m. on the relevant Quotation Day, and if that applicable interpolated rate is less than zero (0), Interpolated Screen Rate shall be deemed to be zero (0).</w:t>
      </w:r>
    </w:p>
    <w:p>
      <w:pPr>
        <w:spacing w:after="0" w:line="161" w:lineRule="exact"/>
        <w:rPr>
          <w:sz w:val="20"/>
          <w:szCs w:val="20"/>
          <w:color w:val="auto"/>
        </w:rPr>
      </w:pPr>
    </w:p>
    <w:p>
      <w:pPr>
        <w:jc w:val="both"/>
        <w:ind w:left="6"/>
        <w:spacing w:after="0" w:line="253" w:lineRule="auto"/>
        <w:rPr>
          <w:sz w:val="20"/>
          <w:szCs w:val="20"/>
          <w:color w:val="auto"/>
        </w:rPr>
      </w:pPr>
      <w:r>
        <w:rPr>
          <w:rFonts w:ascii="Arial" w:cs="Arial" w:eastAsia="Arial" w:hAnsi="Arial"/>
          <w:sz w:val="18"/>
          <w:szCs w:val="18"/>
          <w:b w:val="1"/>
          <w:bCs w:val="1"/>
          <w:color w:val="auto"/>
        </w:rPr>
        <w:t xml:space="preserve">Inventory of Hazardous Materials </w:t>
      </w:r>
      <w:r>
        <w:rPr>
          <w:rFonts w:ascii="Arial" w:cs="Arial" w:eastAsia="Arial" w:hAnsi="Arial"/>
          <w:sz w:val="18"/>
          <w:szCs w:val="18"/>
          <w:color w:val="auto"/>
        </w:rPr>
        <w:t>means, in relation to a Mortgaged Ship, a document describing the materials present in that</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Mortgaged Ship’s structure and equipment that may be hazardous to human health or the environment along with their respective location and approximate quantities.</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w:t>
      </w:r>
    </w:p>
    <w:p>
      <w:pPr>
        <w:spacing w:after="0" w:line="220" w:lineRule="exact"/>
        <w:rPr>
          <w:sz w:val="20"/>
          <w:szCs w:val="20"/>
          <w:color w:val="auto"/>
        </w:rPr>
      </w:pPr>
    </w:p>
    <w:p>
      <w:pPr>
        <w:ind w:left="506" w:hanging="502"/>
        <w:spacing w:after="0" w:line="246" w:lineRule="auto"/>
        <w:tabs>
          <w:tab w:leader="none" w:pos="6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relation to the Term Loan Facility and each Term Loan, the earlier of (i) the date falling 2 months after the date of this Agreement and (ii) 31 August 2020; or</w:t>
      </w:r>
    </w:p>
    <w:p>
      <w:pPr>
        <w:spacing w:after="0" w:line="183" w:lineRule="exact"/>
        <w:rPr>
          <w:rFonts w:ascii="Arial" w:cs="Arial" w:eastAsia="Arial" w:hAnsi="Arial"/>
          <w:sz w:val="18"/>
          <w:szCs w:val="18"/>
          <w:color w:val="auto"/>
        </w:rPr>
      </w:pPr>
    </w:p>
    <w:p>
      <w:pPr>
        <w:ind w:left="526" w:hanging="526"/>
        <w:spacing w:after="0"/>
        <w:tabs>
          <w:tab w:leader="none" w:pos="5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relation to the Revolving Facility and each Revolving Loan, the date 3 months before the Final Maturity Date,</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color w:val="auto"/>
        </w:rPr>
        <w:t>or, in each such case, such later date as may be approved by all the Lenders.</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20" w:lineRule="exact"/>
        <w:rPr>
          <w:sz w:val="20"/>
          <w:szCs w:val="20"/>
          <w:color w:val="auto"/>
        </w:rPr>
      </w:pPr>
    </w:p>
    <w:p>
      <w:pPr>
        <w:ind w:left="506" w:hanging="502"/>
        <w:spacing w:after="0" w:line="246" w:lineRule="auto"/>
        <w:tabs>
          <w:tab w:leader="none" w:pos="5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83" w:lineRule="exact"/>
        <w:rPr>
          <w:rFonts w:ascii="Arial" w:cs="Arial" w:eastAsia="Arial" w:hAnsi="Arial"/>
          <w:sz w:val="18"/>
          <w:szCs w:val="18"/>
          <w:color w:val="auto"/>
        </w:rPr>
      </w:pPr>
    </w:p>
    <w:p>
      <w:pPr>
        <w:ind w:left="506" w:hanging="502"/>
        <w:spacing w:after="0" w:line="246"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 barring of claims under the Limitation Act 1980 and Foreign Limitation Periods Act 1984, the possibility that an undertaking to assume liability for, or indemnify a person</w:t>
      </w:r>
    </w:p>
    <w:p>
      <w:pPr>
        <w:spacing w:after="0" w:line="183"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64135</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6"/>
          </w:cols>
          <w:pgMar w:left="834" w:top="319" w:right="339" w:bottom="1440" w:gutter="0" w:footer="0" w:header="0"/>
        </w:sectPr>
      </w:pPr>
    </w:p>
    <w:bookmarkStart w:id="19" w:name="page20"/>
    <w:bookmarkEnd w:id="19"/>
    <w:p>
      <w:pPr>
        <w:ind w:left="502"/>
        <w:spacing w:after="0"/>
        <w:rPr>
          <w:sz w:val="20"/>
          <w:szCs w:val="20"/>
          <w:color w:val="auto"/>
        </w:rPr>
      </w:pPr>
      <w:r>
        <w:rPr>
          <w:rFonts w:ascii="Arial" w:cs="Arial" w:eastAsia="Arial" w:hAnsi="Arial"/>
          <w:sz w:val="18"/>
          <w:szCs w:val="18"/>
          <w:color w:val="auto"/>
        </w:rPr>
        <w:t>against, non-payment of UK stamp duty may be void and defences of set-off or counterclaim;</w:t>
      </w:r>
    </w:p>
    <w:p>
      <w:pPr>
        <w:spacing w:after="0" w:line="198" w:lineRule="exact"/>
        <w:rPr>
          <w:sz w:val="20"/>
          <w:szCs w:val="20"/>
          <w:color w:val="auto"/>
        </w:rPr>
      </w:pPr>
    </w:p>
    <w:p>
      <w:pPr>
        <w:ind w:left="502" w:hanging="502"/>
        <w:spacing w:after="0"/>
        <w:tabs>
          <w:tab w:leader="none" w:pos="5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198" w:lineRule="exact"/>
        <w:rPr>
          <w:rFonts w:ascii="Arial" w:cs="Arial" w:eastAsia="Arial" w:hAnsi="Arial"/>
          <w:sz w:val="18"/>
          <w:szCs w:val="18"/>
          <w:color w:val="auto"/>
        </w:rPr>
      </w:pPr>
    </w:p>
    <w:p>
      <w:pPr>
        <w:ind w:left="502" w:right="20" w:hanging="502"/>
        <w:spacing w:after="0" w:line="246" w:lineRule="auto"/>
        <w:tabs>
          <w:tab w:leader="none" w:pos="6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a Legal Opinion.</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20" w:lineRule="exact"/>
        <w:rPr>
          <w:sz w:val="20"/>
          <w:szCs w:val="20"/>
          <w:color w:val="auto"/>
        </w:rPr>
      </w:pPr>
    </w:p>
    <w:p>
      <w:pPr>
        <w:ind w:left="522" w:hanging="522"/>
        <w:spacing w:after="0"/>
        <w:tabs>
          <w:tab w:leader="none" w:pos="5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198" w:lineRule="exact"/>
        <w:rPr>
          <w:rFonts w:ascii="Arial" w:cs="Arial" w:eastAsia="Arial" w:hAnsi="Arial"/>
          <w:sz w:val="18"/>
          <w:szCs w:val="18"/>
          <w:color w:val="auto"/>
        </w:rPr>
      </w:pPr>
    </w:p>
    <w:p>
      <w:pPr>
        <w:ind w:left="502" w:right="20" w:hanging="502"/>
        <w:spacing w:after="0" w:line="246" w:lineRule="auto"/>
        <w:tabs>
          <w:tab w:leader="none" w:pos="5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any Loan or any part of it or any Unpaid Sum:</w:t>
      </w:r>
    </w:p>
    <w:p>
      <w:pPr>
        <w:spacing w:after="0" w:line="220" w:lineRule="exact"/>
        <w:rPr>
          <w:sz w:val="20"/>
          <w:szCs w:val="20"/>
          <w:color w:val="auto"/>
        </w:rPr>
      </w:pPr>
    </w:p>
    <w:p>
      <w:pPr>
        <w:ind w:left="502" w:hanging="502"/>
        <w:spacing w:after="0" w:line="246" w:lineRule="auto"/>
        <w:tabs>
          <w:tab w:leader="none" w:pos="5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applicable Screen Rate as at 11:00 a.m. on the relevant Quotation Day for a period equal in length to the Interest Period for that Loan (or the relevant part of it) or Unpaid Sum; or</w:t>
      </w:r>
    </w:p>
    <w:p>
      <w:pPr>
        <w:spacing w:after="0" w:line="165" w:lineRule="exact"/>
        <w:rPr>
          <w:rFonts w:ascii="Arial" w:cs="Arial" w:eastAsia="Arial" w:hAnsi="Arial"/>
          <w:sz w:val="18"/>
          <w:szCs w:val="18"/>
          <w:color w:val="auto"/>
        </w:rPr>
      </w:pPr>
    </w:p>
    <w:p>
      <w:pPr>
        <w:ind w:left="522" w:hanging="522"/>
        <w:spacing w:after="0"/>
        <w:tabs>
          <w:tab w:leader="none" w:pos="5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if, in either case, that rate is less than zero (0), LIBOR shall be deemed to be zero (0).</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mean the Term Loans and the Revolving Loans and</w:t>
      </w:r>
      <w:r>
        <w:rPr>
          <w:rFonts w:ascii="Arial" w:cs="Arial" w:eastAsia="Arial" w:hAnsi="Arial"/>
          <w:sz w:val="18"/>
          <w:szCs w:val="18"/>
          <w:b w:val="1"/>
          <w:bCs w:val="1"/>
          <w:color w:val="auto"/>
        </w:rPr>
        <w:t xml:space="preserve"> Loan </w:t>
      </w:r>
      <w:r>
        <w:rPr>
          <w:rFonts w:ascii="Arial" w:cs="Arial" w:eastAsia="Arial" w:hAnsi="Arial"/>
          <w:sz w:val="18"/>
          <w:szCs w:val="18"/>
          <w:color w:val="auto"/>
        </w:rPr>
        <w:t>means any one of them.</w:t>
      </w:r>
    </w:p>
    <w:p>
      <w:pPr>
        <w:spacing w:after="0" w:line="198"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Loss Payable Clauses </w:t>
      </w:r>
      <w:r>
        <w:rPr>
          <w:rFonts w:ascii="Arial" w:cs="Arial" w:eastAsia="Arial" w:hAnsi="Arial"/>
          <w:sz w:val="18"/>
          <w:szCs w:val="18"/>
          <w:color w:val="auto"/>
        </w:rPr>
        <w:t>means, in relation to a Ship, the provisions concerning payment of claims under the Ship’s Insurances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scheduled to the Ship’s General Assignment or (as the case may be) Deed of Covenant or in another approved form.</w:t>
      </w:r>
    </w:p>
    <w:p>
      <w:pPr>
        <w:spacing w:after="0" w:line="140" w:lineRule="exact"/>
        <w:rPr>
          <w:sz w:val="20"/>
          <w:szCs w:val="20"/>
          <w:color w:val="auto"/>
        </w:rPr>
      </w:pPr>
    </w:p>
    <w:p>
      <w:pPr>
        <w:ind w:left="2" w:right="20"/>
        <w:spacing w:after="0" w:line="271"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VAT) claims, actions, proceedings, penalties, fines, damages, judgments, orders or other sanctions.</w:t>
      </w:r>
    </w:p>
    <w:p>
      <w:pPr>
        <w:spacing w:after="0" w:line="14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w:t>
      </w:r>
      <w:r>
        <w:rPr>
          <w:rFonts w:ascii="Arial" w:cs="Arial" w:eastAsia="Arial" w:hAnsi="Arial"/>
          <w:sz w:val="18"/>
          <w:szCs w:val="18"/>
          <w:b w:val="1"/>
          <w:bCs w:val="1"/>
          <w:color w:val="auto"/>
        </w:rPr>
        <w:t xml:space="preserve"> </w:t>
      </w:r>
      <w:r>
        <w:rPr>
          <w:rFonts w:ascii="Arial" w:cs="Arial" w:eastAsia="Arial" w:hAnsi="Arial"/>
          <w:sz w:val="18"/>
          <w:szCs w:val="18"/>
          <w:color w:val="auto"/>
        </w:rPr>
        <w:t>exceed the Major Casualty Amount.</w:t>
      </w:r>
    </w:p>
    <w:p>
      <w:pPr>
        <w:spacing w:after="0" w:line="14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Major Casualty Amount </w:t>
      </w:r>
      <w:r>
        <w:rPr>
          <w:rFonts w:ascii="Arial" w:cs="Arial" w:eastAsia="Arial" w:hAnsi="Arial"/>
          <w:sz w:val="18"/>
          <w:szCs w:val="18"/>
          <w:color w:val="auto"/>
        </w:rPr>
        <w:t>means, in relation to a Ship, the amount specified as such against the name of that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or the equivalent in any other currency.</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20" w:lineRule="exact"/>
        <w:rPr>
          <w:sz w:val="20"/>
          <w:szCs w:val="20"/>
          <w:color w:val="auto"/>
        </w:rPr>
      </w:pPr>
    </w:p>
    <w:p>
      <w:pPr>
        <w:jc w:val="both"/>
        <w:ind w:left="502" w:hanging="502"/>
        <w:spacing w:after="0"/>
        <w:tabs>
          <w:tab w:leader="none" w:pos="7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no Loans are then outstanding, a Lender or Lenders whose Commitments aggregate more than 66.66% of the Total Commitments (or, if the Total Commitments have been reduced to zero, aggregated more than 66.66% of the Total Commitments immediately prior to the reduction); or</w:t>
      </w:r>
    </w:p>
    <w:p>
      <w:pPr>
        <w:spacing w:after="0" w:line="189" w:lineRule="exact"/>
        <w:rPr>
          <w:rFonts w:ascii="Arial" w:cs="Arial" w:eastAsia="Arial" w:hAnsi="Arial"/>
          <w:sz w:val="18"/>
          <w:szCs w:val="18"/>
          <w:color w:val="auto"/>
        </w:rPr>
      </w:pPr>
    </w:p>
    <w:p>
      <w:pPr>
        <w:ind w:left="522" w:hanging="522"/>
        <w:spacing w:after="0"/>
        <w:tabs>
          <w:tab w:leader="none" w:pos="5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any other time, a Lender or Lenders whose participations in the Loans aggregate more than 66.66% of the aggregate Loans.</w:t>
      </w:r>
    </w:p>
    <w:p>
      <w:pPr>
        <w:spacing w:after="0" w:line="176"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in relation to a Ship, the Commercial Manager or the Technical Manager for that Ship and</w:t>
      </w:r>
      <w:r>
        <w:rPr>
          <w:rFonts w:ascii="Arial" w:cs="Arial" w:eastAsia="Arial" w:hAnsi="Arial"/>
          <w:sz w:val="18"/>
          <w:szCs w:val="18"/>
          <w:b w:val="1"/>
          <w:bCs w:val="1"/>
          <w:color w:val="auto"/>
        </w:rPr>
        <w:t xml:space="preserve"> Managers </w:t>
      </w:r>
      <w:r>
        <w:rPr>
          <w:rFonts w:ascii="Arial" w:cs="Arial" w:eastAsia="Arial" w:hAnsi="Arial"/>
          <w:sz w:val="18"/>
          <w:szCs w:val="18"/>
          <w:color w:val="auto"/>
        </w:rPr>
        <w:t>means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them.</w:t>
      </w:r>
    </w:p>
    <w:p>
      <w:pPr>
        <w:spacing w:after="0" w:line="14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in relation to a Ship, an undertaking by any manager of the Ship to the Security Agent in the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form, including if required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2"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0" w:name="page21"/>
    <w:bookmarkEnd w:id="20"/>
    <w:p>
      <w:pPr>
        <w:ind w:left="2"/>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 2.85 per cent per annum.</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20" w:lineRule="exact"/>
        <w:rPr>
          <w:sz w:val="20"/>
          <w:szCs w:val="20"/>
          <w:color w:val="auto"/>
        </w:rPr>
      </w:pPr>
    </w:p>
    <w:p>
      <w:pPr>
        <w:ind w:left="522" w:hanging="522"/>
        <w:spacing w:after="0"/>
        <w:tabs>
          <w:tab w:leader="none" w:pos="5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business, operations, property, financial condition or performance of:</w:t>
      </w:r>
    </w:p>
    <w:p>
      <w:pPr>
        <w:spacing w:after="0" w:line="198" w:lineRule="exact"/>
        <w:rPr>
          <w:rFonts w:ascii="Arial" w:cs="Arial" w:eastAsia="Arial" w:hAnsi="Arial"/>
          <w:sz w:val="18"/>
          <w:szCs w:val="18"/>
          <w:color w:val="auto"/>
        </w:rPr>
      </w:pPr>
    </w:p>
    <w:p>
      <w:pPr>
        <w:ind w:left="1062" w:hanging="551"/>
        <w:spacing w:after="0"/>
        <w:tabs>
          <w:tab w:leader="none" w:pos="10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Obligor; or</w:t>
      </w:r>
    </w:p>
    <w:p>
      <w:pPr>
        <w:spacing w:after="0" w:line="198" w:lineRule="exact"/>
        <w:rPr>
          <w:rFonts w:ascii="Arial" w:cs="Arial" w:eastAsia="Arial" w:hAnsi="Arial"/>
          <w:sz w:val="18"/>
          <w:szCs w:val="18"/>
          <w:color w:val="auto"/>
        </w:rPr>
      </w:pPr>
    </w:p>
    <w:p>
      <w:pPr>
        <w:ind w:left="1062" w:hanging="551"/>
        <w:spacing w:after="0"/>
        <w:tabs>
          <w:tab w:leader="none" w:pos="106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at any time when the Parent is an Active Guarantor, the Group taken as a whole; or</w:t>
      </w:r>
    </w:p>
    <w:p>
      <w:pPr>
        <w:spacing w:after="0" w:line="198" w:lineRule="exact"/>
        <w:rPr>
          <w:rFonts w:ascii="Arial" w:cs="Arial" w:eastAsia="Arial" w:hAnsi="Arial"/>
          <w:sz w:val="18"/>
          <w:szCs w:val="18"/>
          <w:color w:val="auto"/>
        </w:rPr>
      </w:pPr>
    </w:p>
    <w:p>
      <w:pPr>
        <w:ind w:left="1042" w:hanging="531"/>
        <w:spacing w:after="0"/>
        <w:tabs>
          <w:tab w:leader="none" w:pos="10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at any time when MLP is an Active Guarantor, the MLP Group taken as a whole;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any of the Finance Documents; or</w:t>
      </w:r>
    </w:p>
    <w:p>
      <w:pPr>
        <w:spacing w:after="0" w:line="198" w:lineRule="exact"/>
        <w:rPr>
          <w:rFonts w:ascii="Arial" w:cs="Arial" w:eastAsia="Arial" w:hAnsi="Arial"/>
          <w:sz w:val="18"/>
          <w:szCs w:val="18"/>
          <w:color w:val="auto"/>
        </w:rPr>
      </w:pPr>
    </w:p>
    <w:p>
      <w:pPr>
        <w:jc w:val="both"/>
        <w:ind w:left="502" w:hanging="502"/>
        <w:spacing w:after="0"/>
        <w:tabs>
          <w:tab w:leader="none" w:pos="6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any Security Interest granted or purporting to be granted pursuant to any of, the Finance Documents or any of the rights or remedies of any Finance Party under any of the Finance Documents.</w:t>
      </w:r>
    </w:p>
    <w:p>
      <w:pPr>
        <w:spacing w:after="0" w:line="167"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at any time, the amount in dollars which is 120% of the aggregate of (a) all Loans and (b) any undrawn</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Available Facility.</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MLP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MLP Group </w:t>
      </w:r>
      <w:r>
        <w:rPr>
          <w:rFonts w:ascii="Arial" w:cs="Arial" w:eastAsia="Arial" w:hAnsi="Arial"/>
          <w:sz w:val="18"/>
          <w:szCs w:val="18"/>
          <w:color w:val="auto"/>
        </w:rPr>
        <w:t>means the MLP and its Subsidiaries for the time being and, for the purposes of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any other entity required to be treated as a subsidiary in the MLP’s consolidated accounts in accordance with GAAP and/or any applicable law.</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MLP Group Member </w:t>
      </w:r>
      <w:r>
        <w:rPr>
          <w:rFonts w:ascii="Arial" w:cs="Arial" w:eastAsia="Arial" w:hAnsi="Arial"/>
          <w:sz w:val="18"/>
          <w:szCs w:val="18"/>
          <w:color w:val="auto"/>
        </w:rPr>
        <w:t>means any entity which is part of the MLP Group.</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MLP Relevant Borrower </w:t>
      </w:r>
      <w:r>
        <w:rPr>
          <w:rFonts w:ascii="Arial" w:cs="Arial" w:eastAsia="Arial" w:hAnsi="Arial"/>
          <w:sz w:val="18"/>
          <w:szCs w:val="18"/>
          <w:color w:val="auto"/>
        </w:rPr>
        <w:t>means, at any relevant time, a Borrower:</w:t>
      </w:r>
    </w:p>
    <w:p>
      <w:pPr>
        <w:spacing w:after="0" w:line="220" w:lineRule="exact"/>
        <w:rPr>
          <w:sz w:val="20"/>
          <w:szCs w:val="20"/>
          <w:color w:val="auto"/>
        </w:rPr>
      </w:pPr>
    </w:p>
    <w:p>
      <w:pPr>
        <w:ind w:left="522" w:hanging="522"/>
        <w:spacing w:after="0"/>
        <w:tabs>
          <w:tab w:leader="none" w:pos="5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controlled at such relevant time by MLP and/or by GPHL; and/or</w:t>
      </w:r>
    </w:p>
    <w:p>
      <w:pPr>
        <w:spacing w:after="0" w:line="198" w:lineRule="exact"/>
        <w:rPr>
          <w:rFonts w:ascii="Arial" w:cs="Arial" w:eastAsia="Arial" w:hAnsi="Arial"/>
          <w:sz w:val="18"/>
          <w:szCs w:val="18"/>
          <w:color w:val="auto"/>
        </w:rPr>
      </w:pPr>
    </w:p>
    <w:p>
      <w:pPr>
        <w:ind w:left="502" w:hanging="502"/>
        <w:spacing w:after="0" w:line="246" w:lineRule="auto"/>
        <w:tabs>
          <w:tab w:leader="none" w:pos="6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majority of the voting share capital of which is owned (whether directly or indirectly) by MLP and/or by GPHL at such relevant time.</w:t>
      </w:r>
    </w:p>
    <w:p>
      <w:pPr>
        <w:spacing w:after="0" w:line="161"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in relation to a Ship, a first priority or (as the case may be) first preferred mortgage of the Ship in the agreed form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Owner in favour of the Security Agent and/or any of the other Finance Parties.</w:t>
      </w:r>
    </w:p>
    <w:p>
      <w:pPr>
        <w:spacing w:after="0" w:line="14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a Mortgaged Ship, the period from the date the Mortgage over that Ship is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until the date such Mortgage is released and discharged or, if earlier, its Total Loss Date.</w:t>
      </w:r>
    </w:p>
    <w:p>
      <w:pPr>
        <w:spacing w:after="0" w:line="14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Mortgaged Ship </w:t>
      </w:r>
      <w:r>
        <w:rPr>
          <w:rFonts w:ascii="Arial" w:cs="Arial" w:eastAsia="Arial" w:hAnsi="Arial"/>
          <w:sz w:val="18"/>
          <w:szCs w:val="18"/>
          <w:color w:val="auto"/>
        </w:rPr>
        <w:t>means, at any relevant time, any Ship which is subject to a Mortgage and/or whose Earnings, Insurances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Requisition Compensation are subject to a Security Interest under the Finance Documents.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Non-Acceptable Charterer </w:t>
      </w:r>
      <w:r>
        <w:rPr>
          <w:rFonts w:ascii="Arial" w:cs="Arial" w:eastAsia="Arial" w:hAnsi="Arial"/>
          <w:sz w:val="18"/>
          <w:szCs w:val="18"/>
          <w:color w:val="auto"/>
        </w:rPr>
        <w:t>means a charterer who:</w:t>
      </w:r>
    </w:p>
    <w:p>
      <w:pPr>
        <w:spacing w:after="0" w:line="220" w:lineRule="exact"/>
        <w:rPr>
          <w:sz w:val="20"/>
          <w:szCs w:val="20"/>
          <w:color w:val="auto"/>
        </w:rPr>
      </w:pPr>
    </w:p>
    <w:p>
      <w:pPr>
        <w:ind w:left="502" w:hanging="502"/>
        <w:spacing w:after="0" w:line="246"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subject to Sanctions or otherwise a Prohibited Person, other than any such charterer with whom the relevant chartering activity by an Owner is not in breach of Sanctions; or</w:t>
      </w:r>
    </w:p>
    <w:p>
      <w:pPr>
        <w:spacing w:after="0" w:line="183" w:lineRule="exact"/>
        <w:rPr>
          <w:rFonts w:ascii="Arial" w:cs="Arial" w:eastAsia="Arial" w:hAnsi="Arial"/>
          <w:sz w:val="18"/>
          <w:szCs w:val="18"/>
          <w:color w:val="auto"/>
        </w:rPr>
      </w:pPr>
    </w:p>
    <w:p>
      <w:pPr>
        <w:jc w:val="both"/>
        <w:ind w:left="502" w:hanging="502"/>
        <w:spacing w:after="0"/>
        <w:tabs>
          <w:tab w:leader="none" w:pos="5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Borrowers’ knowledge) is subject to a final, non appealable order or judgment of a court of competent jurisdiction being the outcome of proceedings regarding Sanctions, anti bribery, anti corruption, securities or environmental laws violations, to the extent such order</w:t>
      </w:r>
    </w:p>
    <w:p>
      <w:pPr>
        <w:spacing w:after="0" w:line="189"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21" w:name="page22"/>
    <w:bookmarkEnd w:id="21"/>
    <w:p>
      <w:pPr>
        <w:ind w:left="502"/>
        <w:spacing w:after="0"/>
        <w:rPr>
          <w:sz w:val="20"/>
          <w:szCs w:val="20"/>
          <w:color w:val="auto"/>
        </w:rPr>
      </w:pPr>
      <w:r>
        <w:rPr>
          <w:rFonts w:ascii="Arial" w:cs="Arial" w:eastAsia="Arial" w:hAnsi="Arial"/>
          <w:sz w:val="18"/>
          <w:szCs w:val="18"/>
          <w:color w:val="auto"/>
        </w:rPr>
        <w:t>or judgment would reasonably be expected to have a material adverse effect on the standing and reputation of such charterer.</w:t>
      </w:r>
    </w:p>
    <w:p>
      <w:pPr>
        <w:spacing w:after="0" w:line="176"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Notifiable Debt Purchase Transaction </w:t>
      </w:r>
      <w:r>
        <w:rPr>
          <w:rFonts w:ascii="Arial" w:cs="Arial" w:eastAsia="Arial" w:hAnsi="Arial"/>
          <w:sz w:val="18"/>
          <w:szCs w:val="18"/>
          <w:color w:val="auto"/>
        </w:rPr>
        <w:t>has the meaning given to that term in clause 31.3(b) (</w:t>
      </w:r>
      <w:r>
        <w:rPr>
          <w:rFonts w:ascii="Arial" w:cs="Arial" w:eastAsia="Arial" w:hAnsi="Arial"/>
          <w:sz w:val="18"/>
          <w:szCs w:val="18"/>
          <w:i w:val="1"/>
          <w:iCs w:val="1"/>
          <w:color w:val="auto"/>
        </w:rPr>
        <w:t>Disenfranchisement of Debt Purchase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Transactions entered into by Affiliates</w:t>
      </w:r>
      <w:r>
        <w:rPr>
          <w:rFonts w:ascii="Arial" w:cs="Arial" w:eastAsia="Arial" w:hAnsi="Arial"/>
          <w:sz w:val="18"/>
          <w:szCs w:val="18"/>
          <w:color w:val="auto"/>
        </w:rPr>
        <w: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the Borrowers, the Managers and the Guarantors and</w:t>
      </w:r>
      <w:r>
        <w:rPr>
          <w:rFonts w:ascii="Arial" w:cs="Arial" w:eastAsia="Arial" w:hAnsi="Arial"/>
          <w:sz w:val="18"/>
          <w:szCs w:val="18"/>
          <w:b w:val="1"/>
          <w:bCs w:val="1"/>
          <w:color w:val="auto"/>
        </w:rPr>
        <w:t xml:space="preserve"> Obligor </w:t>
      </w:r>
      <w:r>
        <w:rPr>
          <w:rFonts w:ascii="Arial" w:cs="Arial" w:eastAsia="Arial" w:hAnsi="Arial"/>
          <w:sz w:val="18"/>
          <w:szCs w:val="18"/>
          <w:color w:val="auto"/>
        </w:rPr>
        <w:t>means any one of them.</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20" w:lineRule="exact"/>
        <w:rPr>
          <w:sz w:val="20"/>
          <w:szCs w:val="20"/>
          <w:color w:val="auto"/>
        </w:rPr>
      </w:pPr>
    </w:p>
    <w:p>
      <w:pPr>
        <w:ind w:left="522" w:hanging="522"/>
        <w:spacing w:after="0"/>
        <w:tabs>
          <w:tab w:leader="none" w:pos="5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for its financial year ended on 31 December 2019; and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audited consolidated financial statements of GasLog Carriers for the financial year ended on 31 December 2019.</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20" w:lineRule="exact"/>
        <w:rPr>
          <w:sz w:val="20"/>
          <w:szCs w:val="20"/>
          <w:color w:val="auto"/>
        </w:rPr>
      </w:pPr>
    </w:p>
    <w:p>
      <w:pPr>
        <w:ind w:left="522" w:hanging="522"/>
        <w:spacing w:after="0"/>
        <w:tabs>
          <w:tab w:leader="none" w:pos="5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Mortgages over each of the Ships;</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Deeds of Covenant in relation to each of the Ships in respect of which the Mortgage is in account current form;</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General Assignments in relation to each of the Ships in respect of which the Mortgage is in preferred form;</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Charter Assignment in relation to each Ship’s Charter Documents;</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Quiet Enjoyment Agreement in relation to any Ship;</w:t>
      </w:r>
    </w:p>
    <w:p>
      <w:pPr>
        <w:spacing w:after="0" w:line="198" w:lineRule="exact"/>
        <w:rPr>
          <w:rFonts w:ascii="Arial" w:cs="Arial" w:eastAsia="Arial" w:hAnsi="Arial"/>
          <w:sz w:val="18"/>
          <w:szCs w:val="18"/>
          <w:color w:val="auto"/>
        </w:rPr>
      </w:pPr>
    </w:p>
    <w:p>
      <w:pPr>
        <w:ind w:left="462" w:hanging="462"/>
        <w:spacing w:after="0"/>
        <w:tabs>
          <w:tab w:leader="none" w:pos="4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Account Security in relation to each Account;</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 Security in relation to each Borrower;</w:t>
      </w:r>
    </w:p>
    <w:p>
      <w:pPr>
        <w:spacing w:after="0" w:line="198" w:lineRule="exact"/>
        <w:rPr>
          <w:rFonts w:ascii="Arial" w:cs="Arial" w:eastAsia="Arial" w:hAnsi="Arial"/>
          <w:sz w:val="18"/>
          <w:szCs w:val="18"/>
          <w:color w:val="auto"/>
        </w:rPr>
      </w:pPr>
    </w:p>
    <w:p>
      <w:pPr>
        <w:ind w:left="502" w:right="20" w:hanging="502"/>
        <w:spacing w:after="0" w:line="246" w:lineRule="auto"/>
        <w:tabs>
          <w:tab w:leader="none" w:pos="9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assignment in respect of any charter commitment in respect of any Ship entered into pursuant to clause 22.7(b) (</w:t>
      </w:r>
      <w:r>
        <w:rPr>
          <w:rFonts w:ascii="Arial" w:cs="Arial" w:eastAsia="Arial" w:hAnsi="Arial"/>
          <w:sz w:val="18"/>
          <w:szCs w:val="18"/>
          <w:i w:val="1"/>
          <w:iCs w:val="1"/>
          <w:color w:val="auto"/>
        </w:rPr>
        <w:t>Chartering</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462" w:hanging="462"/>
        <w:spacing w:after="0"/>
        <w:tabs>
          <w:tab w:leader="none" w:pos="4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Manager’s Undertaking in relation to a Ship, including if required under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94"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Owner </w:t>
      </w:r>
      <w:r>
        <w:rPr>
          <w:rFonts w:ascii="Arial" w:cs="Arial" w:eastAsia="Arial" w:hAnsi="Arial"/>
          <w:sz w:val="18"/>
          <w:szCs w:val="18"/>
          <w:color w:val="auto"/>
        </w:rPr>
        <w:t>means, in relation to a Ship, the Borrower specified against the name of that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Owners </w:t>
      </w:r>
      <w:r>
        <w:rPr>
          <w:rFonts w:ascii="Arial" w:cs="Arial" w:eastAsia="Arial" w:hAnsi="Arial"/>
          <w:sz w:val="18"/>
          <w:szCs w:val="18"/>
          <w:color w:val="auto"/>
        </w:rPr>
        <w:t>means all of them.</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75" w:lineRule="auto"/>
        <w:rPr>
          <w:sz w:val="20"/>
          <w:szCs w:val="20"/>
          <w:color w:val="auto"/>
        </w:rPr>
      </w:pPr>
      <w:r>
        <w:rPr>
          <w:rFonts w:ascii="Arial" w:cs="Arial" w:eastAsia="Arial" w:hAnsi="Arial"/>
          <w:sz w:val="17"/>
          <w:szCs w:val="17"/>
          <w:b w:val="1"/>
          <w:bCs w:val="1"/>
          <w:color w:val="auto"/>
        </w:rPr>
        <w:t xml:space="preserve">Parent Affiliate </w:t>
      </w:r>
      <w:r>
        <w:rPr>
          <w:rFonts w:ascii="Arial" w:cs="Arial" w:eastAsia="Arial" w:hAnsi="Arial"/>
          <w:sz w:val="17"/>
          <w:szCs w:val="17"/>
          <w:color w:val="auto"/>
        </w:rPr>
        <w:t>means the Parent, the MLP, each of their respective Affiliates, any trust of which the Parent or the MLP or any of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Affiliates is a trustee, any partnership of which the Parent or the MLP or any of their respective Affiliates is a partner and any trust, fund or other entity which is managed by, or is under the control of, the Parent or the MLP or any of their respective Affiliates.</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Parent Relevant Borrower </w:t>
      </w:r>
      <w:r>
        <w:rPr>
          <w:rFonts w:ascii="Arial" w:cs="Arial" w:eastAsia="Arial" w:hAnsi="Arial"/>
          <w:sz w:val="18"/>
          <w:szCs w:val="18"/>
          <w:color w:val="auto"/>
        </w:rPr>
        <w:t>means, at any relevant time, a Borrower:</w:t>
      </w:r>
    </w:p>
    <w:p>
      <w:pPr>
        <w:spacing w:after="0" w:line="220" w:lineRule="exact"/>
        <w:rPr>
          <w:sz w:val="20"/>
          <w:szCs w:val="20"/>
          <w:color w:val="auto"/>
        </w:rPr>
      </w:pPr>
    </w:p>
    <w:p>
      <w:pPr>
        <w:ind w:left="522" w:hanging="522"/>
        <w:spacing w:after="0"/>
        <w:tabs>
          <w:tab w:leader="none" w:pos="5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controlled at such relevant time by the Parent and/or GasLog Carriers; and/or</w:t>
      </w:r>
    </w:p>
    <w:p>
      <w:pPr>
        <w:spacing w:after="0" w:line="198" w:lineRule="exact"/>
        <w:rPr>
          <w:rFonts w:ascii="Arial" w:cs="Arial" w:eastAsia="Arial" w:hAnsi="Arial"/>
          <w:sz w:val="18"/>
          <w:szCs w:val="18"/>
          <w:color w:val="auto"/>
        </w:rPr>
      </w:pPr>
    </w:p>
    <w:p>
      <w:pPr>
        <w:ind w:left="502" w:right="20" w:hanging="502"/>
        <w:spacing w:after="0" w:line="246" w:lineRule="auto"/>
        <w:tabs>
          <w:tab w:leader="none" w:pos="5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majority of the voting share capital of which is owned (whether directly or indirectly) by the Parent and/or by GasLog Carriers at such relevant time,</w:t>
      </w:r>
    </w:p>
    <w:p>
      <w:pPr>
        <w:spacing w:after="0" w:line="18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2" w:name="page23"/>
    <w:bookmarkEnd w:id="22"/>
    <w:p>
      <w:pPr>
        <w:ind w:left="2"/>
        <w:spacing w:after="0"/>
        <w:rPr>
          <w:sz w:val="20"/>
          <w:szCs w:val="20"/>
          <w:color w:val="auto"/>
        </w:rPr>
      </w:pPr>
      <w:r>
        <w:rPr>
          <w:rFonts w:ascii="Arial" w:cs="Arial" w:eastAsia="Arial" w:hAnsi="Arial"/>
          <w:sz w:val="18"/>
          <w:szCs w:val="18"/>
          <w:color w:val="auto"/>
        </w:rPr>
        <w:t>and which is not an MLP Relevant Borrower at that time.</w:t>
      </w:r>
    </w:p>
    <w:p>
      <w:pPr>
        <w:spacing w:after="0" w:line="176"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legislation of the European Union relating to Economic and Monetary Union.</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20" w:lineRule="exact"/>
        <w:rPr>
          <w:sz w:val="20"/>
          <w:szCs w:val="20"/>
          <w:color w:val="auto"/>
        </w:rPr>
      </w:pPr>
    </w:p>
    <w:p>
      <w:pPr>
        <w:jc w:val="both"/>
        <w:ind w:left="502" w:hanging="502"/>
        <w:spacing w:after="0" w:line="23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191" w:lineRule="exact"/>
        <w:rPr>
          <w:rFonts w:ascii="Arial" w:cs="Arial" w:eastAsia="Arial" w:hAnsi="Arial"/>
          <w:sz w:val="18"/>
          <w:szCs w:val="18"/>
          <w:color w:val="auto"/>
        </w:rPr>
      </w:pPr>
    </w:p>
    <w:p>
      <w:pPr>
        <w:ind w:left="502" w:hanging="502"/>
        <w:spacing w:after="0" w:line="246" w:lineRule="auto"/>
        <w:tabs>
          <w:tab w:leader="none" w:pos="6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83" w:lineRule="exact"/>
        <w:rPr>
          <w:rFonts w:ascii="Arial" w:cs="Arial" w:eastAsia="Arial" w:hAnsi="Arial"/>
          <w:sz w:val="18"/>
          <w:szCs w:val="18"/>
          <w:color w:val="auto"/>
        </w:rPr>
      </w:pPr>
    </w:p>
    <w:p>
      <w:pPr>
        <w:ind w:left="1022" w:hanging="511"/>
        <w:spacing w:after="0"/>
        <w:tabs>
          <w:tab w:leader="none" w:pos="10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98" w:lineRule="exact"/>
        <w:rPr>
          <w:rFonts w:ascii="Arial" w:cs="Arial" w:eastAsia="Arial" w:hAnsi="Arial"/>
          <w:sz w:val="18"/>
          <w:szCs w:val="18"/>
          <w:color w:val="auto"/>
        </w:rPr>
      </w:pPr>
    </w:p>
    <w:p>
      <w:pPr>
        <w:ind w:left="1002" w:hanging="491"/>
        <w:spacing w:after="0"/>
        <w:tabs>
          <w:tab w:leader="none" w:pos="1002" w:val="left"/>
        </w:tabs>
        <w:numPr>
          <w:ilvl w:val="1"/>
          <w:numId w:val="46"/>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76"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Permitted Holders </w:t>
      </w:r>
      <w:r>
        <w:rPr>
          <w:rFonts w:ascii="Arial" w:cs="Arial" w:eastAsia="Arial" w:hAnsi="Arial"/>
          <w:sz w:val="18"/>
          <w:szCs w:val="18"/>
          <w:color w:val="auto"/>
        </w:rPr>
        <w:t>means the person disclosed by the Obligors to the Lenders in the negotiation of this Agreement as the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the affairs and composition of the majority of the board of directors of the Parent (as such person is set out in item 7 (headed “Major Shareholder and related party transactions”) of the form 20-F relevant to the annual report submitted to the United States Securities and Exchange Commission by the Parent for the financial year ended on 31 December 2019).</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a Ship:</w:t>
      </w:r>
    </w:p>
    <w:p>
      <w:pPr>
        <w:spacing w:after="0" w:line="220" w:lineRule="exact"/>
        <w:rPr>
          <w:sz w:val="20"/>
          <w:szCs w:val="20"/>
          <w:color w:val="auto"/>
        </w:rPr>
      </w:pPr>
    </w:p>
    <w:p>
      <w:pPr>
        <w:ind w:left="502" w:right="20" w:hanging="502"/>
        <w:spacing w:after="0" w:line="246" w:lineRule="auto"/>
        <w:tabs>
          <w:tab w:leader="none" w:pos="6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such Ship for an amount not exceeding the Major Casualty Amount for such Ship;</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lien on such Ship for master’s, officer’s or crew’s wages outstanding in the ordinary course of its trading;</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lien on such Ship for salvage; and</w:t>
      </w:r>
    </w:p>
    <w:p>
      <w:pPr>
        <w:spacing w:after="0" w:line="198" w:lineRule="exact"/>
        <w:rPr>
          <w:rFonts w:ascii="Arial" w:cs="Arial" w:eastAsia="Arial" w:hAnsi="Arial"/>
          <w:sz w:val="18"/>
          <w:szCs w:val="18"/>
          <w:color w:val="auto"/>
        </w:rPr>
      </w:pPr>
    </w:p>
    <w:p>
      <w:pPr>
        <w:ind w:left="502" w:right="20" w:hanging="502"/>
        <w:spacing w:after="0" w:line="246" w:lineRule="auto"/>
        <w:tabs>
          <w:tab w:leader="none" w:pos="5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such Ship,</w:t>
      </w:r>
    </w:p>
    <w:p>
      <w:pPr>
        <w:spacing w:after="0" w:line="183" w:lineRule="exact"/>
        <w:rPr>
          <w:sz w:val="20"/>
          <w:szCs w:val="20"/>
          <w:color w:val="auto"/>
        </w:rPr>
      </w:pPr>
    </w:p>
    <w:p>
      <w:pPr>
        <w:ind w:left="2"/>
        <w:spacing w:after="0"/>
        <w:rPr>
          <w:sz w:val="20"/>
          <w:szCs w:val="20"/>
          <w:color w:val="auto"/>
        </w:rPr>
      </w:pPr>
      <w:r>
        <w:rPr>
          <w:rFonts w:ascii="Arial" w:cs="Arial" w:eastAsia="Arial" w:hAnsi="Arial"/>
          <w:sz w:val="18"/>
          <w:szCs w:val="18"/>
          <w:color w:val="auto"/>
        </w:rPr>
        <w:t>each securing obligations not more than 30 days overdue.</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any Mortgaged Ship, any Security Interest over it or any assets of the relevant</w:t>
      </w:r>
    </w:p>
    <w:p>
      <w:pPr>
        <w:spacing w:after="0" w:line="18" w:lineRule="exact"/>
        <w:rPr>
          <w:sz w:val="20"/>
          <w:szCs w:val="20"/>
          <w:color w:val="auto"/>
        </w:rPr>
      </w:pPr>
    </w:p>
    <w:p>
      <w:pPr>
        <w:ind w:left="2"/>
        <w:spacing w:after="0"/>
        <w:rPr>
          <w:sz w:val="20"/>
          <w:szCs w:val="20"/>
          <w:color w:val="auto"/>
        </w:rPr>
      </w:pPr>
      <w:r>
        <w:rPr>
          <w:rFonts w:ascii="Arial" w:cs="Arial" w:eastAsia="Arial" w:hAnsi="Arial"/>
          <w:sz w:val="18"/>
          <w:szCs w:val="18"/>
          <w:color w:val="auto"/>
        </w:rPr>
        <w:t>Owner which is:</w:t>
      </w:r>
    </w:p>
    <w:p>
      <w:pPr>
        <w:spacing w:after="0" w:line="198" w:lineRule="exact"/>
        <w:rPr>
          <w:sz w:val="20"/>
          <w:szCs w:val="20"/>
          <w:color w:val="auto"/>
        </w:rPr>
      </w:pPr>
    </w:p>
    <w:p>
      <w:pPr>
        <w:ind w:left="522" w:hanging="522"/>
        <w:spacing w:after="0"/>
        <w:tabs>
          <w:tab w:leader="none" w:pos="5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198"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3" w:name="page24"/>
    <w:bookmarkEnd w:id="23"/>
    <w:p>
      <w:pPr>
        <w:ind w:left="502" w:right="20" w:hanging="502"/>
        <w:spacing w:after="0" w:line="246" w:lineRule="auto"/>
        <w:tabs>
          <w:tab w:leader="none" w:pos="6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relevant Owner is actively pursuing a claim or defending such proceedings or arbitration in good faith; or</w:t>
      </w:r>
    </w:p>
    <w:p>
      <w:pPr>
        <w:spacing w:after="0" w:line="183" w:lineRule="exact"/>
        <w:rPr>
          <w:rFonts w:ascii="Arial" w:cs="Arial" w:eastAsia="Arial" w:hAnsi="Arial"/>
          <w:sz w:val="18"/>
          <w:szCs w:val="18"/>
          <w:color w:val="auto"/>
        </w:rPr>
      </w:pPr>
    </w:p>
    <w:p>
      <w:pPr>
        <w:ind w:left="502" w:hanging="502"/>
        <w:spacing w:after="0" w:line="246" w:lineRule="auto"/>
        <w:tabs>
          <w:tab w:leader="none" w:pos="5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83" w:lineRule="exact"/>
        <w:rPr>
          <w:rFonts w:ascii="Arial" w:cs="Arial" w:eastAsia="Arial" w:hAnsi="Arial"/>
          <w:sz w:val="18"/>
          <w:szCs w:val="18"/>
          <w:color w:val="auto"/>
        </w:rPr>
      </w:pPr>
    </w:p>
    <w:p>
      <w:pPr>
        <w:ind w:left="502" w:hanging="502"/>
        <w:spacing w:after="0" w:line="246" w:lineRule="auto"/>
        <w:tabs>
          <w:tab w:leader="none" w:pos="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created in connection with the Existing Indebtedness, until the Existing Indebtedness is discharged in full and in any event not later than the first Utilisation Date;</w:t>
      </w:r>
    </w:p>
    <w:p>
      <w:pPr>
        <w:spacing w:after="0" w:line="183" w:lineRule="exact"/>
        <w:rPr>
          <w:rFonts w:ascii="Arial" w:cs="Arial" w:eastAsia="Arial" w:hAnsi="Arial"/>
          <w:sz w:val="18"/>
          <w:szCs w:val="18"/>
          <w:color w:val="auto"/>
        </w:rPr>
      </w:pPr>
    </w:p>
    <w:p>
      <w:pPr>
        <w:jc w:val="both"/>
        <w:ind w:left="502" w:hanging="502"/>
        <w:spacing w:after="0"/>
        <w:tabs>
          <w:tab w:leader="none" w:pos="5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right of pledge the Account Bank may have in respect of the Bank Account Rights (as defined in any relevant Account Security) in respect of any Account of that Owner by virtue of the general banking conditions (</w:t>
      </w:r>
      <w:r>
        <w:rPr>
          <w:rFonts w:ascii="Arial" w:cs="Arial" w:eastAsia="Arial" w:hAnsi="Arial"/>
          <w:sz w:val="18"/>
          <w:szCs w:val="18"/>
          <w:i w:val="1"/>
          <w:iCs w:val="1"/>
          <w:color w:val="auto"/>
        </w:rPr>
        <w:t>Algemene Bankvoorwaarden</w:t>
      </w:r>
      <w:r>
        <w:rPr>
          <w:rFonts w:ascii="Arial" w:cs="Arial" w:eastAsia="Arial" w:hAnsi="Arial"/>
          <w:sz w:val="18"/>
          <w:szCs w:val="18"/>
          <w:color w:val="auto"/>
        </w:rPr>
        <w:t>) applicable to it; or</w:t>
      </w:r>
    </w:p>
    <w:p>
      <w:pPr>
        <w:spacing w:after="0" w:line="189" w:lineRule="exact"/>
        <w:rPr>
          <w:rFonts w:ascii="Arial" w:cs="Arial" w:eastAsia="Arial" w:hAnsi="Arial"/>
          <w:sz w:val="18"/>
          <w:szCs w:val="18"/>
          <w:color w:val="auto"/>
        </w:rPr>
      </w:pPr>
    </w:p>
    <w:p>
      <w:pPr>
        <w:ind w:left="522" w:hanging="522"/>
        <w:spacing w:after="0"/>
        <w:tabs>
          <w:tab w:leader="none" w:pos="5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approved by the Majority Lenders,</w:t>
      </w:r>
    </w:p>
    <w:p>
      <w:pPr>
        <w:spacing w:after="0" w:line="198" w:lineRule="exact"/>
        <w:rPr>
          <w:sz w:val="20"/>
          <w:szCs w:val="20"/>
          <w:color w:val="auto"/>
        </w:rPr>
      </w:pPr>
    </w:p>
    <w:p>
      <w:pPr>
        <w:jc w:val="both"/>
        <w:ind w:left="2"/>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 and (d) above the relevant liens (or any claim relating thereto) are, in the reasonable opinion of the Agent (acting on the instructions of the Majority Lenders), covered by insurance or, as the case may be, appropriate reserves have been made.</w:t>
      </w:r>
    </w:p>
    <w:p>
      <w:pPr>
        <w:spacing w:after="0" w:line="167"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release into the environment is regulated or penalised by Environmental Laws.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Pool Arrangement </w:t>
      </w:r>
      <w:r>
        <w:rPr>
          <w:rFonts w:ascii="Arial" w:cs="Arial" w:eastAsia="Arial" w:hAnsi="Arial"/>
          <w:sz w:val="18"/>
          <w:szCs w:val="18"/>
          <w:color w:val="auto"/>
        </w:rPr>
        <w:t>has the meaning given to such term in clause 22.9 (</w:t>
      </w:r>
      <w:r>
        <w:rPr>
          <w:rFonts w:ascii="Arial" w:cs="Arial" w:eastAsia="Arial" w:hAnsi="Arial"/>
          <w:sz w:val="18"/>
          <w:szCs w:val="18"/>
          <w:i w:val="1"/>
          <w:iCs w:val="1"/>
          <w:color w:val="auto"/>
        </w:rPr>
        <w:t>Sharing of Earnings</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has the meaning given to in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a Ship and a Charter or any other charter commitment with an original term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36 months for that Ship, a letter by the Security Agent addressed to, and acknowledged by, the relevant Owner and Charterer or other charterer (as relevant) of that Ship in the agreed form.</w:t>
      </w:r>
    </w:p>
    <w:p>
      <w:pPr>
        <w:spacing w:after="0" w:line="155" w:lineRule="exact"/>
        <w:rPr>
          <w:sz w:val="20"/>
          <w:szCs w:val="20"/>
          <w:color w:val="auto"/>
        </w:rPr>
      </w:pPr>
    </w:p>
    <w:p>
      <w:pPr>
        <w:jc w:val="both"/>
        <w:ind w:left="2"/>
        <w:spacing w:after="0" w:line="244" w:lineRule="auto"/>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days on which banks are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business in London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63"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Charged Property under any relevant Security Document.</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Reformed Basel III </w:t>
      </w:r>
      <w:r>
        <w:rPr>
          <w:rFonts w:ascii="Arial" w:cs="Arial" w:eastAsia="Arial" w:hAnsi="Arial"/>
          <w:sz w:val="18"/>
          <w:szCs w:val="18"/>
          <w:color w:val="auto"/>
        </w:rPr>
        <w:t>means the measures and agreements contained in “Basel III: Finalising post-crisis reforms” published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Basel Committee on Banking Supervision in December 2017, as amended, supplemented or restated.</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Reformed Basel III Increased Cost </w:t>
      </w:r>
      <w:r>
        <w:rPr>
          <w:rFonts w:ascii="Arial" w:cs="Arial" w:eastAsia="Arial" w:hAnsi="Arial"/>
          <w:sz w:val="18"/>
          <w:szCs w:val="18"/>
          <w:color w:val="auto"/>
        </w:rPr>
        <w:t>means an Increased Cost which is attributable to the implementation or application of or</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any other law or regulation which implements Reformed Basel III (whether such implementation, application or compliance is by a government, regulator, Finance Party or any of its Affiliates.</w:t>
      </w:r>
    </w:p>
    <w:p>
      <w:pPr>
        <w:spacing w:after="0" w:line="155"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Registry </w:t>
      </w:r>
      <w:r>
        <w:rPr>
          <w:rFonts w:ascii="Arial" w:cs="Arial" w:eastAsia="Arial" w:hAnsi="Arial"/>
          <w:sz w:val="18"/>
          <w:szCs w:val="18"/>
          <w:color w:val="auto"/>
        </w:rPr>
        <w:t>means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each Ship, such registrar, commissioner or representative of the relevant Flag State who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authorised and empowered to register the relevant Ship, the relevant Owner’s title to such Ship and the relevant Mortgage under the laws of its Flag State.</w:t>
      </w:r>
    </w:p>
    <w:p>
      <w:pPr>
        <w:spacing w:after="0" w:line="155"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Related Fund </w:t>
      </w:r>
      <w:r>
        <w:rPr>
          <w:rFonts w:ascii="Arial" w:cs="Arial" w:eastAsia="Arial" w:hAnsi="Arial"/>
          <w:sz w:val="18"/>
          <w:szCs w:val="18"/>
          <w:color w:val="auto"/>
        </w:rPr>
        <w:t>in relation to a fund (the</w:t>
      </w:r>
      <w:r>
        <w:rPr>
          <w:rFonts w:ascii="Arial" w:cs="Arial" w:eastAsia="Arial" w:hAnsi="Arial"/>
          <w:sz w:val="18"/>
          <w:szCs w:val="18"/>
          <w:b w:val="1"/>
          <w:bCs w:val="1"/>
          <w:color w:val="auto"/>
        </w:rPr>
        <w:t xml:space="preserve"> first fund</w:t>
      </w:r>
      <w:r>
        <w:rPr>
          <w:rFonts w:ascii="Arial" w:cs="Arial" w:eastAsia="Arial" w:hAnsi="Arial"/>
          <w:sz w:val="18"/>
          <w:szCs w:val="18"/>
          <w:color w:val="auto"/>
        </w:rPr>
        <w:t>), means a fund which is managed or advised by the same investment manager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adviser as the first fund or, it is managed by a</w:t>
      </w:r>
    </w:p>
    <w:p>
      <w:pPr>
        <w:spacing w:after="0" w:line="162"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4" w:name="page25"/>
    <w:bookmarkEnd w:id="24"/>
    <w:p>
      <w:pPr>
        <w:ind w:left="2"/>
        <w:spacing w:after="0" w:line="246" w:lineRule="auto"/>
        <w:rPr>
          <w:sz w:val="20"/>
          <w:szCs w:val="20"/>
          <w:color w:val="auto"/>
        </w:rPr>
      </w:pPr>
      <w:r>
        <w:rPr>
          <w:rFonts w:ascii="Arial" w:cs="Arial" w:eastAsia="Arial" w:hAnsi="Arial"/>
          <w:sz w:val="18"/>
          <w:szCs w:val="18"/>
          <w:color w:val="auto"/>
        </w:rPr>
        <w:t>different investment manager or investment adviser, a fund whose investment manager or investment adviser is an Affiliate of the investment manager or investment adviser of the first fund.</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20" w:lineRule="exact"/>
        <w:rPr>
          <w:sz w:val="20"/>
          <w:szCs w:val="20"/>
          <w:color w:val="auto"/>
        </w:rPr>
      </w:pPr>
    </w:p>
    <w:p>
      <w:pPr>
        <w:ind w:left="562" w:hanging="562"/>
        <w:spacing w:after="0"/>
        <w:tabs>
          <w:tab w:leader="none" w:pos="5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198" w:lineRule="exact"/>
        <w:rPr>
          <w:rFonts w:ascii="Arial" w:cs="Arial" w:eastAsia="Arial" w:hAnsi="Arial"/>
          <w:sz w:val="18"/>
          <w:szCs w:val="18"/>
          <w:color w:val="auto"/>
        </w:rPr>
      </w:pPr>
    </w:p>
    <w:p>
      <w:pPr>
        <w:ind w:left="542" w:hanging="542"/>
        <w:spacing w:after="0"/>
        <w:tabs>
          <w:tab w:leader="none" w:pos="5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198" w:lineRule="exact"/>
        <w:rPr>
          <w:rFonts w:ascii="Arial" w:cs="Arial" w:eastAsia="Arial" w:hAnsi="Arial"/>
          <w:sz w:val="18"/>
          <w:szCs w:val="18"/>
          <w:color w:val="auto"/>
        </w:rPr>
      </w:pPr>
    </w:p>
    <w:p>
      <w:pPr>
        <w:ind w:left="562" w:hanging="562"/>
        <w:spacing w:after="0"/>
        <w:tabs>
          <w:tab w:leader="none" w:pos="5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198" w:lineRule="exact"/>
        <w:rPr>
          <w:rFonts w:ascii="Arial" w:cs="Arial" w:eastAsia="Arial" w:hAnsi="Arial"/>
          <w:sz w:val="18"/>
          <w:szCs w:val="18"/>
          <w:color w:val="auto"/>
        </w:rPr>
      </w:pPr>
    </w:p>
    <w:p>
      <w:pPr>
        <w:ind w:left="542" w:hanging="542"/>
        <w:spacing w:after="0"/>
        <w:tabs>
          <w:tab w:leader="none" w:pos="5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means, in respect of each Term Loan:</w:t>
      </w:r>
    </w:p>
    <w:p>
      <w:pPr>
        <w:spacing w:after="0" w:line="220" w:lineRule="exact"/>
        <w:rPr>
          <w:sz w:val="20"/>
          <w:szCs w:val="20"/>
          <w:color w:val="auto"/>
        </w:rPr>
      </w:pPr>
    </w:p>
    <w:p>
      <w:pPr>
        <w:ind w:left="562" w:hanging="562"/>
        <w:spacing w:after="0"/>
        <w:tabs>
          <w:tab w:leader="none" w:pos="5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First Repayment Date for that Term Loan;</w:t>
      </w:r>
    </w:p>
    <w:p>
      <w:pPr>
        <w:spacing w:after="0" w:line="198" w:lineRule="exact"/>
        <w:rPr>
          <w:rFonts w:ascii="Arial" w:cs="Arial" w:eastAsia="Arial" w:hAnsi="Arial"/>
          <w:sz w:val="18"/>
          <w:szCs w:val="18"/>
          <w:color w:val="auto"/>
        </w:rPr>
      </w:pPr>
    </w:p>
    <w:p>
      <w:pPr>
        <w:ind w:left="502" w:hanging="502"/>
        <w:spacing w:after="0" w:line="246" w:lineRule="auto"/>
        <w:tabs>
          <w:tab w:leader="none" w:pos="5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dates falling at 3 monthly intervals thereafter up to but not including the Final Repayment Date for that Term Loan; and</w:t>
      </w:r>
    </w:p>
    <w:p>
      <w:pPr>
        <w:spacing w:after="0" w:line="183" w:lineRule="exact"/>
        <w:rPr>
          <w:rFonts w:ascii="Arial" w:cs="Arial" w:eastAsia="Arial" w:hAnsi="Arial"/>
          <w:sz w:val="18"/>
          <w:szCs w:val="18"/>
          <w:color w:val="auto"/>
        </w:rPr>
      </w:pPr>
    </w:p>
    <w:p>
      <w:pPr>
        <w:ind w:left="562" w:hanging="562"/>
        <w:spacing w:after="0"/>
        <w:tabs>
          <w:tab w:leader="none" w:pos="5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Final Repayment Date for that Term Loan.</w:t>
      </w:r>
    </w:p>
    <w:p>
      <w:pPr>
        <w:spacing w:after="0" w:line="176" w:lineRule="exact"/>
        <w:rPr>
          <w:sz w:val="20"/>
          <w:szCs w:val="20"/>
          <w:color w:val="auto"/>
        </w:rPr>
      </w:pPr>
    </w:p>
    <w:p>
      <w:pPr>
        <w:jc w:val="both"/>
        <w:ind w:left="2"/>
        <w:spacing w:after="0" w:line="247" w:lineRule="auto"/>
        <w:rPr>
          <w:sz w:val="20"/>
          <w:szCs w:val="20"/>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and warranties set out in clauses 18.1 (</w:t>
      </w:r>
      <w:r>
        <w:rPr>
          <w:rFonts w:ascii="Arial" w:cs="Arial" w:eastAsia="Arial" w:hAnsi="Arial"/>
          <w:sz w:val="18"/>
          <w:szCs w:val="18"/>
          <w:i w:val="1"/>
          <w:iCs w:val="1"/>
          <w:color w:val="auto"/>
        </w:rPr>
        <w:t>Status</w:t>
      </w:r>
      <w:r>
        <w:rPr>
          <w:rFonts w:ascii="Arial" w:cs="Arial" w:eastAsia="Arial" w:hAnsi="Arial"/>
          <w:sz w:val="18"/>
          <w:szCs w:val="18"/>
          <w:color w:val="auto"/>
        </w:rPr>
        <w:t>) to 18.10 (</w:t>
      </w:r>
      <w:r>
        <w:rPr>
          <w:rFonts w:ascii="Arial" w:cs="Arial" w:eastAsia="Arial" w:hAnsi="Arial"/>
          <w:sz w:val="18"/>
          <w:szCs w:val="18"/>
          <w:i w:val="1"/>
          <w:iCs w:val="1"/>
          <w:color w:val="auto"/>
        </w:rPr>
        <w:t>Ranking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effectiveness of security</w:t>
      </w:r>
      <w:r>
        <w:rPr>
          <w:rFonts w:ascii="Arial" w:cs="Arial" w:eastAsia="Arial" w:hAnsi="Arial"/>
          <w:sz w:val="18"/>
          <w:szCs w:val="18"/>
          <w:color w:val="auto"/>
        </w:rPr>
        <w:t>), 18.16 (</w:t>
      </w:r>
      <w:r>
        <w:rPr>
          <w:rFonts w:ascii="Arial" w:cs="Arial" w:eastAsia="Arial" w:hAnsi="Arial"/>
          <w:sz w:val="18"/>
          <w:szCs w:val="18"/>
          <w:i w:val="1"/>
          <w:iCs w:val="1"/>
          <w:color w:val="auto"/>
        </w:rPr>
        <w:t>No breach of laws</w:t>
      </w:r>
      <w:r>
        <w:rPr>
          <w:rFonts w:ascii="Arial" w:cs="Arial" w:eastAsia="Arial" w:hAnsi="Arial"/>
          <w:sz w:val="18"/>
          <w:szCs w:val="18"/>
          <w:color w:val="auto"/>
        </w:rPr>
        <w:t>), 18.19 (</w:t>
      </w:r>
      <w:r>
        <w:rPr>
          <w:rFonts w:ascii="Arial" w:cs="Arial" w:eastAsia="Arial" w:hAnsi="Arial"/>
          <w:sz w:val="18"/>
          <w:szCs w:val="18"/>
          <w:i w:val="1"/>
          <w:iCs w:val="1"/>
          <w:color w:val="auto"/>
        </w:rPr>
        <w:t>Anti-corruption law</w:t>
      </w:r>
      <w:r>
        <w:rPr>
          <w:rFonts w:ascii="Arial" w:cs="Arial" w:eastAsia="Arial" w:hAnsi="Arial"/>
          <w:sz w:val="18"/>
          <w:szCs w:val="18"/>
          <w:color w:val="auto"/>
        </w:rPr>
        <w:t>), 18.20 (</w:t>
      </w:r>
      <w:r>
        <w:rPr>
          <w:rFonts w:ascii="Arial" w:cs="Arial" w:eastAsia="Arial" w:hAnsi="Arial"/>
          <w:sz w:val="18"/>
          <w:szCs w:val="18"/>
          <w:i w:val="1"/>
          <w:iCs w:val="1"/>
          <w:color w:val="auto"/>
        </w:rPr>
        <w:t>Security and Financial Indebtedness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18.21(a)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18.22 (</w:t>
      </w:r>
      <w:r>
        <w:rPr>
          <w:rFonts w:ascii="Arial" w:cs="Arial" w:eastAsia="Arial" w:hAnsi="Arial"/>
          <w:sz w:val="18"/>
          <w:szCs w:val="18"/>
          <w:i w:val="1"/>
          <w:iCs w:val="1"/>
          <w:color w:val="auto"/>
        </w:rPr>
        <w:t>Shares</w:t>
      </w:r>
      <w:r>
        <w:rPr>
          <w:rFonts w:ascii="Arial" w:cs="Arial" w:eastAsia="Arial" w:hAnsi="Arial"/>
          <w:sz w:val="18"/>
          <w:szCs w:val="18"/>
          <w:color w:val="auto"/>
        </w:rPr>
        <w:t>), 18.24 (</w:t>
      </w:r>
      <w:r>
        <w:rPr>
          <w:rFonts w:ascii="Arial" w:cs="Arial" w:eastAsia="Arial" w:hAnsi="Arial"/>
          <w:sz w:val="18"/>
          <w:szCs w:val="18"/>
          <w:i w:val="1"/>
          <w:iCs w:val="1"/>
          <w:color w:val="auto"/>
        </w:rPr>
        <w:t>No adverse consequences</w:t>
      </w:r>
      <w:r>
        <w:rPr>
          <w:rFonts w:ascii="Arial" w:cs="Arial" w:eastAsia="Arial" w:hAnsi="Arial"/>
          <w:sz w:val="18"/>
          <w:szCs w:val="18"/>
          <w:color w:val="auto"/>
        </w:rPr>
        <w:t>), 18.25 (</w:t>
      </w:r>
      <w:r>
        <w:rPr>
          <w:rFonts w:ascii="Arial" w:cs="Arial" w:eastAsia="Arial" w:hAnsi="Arial"/>
          <w:sz w:val="18"/>
          <w:szCs w:val="18"/>
          <w:i w:val="1"/>
          <w:iCs w:val="1"/>
          <w:color w:val="auto"/>
        </w:rPr>
        <w:t>Copies of documents</w:t>
      </w:r>
      <w:r>
        <w:rPr>
          <w:rFonts w:ascii="Arial" w:cs="Arial" w:eastAsia="Arial" w:hAnsi="Arial"/>
          <w:sz w:val="18"/>
          <w:szCs w:val="18"/>
          <w:color w:val="auto"/>
        </w:rPr>
        <w:t>), 18.27 (</w:t>
      </w:r>
      <w:r>
        <w:rPr>
          <w:rFonts w:ascii="Arial" w:cs="Arial" w:eastAsia="Arial" w:hAnsi="Arial"/>
          <w:sz w:val="18"/>
          <w:szCs w:val="18"/>
          <w:i w:val="1"/>
          <w:iCs w:val="1"/>
          <w:color w:val="auto"/>
        </w:rPr>
        <w:t>No immunity</w:t>
      </w:r>
      <w:r>
        <w:rPr>
          <w:rFonts w:ascii="Arial" w:cs="Arial" w:eastAsia="Arial" w:hAnsi="Arial"/>
          <w:sz w:val="18"/>
          <w:szCs w:val="18"/>
          <w:color w:val="auto"/>
        </w:rPr>
        <w:t>) and 18.31 (</w:t>
      </w:r>
      <w:r>
        <w:rPr>
          <w:rFonts w:ascii="Arial" w:cs="Arial" w:eastAsia="Arial" w:hAnsi="Arial"/>
          <w:sz w:val="18"/>
          <w:szCs w:val="18"/>
          <w:i w:val="1"/>
          <w:iCs w:val="1"/>
          <w:color w:val="auto"/>
        </w:rPr>
        <w:t>Money laundering</w:t>
      </w:r>
      <w:r>
        <w:rPr>
          <w:rFonts w:ascii="Arial" w:cs="Arial" w:eastAsia="Arial" w:hAnsi="Arial"/>
          <w:sz w:val="18"/>
          <w:szCs w:val="18"/>
          <w:color w:val="auto"/>
        </w:rPr>
        <w:t>).</w:t>
      </w:r>
    </w:p>
    <w:p>
      <w:pPr>
        <w:spacing w:after="0" w:line="16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Replacement Charter </w:t>
      </w:r>
      <w:r>
        <w:rPr>
          <w:rFonts w:ascii="Arial" w:cs="Arial" w:eastAsia="Arial" w:hAnsi="Arial"/>
          <w:sz w:val="18"/>
          <w:szCs w:val="18"/>
          <w:color w:val="auto"/>
        </w:rPr>
        <w:t>means, in relation to a Ship, any replacement charter commitment for that Ship referred to as such in</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(b) of clause 29.21 (</w:t>
      </w:r>
      <w:r>
        <w:rPr>
          <w:rFonts w:ascii="Arial" w:cs="Arial" w:eastAsia="Arial" w:hAnsi="Arial"/>
          <w:sz w:val="18"/>
          <w:szCs w:val="18"/>
          <w:i w:val="1"/>
          <w:iCs w:val="1"/>
          <w:color w:val="auto"/>
        </w:rPr>
        <w:t>Charters</w:t>
      </w:r>
      <w:r>
        <w:rPr>
          <w:rFonts w:ascii="Arial" w:cs="Arial" w:eastAsia="Arial" w:hAnsi="Arial"/>
          <w:sz w:val="18"/>
          <w:szCs w:val="18"/>
          <w:color w:val="auto"/>
        </w:rPr>
        <w: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Representative </w:t>
      </w:r>
      <w:r>
        <w:rPr>
          <w:rFonts w:ascii="Arial" w:cs="Arial" w:eastAsia="Arial" w:hAnsi="Arial"/>
          <w:sz w:val="18"/>
          <w:szCs w:val="18"/>
          <w:color w:val="auto"/>
        </w:rPr>
        <w:t>means any delegate, agent, manager, administrator, nominee, attorney, trustee or custodian.</w:t>
      </w:r>
    </w:p>
    <w:p>
      <w:pPr>
        <w:spacing w:after="0" w:line="198"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in relation to a Ship, any compensation paid or payable by a government entity for the requisition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title, confiscation or compulsory acquisition of such Ship.</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Reverse Dropdown </w:t>
      </w:r>
      <w:r>
        <w:rPr>
          <w:rFonts w:ascii="Arial" w:cs="Arial" w:eastAsia="Arial" w:hAnsi="Arial"/>
          <w:sz w:val="18"/>
          <w:szCs w:val="18"/>
          <w:color w:val="auto"/>
        </w:rPr>
        <w:t>means, in respect of any Borrower which is owned by GPHL or MLP (directly or indirectly) following a Dropdown,</w:t>
      </w:r>
      <w:r>
        <w:rPr>
          <w:rFonts w:ascii="Arial" w:cs="Arial" w:eastAsia="Arial" w:hAnsi="Arial"/>
          <w:sz w:val="18"/>
          <w:szCs w:val="18"/>
          <w:b w:val="1"/>
          <w:bCs w:val="1"/>
          <w:color w:val="auto"/>
        </w:rPr>
        <w:t xml:space="preserve"> </w:t>
      </w:r>
      <w:r>
        <w:rPr>
          <w:rFonts w:ascii="Arial" w:cs="Arial" w:eastAsia="Arial" w:hAnsi="Arial"/>
          <w:sz w:val="18"/>
          <w:szCs w:val="18"/>
          <w:color w:val="auto"/>
        </w:rPr>
        <w:t>a transfer of its shares to the Parent or GasLog Carriers in accordance with the provisions of, and as defined in, paragraph (c) of clause 21.5 (</w:t>
      </w:r>
      <w:r>
        <w:rPr>
          <w:rFonts w:ascii="Arial" w:cs="Arial" w:eastAsia="Arial" w:hAnsi="Arial"/>
          <w:sz w:val="18"/>
          <w:szCs w:val="18"/>
          <w:i w:val="1"/>
          <w:iCs w:val="1"/>
          <w:color w:val="auto"/>
        </w:rPr>
        <w:t>Change of business or ownership</w:t>
      </w:r>
      <w:r>
        <w:rPr>
          <w:rFonts w:ascii="Arial" w:cs="Arial" w:eastAsia="Arial" w:hAnsi="Arial"/>
          <w:sz w:val="18"/>
          <w:szCs w:val="18"/>
          <w:color w:val="auto"/>
        </w:rPr>
        <w:t>).</w:t>
      </w:r>
    </w:p>
    <w:p>
      <w:pPr>
        <w:spacing w:after="0" w:line="155"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Revolving Loan </w:t>
      </w:r>
      <w:r>
        <w:rPr>
          <w:rFonts w:ascii="Arial" w:cs="Arial" w:eastAsia="Arial" w:hAnsi="Arial"/>
          <w:sz w:val="18"/>
          <w:szCs w:val="18"/>
          <w:color w:val="auto"/>
        </w:rPr>
        <w:t>means a loan (being part of the Revolving Loan Ship Tranche for that Ship) made or to be made under the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Loan Facility and under the Revolving Loan Ship Commitment for a Ship or (as the context may require) the outstanding principal amount of that loan.</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Revolving Loan Commitment </w:t>
      </w:r>
      <w:r>
        <w:rPr>
          <w:rFonts w:ascii="Arial" w:cs="Arial" w:eastAsia="Arial" w:hAnsi="Arial"/>
          <w:sz w:val="18"/>
          <w:szCs w:val="18"/>
          <w:color w:val="auto"/>
        </w:rPr>
        <w:t>means:</w:t>
      </w:r>
    </w:p>
    <w:p>
      <w:pPr>
        <w:spacing w:after="0" w:line="220" w:lineRule="exact"/>
        <w:rPr>
          <w:sz w:val="20"/>
          <w:szCs w:val="20"/>
          <w:color w:val="auto"/>
        </w:rPr>
      </w:pPr>
    </w:p>
    <w:p>
      <w:pPr>
        <w:jc w:val="both"/>
        <w:ind w:left="502" w:hanging="502"/>
        <w:spacing w:after="0"/>
        <w:tabs>
          <w:tab w:leader="none" w:pos="5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 relation to an Original Lender, the amount set opposite under its name opposite the heading “Revolving Loan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Revolving Loan Commitment transferred to it under this Agreement; and</w:t>
      </w:r>
    </w:p>
    <w:p>
      <w:pPr>
        <w:spacing w:after="0" w:line="189" w:lineRule="exact"/>
        <w:rPr>
          <w:rFonts w:ascii="Arial" w:cs="Arial" w:eastAsia="Arial" w:hAnsi="Arial"/>
          <w:sz w:val="18"/>
          <w:szCs w:val="18"/>
          <w:color w:val="auto"/>
        </w:rPr>
      </w:pPr>
    </w:p>
    <w:p>
      <w:pPr>
        <w:ind w:left="522" w:hanging="522"/>
        <w:spacing w:after="0"/>
        <w:tabs>
          <w:tab w:leader="none" w:pos="52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Revolving Loan Commitment transferred to it under this Agreement,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198" w:lineRule="exact"/>
        <w:rPr>
          <w:sz w:val="20"/>
          <w:szCs w:val="20"/>
          <w:color w:val="auto"/>
        </w:rPr>
      </w:pPr>
    </w:p>
    <w:p>
      <w:pPr>
        <w:ind w:left="5002"/>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5" w:name="page26"/>
    <w:bookmarkEnd w:id="25"/>
    <w:p>
      <w:pPr>
        <w:jc w:val="both"/>
        <w:ind w:left="2"/>
        <w:spacing w:after="0" w:line="271" w:lineRule="auto"/>
        <w:rPr>
          <w:sz w:val="20"/>
          <w:szCs w:val="20"/>
          <w:color w:val="auto"/>
        </w:rPr>
      </w:pPr>
      <w:r>
        <w:rPr>
          <w:rFonts w:ascii="Arial" w:cs="Arial" w:eastAsia="Arial" w:hAnsi="Arial"/>
          <w:sz w:val="18"/>
          <w:szCs w:val="18"/>
          <w:b w:val="1"/>
          <w:bCs w:val="1"/>
          <w:color w:val="auto"/>
        </w:rPr>
        <w:t xml:space="preserve">Revolving Loan Facility </w:t>
      </w:r>
      <w:r>
        <w:rPr>
          <w:rFonts w:ascii="Arial" w:cs="Arial" w:eastAsia="Arial" w:hAnsi="Arial"/>
          <w:sz w:val="18"/>
          <w:szCs w:val="18"/>
          <w:color w:val="auto"/>
        </w:rPr>
        <w:t>means the revolving credit facility made available by the Lenders under this Agreement as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 (</w:t>
      </w:r>
      <w:r>
        <w:rPr>
          <w:rFonts w:ascii="Arial" w:cs="Arial" w:eastAsia="Arial" w:hAnsi="Arial"/>
          <w:sz w:val="18"/>
          <w:szCs w:val="18"/>
          <w:i w:val="1"/>
          <w:iCs w:val="1"/>
          <w:color w:val="auto"/>
        </w:rPr>
        <w:t>The Facilities</w:t>
      </w:r>
      <w:r>
        <w:rPr>
          <w:rFonts w:ascii="Arial" w:cs="Arial" w:eastAsia="Arial" w:hAnsi="Arial"/>
          <w:sz w:val="18"/>
          <w:szCs w:val="18"/>
          <w:color w:val="auto"/>
        </w:rPr>
        <w:t>), in six (6) Revolving Loan Ship Tranches, one in respect of each Ship.</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Revolving Loan Ship Commitment </w:t>
      </w:r>
      <w:r>
        <w:rPr>
          <w:rFonts w:ascii="Arial" w:cs="Arial" w:eastAsia="Arial" w:hAnsi="Arial"/>
          <w:sz w:val="18"/>
          <w:szCs w:val="18"/>
          <w:color w:val="auto"/>
        </w:rPr>
        <w:t>means, in relation to a Ship, the amount specified as such in respect of such Ship in 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Ship information</w:t>
      </w:r>
      <w:r>
        <w:rPr>
          <w:rFonts w:ascii="Arial" w:cs="Arial" w:eastAsia="Arial" w:hAnsi="Arial"/>
          <w:sz w:val="18"/>
          <w:szCs w:val="18"/>
          <w:color w:val="auto"/>
        </w:rPr>
        <w:t>), being a part of the Total Revolving Loan Commitments, as cancelled or reduced pursuant to any provision of this Agreement and available for Utilisation under the Revolving Loan Ship Tranche for that Ship.</w:t>
      </w:r>
    </w:p>
    <w:p>
      <w:pPr>
        <w:spacing w:after="0" w:line="155"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Revolving Loan Ship Tranche A </w:t>
      </w:r>
      <w:r>
        <w:rPr>
          <w:rFonts w:ascii="Arial" w:cs="Arial" w:eastAsia="Arial" w:hAnsi="Arial"/>
          <w:sz w:val="18"/>
          <w:szCs w:val="18"/>
          <w:color w:val="auto"/>
        </w:rPr>
        <w:t>means, at any relevant time, the aggregate of the Revolving Loans drawn in respect of Ship A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A.</w:t>
      </w:r>
    </w:p>
    <w:p>
      <w:pPr>
        <w:spacing w:after="0" w:line="140"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Revolving Loan Ship Tranche B </w:t>
      </w:r>
      <w:r>
        <w:rPr>
          <w:rFonts w:ascii="Arial" w:cs="Arial" w:eastAsia="Arial" w:hAnsi="Arial"/>
          <w:sz w:val="18"/>
          <w:szCs w:val="18"/>
          <w:color w:val="auto"/>
        </w:rPr>
        <w:t>means, at any relevant time, the aggregate of the Revolving Loans drawn in respect of Ship B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B.</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Revolving Loan Ship Tranche C </w:t>
      </w:r>
      <w:r>
        <w:rPr>
          <w:rFonts w:ascii="Arial" w:cs="Arial" w:eastAsia="Arial" w:hAnsi="Arial"/>
          <w:sz w:val="18"/>
          <w:szCs w:val="18"/>
          <w:color w:val="auto"/>
        </w:rPr>
        <w:t>means, at any relevant time, the aggregate of the Revolving Loans drawn in respect of Ship C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C.</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Revolving Loan Ship Tranche D </w:t>
      </w:r>
      <w:r>
        <w:rPr>
          <w:rFonts w:ascii="Arial" w:cs="Arial" w:eastAsia="Arial" w:hAnsi="Arial"/>
          <w:sz w:val="18"/>
          <w:szCs w:val="18"/>
          <w:color w:val="auto"/>
        </w:rPr>
        <w:t>means, at any relevant time, the aggregate of the Revolving Loans drawn in respect of Ship D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D.</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Revolving Loan Ship Tranche E </w:t>
      </w:r>
      <w:r>
        <w:rPr>
          <w:rFonts w:ascii="Arial" w:cs="Arial" w:eastAsia="Arial" w:hAnsi="Arial"/>
          <w:sz w:val="18"/>
          <w:szCs w:val="18"/>
          <w:color w:val="auto"/>
        </w:rPr>
        <w:t>means, at any relevant time, the aggregate of the Revolving Loans drawn in respect of Ship E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E.</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Revolving Loan Ship Tranche F </w:t>
      </w:r>
      <w:r>
        <w:rPr>
          <w:rFonts w:ascii="Arial" w:cs="Arial" w:eastAsia="Arial" w:hAnsi="Arial"/>
          <w:sz w:val="18"/>
          <w:szCs w:val="18"/>
          <w:color w:val="auto"/>
        </w:rPr>
        <w:t>means, at any relevant time, the aggregate of the Revolving Loans drawn in respect of Ship 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then outstanding, up to the Revolving Loan Ship Commitment in respect of Ship F.</w:t>
      </w:r>
    </w:p>
    <w:p>
      <w:pPr>
        <w:spacing w:after="0" w:line="140"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Revolving Loan Ship Tranches </w:t>
      </w:r>
      <w:r>
        <w:rPr>
          <w:rFonts w:ascii="Arial" w:cs="Arial" w:eastAsia="Arial" w:hAnsi="Arial"/>
          <w:sz w:val="18"/>
          <w:szCs w:val="18"/>
          <w:color w:val="auto"/>
        </w:rPr>
        <w:t>means Revolving Loan Ship Tranche A, Revolving Loan Ship Tranche B, Revolving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Tranche C, Revolving Loan Ship Tranche D, Revolving Loan Ship Tranche E and Revolving Loan Ship Tranche F, and:</w:t>
      </w:r>
    </w:p>
    <w:p>
      <w:pPr>
        <w:spacing w:after="0" w:line="162" w:lineRule="exact"/>
        <w:rPr>
          <w:sz w:val="20"/>
          <w:szCs w:val="20"/>
          <w:color w:val="auto"/>
        </w:rPr>
      </w:pPr>
    </w:p>
    <w:p>
      <w:pPr>
        <w:ind w:left="562" w:hanging="562"/>
        <w:spacing w:after="0"/>
        <w:tabs>
          <w:tab w:leader="none" w:pos="5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Ship A, it means Revolving Loan Ship Tranche A;</w:t>
      </w:r>
    </w:p>
    <w:p>
      <w:pPr>
        <w:spacing w:after="0" w:line="198" w:lineRule="exact"/>
        <w:rPr>
          <w:rFonts w:ascii="Arial" w:cs="Arial" w:eastAsia="Arial" w:hAnsi="Arial"/>
          <w:sz w:val="18"/>
          <w:szCs w:val="18"/>
          <w:color w:val="auto"/>
        </w:rPr>
      </w:pPr>
    </w:p>
    <w:p>
      <w:pPr>
        <w:ind w:left="542" w:hanging="542"/>
        <w:spacing w:after="0"/>
        <w:tabs>
          <w:tab w:leader="none" w:pos="5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Ship B, it means Revolving Loan Ship Tranche B;</w:t>
      </w:r>
    </w:p>
    <w:p>
      <w:pPr>
        <w:spacing w:after="0" w:line="198" w:lineRule="exact"/>
        <w:rPr>
          <w:rFonts w:ascii="Arial" w:cs="Arial" w:eastAsia="Arial" w:hAnsi="Arial"/>
          <w:sz w:val="18"/>
          <w:szCs w:val="18"/>
          <w:color w:val="auto"/>
        </w:rPr>
      </w:pPr>
    </w:p>
    <w:p>
      <w:pPr>
        <w:ind w:left="562" w:hanging="562"/>
        <w:spacing w:after="0"/>
        <w:tabs>
          <w:tab w:leader="none" w:pos="5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Ship C, it means Revolving Loan Ship Tranche C;</w:t>
      </w:r>
    </w:p>
    <w:p>
      <w:pPr>
        <w:spacing w:after="0" w:line="198" w:lineRule="exact"/>
        <w:rPr>
          <w:rFonts w:ascii="Arial" w:cs="Arial" w:eastAsia="Arial" w:hAnsi="Arial"/>
          <w:sz w:val="18"/>
          <w:szCs w:val="18"/>
          <w:color w:val="auto"/>
        </w:rPr>
      </w:pPr>
    </w:p>
    <w:p>
      <w:pPr>
        <w:ind w:left="542" w:hanging="542"/>
        <w:spacing w:after="0"/>
        <w:tabs>
          <w:tab w:leader="none" w:pos="5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Ship D, it means Revolving Loan Ship Tranche D;</w:t>
      </w:r>
    </w:p>
    <w:p>
      <w:pPr>
        <w:spacing w:after="0" w:line="198" w:lineRule="exact"/>
        <w:rPr>
          <w:rFonts w:ascii="Arial" w:cs="Arial" w:eastAsia="Arial" w:hAnsi="Arial"/>
          <w:sz w:val="18"/>
          <w:szCs w:val="18"/>
          <w:color w:val="auto"/>
        </w:rPr>
      </w:pPr>
    </w:p>
    <w:p>
      <w:pPr>
        <w:ind w:left="562" w:hanging="562"/>
        <w:spacing w:after="0"/>
        <w:tabs>
          <w:tab w:leader="none" w:pos="5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Ship E, it means Revolving Loan Ship Tranche E; and</w:t>
      </w:r>
    </w:p>
    <w:p>
      <w:pPr>
        <w:spacing w:after="0" w:line="198" w:lineRule="exact"/>
        <w:rPr>
          <w:rFonts w:ascii="Arial" w:cs="Arial" w:eastAsia="Arial" w:hAnsi="Arial"/>
          <w:sz w:val="18"/>
          <w:szCs w:val="18"/>
          <w:color w:val="auto"/>
        </w:rPr>
      </w:pPr>
    </w:p>
    <w:p>
      <w:pPr>
        <w:ind w:left="542" w:hanging="542"/>
        <w:spacing w:after="0"/>
        <w:tabs>
          <w:tab w:leader="none" w:pos="5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relation to Ship F, it means Revolving Loan Ship Tranche F,</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Revolving Loan Ship Tranche</w:t>
      </w:r>
      <w:r>
        <w:rPr>
          <w:rFonts w:ascii="Arial" w:cs="Arial" w:eastAsia="Arial" w:hAnsi="Arial"/>
          <w:sz w:val="18"/>
          <w:szCs w:val="18"/>
          <w:color w:val="auto"/>
        </w:rPr>
        <w:t xml:space="preserve"> means any of them.</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Rollover Loan </w:t>
      </w:r>
      <w:r>
        <w:rPr>
          <w:rFonts w:ascii="Arial" w:cs="Arial" w:eastAsia="Arial" w:hAnsi="Arial"/>
          <w:sz w:val="18"/>
          <w:szCs w:val="18"/>
          <w:color w:val="auto"/>
        </w:rPr>
        <w:t>means one or more Revolving Loans under a Revolving Loan Ship Tranche:</w:t>
      </w:r>
    </w:p>
    <w:p>
      <w:pPr>
        <w:spacing w:after="0" w:line="220" w:lineRule="exact"/>
        <w:rPr>
          <w:sz w:val="20"/>
          <w:szCs w:val="20"/>
          <w:color w:val="auto"/>
        </w:rPr>
      </w:pPr>
    </w:p>
    <w:p>
      <w:pPr>
        <w:ind w:left="502" w:hanging="502"/>
        <w:spacing w:after="0" w:line="246" w:lineRule="auto"/>
        <w:tabs>
          <w:tab w:leader="none" w:pos="5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Revolving Loan under that Revolving Loan Ship Tranche is due to be repaid;</w:t>
      </w:r>
    </w:p>
    <w:p>
      <w:pPr>
        <w:spacing w:after="0" w:line="183" w:lineRule="exact"/>
        <w:rPr>
          <w:rFonts w:ascii="Arial" w:cs="Arial" w:eastAsia="Arial" w:hAnsi="Arial"/>
          <w:sz w:val="18"/>
          <w:szCs w:val="18"/>
          <w:color w:val="auto"/>
        </w:rPr>
      </w:pPr>
    </w:p>
    <w:p>
      <w:pPr>
        <w:ind w:left="502" w:right="20" w:hanging="502"/>
        <w:spacing w:after="0" w:line="246" w:lineRule="auto"/>
        <w:tabs>
          <w:tab w:leader="none" w:pos="5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maturing Revolving Loan under that Revolving Loan Ship Tranche; and</w:t>
      </w:r>
    </w:p>
    <w:p>
      <w:pPr>
        <w:spacing w:after="0" w:line="183"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26" w:name="page27"/>
    <w:bookmarkEnd w:id="26"/>
    <w:p>
      <w:pPr>
        <w:ind w:left="502" w:hanging="502"/>
        <w:spacing w:after="0"/>
        <w:tabs>
          <w:tab w:leader="none" w:pos="5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made or to be made for the purpose of refinancing a maturing Revolving Loan under that Revolving Loan Ship Tranche.</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42"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who takes over the 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(acting on the instructions of the Majority Lenders) may specify another page or service displaying the relevant rate after consultation with the Borrowers.</w:t>
      </w:r>
    </w:p>
    <w:p>
      <w:pPr>
        <w:spacing w:after="0" w:line="165"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Finance Documents.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20" w:lineRule="exact"/>
        <w:rPr>
          <w:sz w:val="20"/>
          <w:szCs w:val="20"/>
          <w:color w:val="auto"/>
        </w:rPr>
      </w:pPr>
    </w:p>
    <w:p>
      <w:pPr>
        <w:ind w:left="522" w:hanging="522"/>
        <w:spacing w:after="0"/>
        <w:tabs>
          <w:tab w:leader="none" w:pos="5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Original Security Documents;</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Security Power of Attorney; and</w:t>
      </w:r>
    </w:p>
    <w:p>
      <w:pPr>
        <w:spacing w:after="0" w:line="198" w:lineRule="exact"/>
        <w:rPr>
          <w:rFonts w:ascii="Arial" w:cs="Arial" w:eastAsia="Arial" w:hAnsi="Arial"/>
          <w:sz w:val="18"/>
          <w:szCs w:val="18"/>
          <w:color w:val="auto"/>
        </w:rPr>
      </w:pPr>
    </w:p>
    <w:p>
      <w:pPr>
        <w:ind w:left="502" w:right="20" w:hanging="502"/>
        <w:spacing w:after="0" w:line="246" w:lineRule="auto"/>
        <w:tabs>
          <w:tab w:leader="none" w:pos="6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w:t>
      </w:r>
    </w:p>
    <w:p>
      <w:pPr>
        <w:spacing w:after="0" w:line="161"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any obligation of any person or any other agreement or arrangement having a similar effect.</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Security Power of Attorney </w:t>
      </w:r>
      <w:r>
        <w:rPr>
          <w:rFonts w:ascii="Arial" w:cs="Arial" w:eastAsia="Arial" w:hAnsi="Arial"/>
          <w:sz w:val="18"/>
          <w:szCs w:val="18"/>
          <w:color w:val="auto"/>
        </w:rPr>
        <w:t>means a power of attorney in the agreed form issued by each relevant Obligor in favour of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 collateral to that Obligor’s Security Documents.</w:t>
      </w:r>
    </w:p>
    <w:p>
      <w:pPr>
        <w:spacing w:after="0" w:line="140" w:lineRule="exact"/>
        <w:rPr>
          <w:sz w:val="20"/>
          <w:szCs w:val="20"/>
          <w:color w:val="auto"/>
        </w:rPr>
      </w:pPr>
    </w:p>
    <w:p>
      <w:pPr>
        <w:jc w:val="both"/>
        <w:ind w:left="2"/>
        <w:spacing w:after="0" w:line="244" w:lineRule="auto"/>
        <w:rPr>
          <w:sz w:val="20"/>
          <w:szCs w:val="20"/>
          <w:color w:val="auto"/>
        </w:rPr>
      </w:pPr>
      <w:r>
        <w:rPr>
          <w:rFonts w:ascii="Arial" w:cs="Arial" w:eastAsia="Arial" w:hAnsi="Arial"/>
          <w:sz w:val="18"/>
          <w:szCs w:val="18"/>
          <w:b w:val="1"/>
          <w:bCs w:val="1"/>
          <w:color w:val="auto"/>
        </w:rPr>
        <w:t xml:space="preserve">Security Value </w:t>
      </w:r>
      <w:r>
        <w:rPr>
          <w:rFonts w:ascii="Arial" w:cs="Arial" w:eastAsia="Arial" w:hAnsi="Arial"/>
          <w:sz w:val="18"/>
          <w:szCs w:val="18"/>
          <w:color w:val="auto"/>
        </w:rPr>
        <w:t>means, at any time, the amount in dollars which, at that time, is the aggregate of (a) the value of all the Mortgaged</w:t>
      </w:r>
      <w:r>
        <w:rPr>
          <w:rFonts w:ascii="Arial" w:cs="Arial" w:eastAsia="Arial" w:hAnsi="Arial"/>
          <w:sz w:val="18"/>
          <w:szCs w:val="18"/>
          <w:b w:val="1"/>
          <w:bCs w:val="1"/>
          <w:color w:val="auto"/>
        </w:rPr>
        <w:t xml:space="preserve"> </w:t>
      </w:r>
      <w:r>
        <w:rPr>
          <w:rFonts w:ascii="Arial" w:cs="Arial" w:eastAsia="Arial" w:hAnsi="Arial"/>
          <w:sz w:val="18"/>
          <w:szCs w:val="18"/>
          <w:color w:val="auto"/>
        </w:rPr>
        <w:t>Ships which have not then become a Total Loss (or, if less, the maximum amount capable of being secured by the Mortgages over the Mortgaged Ships) and (b) the value of any additional security then held by the Security Agent or any other Finance Party provided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 paragraph (a)(ii) of clause 29.21 (</w:t>
      </w:r>
      <w:r>
        <w:rPr>
          <w:rFonts w:ascii="Arial" w:cs="Arial" w:eastAsia="Arial" w:hAnsi="Arial"/>
          <w:sz w:val="18"/>
          <w:szCs w:val="18"/>
          <w:i w:val="1"/>
          <w:iCs w:val="1"/>
          <w:color w:val="auto"/>
        </w:rPr>
        <w:t>Charters</w:t>
      </w:r>
      <w:r>
        <w:rPr>
          <w:rFonts w:ascii="Arial" w:cs="Arial" w:eastAsia="Arial" w:hAnsi="Arial"/>
          <w:sz w:val="18"/>
          <w:szCs w:val="18"/>
          <w:color w:val="auto"/>
        </w:rPr>
        <w:t>), in each case as most recently determined in accordance with this Agreement.</w:t>
      </w:r>
    </w:p>
    <w:p>
      <w:pPr>
        <w:spacing w:after="0" w:line="163"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Selection Notice </w:t>
      </w:r>
      <w:r>
        <w:rPr>
          <w:rFonts w:ascii="Arial" w:cs="Arial" w:eastAsia="Arial" w:hAnsi="Arial"/>
          <w:sz w:val="18"/>
          <w:szCs w:val="18"/>
          <w:color w:val="auto"/>
        </w:rPr>
        <w:t>means a notice substantially in the form set out in Schedule 5 (</w:t>
      </w:r>
      <w:r>
        <w:rPr>
          <w:rFonts w:ascii="Arial" w:cs="Arial" w:eastAsia="Arial" w:hAnsi="Arial"/>
          <w:sz w:val="18"/>
          <w:szCs w:val="18"/>
          <w:i w:val="1"/>
          <w:iCs w:val="1"/>
          <w:color w:val="auto"/>
        </w:rPr>
        <w:t>Selection Notice</w:t>
      </w:r>
      <w:r>
        <w:rPr>
          <w:rFonts w:ascii="Arial" w:cs="Arial" w:eastAsia="Arial" w:hAnsi="Arial"/>
          <w:sz w:val="18"/>
          <w:szCs w:val="18"/>
          <w:color w:val="auto"/>
        </w:rPr>
        <w:t>) given in accordance with clause 9</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98"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Share Security </w:t>
      </w:r>
      <w:r>
        <w:rPr>
          <w:rFonts w:ascii="Arial" w:cs="Arial" w:eastAsia="Arial" w:hAnsi="Arial"/>
          <w:sz w:val="18"/>
          <w:szCs w:val="18"/>
          <w:color w:val="auto"/>
        </w:rPr>
        <w:t>means, in relation to each Borrower, the document constituting a first Security Interest in respect of all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Borrower executed by GasLog Carriers or (as the case may be) GPHL, in favour of the Security Agent in the agreed form.</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A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Ship Aggregate Commitments </w:t>
      </w:r>
      <w:r>
        <w:rPr>
          <w:rFonts w:ascii="Arial" w:cs="Arial" w:eastAsia="Arial" w:hAnsi="Arial"/>
          <w:sz w:val="18"/>
          <w:szCs w:val="18"/>
          <w:color w:val="auto"/>
        </w:rPr>
        <w:t>means, in relation to a Ship, the aggregate of the Term Loan Ship Commitment for that Ship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Loan Ship Commitment for that Ship.</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Ship Aggregate Loans </w:t>
      </w:r>
      <w:r>
        <w:rPr>
          <w:rFonts w:ascii="Arial" w:cs="Arial" w:eastAsia="Arial" w:hAnsi="Arial"/>
          <w:sz w:val="18"/>
          <w:szCs w:val="18"/>
          <w:color w:val="auto"/>
        </w:rPr>
        <w:t>means, in relation to a Ship, the aggregate of the Term Loan for that Ship and all the Revolving Loans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Revolving Loan Ship Tranche for that Ship.</w:t>
      </w:r>
    </w:p>
    <w:p>
      <w:pPr>
        <w:spacing w:after="0" w:line="162"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7" w:name="page28"/>
    <w:bookmarkEnd w:id="27"/>
    <w:p>
      <w:pPr>
        <w:ind w:left="2"/>
        <w:spacing w:after="0"/>
        <w:rPr>
          <w:sz w:val="20"/>
          <w:szCs w:val="20"/>
          <w:color w:val="auto"/>
        </w:rPr>
      </w:pPr>
      <w:r>
        <w:rPr>
          <w:rFonts w:ascii="Arial" w:cs="Arial" w:eastAsia="Arial" w:hAnsi="Arial"/>
          <w:sz w:val="18"/>
          <w:szCs w:val="18"/>
          <w:b w:val="1"/>
          <w:bCs w:val="1"/>
          <w:color w:val="auto"/>
        </w:rPr>
        <w:t xml:space="preserve">Ship B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C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D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E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F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98"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Ship Representations </w:t>
      </w:r>
      <w:r>
        <w:rPr>
          <w:rFonts w:ascii="Arial" w:cs="Arial" w:eastAsia="Arial" w:hAnsi="Arial"/>
          <w:sz w:val="18"/>
          <w:szCs w:val="18"/>
          <w:color w:val="auto"/>
        </w:rPr>
        <w:t>means each of the representations and warranties set out in clauses 18.28 (</w:t>
      </w:r>
      <w:r>
        <w:rPr>
          <w:rFonts w:ascii="Arial" w:cs="Arial" w:eastAsia="Arial" w:hAnsi="Arial"/>
          <w:sz w:val="18"/>
          <w:szCs w:val="18"/>
          <w:i w:val="1"/>
          <w:iCs w:val="1"/>
          <w:color w:val="auto"/>
        </w:rPr>
        <w:t>Ship status</w:t>
      </w:r>
      <w:r>
        <w:rPr>
          <w:rFonts w:ascii="Arial" w:cs="Arial" w:eastAsia="Arial" w:hAnsi="Arial"/>
          <w:sz w:val="18"/>
          <w:szCs w:val="18"/>
          <w:color w:val="auto"/>
        </w:rPr>
        <w:t>) and 18.29 (</w:t>
      </w:r>
      <w:r>
        <w:rPr>
          <w:rFonts w:ascii="Arial" w:cs="Arial" w:eastAsia="Arial" w:hAnsi="Arial"/>
          <w:sz w:val="18"/>
          <w:szCs w:val="18"/>
          <w:i w:val="1"/>
          <w:iCs w:val="1"/>
          <w:color w:val="auto"/>
        </w:rPr>
        <w:t>Ship’s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employment</w:t>
      </w:r>
      <w:r>
        <w:rPr>
          <w:rFonts w:ascii="Arial" w:cs="Arial" w:eastAsia="Arial" w:hAnsi="Arial"/>
          <w:sz w:val="18"/>
          <w:szCs w:val="18"/>
          <w:color w:val="auto"/>
        </w:rPr>
        <w: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Ships </w:t>
      </w:r>
      <w:r>
        <w:rPr>
          <w:rFonts w:ascii="Arial" w:cs="Arial" w:eastAsia="Arial" w:hAnsi="Arial"/>
          <w:sz w:val="18"/>
          <w:szCs w:val="18"/>
          <w:color w:val="auto"/>
        </w:rPr>
        <w:t>means each of the ships described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being each of Ship A, Ship B, Ship C, Ship D, Ship E and</w:t>
      </w:r>
    </w:p>
    <w:p>
      <w:pPr>
        <w:spacing w:after="0" w:line="18" w:lineRule="exact"/>
        <w:rPr>
          <w:sz w:val="20"/>
          <w:szCs w:val="20"/>
          <w:color w:val="auto"/>
        </w:rPr>
      </w:pPr>
    </w:p>
    <w:p>
      <w:pPr>
        <w:ind w:left="2"/>
        <w:spacing w:after="0"/>
        <w:rPr>
          <w:sz w:val="20"/>
          <w:szCs w:val="20"/>
          <w:color w:val="auto"/>
        </w:rPr>
      </w:pPr>
      <w:r>
        <w:rPr>
          <w:rFonts w:ascii="Arial" w:cs="Arial" w:eastAsia="Arial" w:hAnsi="Arial"/>
          <w:sz w:val="18"/>
          <w:szCs w:val="18"/>
          <w:color w:val="auto"/>
        </w:rPr>
        <w:t>Ship F, and:</w:t>
      </w:r>
    </w:p>
    <w:p>
      <w:pPr>
        <w:spacing w:after="0" w:line="198" w:lineRule="exact"/>
        <w:rPr>
          <w:sz w:val="20"/>
          <w:szCs w:val="20"/>
          <w:color w:val="auto"/>
        </w:rPr>
      </w:pPr>
    </w:p>
    <w:p>
      <w:pPr>
        <w:ind w:left="522" w:hanging="522"/>
        <w:spacing w:after="0"/>
        <w:tabs>
          <w:tab w:leader="none" w:pos="5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Term Loan A and/or Revolving Loan Ship Tranche A (or any Revolving Loan under it), it means Ship A;</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Term Loan B and/or Revolving Loan Ship Tranche B (or any Revolving Loan under it), it means Ship B;</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Term Loan C and/or Revolving Loan Ship Tranche C (or any Revolving Loan under it), it means Ship C;</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Term Loan D and/or Revolving Loan Ship Tranche D (or any Revolving Loan under it), it means Ship 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Term Loan E and/or Revolving Loan Ship Tranche E (or any Revolving Loan under it), it means Ship E; and</w:t>
      </w:r>
    </w:p>
    <w:p>
      <w:pPr>
        <w:spacing w:after="0" w:line="198" w:lineRule="exact"/>
        <w:rPr>
          <w:rFonts w:ascii="Arial" w:cs="Arial" w:eastAsia="Arial" w:hAnsi="Arial"/>
          <w:sz w:val="18"/>
          <w:szCs w:val="18"/>
          <w:color w:val="auto"/>
        </w:rPr>
      </w:pPr>
    </w:p>
    <w:p>
      <w:pPr>
        <w:ind w:left="462" w:hanging="462"/>
        <w:spacing w:after="0"/>
        <w:tabs>
          <w:tab w:leader="none" w:pos="46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relation to Term Loan F and/or Revolving Loan Ship Tranche F (or any Revolving Loan under it), it means Ship F,</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Ship</w:t>
      </w:r>
      <w:r>
        <w:rPr>
          <w:rFonts w:ascii="Arial" w:cs="Arial" w:eastAsia="Arial" w:hAnsi="Arial"/>
          <w:sz w:val="18"/>
          <w:szCs w:val="18"/>
          <w:color w:val="auto"/>
        </w:rPr>
        <w:t xml:space="preserve"> means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2" w:hanging="522"/>
        <w:spacing w:after="0"/>
        <w:tabs>
          <w:tab w:leader="none" w:pos="5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176" w:lineRule="exact"/>
        <w:rPr>
          <w:sz w:val="20"/>
          <w:szCs w:val="20"/>
          <w:color w:val="auto"/>
        </w:rPr>
      </w:pPr>
    </w:p>
    <w:p>
      <w:pPr>
        <w:jc w:val="both"/>
        <w:ind w:left="2" w:right="20"/>
        <w:spacing w:after="0" w:line="271"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any 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 in relation to a Ship, GasLog LNG Services Ltd. of Bermuda, or any other person who is an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Manager appointed as the technical manager of that Ship by the relevant Owner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40"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Term Loan A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A, which is to be made available in relation to Ship A, or (as the context may require) the outstanding principal amount of such borrowing.</w:t>
      </w:r>
    </w:p>
    <w:p>
      <w:pPr>
        <w:spacing w:after="0" w:line="177"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28" w:name="page29"/>
    <w:bookmarkEnd w:id="28"/>
    <w:p>
      <w:pPr>
        <w:jc w:val="both"/>
        <w:ind w:left="2"/>
        <w:spacing w:after="0" w:line="253" w:lineRule="auto"/>
        <w:rPr>
          <w:sz w:val="20"/>
          <w:szCs w:val="20"/>
          <w:color w:val="auto"/>
        </w:rPr>
      </w:pPr>
      <w:r>
        <w:rPr>
          <w:rFonts w:ascii="Arial" w:cs="Arial" w:eastAsia="Arial" w:hAnsi="Arial"/>
          <w:sz w:val="18"/>
          <w:szCs w:val="18"/>
          <w:b w:val="1"/>
          <w:bCs w:val="1"/>
          <w:color w:val="auto"/>
        </w:rPr>
        <w:t xml:space="preserve">Term Loan B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B, which is to be made available in relation to Ship B, or (as the context may require) the outstanding principal amount of such borrowing.</w:t>
      </w:r>
    </w:p>
    <w:p>
      <w:pPr>
        <w:spacing w:after="0" w:line="155"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Term Loan C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C, which is to be made available in relation to Ship C, or (as the context may require) the outstanding principal amount of such borrowing.</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Term Loan Commitment </w:t>
      </w:r>
      <w:r>
        <w:rPr>
          <w:rFonts w:ascii="Arial" w:cs="Arial" w:eastAsia="Arial" w:hAnsi="Arial"/>
          <w:sz w:val="18"/>
          <w:szCs w:val="18"/>
          <w:color w:val="auto"/>
        </w:rPr>
        <w:t>means:</w:t>
      </w:r>
    </w:p>
    <w:p>
      <w:pPr>
        <w:spacing w:after="0" w:line="220" w:lineRule="exact"/>
        <w:rPr>
          <w:sz w:val="20"/>
          <w:szCs w:val="20"/>
          <w:color w:val="auto"/>
        </w:rPr>
      </w:pPr>
    </w:p>
    <w:p>
      <w:pPr>
        <w:ind w:left="502" w:hanging="502"/>
        <w:spacing w:after="0" w:line="246" w:lineRule="auto"/>
        <w:tabs>
          <w:tab w:leader="none" w:pos="56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relation to an Original Lender, the amount set under its name opposite the heading “Term Loan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Term Loan Commitment transferred to it under this Agreement; and</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Term Loan Commitment assigned to it under this Agreement,</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color w:val="auto"/>
        </w:rPr>
        <w:t>to the extent not cancelled, reduced or assigned by it under this Agreement.</w:t>
      </w:r>
    </w:p>
    <w:p>
      <w:pPr>
        <w:spacing w:after="0" w:line="176"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Term Loan D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D, which is to be made available in relation to Ship D, or (as the context may require) the outstanding principal amount of such borrowing.</w:t>
      </w:r>
    </w:p>
    <w:p>
      <w:pPr>
        <w:spacing w:after="0" w:line="155"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Term Loan E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E, which is to be made available in relation to Ship E, or (as the context may require) the outstanding principal amount of such borrowing.</w:t>
      </w:r>
    </w:p>
    <w:p>
      <w:pPr>
        <w:spacing w:after="0" w:line="155"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Term Loan F </w:t>
      </w:r>
      <w:r>
        <w:rPr>
          <w:rFonts w:ascii="Arial" w:cs="Arial" w:eastAsia="Arial" w:hAnsi="Arial"/>
          <w:sz w:val="18"/>
          <w:szCs w:val="18"/>
          <w:color w:val="auto"/>
        </w:rPr>
        <w:t>means a borrowing of a part of the Total Term Loan Commitments by the Borrowers up to the Term Loan Ship</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in respect of Ship F, which is to be made available in relation to Ship F, or (as the context may require) the outstanding principal amount of such borrowing.</w:t>
      </w:r>
    </w:p>
    <w:p>
      <w:pPr>
        <w:spacing w:after="0" w:line="155"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Term Loan Facility </w:t>
      </w:r>
      <w:r>
        <w:rPr>
          <w:rFonts w:ascii="Arial" w:cs="Arial" w:eastAsia="Arial" w:hAnsi="Arial"/>
          <w:sz w:val="18"/>
          <w:szCs w:val="18"/>
          <w:color w:val="auto"/>
        </w:rPr>
        <w:t>means the term loan facility made available by the Lenders under this Agreement as described in clause 2 (</w:t>
      </w:r>
      <w:r>
        <w:rPr>
          <w:rFonts w:ascii="Arial" w:cs="Arial" w:eastAsia="Arial" w:hAnsi="Arial"/>
          <w:sz w:val="18"/>
          <w:szCs w:val="18"/>
          <w:i w:val="1"/>
          <w:i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 in six (6) Term Loans, one in respect of each Ship.</w:t>
      </w:r>
    </w:p>
    <w:p>
      <w:pPr>
        <w:spacing w:after="0" w:line="140" w:lineRule="exact"/>
        <w:rPr>
          <w:sz w:val="20"/>
          <w:szCs w:val="20"/>
          <w:color w:val="auto"/>
        </w:rPr>
      </w:pPr>
    </w:p>
    <w:p>
      <w:pPr>
        <w:jc w:val="both"/>
        <w:ind w:left="2"/>
        <w:spacing w:after="0" w:line="271" w:lineRule="auto"/>
        <w:rPr>
          <w:sz w:val="20"/>
          <w:szCs w:val="20"/>
          <w:color w:val="auto"/>
        </w:rPr>
      </w:pPr>
      <w:r>
        <w:rPr>
          <w:rFonts w:ascii="Arial" w:cs="Arial" w:eastAsia="Arial" w:hAnsi="Arial"/>
          <w:sz w:val="18"/>
          <w:szCs w:val="18"/>
          <w:b w:val="1"/>
          <w:bCs w:val="1"/>
          <w:color w:val="auto"/>
        </w:rPr>
        <w:t xml:space="preserve">Term Loan Ship Commitment </w:t>
      </w:r>
      <w:r>
        <w:rPr>
          <w:rFonts w:ascii="Arial" w:cs="Arial" w:eastAsia="Arial" w:hAnsi="Arial"/>
          <w:sz w:val="18"/>
          <w:szCs w:val="18"/>
          <w:color w:val="auto"/>
        </w:rPr>
        <w:t>means, in relation to a Ship, the amount specified as such in respect of such Ship in Schedule 2 (</w:t>
      </w:r>
      <w:r>
        <w:rPr>
          <w:rFonts w:ascii="Arial" w:cs="Arial" w:eastAsia="Arial" w:hAnsi="Arial"/>
          <w:sz w:val="18"/>
          <w:szCs w:val="18"/>
          <w:i w:val="1"/>
          <w:iCs w:val="1"/>
          <w:color w:val="auto"/>
        </w:rPr>
        <w:t>Ship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being a part of the Total Term Loan Commitments, as cancelled or reduced pursuant to any provision of this Agreement.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Term Loans </w:t>
      </w:r>
      <w:r>
        <w:rPr>
          <w:rFonts w:ascii="Arial" w:cs="Arial" w:eastAsia="Arial" w:hAnsi="Arial"/>
          <w:sz w:val="18"/>
          <w:szCs w:val="18"/>
          <w:color w:val="auto"/>
        </w:rPr>
        <w:t>means Term Loan A, Term Loan B, Term Loan C, Term Loan D, Term Loan E, and Term Loan F, and:</w:t>
      </w:r>
    </w:p>
    <w:p>
      <w:pPr>
        <w:spacing w:after="0" w:line="220" w:lineRule="exact"/>
        <w:rPr>
          <w:sz w:val="20"/>
          <w:szCs w:val="20"/>
          <w:color w:val="auto"/>
        </w:rPr>
      </w:pPr>
    </w:p>
    <w:p>
      <w:pPr>
        <w:ind w:left="522" w:hanging="522"/>
        <w:spacing w:after="0"/>
        <w:tabs>
          <w:tab w:leader="none" w:pos="5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relation to Ship A, it means Term Loan A;</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relation to Ship B, it means Term Loan B;</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relation to Ship C, it means Term Loan C;</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relation to Ship D, it means Term Loan 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relation to Ship E, it means Term Loan E; and</w:t>
      </w:r>
    </w:p>
    <w:p>
      <w:pPr>
        <w:spacing w:after="0" w:line="198" w:lineRule="exact"/>
        <w:rPr>
          <w:rFonts w:ascii="Arial" w:cs="Arial" w:eastAsia="Arial" w:hAnsi="Arial"/>
          <w:sz w:val="18"/>
          <w:szCs w:val="18"/>
          <w:color w:val="auto"/>
        </w:rPr>
      </w:pPr>
    </w:p>
    <w:p>
      <w:pPr>
        <w:ind w:left="462" w:hanging="462"/>
        <w:spacing w:after="0"/>
        <w:tabs>
          <w:tab w:leader="none" w:pos="4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relation to Ship F, it means Term Loan F,</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Term Loan</w:t>
      </w:r>
      <w:r>
        <w:rPr>
          <w:rFonts w:ascii="Arial" w:cs="Arial" w:eastAsia="Arial" w:hAnsi="Arial"/>
          <w:sz w:val="18"/>
          <w:szCs w:val="18"/>
          <w:color w:val="auto"/>
        </w:rPr>
        <w:t xml:space="preserve"> means any of them.</w:t>
      </w:r>
    </w:p>
    <w:p>
      <w:pPr>
        <w:spacing w:after="0" w:line="220"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64135</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29" w:name="page30"/>
    <w:bookmarkEnd w:id="29"/>
    <w:p>
      <w:pPr>
        <w:ind w:left="2"/>
        <w:spacing w:after="0" w:line="271" w:lineRule="auto"/>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Total Term Loan Commitments and the Total Revolving Loan Commitments, being</w:t>
      </w:r>
      <w:r>
        <w:rPr>
          <w:rFonts w:ascii="Arial" w:cs="Arial" w:eastAsia="Arial" w:hAnsi="Arial"/>
          <w:sz w:val="18"/>
          <w:szCs w:val="18"/>
          <w:b w:val="1"/>
          <w:bCs w:val="1"/>
          <w:color w:val="auto"/>
        </w:rPr>
        <w:t xml:space="preserve"> </w:t>
      </w:r>
      <w:r>
        <w:rPr>
          <w:rFonts w:ascii="Arial" w:cs="Arial" w:eastAsia="Arial" w:hAnsi="Arial"/>
          <w:sz w:val="18"/>
          <w:szCs w:val="18"/>
          <w:color w:val="auto"/>
        </w:rPr>
        <w:t>$576,887,500 at the date of this Agreement.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 in relation to a vessel, its:</w:t>
      </w:r>
    </w:p>
    <w:p>
      <w:pPr>
        <w:spacing w:after="0" w:line="220" w:lineRule="exact"/>
        <w:rPr>
          <w:sz w:val="20"/>
          <w:szCs w:val="20"/>
          <w:color w:val="auto"/>
        </w:rPr>
      </w:pPr>
    </w:p>
    <w:p>
      <w:pPr>
        <w:ind w:left="522" w:hanging="522"/>
        <w:spacing w:after="0"/>
        <w:tabs>
          <w:tab w:leader="none" w:pos="5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198" w:lineRule="exact"/>
        <w:rPr>
          <w:rFonts w:ascii="Arial" w:cs="Arial" w:eastAsia="Arial" w:hAnsi="Arial"/>
          <w:sz w:val="18"/>
          <w:szCs w:val="18"/>
          <w:color w:val="auto"/>
        </w:rPr>
      </w:pPr>
    </w:p>
    <w:p>
      <w:pPr>
        <w:ind w:left="502" w:hanging="502"/>
        <w:spacing w:after="0"/>
        <w:tabs>
          <w:tab w:leader="none" w:pos="502"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30 days; or</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hijacking, piracy or theft for more than 60 days.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2" w:right="20" w:hanging="502"/>
        <w:spacing w:after="0" w:line="246" w:lineRule="auto"/>
        <w:tabs>
          <w:tab w:leader="none" w:pos="6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an actual total loss, the date it happened or, if such date is not known, the date on which the vessel was last reported;</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198" w:lineRule="exact"/>
        <w:rPr>
          <w:rFonts w:ascii="Arial" w:cs="Arial" w:eastAsia="Arial" w:hAnsi="Arial"/>
          <w:sz w:val="18"/>
          <w:szCs w:val="18"/>
          <w:color w:val="auto"/>
        </w:rPr>
      </w:pPr>
    </w:p>
    <w:p>
      <w:pPr>
        <w:ind w:left="1022" w:hanging="511"/>
        <w:spacing w:after="0"/>
        <w:tabs>
          <w:tab w:leader="none" w:pos="102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198" w:lineRule="exact"/>
        <w:rPr>
          <w:rFonts w:ascii="Arial" w:cs="Arial" w:eastAsia="Arial" w:hAnsi="Arial"/>
          <w:sz w:val="18"/>
          <w:szCs w:val="18"/>
          <w:color w:val="auto"/>
        </w:rPr>
      </w:pPr>
    </w:p>
    <w:p>
      <w:pPr>
        <w:ind w:left="1022" w:hanging="511"/>
        <w:spacing w:after="0" w:line="246" w:lineRule="auto"/>
        <w:tabs>
          <w:tab w:leader="none" w:pos="1041"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83" w:lineRule="exact"/>
        <w:rPr>
          <w:rFonts w:ascii="Arial" w:cs="Arial" w:eastAsia="Arial" w:hAnsi="Arial"/>
          <w:sz w:val="18"/>
          <w:szCs w:val="18"/>
          <w:color w:val="auto"/>
        </w:rPr>
      </w:pPr>
    </w:p>
    <w:p>
      <w:pPr>
        <w:ind w:left="1022" w:right="20" w:hanging="511"/>
        <w:spacing w:after="0" w:line="246" w:lineRule="auto"/>
        <w:tabs>
          <w:tab w:leader="none" w:pos="106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date upon which a binding agreement as to such compromised or arranged total loss has been entered into by the vessel’s insurers;</w:t>
      </w:r>
    </w:p>
    <w:p>
      <w:pPr>
        <w:spacing w:after="0" w:line="183" w:lineRule="exact"/>
        <w:rPr>
          <w:rFonts w:ascii="Arial" w:cs="Arial" w:eastAsia="Arial" w:hAnsi="Arial"/>
          <w:sz w:val="18"/>
          <w:szCs w:val="18"/>
          <w:color w:val="auto"/>
        </w:rPr>
      </w:pPr>
    </w:p>
    <w:p>
      <w:pPr>
        <w:ind w:left="502" w:hanging="502"/>
        <w:spacing w:after="0"/>
        <w:tabs>
          <w:tab w:leader="none" w:pos="5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198" w:lineRule="exact"/>
        <w:rPr>
          <w:rFonts w:ascii="Arial" w:cs="Arial" w:eastAsia="Arial" w:hAnsi="Arial"/>
          <w:sz w:val="18"/>
          <w:szCs w:val="18"/>
          <w:color w:val="auto"/>
        </w:rPr>
      </w:pPr>
    </w:p>
    <w:p>
      <w:pPr>
        <w:ind w:left="522" w:hanging="522"/>
        <w:spacing w:after="0"/>
        <w:tabs>
          <w:tab w:leader="none" w:pos="5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Repayment Date </w:t>
      </w:r>
      <w:r>
        <w:rPr>
          <w:rFonts w:ascii="Arial" w:cs="Arial" w:eastAsia="Arial" w:hAnsi="Arial"/>
          <w:sz w:val="18"/>
          <w:szCs w:val="18"/>
          <w:color w:val="auto"/>
        </w:rPr>
        <w:t>means, where a Mortgaged Ship has become a Total Loss, the earlier of:</w:t>
      </w:r>
    </w:p>
    <w:p>
      <w:pPr>
        <w:spacing w:after="0" w:line="220" w:lineRule="exact"/>
        <w:rPr>
          <w:sz w:val="20"/>
          <w:szCs w:val="20"/>
          <w:color w:val="auto"/>
        </w:rPr>
      </w:pPr>
    </w:p>
    <w:p>
      <w:pPr>
        <w:ind w:left="522" w:hanging="522"/>
        <w:spacing w:after="0"/>
        <w:tabs>
          <w:tab w:leader="none" w:pos="52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falling 180 days after its Total Loss Date; and</w:t>
      </w:r>
    </w:p>
    <w:p>
      <w:pPr>
        <w:spacing w:after="0" w:line="198" w:lineRule="exact"/>
        <w:rPr>
          <w:rFonts w:ascii="Arial" w:cs="Arial" w:eastAsia="Arial" w:hAnsi="Arial"/>
          <w:sz w:val="18"/>
          <w:szCs w:val="18"/>
          <w:color w:val="auto"/>
        </w:rPr>
      </w:pPr>
    </w:p>
    <w:p>
      <w:pPr>
        <w:ind w:left="502" w:hanging="502"/>
        <w:spacing w:after="0" w:line="246" w:lineRule="auto"/>
        <w:tabs>
          <w:tab w:leader="none" w:pos="5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61"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Total Revolving Loan Commitments </w:t>
      </w:r>
      <w:r>
        <w:rPr>
          <w:rFonts w:ascii="Arial" w:cs="Arial" w:eastAsia="Arial" w:hAnsi="Arial"/>
          <w:sz w:val="18"/>
          <w:szCs w:val="18"/>
          <w:color w:val="auto"/>
        </w:rPr>
        <w:t>means the aggregate of the Revolving Loan Commitments, being $82,412,500 as at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14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Total Term Loan Commitments </w:t>
      </w:r>
      <w:r>
        <w:rPr>
          <w:rFonts w:ascii="Arial" w:cs="Arial" w:eastAsia="Arial" w:hAnsi="Arial"/>
          <w:sz w:val="18"/>
          <w:szCs w:val="18"/>
          <w:color w:val="auto"/>
        </w:rPr>
        <w:t>means the aggregate of the Term Loan Commitments, being $494,475,000 as at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40" w:lineRule="exact"/>
        <w:rPr>
          <w:sz w:val="20"/>
          <w:szCs w:val="20"/>
          <w:color w:val="auto"/>
        </w:rPr>
      </w:pPr>
    </w:p>
    <w:p>
      <w:pPr>
        <w:ind w:left="2"/>
        <w:spacing w:after="0" w:line="271" w:lineRule="auto"/>
        <w:rPr>
          <w:sz w:val="20"/>
          <w:szCs w:val="20"/>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7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agreed between the Agent and the Borrowers or, at any time after the occurrence of an Event of Default, required by the Agent.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20" w:lineRule="exact"/>
        <w:rPr>
          <w:sz w:val="20"/>
          <w:szCs w:val="20"/>
          <w:color w:val="auto"/>
        </w:rPr>
      </w:pPr>
    </w:p>
    <w:p>
      <w:pPr>
        <w:ind w:left="5002" w:right="4780" w:hanging="5002"/>
        <w:spacing w:after="0" w:line="481" w:lineRule="auto"/>
        <w:tabs>
          <w:tab w:leader="none" w:pos="5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-73660</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19" w:right="339" w:bottom="1440" w:gutter="0" w:footer="0" w:header="0"/>
        </w:sectPr>
      </w:pPr>
    </w:p>
    <w:bookmarkStart w:id="30" w:name="page31"/>
    <w:bookmarkEnd w:id="30"/>
    <w:p>
      <w:pPr>
        <w:ind w:left="920" w:hanging="522"/>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176" w:lineRule="exact"/>
        <w:rPr>
          <w:sz w:val="20"/>
          <w:szCs w:val="20"/>
          <w:color w:val="auto"/>
        </w:rPr>
      </w:pPr>
    </w:p>
    <w:p>
      <w:pPr>
        <w:ind w:left="400"/>
        <w:spacing w:after="0" w:line="271"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rate or price.</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20" w:lineRule="exact"/>
        <w:rPr>
          <w:sz w:val="20"/>
          <w:szCs w:val="20"/>
          <w:color w:val="auto"/>
        </w:rPr>
      </w:pPr>
    </w:p>
    <w:p>
      <w:pPr>
        <w:ind w:left="920" w:hanging="522"/>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w:t>
      </w:r>
    </w:p>
    <w:p>
      <w:pPr>
        <w:spacing w:after="0" w:line="198" w:lineRule="exact"/>
        <w:rPr>
          <w:rFonts w:ascii="Arial" w:cs="Arial" w:eastAsia="Arial" w:hAnsi="Arial"/>
          <w:sz w:val="18"/>
          <w:szCs w:val="18"/>
          <w:color w:val="auto"/>
        </w:rPr>
      </w:pPr>
    </w:p>
    <w:p>
      <w:pPr>
        <w:ind w:left="920" w:hanging="522"/>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198" w:lineRule="exact"/>
        <w:rPr>
          <w:rFonts w:ascii="Arial" w:cs="Arial" w:eastAsia="Arial" w:hAnsi="Arial"/>
          <w:sz w:val="18"/>
          <w:szCs w:val="18"/>
          <w:color w:val="auto"/>
        </w:rPr>
      </w:pPr>
    </w:p>
    <w:p>
      <w:pPr>
        <w:jc w:val="both"/>
        <w:ind w:left="900" w:hanging="502"/>
        <w:spacing w:after="0"/>
        <w:tabs>
          <w:tab w:leader="none" w:pos="9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Security Interests, guarantees, security, powers and rights given to the Security Agent under and pursuant to the Finance Documents including, without limitation, the covenants given to the Security Agent in respect of all obligations of any Obligor and any Manager;</w:t>
      </w:r>
    </w:p>
    <w:p>
      <w:pPr>
        <w:spacing w:after="0" w:line="189" w:lineRule="exact"/>
        <w:rPr>
          <w:rFonts w:ascii="Arial" w:cs="Arial" w:eastAsia="Arial" w:hAnsi="Arial"/>
          <w:sz w:val="18"/>
          <w:szCs w:val="18"/>
          <w:color w:val="auto"/>
        </w:rPr>
      </w:pPr>
    </w:p>
    <w:p>
      <w:pPr>
        <w:ind w:left="900" w:hanging="502"/>
        <w:spacing w:after="0" w:line="246" w:lineRule="auto"/>
        <w:tabs>
          <w:tab w:leader="none" w:pos="9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assets paid or transferred to or vested in the Security Agent or its agent or received or recovered by the Security Agent or its agent in connection with any of the Finance Documents whether from any Obligor, any Manager or any other person; and</w:t>
      </w:r>
    </w:p>
    <w:p>
      <w:pPr>
        <w:spacing w:after="0" w:line="183" w:lineRule="exact"/>
        <w:rPr>
          <w:rFonts w:ascii="Arial" w:cs="Arial" w:eastAsia="Arial" w:hAnsi="Arial"/>
          <w:sz w:val="18"/>
          <w:szCs w:val="18"/>
          <w:color w:val="auto"/>
        </w:rPr>
      </w:pPr>
    </w:p>
    <w:p>
      <w:pPr>
        <w:jc w:val="both"/>
        <w:ind w:left="900" w:hanging="502"/>
        <w:spacing w:after="0"/>
        <w:tabs>
          <w:tab w:leader="none" w:pos="10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20" w:lineRule="exact"/>
        <w:rPr>
          <w:sz w:val="20"/>
          <w:szCs w:val="20"/>
          <w:color w:val="auto"/>
        </w:rPr>
      </w:pPr>
    </w:p>
    <w:p>
      <w:pPr>
        <w:ind w:left="920" w:hanging="526"/>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Borrower if it is resident for tax purposes in the US; or</w:t>
      </w:r>
    </w:p>
    <w:p>
      <w:pPr>
        <w:spacing w:after="0" w:line="198" w:lineRule="exact"/>
        <w:rPr>
          <w:rFonts w:ascii="Arial" w:cs="Arial" w:eastAsia="Arial" w:hAnsi="Arial"/>
          <w:sz w:val="18"/>
          <w:szCs w:val="18"/>
          <w:color w:val="auto"/>
        </w:rPr>
      </w:pPr>
    </w:p>
    <w:p>
      <w:pPr>
        <w:ind w:left="900" w:hanging="506"/>
        <w:spacing w:after="0" w:line="246" w:lineRule="auto"/>
        <w:tabs>
          <w:tab w:leader="none" w:pos="9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Obligor some or all of whose payments under the Finance Documents are from sources within the US for US federal income tax purposes.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a Loan.</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a Utilisation is made.</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20" w:lineRule="exact"/>
        <w:rPr>
          <w:sz w:val="20"/>
          <w:szCs w:val="20"/>
          <w:color w:val="auto"/>
        </w:rPr>
      </w:pPr>
    </w:p>
    <w:p>
      <w:pPr>
        <w:ind w:left="900" w:hanging="502"/>
        <w:spacing w:after="0" w:line="246" w:lineRule="auto"/>
        <w:tabs>
          <w:tab w:leader="none" w:pos="9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83" w:lineRule="exact"/>
        <w:rPr>
          <w:rFonts w:ascii="Arial" w:cs="Arial" w:eastAsia="Arial" w:hAnsi="Arial"/>
          <w:sz w:val="18"/>
          <w:szCs w:val="18"/>
          <w:color w:val="auto"/>
        </w:rPr>
      </w:pPr>
    </w:p>
    <w:p>
      <w:pPr>
        <w:ind w:left="900" w:hanging="502"/>
        <w:spacing w:after="0" w:line="246" w:lineRule="auto"/>
        <w:tabs>
          <w:tab w:leader="none" w:pos="10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Construction</w:t>
      </w:r>
    </w:p>
    <w:p>
      <w:pPr>
        <w:spacing w:after="0" w:line="220" w:lineRule="exact"/>
        <w:rPr>
          <w:sz w:val="20"/>
          <w:szCs w:val="20"/>
          <w:color w:val="auto"/>
        </w:rPr>
      </w:pPr>
    </w:p>
    <w:p>
      <w:pPr>
        <w:ind w:left="5400" w:right="3180" w:hanging="5012"/>
        <w:spacing w:after="0" w:line="481" w:lineRule="auto"/>
        <w:tabs>
          <w:tab w:leader="none" w:pos="9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-73660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440" w:top="341" w:right="339" w:bottom="1440" w:gutter="0" w:footer="0" w:header="0"/>
        </w:sectPr>
      </w:pPr>
    </w:p>
    <w:bookmarkStart w:id="31" w:name="page32"/>
    <w:bookmarkEnd w:id="31"/>
    <w:p>
      <w:pPr>
        <w:ind w:left="511" w:hanging="511"/>
        <w:spacing w:after="0" w:line="246" w:lineRule="auto"/>
        <w:tabs>
          <w:tab w:leader="none" w:pos="5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61" w:lineRule="exact"/>
        <w:rPr>
          <w:rFonts w:ascii="Arial" w:cs="Arial" w:eastAsia="Arial" w:hAnsi="Arial"/>
          <w:sz w:val="18"/>
          <w:szCs w:val="18"/>
          <w:color w:val="auto"/>
        </w:rPr>
      </w:pPr>
    </w:p>
    <w:p>
      <w:pPr>
        <w:ind w:left="511" w:hanging="511"/>
        <w:spacing w:after="0" w:line="271" w:lineRule="auto"/>
        <w:tabs>
          <w:tab w:leader="none" w:pos="5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62" w:lineRule="exact"/>
        <w:rPr>
          <w:rFonts w:ascii="Arial" w:cs="Arial" w:eastAsia="Arial" w:hAnsi="Arial"/>
          <w:sz w:val="18"/>
          <w:szCs w:val="18"/>
          <w:color w:val="auto"/>
        </w:rPr>
      </w:pPr>
    </w:p>
    <w:p>
      <w:pPr>
        <w:ind w:left="491" w:hanging="491"/>
        <w:spacing w:after="0"/>
        <w:tabs>
          <w:tab w:leader="none" w:pos="4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198" w:lineRule="exact"/>
        <w:rPr>
          <w:rFonts w:ascii="Arial" w:cs="Arial" w:eastAsia="Arial" w:hAnsi="Arial"/>
          <w:sz w:val="18"/>
          <w:szCs w:val="18"/>
          <w:color w:val="auto"/>
        </w:rPr>
      </w:pPr>
    </w:p>
    <w:p>
      <w:pPr>
        <w:ind w:left="491" w:hanging="491"/>
        <w:spacing w:after="0"/>
        <w:tabs>
          <w:tab w:leader="none" w:pos="4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time of day is to London time;</w:t>
      </w:r>
    </w:p>
    <w:p>
      <w:pPr>
        <w:spacing w:after="0" w:line="198" w:lineRule="exact"/>
        <w:rPr>
          <w:rFonts w:ascii="Arial" w:cs="Arial" w:eastAsia="Arial" w:hAnsi="Arial"/>
          <w:sz w:val="18"/>
          <w:szCs w:val="18"/>
          <w:color w:val="auto"/>
        </w:rPr>
      </w:pPr>
    </w:p>
    <w:p>
      <w:pPr>
        <w:ind w:left="511" w:hanging="511"/>
        <w:spacing w:after="0"/>
        <w:tabs>
          <w:tab w:leader="none" w:pos="5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198" w:lineRule="exact"/>
        <w:rPr>
          <w:rFonts w:ascii="Arial" w:cs="Arial" w:eastAsia="Arial" w:hAnsi="Arial"/>
          <w:sz w:val="18"/>
          <w:szCs w:val="18"/>
          <w:color w:val="auto"/>
        </w:rPr>
      </w:pPr>
    </w:p>
    <w:p>
      <w:pPr>
        <w:ind w:left="511" w:right="20" w:hanging="511"/>
        <w:spacing w:after="0" w:line="246" w:lineRule="auto"/>
        <w:tabs>
          <w:tab w:leader="none" w:pos="5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61" w:lineRule="exact"/>
        <w:rPr>
          <w:rFonts w:ascii="Arial" w:cs="Arial" w:eastAsia="Arial" w:hAnsi="Arial"/>
          <w:sz w:val="18"/>
          <w:szCs w:val="18"/>
          <w:color w:val="auto"/>
        </w:rPr>
      </w:pPr>
    </w:p>
    <w:p>
      <w:pPr>
        <w:jc w:val="both"/>
        <w:ind w:left="511" w:hanging="511"/>
        <w:spacing w:after="0" w:line="247" w:lineRule="auto"/>
        <w:tabs>
          <w:tab w:leader="none" w:pos="5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two or more persons are </w:t>
      </w:r>
      <w:r>
        <w:rPr>
          <w:rFonts w:ascii="Arial" w:cs="Arial" w:eastAsia="Arial" w:hAnsi="Arial"/>
          <w:sz w:val="18"/>
          <w:szCs w:val="18"/>
          <w:b w:val="1"/>
          <w:bCs w:val="1"/>
          <w:color w:val="auto"/>
        </w:rPr>
        <w:t>acting in concert</w:t>
      </w:r>
      <w:r>
        <w:rPr>
          <w:rFonts w:ascii="Arial" w:cs="Arial" w:eastAsia="Arial" w:hAnsi="Arial"/>
          <w:sz w:val="18"/>
          <w:szCs w:val="18"/>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60" w:lineRule="exact"/>
        <w:rPr>
          <w:rFonts w:ascii="Arial" w:cs="Arial" w:eastAsia="Arial" w:hAnsi="Arial"/>
          <w:sz w:val="18"/>
          <w:szCs w:val="18"/>
          <w:color w:val="auto"/>
        </w:rPr>
      </w:pPr>
    </w:p>
    <w:p>
      <w:pPr>
        <w:ind w:left="471" w:hanging="471"/>
        <w:spacing w:after="0"/>
        <w:tabs>
          <w:tab w:leader="none" w:pos="4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20" w:lineRule="exact"/>
        <w:rPr>
          <w:rFonts w:ascii="Arial" w:cs="Arial" w:eastAsia="Arial" w:hAnsi="Arial"/>
          <w:sz w:val="18"/>
          <w:szCs w:val="18"/>
          <w:color w:val="auto"/>
        </w:rPr>
      </w:pPr>
    </w:p>
    <w:p>
      <w:pPr>
        <w:ind w:left="1011" w:hanging="501"/>
        <w:spacing w:after="0" w:line="246" w:lineRule="auto"/>
        <w:tabs>
          <w:tab w:leader="none" w:pos="1026" w:val="left"/>
        </w:tabs>
        <w:numPr>
          <w:ilvl w:val="1"/>
          <w:numId w:val="70"/>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 and</w:t>
      </w:r>
    </w:p>
    <w:p>
      <w:pPr>
        <w:spacing w:after="0" w:line="183" w:lineRule="exact"/>
        <w:rPr>
          <w:rFonts w:ascii="Arial" w:cs="Arial" w:eastAsia="Arial" w:hAnsi="Arial"/>
          <w:sz w:val="18"/>
          <w:szCs w:val="18"/>
          <w:color w:val="auto"/>
        </w:rPr>
      </w:pPr>
    </w:p>
    <w:p>
      <w:pPr>
        <w:jc w:val="both"/>
        <w:ind w:left="1011" w:hanging="501"/>
        <w:spacing w:after="0" w:line="238" w:lineRule="auto"/>
        <w:tabs>
          <w:tab w:leader="none" w:pos="1086"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(acting on the instructions of all the Lenders) and the Borrowers, whether before or after the date of this Agreement, as the form in which that Finance Document is to be executed or another form approved at the request of the Borrowers or, if not so agreed or approved, in the form reasonably required by the Agent;</w:t>
      </w:r>
    </w:p>
    <w:p>
      <w:pPr>
        <w:spacing w:after="0" w:line="169" w:lineRule="exact"/>
        <w:rPr>
          <w:rFonts w:ascii="Arial" w:cs="Arial" w:eastAsia="Arial" w:hAnsi="Arial"/>
          <w:sz w:val="18"/>
          <w:szCs w:val="18"/>
          <w:color w:val="auto"/>
        </w:rPr>
      </w:pPr>
    </w:p>
    <w:p>
      <w:pPr>
        <w:jc w:val="both"/>
        <w:ind w:left="511" w:hanging="511"/>
        <w:spacing w:after="0" w:line="244" w:lineRule="auto"/>
        <w:tabs>
          <w:tab w:leader="none" w:pos="52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approved by the Majority Lenders </w:t>
      </w:r>
      <w:r>
        <w:rPr>
          <w:rFonts w:ascii="Arial" w:cs="Arial" w:eastAsia="Arial" w:hAnsi="Arial"/>
          <w:sz w:val="18"/>
          <w:szCs w:val="18"/>
          <w:color w:val="auto"/>
        </w:rPr>
        <w:t>or</w:t>
      </w:r>
      <w:r>
        <w:rPr>
          <w:rFonts w:ascii="Arial" w:cs="Arial" w:eastAsia="Arial" w:hAnsi="Arial"/>
          <w:sz w:val="18"/>
          <w:szCs w:val="18"/>
          <w:b w:val="1"/>
          <w:bCs w:val="1"/>
          <w:color w:val="auto"/>
        </w:rPr>
        <w:t xml:space="preserve"> approved by the Lenders </w:t>
      </w:r>
      <w:r>
        <w:rPr>
          <w:rFonts w:ascii="Arial" w:cs="Arial" w:eastAsia="Arial" w:hAnsi="Arial"/>
          <w:sz w:val="18"/>
          <w:szCs w:val="18"/>
          <w:color w:val="auto"/>
        </w:rPr>
        <w:t>means approved in writing by the Agent acting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of the Majority Lenders or, as the case may be, all of the Lenders (on such conditions as they may respectively impose) and otherwise </w:t>
      </w:r>
      <w:r>
        <w:rPr>
          <w:rFonts w:ascii="Arial" w:cs="Arial" w:eastAsia="Arial" w:hAnsi="Arial"/>
          <w:sz w:val="18"/>
          <w:szCs w:val="18"/>
          <w:b w:val="1"/>
          <w:bCs w:val="1"/>
          <w:color w:val="auto"/>
        </w:rPr>
        <w:t>approved</w:t>
      </w:r>
      <w:r>
        <w:rPr>
          <w:rFonts w:ascii="Arial" w:cs="Arial" w:eastAsia="Arial" w:hAnsi="Arial"/>
          <w:sz w:val="18"/>
          <w:szCs w:val="18"/>
          <w:color w:val="auto"/>
        </w:rPr>
        <w:t xml:space="preserve"> means approved in writing by the Agent acting on the instructions of the Majority Lenders (on such conditions as the Agent (acting on the instructions of the Majority Lenders) may impose) and </w:t>
      </w:r>
      <w:r>
        <w:rPr>
          <w:rFonts w:ascii="Arial" w:cs="Arial" w:eastAsia="Arial" w:hAnsi="Arial"/>
          <w:sz w:val="18"/>
          <w:szCs w:val="18"/>
          <w:b w:val="1"/>
          <w:bCs w:val="1"/>
          <w:color w:val="auto"/>
        </w:rPr>
        <w:t xml:space="preserve">approval </w:t>
      </w:r>
      <w:r>
        <w:rPr>
          <w:rFonts w:ascii="Arial" w:cs="Arial" w:eastAsia="Arial" w:hAnsi="Arial"/>
          <w:sz w:val="18"/>
          <w:szCs w:val="18"/>
          <w:color w:val="auto"/>
        </w:rPr>
        <w:t>and</w:t>
      </w:r>
      <w:r>
        <w:rPr>
          <w:rFonts w:ascii="Arial" w:cs="Arial" w:eastAsia="Arial" w:hAnsi="Arial"/>
          <w:sz w:val="18"/>
          <w:szCs w:val="18"/>
          <w:b w:val="1"/>
          <w:bCs w:val="1"/>
          <w:color w:val="auto"/>
        </w:rPr>
        <w:t xml:space="preserve"> approve </w:t>
      </w:r>
      <w:r>
        <w:rPr>
          <w:rFonts w:ascii="Arial" w:cs="Arial" w:eastAsia="Arial" w:hAnsi="Arial"/>
          <w:sz w:val="18"/>
          <w:szCs w:val="18"/>
          <w:color w:val="auto"/>
        </w:rPr>
        <w:t>shall be construed accordingly;</w:t>
      </w:r>
    </w:p>
    <w:p>
      <w:pPr>
        <w:spacing w:after="0" w:line="162" w:lineRule="exact"/>
        <w:rPr>
          <w:rFonts w:ascii="Arial" w:cs="Arial" w:eastAsia="Arial" w:hAnsi="Arial"/>
          <w:sz w:val="18"/>
          <w:szCs w:val="18"/>
          <w:color w:val="auto"/>
        </w:rPr>
      </w:pPr>
    </w:p>
    <w:p>
      <w:pPr>
        <w:ind w:left="511" w:hanging="511"/>
        <w:spacing w:after="0"/>
        <w:tabs>
          <w:tab w:leader="none" w:pos="511"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198" w:lineRule="exact"/>
        <w:rPr>
          <w:rFonts w:ascii="Arial" w:cs="Arial" w:eastAsia="Arial" w:hAnsi="Arial"/>
          <w:sz w:val="18"/>
          <w:szCs w:val="18"/>
          <w:color w:val="auto"/>
        </w:rPr>
      </w:pPr>
    </w:p>
    <w:p>
      <w:pPr>
        <w:ind w:left="511" w:hanging="511"/>
        <w:spacing w:after="0" w:line="271" w:lineRule="auto"/>
        <w:tabs>
          <w:tab w:leader="none" w:pos="7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40" w:lineRule="exact"/>
        <w:rPr>
          <w:rFonts w:ascii="Arial" w:cs="Arial" w:eastAsia="Arial" w:hAnsi="Arial"/>
          <w:sz w:val="18"/>
          <w:szCs w:val="18"/>
          <w:color w:val="auto"/>
        </w:rPr>
      </w:pPr>
    </w:p>
    <w:p>
      <w:pPr>
        <w:jc w:val="both"/>
        <w:ind w:left="511" w:hanging="511"/>
        <w:spacing w:after="0" w:line="253" w:lineRule="auto"/>
        <w:tabs>
          <w:tab w:leader="none" w:pos="51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vessel or the carriage of people and/or cargo or the provision of services by or from it and includes any agreement for pooling or sharing income derived from any such charter or contract;</w:t>
      </w:r>
    </w:p>
    <w:p>
      <w:pPr>
        <w:spacing w:after="0" w:line="155" w:lineRule="exact"/>
        <w:rPr>
          <w:rFonts w:ascii="Arial" w:cs="Arial" w:eastAsia="Arial" w:hAnsi="Arial"/>
          <w:sz w:val="18"/>
          <w:szCs w:val="18"/>
          <w:color w:val="auto"/>
        </w:rPr>
      </w:pPr>
    </w:p>
    <w:p>
      <w:pPr>
        <w:ind w:left="471" w:hanging="471"/>
        <w:spacing w:after="0"/>
        <w:tabs>
          <w:tab w:leader="none" w:pos="471"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20" w:lineRule="exact"/>
        <w:rPr>
          <w:rFonts w:ascii="Arial" w:cs="Arial" w:eastAsia="Arial" w:hAnsi="Arial"/>
          <w:sz w:val="18"/>
          <w:szCs w:val="18"/>
          <w:color w:val="auto"/>
        </w:rPr>
      </w:pPr>
    </w:p>
    <w:p>
      <w:pPr>
        <w:ind w:left="1011" w:right="20" w:hanging="501"/>
        <w:spacing w:after="0" w:line="246" w:lineRule="auto"/>
        <w:tabs>
          <w:tab w:leader="none" w:pos="1059"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183"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64135</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11"/>
          </w:cols>
          <w:pgMar w:left="1349" w:top="341" w:right="339" w:bottom="1440" w:gutter="0" w:footer="0" w:header="0"/>
        </w:sectPr>
      </w:pPr>
    </w:p>
    <w:bookmarkStart w:id="32" w:name="page33"/>
    <w:bookmarkEnd w:id="32"/>
    <w:p>
      <w:pPr>
        <w:ind w:left="1531" w:hanging="511"/>
        <w:spacing w:after="0" w:line="246" w:lineRule="auto"/>
        <w:tabs>
          <w:tab w:leader="none" w:pos="1669" w:val="left"/>
        </w:tabs>
        <w:numPr>
          <w:ilvl w:val="1"/>
          <w:numId w:val="71"/>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83" w:lineRule="exact"/>
        <w:rPr>
          <w:rFonts w:ascii="Arial" w:cs="Arial" w:eastAsia="Arial" w:hAnsi="Arial"/>
          <w:sz w:val="18"/>
          <w:szCs w:val="18"/>
          <w:color w:val="auto"/>
        </w:rPr>
      </w:pPr>
    </w:p>
    <w:p>
      <w:pPr>
        <w:ind w:left="1531" w:hanging="511"/>
        <w:spacing w:after="0"/>
        <w:tabs>
          <w:tab w:leader="none" w:pos="153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198" w:lineRule="exact"/>
        <w:rPr>
          <w:rFonts w:ascii="Arial" w:cs="Arial" w:eastAsia="Arial" w:hAnsi="Arial"/>
          <w:sz w:val="18"/>
          <w:szCs w:val="18"/>
          <w:color w:val="auto"/>
        </w:rPr>
      </w:pPr>
    </w:p>
    <w:p>
      <w:pPr>
        <w:ind w:left="1531" w:hanging="511"/>
        <w:spacing w:after="0" w:line="246" w:lineRule="auto"/>
        <w:tabs>
          <w:tab w:leader="none" w:pos="1629" w:val="left"/>
        </w:tabs>
        <w:numPr>
          <w:ilvl w:val="1"/>
          <w:numId w:val="71"/>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83" w:lineRule="exact"/>
        <w:rPr>
          <w:rFonts w:ascii="Arial" w:cs="Arial" w:eastAsia="Arial" w:hAnsi="Arial"/>
          <w:sz w:val="18"/>
          <w:szCs w:val="18"/>
          <w:color w:val="auto"/>
        </w:rPr>
      </w:pPr>
    </w:p>
    <w:p>
      <w:pPr>
        <w:jc w:val="both"/>
        <w:ind w:left="1011" w:hanging="501"/>
        <w:spacing w:after="0" w:line="237" w:lineRule="auto"/>
        <w:tabs>
          <w:tab w:leader="none" w:pos="10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69" w:lineRule="exact"/>
        <w:rPr>
          <w:sz w:val="20"/>
          <w:szCs w:val="20"/>
          <w:color w:val="auto"/>
        </w:rPr>
      </w:pPr>
    </w:p>
    <w:p>
      <w:pPr>
        <w:ind w:left="511"/>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198" w:lineRule="exact"/>
        <w:rPr>
          <w:sz w:val="20"/>
          <w:szCs w:val="20"/>
          <w:color w:val="auto"/>
        </w:rPr>
      </w:pPr>
    </w:p>
    <w:p>
      <w:pPr>
        <w:jc w:val="both"/>
        <w:ind w:left="511" w:hanging="511"/>
        <w:spacing w:after="0" w:line="253" w:lineRule="auto"/>
        <w:tabs>
          <w:tab w:leader="none" w:pos="4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55" w:lineRule="exact"/>
        <w:rPr>
          <w:rFonts w:ascii="Arial" w:cs="Arial" w:eastAsia="Arial" w:hAnsi="Arial"/>
          <w:sz w:val="18"/>
          <w:szCs w:val="18"/>
          <w:color w:val="auto"/>
        </w:rPr>
      </w:pPr>
    </w:p>
    <w:p>
      <w:pPr>
        <w:ind w:left="451" w:hanging="451"/>
        <w:spacing w:after="0"/>
        <w:tabs>
          <w:tab w:leader="none" w:pos="45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198" w:lineRule="exact"/>
        <w:rPr>
          <w:rFonts w:ascii="Arial" w:cs="Arial" w:eastAsia="Arial" w:hAnsi="Arial"/>
          <w:sz w:val="18"/>
          <w:szCs w:val="18"/>
          <w:color w:val="auto"/>
        </w:rPr>
      </w:pPr>
    </w:p>
    <w:p>
      <w:pPr>
        <w:ind w:left="511" w:right="20" w:hanging="511"/>
        <w:spacing w:after="0" w:line="271" w:lineRule="auto"/>
        <w:tabs>
          <w:tab w:leader="none" w:pos="441"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environment </w:t>
      </w:r>
      <w:r>
        <w:rPr>
          <w:rFonts w:ascii="Arial" w:cs="Arial" w:eastAsia="Arial" w:hAnsi="Arial"/>
          <w:sz w:val="18"/>
          <w:szCs w:val="18"/>
          <w:color w:val="auto"/>
        </w:rPr>
        <w:t>means humans, animals, plants and all other living organisms including the ecological systems of which they</w:t>
      </w:r>
      <w:r>
        <w:rPr>
          <w:rFonts w:ascii="Arial" w:cs="Arial" w:eastAsia="Arial" w:hAnsi="Arial"/>
          <w:sz w:val="18"/>
          <w:szCs w:val="18"/>
          <w:b w:val="1"/>
          <w:bCs w:val="1"/>
          <w:color w:val="auto"/>
        </w:rPr>
        <w:t xml:space="preserve"> </w:t>
      </w:r>
      <w:r>
        <w:rPr>
          <w:rFonts w:ascii="Arial" w:cs="Arial" w:eastAsia="Arial" w:hAnsi="Arial"/>
          <w:sz w:val="18"/>
          <w:szCs w:val="18"/>
          <w:color w:val="auto"/>
        </w:rPr>
        <w:t>form part and the following media:</w:t>
      </w:r>
    </w:p>
    <w:p>
      <w:pPr>
        <w:spacing w:after="0" w:line="162" w:lineRule="exact"/>
        <w:rPr>
          <w:rFonts w:ascii="Arial" w:cs="Arial" w:eastAsia="Arial" w:hAnsi="Arial"/>
          <w:sz w:val="18"/>
          <w:szCs w:val="18"/>
          <w:color w:val="auto"/>
        </w:rPr>
      </w:pPr>
    </w:p>
    <w:p>
      <w:pPr>
        <w:ind w:left="1051" w:hanging="541"/>
        <w:spacing w:after="0"/>
        <w:tabs>
          <w:tab w:leader="none" w:pos="1051" w:val="left"/>
        </w:tabs>
        <w:numPr>
          <w:ilvl w:val="1"/>
          <w:numId w:val="73"/>
        </w:numPr>
        <w:rPr>
          <w:rFonts w:ascii="Arial" w:cs="Arial" w:eastAsia="Arial" w:hAnsi="Arial"/>
          <w:sz w:val="18"/>
          <w:szCs w:val="18"/>
          <w:color w:val="auto"/>
        </w:rPr>
      </w:pPr>
      <w:r>
        <w:rPr>
          <w:rFonts w:ascii="Arial" w:cs="Arial" w:eastAsia="Arial" w:hAnsi="Arial"/>
          <w:sz w:val="18"/>
          <w:szCs w:val="18"/>
          <w:color w:val="auto"/>
        </w:rPr>
        <w:t>air (including, without limitation, air within natural or man-made structures, whether above or below ground);</w:t>
      </w:r>
    </w:p>
    <w:p>
      <w:pPr>
        <w:spacing w:after="0" w:line="198" w:lineRule="exact"/>
        <w:rPr>
          <w:rFonts w:ascii="Arial" w:cs="Arial" w:eastAsia="Arial" w:hAnsi="Arial"/>
          <w:sz w:val="18"/>
          <w:szCs w:val="18"/>
          <w:color w:val="auto"/>
        </w:rPr>
      </w:pPr>
    </w:p>
    <w:p>
      <w:pPr>
        <w:ind w:left="1011" w:hanging="501"/>
        <w:spacing w:after="0" w:line="246" w:lineRule="auto"/>
        <w:tabs>
          <w:tab w:leader="none" w:pos="1041" w:val="left"/>
        </w:tabs>
        <w:numPr>
          <w:ilvl w:val="1"/>
          <w:numId w:val="73"/>
        </w:numPr>
        <w:rPr>
          <w:rFonts w:ascii="Arial" w:cs="Arial" w:eastAsia="Arial" w:hAnsi="Arial"/>
          <w:sz w:val="18"/>
          <w:szCs w:val="18"/>
          <w:color w:val="auto"/>
        </w:rPr>
      </w:pPr>
      <w:r>
        <w:rPr>
          <w:rFonts w:ascii="Arial" w:cs="Arial" w:eastAsia="Arial" w:hAnsi="Arial"/>
          <w:sz w:val="18"/>
          <w:szCs w:val="18"/>
          <w:color w:val="auto"/>
        </w:rPr>
        <w:t>water and (including, without limitation, territorial, coastal and inland waters, water under or within land and water in drains and sewers); and</w:t>
      </w:r>
    </w:p>
    <w:p>
      <w:pPr>
        <w:spacing w:after="0" w:line="183" w:lineRule="exact"/>
        <w:rPr>
          <w:rFonts w:ascii="Arial" w:cs="Arial" w:eastAsia="Arial" w:hAnsi="Arial"/>
          <w:sz w:val="18"/>
          <w:szCs w:val="18"/>
          <w:color w:val="auto"/>
        </w:rPr>
      </w:pPr>
    </w:p>
    <w:p>
      <w:pPr>
        <w:ind w:left="1051" w:hanging="541"/>
        <w:spacing w:after="0"/>
        <w:tabs>
          <w:tab w:leader="none" w:pos="1051" w:val="left"/>
        </w:tabs>
        <w:numPr>
          <w:ilvl w:val="1"/>
          <w:numId w:val="73"/>
        </w:numPr>
        <w:rPr>
          <w:rFonts w:ascii="Arial" w:cs="Arial" w:eastAsia="Arial" w:hAnsi="Arial"/>
          <w:sz w:val="18"/>
          <w:szCs w:val="18"/>
          <w:color w:val="auto"/>
        </w:rPr>
      </w:pPr>
      <w:r>
        <w:rPr>
          <w:rFonts w:ascii="Arial" w:cs="Arial" w:eastAsia="Arial" w:hAnsi="Arial"/>
          <w:sz w:val="18"/>
          <w:szCs w:val="18"/>
          <w:color w:val="auto"/>
        </w:rPr>
        <w:t>land (including, without limitation, land under water and the sea bed);</w:t>
      </w:r>
    </w:p>
    <w:p>
      <w:pPr>
        <w:spacing w:after="0" w:line="176" w:lineRule="exact"/>
        <w:rPr>
          <w:rFonts w:ascii="Arial" w:cs="Arial" w:eastAsia="Arial" w:hAnsi="Arial"/>
          <w:sz w:val="18"/>
          <w:szCs w:val="18"/>
          <w:color w:val="auto"/>
        </w:rPr>
      </w:pPr>
    </w:p>
    <w:p>
      <w:pPr>
        <w:jc w:val="both"/>
        <w:ind w:left="511" w:hanging="511"/>
        <w:spacing w:after="0" w:line="244"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equivalent</w:t>
      </w:r>
      <w:r>
        <w:rPr>
          <w:rFonts w:ascii="Arial" w:cs="Arial" w:eastAsia="Arial" w:hAnsi="Arial"/>
          <w:sz w:val="18"/>
          <w:szCs w:val="18"/>
          <w:color w:val="auto"/>
        </w:rPr>
        <w:t xml:space="preserve"> of an amount specified in a particular currency (the </w:t>
      </w:r>
      <w:r>
        <w:rPr>
          <w:rFonts w:ascii="Arial" w:cs="Arial" w:eastAsia="Arial" w:hAnsi="Arial"/>
          <w:sz w:val="18"/>
          <w:szCs w:val="18"/>
          <w:b w:val="1"/>
          <w:bCs w:val="1"/>
          <w:color w:val="auto"/>
        </w:rPr>
        <w:t>specified currency amount</w:t>
      </w:r>
      <w:r>
        <w:rPr>
          <w:rFonts w:ascii="Arial" w:cs="Arial" w:eastAsia="Arial" w:hAnsi="Arial"/>
          <w:sz w:val="18"/>
          <w:szCs w:val="18"/>
          <w:color w:val="auto"/>
        </w:rPr>
        <w:t xml:space="preserve">) shall be construed as a reference to the amount of the other relevant currency which can be purchased with the specified currency amount in the London foreign exchange market at or about 11 a.m. on the date the calculation falls to be made for spot delivery, as conclusively determined by the Agent (with the relevant exchange rate of any such purchase being the </w:t>
      </w:r>
      <w:r>
        <w:rPr>
          <w:rFonts w:ascii="Arial" w:cs="Arial" w:eastAsia="Arial" w:hAnsi="Arial"/>
          <w:sz w:val="18"/>
          <w:szCs w:val="18"/>
          <w:b w:val="1"/>
          <w:bCs w:val="1"/>
          <w:color w:val="auto"/>
        </w:rPr>
        <w:t>Agent’s spot rate</w:t>
      </w:r>
      <w:r>
        <w:rPr>
          <w:rFonts w:ascii="Arial" w:cs="Arial" w:eastAsia="Arial" w:hAnsi="Arial"/>
          <w:sz w:val="18"/>
          <w:szCs w:val="18"/>
          <w:color w:val="auto"/>
        </w:rPr>
        <w:t xml:space="preserve"> </w:t>
      </w:r>
      <w:r>
        <w:rPr>
          <w:rFonts w:ascii="Arial" w:cs="Arial" w:eastAsia="Arial" w:hAnsi="Arial"/>
          <w:sz w:val="18"/>
          <w:szCs w:val="18"/>
          <w:b w:val="1"/>
          <w:bCs w:val="1"/>
          <w:color w:val="auto"/>
        </w:rPr>
        <w:t>of exchange</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ind w:left="511" w:hanging="511"/>
        <w:spacing w:after="0"/>
        <w:tabs>
          <w:tab w:leader="none" w:pos="5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198" w:lineRule="exact"/>
        <w:rPr>
          <w:rFonts w:ascii="Arial" w:cs="Arial" w:eastAsia="Arial" w:hAnsi="Arial"/>
          <w:sz w:val="18"/>
          <w:szCs w:val="18"/>
          <w:color w:val="auto"/>
        </w:rPr>
      </w:pPr>
    </w:p>
    <w:p>
      <w:pPr>
        <w:ind w:left="491" w:hanging="491"/>
        <w:spacing w:after="0"/>
        <w:tabs>
          <w:tab w:leader="none" w:pos="4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198" w:lineRule="exact"/>
        <w:rPr>
          <w:rFonts w:ascii="Arial" w:cs="Arial" w:eastAsia="Arial" w:hAnsi="Arial"/>
          <w:sz w:val="18"/>
          <w:szCs w:val="18"/>
          <w:color w:val="auto"/>
        </w:rPr>
      </w:pPr>
    </w:p>
    <w:p>
      <w:pPr>
        <w:jc w:val="both"/>
        <w:ind w:left="511" w:hanging="511"/>
        <w:spacing w:after="0" w:line="247" w:lineRule="auto"/>
        <w:tabs>
          <w:tab w:leader="none" w:pos="53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82"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64135</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11"/>
          </w:cols>
          <w:pgMar w:left="1349" w:top="341" w:right="339" w:bottom="1440" w:gutter="0" w:footer="0" w:header="0"/>
        </w:sectPr>
      </w:pPr>
    </w:p>
    <w:bookmarkStart w:id="33" w:name="page34"/>
    <w:bookmarkEnd w:id="33"/>
    <w:p>
      <w:pPr>
        <w:ind w:left="511" w:hanging="511"/>
        <w:spacing w:after="0" w:line="271" w:lineRule="auto"/>
        <w:tabs>
          <w:tab w:leader="none" w:pos="58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money, whether present or future, actual or contingent;</w:t>
      </w:r>
    </w:p>
    <w:p>
      <w:pPr>
        <w:spacing w:after="0" w:line="140" w:lineRule="exact"/>
        <w:rPr>
          <w:rFonts w:ascii="Arial" w:cs="Arial" w:eastAsia="Arial" w:hAnsi="Arial"/>
          <w:sz w:val="18"/>
          <w:szCs w:val="18"/>
          <w:color w:val="auto"/>
        </w:rPr>
      </w:pPr>
    </w:p>
    <w:p>
      <w:pPr>
        <w:ind w:left="511" w:hanging="511"/>
        <w:spacing w:after="0" w:line="271" w:lineRule="auto"/>
        <w:tabs>
          <w:tab w:leader="none" w:pos="49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calendar month or the calendar month in which it is to end, except that:</w:t>
      </w:r>
    </w:p>
    <w:p>
      <w:pPr>
        <w:spacing w:after="0" w:line="162" w:lineRule="exact"/>
        <w:rPr>
          <w:rFonts w:ascii="Arial" w:cs="Arial" w:eastAsia="Arial" w:hAnsi="Arial"/>
          <w:sz w:val="18"/>
          <w:szCs w:val="18"/>
          <w:color w:val="auto"/>
        </w:rPr>
      </w:pPr>
    </w:p>
    <w:p>
      <w:pPr>
        <w:ind w:left="1011" w:hanging="501"/>
        <w:spacing w:after="0" w:line="246" w:lineRule="auto"/>
        <w:tabs>
          <w:tab w:leader="none" w:pos="10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83" w:lineRule="exact"/>
        <w:rPr>
          <w:rFonts w:ascii="Arial" w:cs="Arial" w:eastAsia="Arial" w:hAnsi="Arial"/>
          <w:sz w:val="18"/>
          <w:szCs w:val="18"/>
          <w:color w:val="auto"/>
        </w:rPr>
      </w:pPr>
    </w:p>
    <w:p>
      <w:pPr>
        <w:ind w:left="1011" w:right="20" w:hanging="501"/>
        <w:spacing w:after="0" w:line="246" w:lineRule="auto"/>
        <w:tabs>
          <w:tab w:leader="none" w:pos="11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month, that period shall end on the last Business Day in that month,</w:t>
      </w:r>
    </w:p>
    <w:p>
      <w:pPr>
        <w:spacing w:after="0" w:line="183" w:lineRule="exact"/>
        <w:rPr>
          <w:sz w:val="20"/>
          <w:szCs w:val="20"/>
          <w:color w:val="auto"/>
        </w:rPr>
      </w:pPr>
    </w:p>
    <w:p>
      <w:pPr>
        <w:ind w:left="511"/>
        <w:spacing w:after="0"/>
        <w:rPr>
          <w:sz w:val="20"/>
          <w:szCs w:val="20"/>
          <w:color w:val="auto"/>
        </w:rPr>
      </w:pPr>
      <w:r>
        <w:rPr>
          <w:rFonts w:ascii="Arial" w:cs="Arial" w:eastAsia="Arial" w:hAnsi="Arial"/>
          <w:sz w:val="18"/>
          <w:szCs w:val="18"/>
          <w:color w:val="auto"/>
        </w:rPr>
        <w:t>and the above rules in paragraphs (A) to (B) will only apply to the last month of any period;</w:t>
      </w:r>
    </w:p>
    <w:p>
      <w:pPr>
        <w:spacing w:after="0" w:line="176" w:lineRule="exact"/>
        <w:rPr>
          <w:sz w:val="20"/>
          <w:szCs w:val="20"/>
          <w:color w:val="auto"/>
        </w:rPr>
      </w:pPr>
    </w:p>
    <w:p>
      <w:pPr>
        <w:ind w:left="511" w:hanging="511"/>
        <w:spacing w:after="0"/>
        <w:tabs>
          <w:tab w:leader="none" w:pos="5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198" w:lineRule="exact"/>
        <w:rPr>
          <w:rFonts w:ascii="Arial" w:cs="Arial" w:eastAsia="Arial" w:hAnsi="Arial"/>
          <w:sz w:val="18"/>
          <w:szCs w:val="18"/>
          <w:color w:val="auto"/>
        </w:rPr>
      </w:pPr>
    </w:p>
    <w:p>
      <w:pPr>
        <w:jc w:val="both"/>
        <w:ind w:left="511" w:hanging="511"/>
        <w:spacing w:after="0" w:line="253" w:lineRule="auto"/>
        <w:tabs>
          <w:tab w:leader="none" w:pos="5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something being in the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55" w:lineRule="exact"/>
        <w:rPr>
          <w:rFonts w:ascii="Arial" w:cs="Arial" w:eastAsia="Arial" w:hAnsi="Arial"/>
          <w:sz w:val="18"/>
          <w:szCs w:val="18"/>
          <w:color w:val="auto"/>
        </w:rPr>
      </w:pPr>
    </w:p>
    <w:p>
      <w:pPr>
        <w:ind w:left="511" w:hanging="511"/>
        <w:spacing w:after="0" w:line="271" w:lineRule="auto"/>
        <w:tabs>
          <w:tab w:leader="none" w:pos="796"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pay</w:t>
      </w:r>
      <w:r>
        <w:rPr>
          <w:rFonts w:ascii="Arial" w:cs="Arial" w:eastAsia="Arial" w:hAnsi="Arial"/>
          <w:sz w:val="18"/>
          <w:szCs w:val="18"/>
          <w:color w:val="auto"/>
        </w:rPr>
        <w:t>,</w:t>
      </w:r>
      <w:r>
        <w:rPr>
          <w:rFonts w:ascii="Arial" w:cs="Arial" w:eastAsia="Arial" w:hAnsi="Arial"/>
          <w:sz w:val="18"/>
          <w:szCs w:val="18"/>
          <w:b w:val="1"/>
          <w:bCs w:val="1"/>
          <w:color w:val="auto"/>
        </w:rPr>
        <w:t xml:space="preserve"> prepay </w:t>
      </w:r>
      <w:r>
        <w:rPr>
          <w:rFonts w:ascii="Arial" w:cs="Arial" w:eastAsia="Arial" w:hAnsi="Arial"/>
          <w:sz w:val="18"/>
          <w:szCs w:val="18"/>
          <w:color w:val="auto"/>
        </w:rPr>
        <w:t>or</w:t>
      </w:r>
      <w:r>
        <w:rPr>
          <w:rFonts w:ascii="Arial" w:cs="Arial" w:eastAsia="Arial" w:hAnsi="Arial"/>
          <w:sz w:val="18"/>
          <w:szCs w:val="18"/>
          <w:b w:val="1"/>
          <w:bCs w:val="1"/>
          <w:color w:val="auto"/>
        </w:rPr>
        <w:t xml:space="preserve"> repay </w:t>
      </w:r>
      <w:r>
        <w:rPr>
          <w:rFonts w:ascii="Arial" w:cs="Arial" w:eastAsia="Arial" w:hAnsi="Arial"/>
          <w:sz w:val="18"/>
          <w:szCs w:val="18"/>
          <w:color w:val="auto"/>
        </w:rPr>
        <w:t>in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includes by way of set-off, combination of accounts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w:t>
      </w:r>
    </w:p>
    <w:p>
      <w:pPr>
        <w:spacing w:after="0" w:line="140" w:lineRule="exact"/>
        <w:rPr>
          <w:rFonts w:ascii="Arial" w:cs="Arial" w:eastAsia="Arial" w:hAnsi="Arial"/>
          <w:sz w:val="18"/>
          <w:szCs w:val="18"/>
          <w:color w:val="auto"/>
        </w:rPr>
      </w:pPr>
    </w:p>
    <w:p>
      <w:pPr>
        <w:ind w:left="511" w:hanging="511"/>
        <w:spacing w:after="0" w:line="271" w:lineRule="auto"/>
        <w:tabs>
          <w:tab w:leader="none" w:pos="5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40" w:lineRule="exact"/>
        <w:rPr>
          <w:rFonts w:ascii="Arial" w:cs="Arial" w:eastAsia="Arial" w:hAnsi="Arial"/>
          <w:sz w:val="18"/>
          <w:szCs w:val="18"/>
          <w:color w:val="auto"/>
        </w:rPr>
      </w:pPr>
    </w:p>
    <w:p>
      <w:pPr>
        <w:jc w:val="both"/>
        <w:ind w:left="511" w:hanging="511"/>
        <w:spacing w:after="0" w:line="247" w:lineRule="auto"/>
        <w:tabs>
          <w:tab w:leader="none" w:pos="51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 relation to any Lender, includes (without limitation) any Basel II Regulation or Basel III Regulation or any law or regulation which implements Reformed Basel III, in each case which is applicable to that Lender;</w:t>
      </w:r>
    </w:p>
    <w:p>
      <w:pPr>
        <w:spacing w:after="0" w:line="160" w:lineRule="exact"/>
        <w:rPr>
          <w:rFonts w:ascii="Arial" w:cs="Arial" w:eastAsia="Arial" w:hAnsi="Arial"/>
          <w:sz w:val="18"/>
          <w:szCs w:val="18"/>
          <w:color w:val="auto"/>
        </w:rPr>
      </w:pPr>
    </w:p>
    <w:p>
      <w:pPr>
        <w:ind w:left="511" w:hanging="511"/>
        <w:spacing w:after="0" w:line="271" w:lineRule="auto"/>
        <w:tabs>
          <w:tab w:leader="none" w:pos="526"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kind, whether actual or contingent, present or future, arising under contract or law, or in equity;</w:t>
      </w:r>
    </w:p>
    <w:p>
      <w:pPr>
        <w:spacing w:after="0" w:line="140" w:lineRule="exact"/>
        <w:rPr>
          <w:rFonts w:ascii="Arial" w:cs="Arial" w:eastAsia="Arial" w:hAnsi="Arial"/>
          <w:sz w:val="18"/>
          <w:szCs w:val="18"/>
          <w:color w:val="auto"/>
        </w:rPr>
      </w:pPr>
    </w:p>
    <w:p>
      <w:pPr>
        <w:ind w:left="511" w:hanging="511"/>
        <w:spacing w:after="0"/>
        <w:tabs>
          <w:tab w:leader="none" w:pos="5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shareholder</w:t>
      </w:r>
      <w:r>
        <w:rPr>
          <w:rFonts w:ascii="Arial" w:cs="Arial" w:eastAsia="Arial" w:hAnsi="Arial"/>
          <w:sz w:val="18"/>
          <w:szCs w:val="18"/>
          <w:color w:val="auto"/>
        </w:rPr>
        <w:t xml:space="preserve"> includes any member and (as the case may be) unitholders or holders of any other rights of similar nature;</w:t>
      </w:r>
    </w:p>
    <w:p>
      <w:pPr>
        <w:spacing w:after="0" w:line="198" w:lineRule="exact"/>
        <w:rPr>
          <w:rFonts w:ascii="Arial" w:cs="Arial" w:eastAsia="Arial" w:hAnsi="Arial"/>
          <w:sz w:val="18"/>
          <w:szCs w:val="18"/>
          <w:color w:val="auto"/>
        </w:rPr>
      </w:pPr>
    </w:p>
    <w:p>
      <w:pPr>
        <w:ind w:left="531" w:hanging="531"/>
        <w:spacing w:after="0"/>
        <w:tabs>
          <w:tab w:leader="none" w:pos="531"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198" w:lineRule="exact"/>
        <w:rPr>
          <w:rFonts w:ascii="Arial" w:cs="Arial" w:eastAsia="Arial" w:hAnsi="Arial"/>
          <w:sz w:val="18"/>
          <w:szCs w:val="18"/>
          <w:color w:val="auto"/>
        </w:rPr>
      </w:pPr>
    </w:p>
    <w:p>
      <w:pPr>
        <w:jc w:val="both"/>
        <w:ind w:left="511" w:hanging="511"/>
        <w:spacing w:after="0"/>
        <w:tabs>
          <w:tab w:leader="none" w:pos="5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winding up</w:t>
      </w:r>
      <w:r>
        <w:rPr>
          <w:rFonts w:ascii="Arial" w:cs="Arial" w:eastAsia="Arial" w:hAnsi="Arial"/>
          <w:sz w:val="18"/>
          <w:szCs w:val="18"/>
          <w:color w:val="auto"/>
        </w:rPr>
        <w:t xml:space="preserve">, </w:t>
      </w:r>
      <w:r>
        <w:rPr>
          <w:rFonts w:ascii="Arial" w:cs="Arial" w:eastAsia="Arial" w:hAnsi="Arial"/>
          <w:sz w:val="18"/>
          <w:szCs w:val="18"/>
          <w:b w:val="1"/>
          <w:bCs w:val="1"/>
          <w:color w:val="auto"/>
        </w:rPr>
        <w:t>dissolution</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administration</w:t>
      </w:r>
      <w:r>
        <w:rPr>
          <w:rFonts w:ascii="Arial" w:cs="Arial" w:eastAsia="Arial" w:hAnsi="Arial"/>
          <w:sz w:val="18"/>
          <w:szCs w:val="18"/>
          <w:color w:val="auto"/>
        </w:rPr>
        <w:t xml:space="preserve"> of person or (ii) a </w:t>
      </w:r>
      <w:r>
        <w:rPr>
          <w:rFonts w:ascii="Arial" w:cs="Arial" w:eastAsia="Arial" w:hAnsi="Arial"/>
          <w:sz w:val="18"/>
          <w:szCs w:val="18"/>
          <w:b w:val="1"/>
          <w:bCs w:val="1"/>
          <w:color w:val="auto"/>
        </w:rPr>
        <w:t>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administrative receiver</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in the context of insolvency proceedings or security enforcement actions in respect of a person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so 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193" w:lineRule="exact"/>
        <w:rPr>
          <w:sz w:val="20"/>
          <w:szCs w:val="20"/>
          <w:color w:val="auto"/>
        </w:rPr>
      </w:pPr>
    </w:p>
    <w:p>
      <w:pPr>
        <w:ind w:left="449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64135</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11"/>
          </w:cols>
          <w:pgMar w:left="1349" w:top="319" w:right="339" w:bottom="1440" w:gutter="0" w:footer="0" w:header="0"/>
        </w:sectPr>
      </w:pPr>
    </w:p>
    <w:bookmarkStart w:id="34" w:name="page35"/>
    <w:bookmarkEnd w:id="34"/>
    <w:p>
      <w:pPr>
        <w:ind w:left="1580" w:hanging="548"/>
        <w:spacing w:after="0"/>
        <w:tabs>
          <w:tab w:leader="none" w:pos="15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20" w:lineRule="exact"/>
        <w:rPr>
          <w:rFonts w:ascii="Arial" w:cs="Arial" w:eastAsia="Arial" w:hAnsi="Arial"/>
          <w:sz w:val="18"/>
          <w:szCs w:val="18"/>
          <w:color w:val="auto"/>
        </w:rPr>
      </w:pPr>
    </w:p>
    <w:p>
      <w:pPr>
        <w:ind w:left="1580" w:hanging="548"/>
        <w:spacing w:after="0"/>
        <w:tabs>
          <w:tab w:leader="none" w:pos="15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176" w:lineRule="exact"/>
        <w:rPr>
          <w:rFonts w:ascii="Arial" w:cs="Arial" w:eastAsia="Arial" w:hAnsi="Arial"/>
          <w:sz w:val="18"/>
          <w:szCs w:val="18"/>
          <w:color w:val="auto"/>
        </w:rPr>
      </w:pPr>
    </w:p>
    <w:p>
      <w:pPr>
        <w:ind w:left="1020" w:hanging="512"/>
        <w:spacing w:after="0" w:line="271" w:lineRule="auto"/>
        <w:tabs>
          <w:tab w:leader="none" w:pos="11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62" w:lineRule="exact"/>
        <w:rPr>
          <w:rFonts w:ascii="Arial" w:cs="Arial" w:eastAsia="Arial" w:hAnsi="Arial"/>
          <w:sz w:val="18"/>
          <w:szCs w:val="18"/>
          <w:color w:val="auto"/>
        </w:rPr>
      </w:pPr>
    </w:p>
    <w:p>
      <w:pPr>
        <w:jc w:val="both"/>
        <w:ind w:left="1020" w:hanging="512"/>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0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1" w:lineRule="exact"/>
        <w:rPr>
          <w:rFonts w:ascii="Arial" w:cs="Arial" w:eastAsia="Arial" w:hAnsi="Arial"/>
          <w:sz w:val="18"/>
          <w:szCs w:val="18"/>
          <w:color w:val="auto"/>
        </w:rPr>
      </w:pPr>
    </w:p>
    <w:p>
      <w:pPr>
        <w:ind w:left="1020" w:hanging="512"/>
        <w:spacing w:after="0" w:line="271" w:lineRule="auto"/>
        <w:tabs>
          <w:tab w:leader="none" w:pos="11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 xml:space="preserve">continuing </w:t>
      </w:r>
      <w:r>
        <w:rPr>
          <w:rFonts w:ascii="Arial" w:cs="Arial" w:eastAsia="Arial" w:hAnsi="Arial"/>
          <w:sz w:val="18"/>
          <w:szCs w:val="18"/>
          <w:color w:val="auto"/>
        </w:rPr>
        <w:t>if it has not been waived or remedied to the satisfaction of the Agent (acting on the instructions of all the Lenders).</w:t>
      </w:r>
    </w:p>
    <w:p>
      <w:pPr>
        <w:spacing w:after="0" w:line="162" w:lineRule="exact"/>
        <w:rPr>
          <w:rFonts w:ascii="Arial" w:cs="Arial" w:eastAsia="Arial" w:hAnsi="Arial"/>
          <w:sz w:val="18"/>
          <w:szCs w:val="18"/>
          <w:color w:val="auto"/>
        </w:rPr>
      </w:pPr>
    </w:p>
    <w:p>
      <w:pPr>
        <w:ind w:left="1020" w:hanging="512"/>
        <w:spacing w:after="0" w:line="246" w:lineRule="auto"/>
        <w:tabs>
          <w:tab w:leader="none" w:pos="1079"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tab/>
        <w:t>Third party rights</w:t>
      </w:r>
    </w:p>
    <w:p>
      <w:pPr>
        <w:spacing w:after="0" w:line="220" w:lineRule="exact"/>
        <w:rPr>
          <w:sz w:val="20"/>
          <w:szCs w:val="20"/>
          <w:color w:val="auto"/>
        </w:rPr>
      </w:pPr>
    </w:p>
    <w:p>
      <w:pPr>
        <w:jc w:val="both"/>
        <w:ind w:left="1020" w:hanging="512"/>
        <w:spacing w:after="0"/>
        <w:tabs>
          <w:tab w:leader="none" w:pos="102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a provision expressed to be for the benefit of a Finance Party or another Indemnified Person, a person who is not a party to a Finance 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w:t>
      </w:r>
    </w:p>
    <w:p>
      <w:pPr>
        <w:spacing w:after="0" w:line="198" w:lineRule="exact"/>
        <w:rPr>
          <w:rFonts w:ascii="Arial" w:cs="Arial" w:eastAsia="Arial" w:hAnsi="Arial"/>
          <w:sz w:val="18"/>
          <w:szCs w:val="18"/>
          <w:color w:val="auto"/>
        </w:rPr>
      </w:pPr>
    </w:p>
    <w:p>
      <w:pPr>
        <w:ind w:left="1020" w:hanging="512"/>
        <w:spacing w:after="0" w:line="246" w:lineRule="auto"/>
        <w:tabs>
          <w:tab w:leader="none" w:pos="11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w:t>
        <w:tab/>
        <w:t>Finance Documents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Conflict of documents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5" w:name="page36"/>
    <w:bookmarkEnd w:id="35"/>
    <w:p>
      <w:pPr>
        <w:ind w:left="540" w:hanging="402"/>
        <w:spacing w:after="0"/>
        <w:tabs>
          <w:tab w:leader="none" w:pos="54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The Facilities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The Term Loan Facility</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Subject to the terms of this Agreement, the Lenders make available to the Borrowers a term loan facility in an aggregate amount equal to the Total Term Loan Commitments.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The Revolving Loan Facility</w:t>
      </w:r>
    </w:p>
    <w:p>
      <w:pPr>
        <w:spacing w:after="0" w:line="220"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Subject to the terms of this Agreement, the Lenders make available to the Borrowers a revolving credit facility in an aggregate amount equal to the Total Revolving Loan Commitments.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w:t>
        <w:tab/>
        <w:t>Finance Parties’ rights and obligations</w:t>
      </w:r>
    </w:p>
    <w:p>
      <w:pPr>
        <w:spacing w:after="0" w:line="220" w:lineRule="exact"/>
        <w:rPr>
          <w:sz w:val="20"/>
          <w:szCs w:val="20"/>
          <w:color w:val="auto"/>
        </w:rPr>
      </w:pPr>
    </w:p>
    <w:p>
      <w:pPr>
        <w:jc w:val="both"/>
        <w:ind w:left="1020" w:hanging="512"/>
        <w:spacing w:after="0"/>
        <w:tabs>
          <w:tab w:leader="none" w:pos="11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9" w:lineRule="exact"/>
        <w:rPr>
          <w:rFonts w:ascii="Arial" w:cs="Arial" w:eastAsia="Arial" w:hAnsi="Arial"/>
          <w:sz w:val="18"/>
          <w:szCs w:val="18"/>
          <w:color w:val="auto"/>
        </w:rPr>
      </w:pPr>
    </w:p>
    <w:p>
      <w:pPr>
        <w:jc w:val="both"/>
        <w:ind w:left="1020" w:hanging="512"/>
        <w:spacing w:after="0" w:line="237" w:lineRule="auto"/>
        <w:tabs>
          <w:tab w:leader="none" w:pos="10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an Obligor which relates to a Finance Party’s participation in a Facility or its role under a Finance Document (including any such amount payable to the Agent on its behalf) and which is a debt owing to that Finance Party by that Obligor.</w:t>
      </w:r>
    </w:p>
    <w:p>
      <w:pPr>
        <w:spacing w:after="0" w:line="171" w:lineRule="exact"/>
        <w:rPr>
          <w:rFonts w:ascii="Arial" w:cs="Arial" w:eastAsia="Arial" w:hAnsi="Arial"/>
          <w:sz w:val="18"/>
          <w:szCs w:val="18"/>
          <w:color w:val="auto"/>
        </w:rPr>
      </w:pPr>
    </w:p>
    <w:p>
      <w:pPr>
        <w:jc w:val="both"/>
        <w:ind w:left="1020" w:hanging="512"/>
        <w:spacing w:after="0" w:line="250" w:lineRule="auto"/>
        <w:tabs>
          <w:tab w:leader="none" w:pos="10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(including clauses 32.30 (</w:t>
      </w:r>
      <w:r>
        <w:rPr>
          <w:rFonts w:ascii="Arial" w:cs="Arial" w:eastAsia="Arial" w:hAnsi="Arial"/>
          <w:sz w:val="18"/>
          <w:szCs w:val="18"/>
          <w:i w:val="1"/>
          <w:iCs w:val="1"/>
          <w:color w:val="auto"/>
        </w:rPr>
        <w:t>All enforcement action</w:t>
      </w:r>
      <w:r>
        <w:rPr>
          <w:rFonts w:ascii="Arial" w:cs="Arial" w:eastAsia="Arial" w:hAnsi="Arial"/>
          <w:sz w:val="18"/>
          <w:szCs w:val="18"/>
          <w:color w:val="auto"/>
        </w:rPr>
        <w:t xml:space="preserve"> </w:t>
      </w:r>
      <w:r>
        <w:rPr>
          <w:rFonts w:ascii="Arial" w:cs="Arial" w:eastAsia="Arial" w:hAnsi="Arial"/>
          <w:sz w:val="18"/>
          <w:szCs w:val="18"/>
          <w:i w:val="1"/>
          <w:iCs w:val="1"/>
          <w:color w:val="auto"/>
        </w:rPr>
        <w:t>through the Security Agent</w:t>
      </w:r>
      <w:r>
        <w:rPr>
          <w:rFonts w:ascii="Arial" w:cs="Arial" w:eastAsia="Arial" w:hAnsi="Arial"/>
          <w:sz w:val="18"/>
          <w:szCs w:val="18"/>
          <w:color w:val="auto"/>
        </w:rPr>
        <w:t>) and 33.2 (</w:t>
      </w:r>
      <w:r>
        <w:rPr>
          <w:rFonts w:ascii="Arial" w:cs="Arial" w:eastAsia="Arial" w:hAnsi="Arial"/>
          <w:sz w:val="18"/>
          <w:szCs w:val="18"/>
          <w:i w:val="1"/>
          <w:iCs w:val="1"/>
          <w:color w:val="auto"/>
        </w:rPr>
        <w:t>Finance Parties acting together</w:t>
      </w:r>
      <w:r>
        <w:rPr>
          <w:rFonts w:ascii="Arial" w:cs="Arial" w:eastAsia="Arial" w:hAnsi="Arial"/>
          <w:sz w:val="18"/>
          <w:szCs w:val="18"/>
          <w:color w:val="auto"/>
        </w:rPr>
        <w:t>)), separately enforce its rights under or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Finance Documents.</w:t>
      </w:r>
    </w:p>
    <w:p>
      <w:pPr>
        <w:spacing w:after="0" w:line="1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Borrowers’ rights and obligations</w:t>
      </w:r>
    </w:p>
    <w:p>
      <w:pPr>
        <w:spacing w:after="0" w:line="220" w:lineRule="exact"/>
        <w:rPr>
          <w:sz w:val="20"/>
          <w:szCs w:val="20"/>
          <w:color w:val="auto"/>
        </w:rPr>
      </w:pPr>
    </w:p>
    <w:p>
      <w:pPr>
        <w:ind w:left="1020" w:right="20" w:hanging="512"/>
        <w:spacing w:after="0" w:line="246" w:lineRule="auto"/>
        <w:tabs>
          <w:tab w:leader="none" w:pos="10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obligations of each Borrower under this Agreement are joint and several. Failure by a Borrower to perform its obligations under this Agreement shall constitute a failure by all of the Borrowers.</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Borrower irrevocably and unconditionally jointly and severally with each other Borrower: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each other Borrower under this Agreement;</w:t>
      </w:r>
    </w:p>
    <w:p>
      <w:pPr>
        <w:spacing w:after="0" w:line="198" w:lineRule="exact"/>
        <w:rPr>
          <w:rFonts w:ascii="Arial" w:cs="Arial" w:eastAsia="Arial" w:hAnsi="Arial"/>
          <w:sz w:val="18"/>
          <w:szCs w:val="18"/>
          <w:color w:val="auto"/>
        </w:rPr>
      </w:pPr>
    </w:p>
    <w:p>
      <w:pPr>
        <w:ind w:left="1540" w:hanging="511"/>
        <w:spacing w:after="0" w:line="246" w:lineRule="auto"/>
        <w:tabs>
          <w:tab w:leader="none" w:pos="155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Borrowers under this Agreement; and</w:t>
      </w:r>
    </w:p>
    <w:p>
      <w:pPr>
        <w:spacing w:after="0" w:line="183" w:lineRule="exact"/>
        <w:rPr>
          <w:rFonts w:ascii="Arial" w:cs="Arial" w:eastAsia="Arial" w:hAnsi="Arial"/>
          <w:sz w:val="18"/>
          <w:szCs w:val="18"/>
          <w:color w:val="auto"/>
        </w:rPr>
      </w:pPr>
    </w:p>
    <w:p>
      <w:pPr>
        <w:jc w:val="both"/>
        <w:ind w:left="1540" w:hanging="511"/>
        <w:spacing w:after="0" w:line="237" w:lineRule="auto"/>
        <w:tabs>
          <w:tab w:leader="none" w:pos="17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another Borrower under this Agreement is or becomes unenforceable, invalid or illegal for any reason it will, as an independent and primary obligation, indemnify that Finance Party immediately on demand against any and all Losses it incurs as a result of another Borrower not paying any amount which would, but for such unenforceability, invalidity or illegality, have been payable by that other Borrower under this Agreement. The amount payable under this indemnity shall be equal to the amount which that Finance Party would otherwise have been entitled to recover.</w:t>
      </w:r>
    </w:p>
    <w:p>
      <w:pPr>
        <w:spacing w:after="0" w:line="191" w:lineRule="exact"/>
        <w:rPr>
          <w:rFonts w:ascii="Arial" w:cs="Arial" w:eastAsia="Arial" w:hAnsi="Arial"/>
          <w:sz w:val="18"/>
          <w:szCs w:val="18"/>
          <w:color w:val="auto"/>
        </w:rPr>
      </w:pPr>
    </w:p>
    <w:p>
      <w:pPr>
        <w:jc w:val="both"/>
        <w:ind w:left="1020" w:hanging="512"/>
        <w:spacing w:after="0"/>
        <w:tabs>
          <w:tab w:leader="none" w:pos="11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continue until all amounts which may be or become payable by the Borrowers under or in connection with the Finance Documents have been irrevocably and unconditionally paid or discharged in full, regardless of any intermediate payment or discharge in whole or in part.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6" w:name="page37"/>
    <w:bookmarkEnd w:id="36"/>
    <w:p>
      <w:pPr>
        <w:jc w:val="both"/>
        <w:ind w:left="520" w:hanging="512"/>
        <w:spacing w:after="0" w:line="238" w:lineRule="auto"/>
        <w:tabs>
          <w:tab w:leader="none" w:pos="7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any discharge, release or arrangement (whether in respect of the obligations of a Borrower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Borrowers under this Agreement will continue or be reinstated as if the discharge, release or arrangement had not occurred.</w:t>
      </w:r>
    </w:p>
    <w:p>
      <w:pPr>
        <w:spacing w:after="0" w:line="188" w:lineRule="exact"/>
        <w:rPr>
          <w:rFonts w:ascii="Arial" w:cs="Arial" w:eastAsia="Arial" w:hAnsi="Arial"/>
          <w:sz w:val="18"/>
          <w:szCs w:val="18"/>
          <w:color w:val="auto"/>
        </w:rPr>
      </w:pPr>
    </w:p>
    <w:p>
      <w:pPr>
        <w:jc w:val="both"/>
        <w:ind w:left="520" w:hanging="512"/>
        <w:spacing w:after="0"/>
        <w:tabs>
          <w:tab w:leader="none" w:pos="52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not be affected by an act, omission, matter or thing which, but for this clause (whether or not known to it or any Finance Party), would reduce, release or prejudice any of its obligations under the Finance Documents including:</w:t>
      </w:r>
    </w:p>
    <w:p>
      <w:pPr>
        <w:spacing w:after="0" w:line="189" w:lineRule="exact"/>
        <w:rPr>
          <w:rFonts w:ascii="Arial" w:cs="Arial" w:eastAsia="Arial" w:hAnsi="Arial"/>
          <w:sz w:val="18"/>
          <w:szCs w:val="18"/>
          <w:color w:val="auto"/>
        </w:rPr>
      </w:pPr>
    </w:p>
    <w:p>
      <w:pPr>
        <w:ind w:left="1040" w:hanging="511"/>
        <w:spacing w:after="0"/>
        <w:tabs>
          <w:tab w:leader="none" w:pos="1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98" w:lineRule="exact"/>
        <w:rPr>
          <w:rFonts w:ascii="Arial" w:cs="Arial" w:eastAsia="Arial" w:hAnsi="Arial"/>
          <w:sz w:val="18"/>
          <w:szCs w:val="18"/>
          <w:color w:val="auto"/>
        </w:rPr>
      </w:pPr>
    </w:p>
    <w:p>
      <w:pPr>
        <w:ind w:left="1040" w:right="20" w:hanging="511"/>
        <w:spacing w:after="0" w:line="246" w:lineRule="auto"/>
        <w:tabs>
          <w:tab w:leader="none" w:pos="1045"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83" w:lineRule="exact"/>
        <w:rPr>
          <w:rFonts w:ascii="Arial" w:cs="Arial" w:eastAsia="Arial" w:hAnsi="Arial"/>
          <w:sz w:val="18"/>
          <w:szCs w:val="18"/>
          <w:color w:val="auto"/>
        </w:rPr>
      </w:pPr>
    </w:p>
    <w:p>
      <w:pPr>
        <w:jc w:val="both"/>
        <w:ind w:left="1040" w:hanging="511"/>
        <w:spacing w:after="0"/>
        <w:tabs>
          <w:tab w:leader="none" w:pos="10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9" w:lineRule="exact"/>
        <w:rPr>
          <w:rFonts w:ascii="Arial" w:cs="Arial" w:eastAsia="Arial" w:hAnsi="Arial"/>
          <w:sz w:val="18"/>
          <w:szCs w:val="18"/>
          <w:color w:val="auto"/>
        </w:rPr>
      </w:pPr>
    </w:p>
    <w:p>
      <w:pPr>
        <w:ind w:left="1040" w:hanging="511"/>
        <w:spacing w:after="0" w:line="246" w:lineRule="auto"/>
        <w:tabs>
          <w:tab w:leader="none" w:pos="11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83" w:lineRule="exact"/>
        <w:rPr>
          <w:rFonts w:ascii="Arial" w:cs="Arial" w:eastAsia="Arial" w:hAnsi="Arial"/>
          <w:sz w:val="18"/>
          <w:szCs w:val="18"/>
          <w:color w:val="auto"/>
        </w:rPr>
      </w:pPr>
    </w:p>
    <w:p>
      <w:pPr>
        <w:ind w:left="1040" w:right="20" w:hanging="511"/>
        <w:spacing w:after="0" w:line="246" w:lineRule="auto"/>
        <w:tabs>
          <w:tab w:leader="none" w:pos="1061"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 Finance Document or any other document or security;</w:t>
      </w:r>
    </w:p>
    <w:p>
      <w:pPr>
        <w:spacing w:after="0" w:line="183" w:lineRule="exact"/>
        <w:rPr>
          <w:rFonts w:ascii="Arial" w:cs="Arial" w:eastAsia="Arial" w:hAnsi="Arial"/>
          <w:sz w:val="18"/>
          <w:szCs w:val="18"/>
          <w:color w:val="auto"/>
        </w:rPr>
      </w:pPr>
    </w:p>
    <w:p>
      <w:pPr>
        <w:ind w:left="1040" w:hanging="511"/>
        <w:spacing w:after="0" w:line="246" w:lineRule="auto"/>
        <w:tabs>
          <w:tab w:leader="none" w:pos="114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83" w:lineRule="exact"/>
        <w:rPr>
          <w:rFonts w:ascii="Arial" w:cs="Arial" w:eastAsia="Arial" w:hAnsi="Arial"/>
          <w:sz w:val="18"/>
          <w:szCs w:val="18"/>
          <w:color w:val="auto"/>
        </w:rPr>
      </w:pPr>
    </w:p>
    <w:p>
      <w:pPr>
        <w:ind w:left="1060" w:hanging="531"/>
        <w:spacing w:after="0"/>
        <w:tabs>
          <w:tab w:leader="none" w:pos="10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98" w:lineRule="exact"/>
        <w:rPr>
          <w:rFonts w:ascii="Arial" w:cs="Arial" w:eastAsia="Arial" w:hAnsi="Arial"/>
          <w:sz w:val="18"/>
          <w:szCs w:val="18"/>
          <w:color w:val="auto"/>
        </w:rPr>
      </w:pPr>
    </w:p>
    <w:p>
      <w:pPr>
        <w:jc w:val="both"/>
        <w:ind w:left="520" w:hanging="512"/>
        <w:spacing w:after="0"/>
        <w:tabs>
          <w:tab w:leader="none" w:pos="483"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Borrower waives any right it may have of first requiring any Finance Party (or any trustee or agent on its behalf) to proceed against or enforce any other rights or security or claim payment from any person before claiming from that Borrower under any Finance Document. This waiver applies irrespective of any law or any provision of a Finance Document to the contrary.</w:t>
      </w:r>
    </w:p>
    <w:p>
      <w:pPr>
        <w:spacing w:after="0" w:line="189" w:lineRule="exact"/>
        <w:rPr>
          <w:rFonts w:ascii="Arial" w:cs="Arial" w:eastAsia="Arial" w:hAnsi="Arial"/>
          <w:sz w:val="18"/>
          <w:szCs w:val="18"/>
          <w:color w:val="auto"/>
        </w:rPr>
      </w:pPr>
    </w:p>
    <w:p>
      <w:pPr>
        <w:ind w:left="520" w:hanging="512"/>
        <w:spacing w:after="0" w:line="246" w:lineRule="auto"/>
        <w:tabs>
          <w:tab w:leader="none" w:pos="5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and unconditionally paid or discharged in full, each Finance Party (or any trustee or agent on its behalf) may:</w:t>
      </w:r>
    </w:p>
    <w:p>
      <w:pPr>
        <w:spacing w:after="0" w:line="183" w:lineRule="exact"/>
        <w:rPr>
          <w:rFonts w:ascii="Arial" w:cs="Arial" w:eastAsia="Arial" w:hAnsi="Arial"/>
          <w:sz w:val="18"/>
          <w:szCs w:val="18"/>
          <w:color w:val="auto"/>
        </w:rPr>
      </w:pPr>
    </w:p>
    <w:p>
      <w:pPr>
        <w:jc w:val="both"/>
        <w:ind w:left="1040" w:hanging="511"/>
        <w:spacing w:after="0"/>
        <w:tabs>
          <w:tab w:leader="none" w:pos="1163"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Borrower will be entitled to the benefit of the same; and</w:t>
      </w:r>
    </w:p>
    <w:p>
      <w:pPr>
        <w:spacing w:after="0" w:line="189" w:lineRule="exact"/>
        <w:rPr>
          <w:rFonts w:ascii="Arial" w:cs="Arial" w:eastAsia="Arial" w:hAnsi="Arial"/>
          <w:sz w:val="18"/>
          <w:szCs w:val="18"/>
          <w:color w:val="auto"/>
        </w:rPr>
      </w:pPr>
    </w:p>
    <w:p>
      <w:pPr>
        <w:ind w:left="1040" w:hanging="511"/>
        <w:spacing w:after="0" w:line="246" w:lineRule="auto"/>
        <w:tabs>
          <w:tab w:leader="none" w:pos="1117"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 received from any Borrower or on account of any Borrower’s liability under any Finance Document.</w:t>
      </w:r>
    </w:p>
    <w:p>
      <w:pPr>
        <w:spacing w:after="0" w:line="183" w:lineRule="exact"/>
        <w:rPr>
          <w:rFonts w:ascii="Arial" w:cs="Arial" w:eastAsia="Arial" w:hAnsi="Arial"/>
          <w:sz w:val="18"/>
          <w:szCs w:val="18"/>
          <w:color w:val="auto"/>
        </w:rPr>
      </w:pPr>
    </w:p>
    <w:p>
      <w:pPr>
        <w:jc w:val="both"/>
        <w:ind w:left="520" w:hanging="512"/>
        <w:spacing w:after="0" w:line="238" w:lineRule="auto"/>
        <w:tabs>
          <w:tab w:leader="none" w:pos="5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(on such terms as it may require), no Borrower shall exercise any rights (including rights of set-off) which it may have by reason of performance by it of its obligations under the Finance Documents:</w:t>
      </w:r>
    </w:p>
    <w:p>
      <w:pPr>
        <w:spacing w:after="0" w:line="1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37" w:name="page38"/>
    <w:bookmarkEnd w:id="37"/>
    <w:p>
      <w:pPr>
        <w:ind w:left="1540" w:hanging="511"/>
        <w:spacing w:after="0"/>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be indemnified by another Obligor; and/or</w:t>
      </w:r>
    </w:p>
    <w:p>
      <w:pPr>
        <w:spacing w:after="0" w:line="198" w:lineRule="exact"/>
        <w:rPr>
          <w:rFonts w:ascii="Arial" w:cs="Arial" w:eastAsia="Arial" w:hAnsi="Arial"/>
          <w:sz w:val="18"/>
          <w:szCs w:val="18"/>
          <w:color w:val="auto"/>
        </w:rPr>
      </w:pPr>
    </w:p>
    <w:p>
      <w:pPr>
        <w:ind w:left="1540" w:hanging="511"/>
        <w:spacing w:after="0" w:line="246" w:lineRule="auto"/>
        <w:tabs>
          <w:tab w:leader="none" w:pos="17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claim any contribution from any other Obligor or any guarantor of any Obligor’s obligations under the Finance Documents; and/or</w:t>
      </w:r>
    </w:p>
    <w:p>
      <w:pPr>
        <w:spacing w:after="0" w:line="183" w:lineRule="exact"/>
        <w:rPr>
          <w:rFonts w:ascii="Arial" w:cs="Arial" w:eastAsia="Arial" w:hAnsi="Arial"/>
          <w:sz w:val="18"/>
          <w:szCs w:val="18"/>
          <w:color w:val="auto"/>
        </w:rPr>
      </w:pPr>
    </w:p>
    <w:p>
      <w:pPr>
        <w:jc w:val="both"/>
        <w:ind w:left="1540" w:hanging="511"/>
        <w:spacing w:after="0"/>
        <w:tabs>
          <w:tab w:leader="none" w:pos="151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guarantee or security taken pursuant to, or in connection with, the Finance Documents by any Finance Party; and/or</w:t>
      </w:r>
    </w:p>
    <w:p>
      <w:pPr>
        <w:spacing w:after="0" w:line="189" w:lineRule="exact"/>
        <w:rPr>
          <w:rFonts w:ascii="Arial" w:cs="Arial" w:eastAsia="Arial" w:hAnsi="Arial"/>
          <w:sz w:val="18"/>
          <w:szCs w:val="18"/>
          <w:color w:val="auto"/>
        </w:rPr>
      </w:pPr>
    </w:p>
    <w:p>
      <w:pPr>
        <w:ind w:left="1540" w:hanging="511"/>
        <w:spacing w:after="0" w:line="246" w:lineRule="auto"/>
        <w:tabs>
          <w:tab w:leader="none" w:pos="15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Borrower is liable under this Agreement or any of the other Finance Documents; and/or</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If a Borrower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57" w:lineRule="exact"/>
        <w:rPr>
          <w:sz w:val="20"/>
          <w:szCs w:val="20"/>
          <w:color w:val="auto"/>
        </w:rPr>
      </w:pPr>
    </w:p>
    <w:p>
      <w:pPr>
        <w:ind w:left="540" w:hanging="402"/>
        <w:spacing w:after="0"/>
        <w:tabs>
          <w:tab w:leader="none" w:pos="54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Purpose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apply all amounts borrowed under the Facilities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3.2</w:t>
        <w:tab/>
        <w:t>Use</w:t>
      </w:r>
    </w:p>
    <w:p>
      <w:pPr>
        <w:spacing w:after="0" w:line="220" w:lineRule="exact"/>
        <w:rPr>
          <w:sz w:val="20"/>
          <w:szCs w:val="20"/>
          <w:color w:val="auto"/>
        </w:rPr>
      </w:pPr>
    </w:p>
    <w:p>
      <w:pPr>
        <w:ind w:left="1020" w:right="20" w:hanging="512"/>
        <w:spacing w:after="0" w:line="246" w:lineRule="auto"/>
        <w:tabs>
          <w:tab w:leader="none" w:pos="101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 Loan Facility shall be made available to the Borrowers solely for the purpose of assisting the Borrowers to refinance in full the Existing Indebtedness.</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4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Revolving Loan Facility shall be made available to the Borrowers initially for the purpose of assisting the Borrowers to refinance in full the Existing Indebtedness, but only if and to the extent that the proceeds of the Term Loan Facility are not sufficient for such purpose, and, following the full refinancing of the Existing Indebtedness, for general corporate and working capital purposes of the Group and, in the case of Rollover Loans under a Revolving Loan Ship Tranche, to repay maturing Revolving Loans under the same Revolving Loan Ship Tranche.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3.3</w:t>
        <w:tab/>
        <w:t>Monitoring</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166" w:lineRule="exact"/>
        <w:rPr>
          <w:sz w:val="20"/>
          <w:szCs w:val="20"/>
          <w:color w:val="auto"/>
        </w:rPr>
      </w:pPr>
    </w:p>
    <w:p>
      <w:pPr>
        <w:ind w:left="540" w:hanging="402"/>
        <w:spacing w:after="0"/>
        <w:tabs>
          <w:tab w:leader="none" w:pos="54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of Utilisation</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Conditions precedent to delivering of a Utilisation Request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Borrowers may not deliver a Utilisation Request unless the Agent, or its duly authorised representative, has received all of the documents and other evidence listed in Part 1 of Schedule 3 (</w:t>
      </w:r>
      <w:r>
        <w:rPr>
          <w:rFonts w:ascii="Arial" w:cs="Arial" w:eastAsia="Arial" w:hAnsi="Arial"/>
          <w:sz w:val="18"/>
          <w:szCs w:val="18"/>
          <w:i w:val="1"/>
          <w:iCs w:val="1"/>
          <w:color w:val="auto"/>
        </w:rPr>
        <w:t>Conditions precedent to any Utilisation</w:t>
      </w:r>
      <w:r>
        <w:rPr>
          <w:rFonts w:ascii="Arial" w:cs="Arial" w:eastAsia="Arial" w:hAnsi="Arial"/>
          <w:sz w:val="18"/>
          <w:szCs w:val="18"/>
          <w:color w:val="auto"/>
        </w:rPr>
        <w:t>) in form and substance satisfactory to the Agent.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tabs>
          <w:tab w:leader="none" w:pos="520" w:val="left"/>
        </w:tabs>
        <w:rPr>
          <w:sz w:val="20"/>
          <w:szCs w:val="20"/>
          <w:color w:val="auto"/>
        </w:rPr>
      </w:pPr>
      <w:r>
        <w:rPr>
          <w:rFonts w:ascii="Arial" w:cs="Arial" w:eastAsia="Arial" w:hAnsi="Arial"/>
          <w:sz w:val="18"/>
          <w:szCs w:val="18"/>
          <w:b w:val="1"/>
          <w:bCs w:val="1"/>
          <w:color w:val="auto"/>
        </w:rPr>
        <w:t>4.2</w:t>
        <w:tab/>
        <w:t>Conditions precedent to Utilisation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Term Loan Ship Commitment and the Revolving Loan Ship Commitment in respect of a Ship may only be drawn down under this Agreement if, on or before the Utilisation of the relevant Term Loan for that Ship and the Utilisation of the first Revolving Loan for that Ship, respectively, the Agent, or its duly authorised representative, has received all of the documents and evidence listed in Schedule 3,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 in relation to such Ship, in form and substance satisfactory to the Agent.</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Notice to Lenders</w:t>
      </w:r>
    </w:p>
    <w:p>
      <w:pPr>
        <w:spacing w:after="0" w:line="220" w:lineRule="exact"/>
        <w:rPr>
          <w:sz w:val="20"/>
          <w:szCs w:val="20"/>
          <w:color w:val="auto"/>
        </w:rPr>
      </w:pPr>
    </w:p>
    <w:p>
      <w:pPr>
        <w:jc w:val="both"/>
        <w:ind w:left="520" w:right="20"/>
        <w:spacing w:after="0" w:line="238" w:lineRule="auto"/>
        <w:rPr>
          <w:sz w:val="20"/>
          <w:szCs w:val="20"/>
          <w:color w:val="auto"/>
        </w:rPr>
      </w:pPr>
      <w:r>
        <w:rPr>
          <w:rFonts w:ascii="Arial" w:cs="Arial" w:eastAsia="Arial" w:hAnsi="Arial"/>
          <w:sz w:val="18"/>
          <w:szCs w:val="18"/>
          <w:color w:val="auto"/>
        </w:rPr>
        <w:t>The Agent shall notify the Borrowers and the Lenders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Further conditions precedent</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16" w:lineRule="exact"/>
        <w:rPr>
          <w:sz w:val="20"/>
          <w:szCs w:val="20"/>
          <w:color w:val="auto"/>
        </w:rPr>
      </w:pPr>
    </w:p>
    <w:p>
      <w:pPr>
        <w:ind w:left="1020" w:hanging="512"/>
        <w:spacing w:after="0" w:line="246" w:lineRule="auto"/>
        <w:tabs>
          <w:tab w:leader="none" w:pos="10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a Term Loan or a Revolving Loan which is not a Rollover Loan, if on the date of the Utilisation Request and on the proposed Utilisation Date:</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w:t>
      </w:r>
    </w:p>
    <w:p>
      <w:pPr>
        <w:spacing w:after="0" w:line="198" w:lineRule="exact"/>
        <w:rPr>
          <w:rFonts w:ascii="Arial" w:cs="Arial" w:eastAsia="Arial" w:hAnsi="Arial"/>
          <w:sz w:val="18"/>
          <w:szCs w:val="18"/>
          <w:color w:val="auto"/>
        </w:rPr>
      </w:pPr>
    </w:p>
    <w:p>
      <w:pPr>
        <w:ind w:left="1540" w:hanging="511"/>
        <w:spacing w:after="0" w:line="246" w:lineRule="auto"/>
        <w:tabs>
          <w:tab w:leader="none" w:pos="1691"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Repeating Representations are true and, in relation to the first Utilisation under this Agreement, all of the other representations set out in clause 18 (</w:t>
      </w:r>
      <w:r>
        <w:rPr>
          <w:rFonts w:ascii="Arial" w:cs="Arial" w:eastAsia="Arial" w:hAnsi="Arial"/>
          <w:sz w:val="18"/>
          <w:szCs w:val="18"/>
          <w:i w:val="1"/>
          <w:iCs w:val="1"/>
          <w:color w:val="auto"/>
        </w:rPr>
        <w:t>Representations</w:t>
      </w:r>
      <w:r>
        <w:rPr>
          <w:rFonts w:ascii="Arial" w:cs="Arial" w:eastAsia="Arial" w:hAnsi="Arial"/>
          <w:sz w:val="18"/>
          <w:szCs w:val="18"/>
          <w:color w:val="auto"/>
        </w:rPr>
        <w:t>) (except the Ship Representations) are true;</w:t>
      </w:r>
    </w:p>
    <w:p>
      <w:pPr>
        <w:spacing w:after="0" w:line="183" w:lineRule="exact"/>
        <w:rPr>
          <w:rFonts w:ascii="Arial" w:cs="Arial" w:eastAsia="Arial" w:hAnsi="Arial"/>
          <w:sz w:val="18"/>
          <w:szCs w:val="18"/>
          <w:color w:val="auto"/>
        </w:rPr>
      </w:pPr>
    </w:p>
    <w:p>
      <w:pPr>
        <w:ind w:left="1540" w:hanging="511"/>
        <w:spacing w:after="0" w:line="246" w:lineRule="auto"/>
        <w:tabs>
          <w:tab w:leader="none" w:pos="1543" w:val="left"/>
        </w:tabs>
        <w:numPr>
          <w:ilvl w:val="1"/>
          <w:numId w:val="87"/>
        </w:numPr>
        <w:rPr>
          <w:rFonts w:ascii="Arial" w:cs="Arial" w:eastAsia="Arial" w:hAnsi="Arial"/>
          <w:sz w:val="18"/>
          <w:szCs w:val="18"/>
          <w:color w:val="auto"/>
        </w:rPr>
      </w:pPr>
      <w:r>
        <w:rPr>
          <w:rFonts w:ascii="Arial" w:cs="Arial" w:eastAsia="Arial" w:hAnsi="Arial"/>
          <w:sz w:val="18"/>
          <w:szCs w:val="18"/>
          <w:color w:val="auto"/>
        </w:rPr>
        <w:t>where the proposed Utilisation Date is to be the first day of the Mortgage Period for a Ship, the Ship Representations are true;</w:t>
      </w:r>
    </w:p>
    <w:p>
      <w:pPr>
        <w:spacing w:after="0" w:line="183" w:lineRule="exact"/>
        <w:rPr>
          <w:rFonts w:ascii="Arial" w:cs="Arial" w:eastAsia="Arial" w:hAnsi="Arial"/>
          <w:sz w:val="18"/>
          <w:szCs w:val="18"/>
          <w:color w:val="auto"/>
        </w:rPr>
      </w:pPr>
    </w:p>
    <w:p>
      <w:pPr>
        <w:jc w:val="both"/>
        <w:ind w:left="1540" w:hanging="511"/>
        <w:spacing w:after="0"/>
        <w:tabs>
          <w:tab w:leader="none" w:pos="1538"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Total Loss Date has occurred in relation to any Ship;</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Security Value is not lower than the Minimum Value, nor will it be lower immediately after the proposed Utilisation; and</w:t>
      </w:r>
    </w:p>
    <w:p>
      <w:pPr>
        <w:spacing w:after="0" w:line="180" w:lineRule="exact"/>
        <w:rPr>
          <w:rFonts w:ascii="Arial" w:cs="Arial" w:eastAsia="Arial" w:hAnsi="Arial"/>
          <w:sz w:val="18"/>
          <w:szCs w:val="18"/>
          <w:color w:val="auto"/>
        </w:rPr>
      </w:pPr>
    </w:p>
    <w:p>
      <w:pPr>
        <w:ind w:left="1540" w:right="20" w:hanging="511"/>
        <w:spacing w:after="0" w:line="267" w:lineRule="auto"/>
        <w:tabs>
          <w:tab w:leader="none" w:pos="1632"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prepayment or cancellation event has occurred under clause 7.9 (</w:t>
      </w:r>
      <w:r>
        <w:rPr>
          <w:rFonts w:ascii="Arial" w:cs="Arial" w:eastAsia="Arial" w:hAnsi="Arial"/>
          <w:sz w:val="18"/>
          <w:szCs w:val="18"/>
          <w:i w:val="1"/>
          <w:iCs w:val="1"/>
          <w:color w:val="auto"/>
        </w:rPr>
        <w:t>Mandatory prepayment and cancellation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non-compliance with Sanctions</w:t>
      </w:r>
      <w:r>
        <w:rPr>
          <w:rFonts w:ascii="Arial" w:cs="Arial" w:eastAsia="Arial" w:hAnsi="Arial"/>
          <w:sz w:val="18"/>
          <w:szCs w:val="18"/>
          <w:color w:val="auto"/>
        </w:rPr>
        <w:t>); or</w:t>
      </w:r>
    </w:p>
    <w:p>
      <w:pPr>
        <w:spacing w:after="0" w:line="164" w:lineRule="exact"/>
        <w:rPr>
          <w:rFonts w:ascii="Arial" w:cs="Arial" w:eastAsia="Arial" w:hAnsi="Arial"/>
          <w:sz w:val="18"/>
          <w:szCs w:val="18"/>
          <w:color w:val="auto"/>
        </w:rPr>
      </w:pPr>
    </w:p>
    <w:p>
      <w:pPr>
        <w:ind w:left="1020" w:hanging="512"/>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a Rollover Loan, if on the date of the Utilisation Request and on the proposed Utilisation Date:</w:t>
      </w:r>
    </w:p>
    <w:p>
      <w:pPr>
        <w:spacing w:after="0" w:line="198" w:lineRule="exact"/>
        <w:rPr>
          <w:rFonts w:ascii="Arial" w:cs="Arial" w:eastAsia="Arial" w:hAnsi="Arial"/>
          <w:sz w:val="18"/>
          <w:szCs w:val="18"/>
          <w:color w:val="auto"/>
        </w:rPr>
      </w:pPr>
    </w:p>
    <w:p>
      <w:pPr>
        <w:ind w:left="1480" w:hanging="451"/>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Event of Default is continuing or would result from the proposed Utilisation;</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Repeating Representations are true;</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 Total Loss Date has occurred in relation to any Ship; and</w:t>
      </w:r>
    </w:p>
    <w:p>
      <w:pPr>
        <w:spacing w:after="0" w:line="180" w:lineRule="exact"/>
        <w:rPr>
          <w:rFonts w:ascii="Arial" w:cs="Arial" w:eastAsia="Arial" w:hAnsi="Arial"/>
          <w:sz w:val="18"/>
          <w:szCs w:val="18"/>
          <w:color w:val="auto"/>
        </w:rPr>
      </w:pPr>
    </w:p>
    <w:p>
      <w:pPr>
        <w:ind w:left="1540" w:hanging="511"/>
        <w:spacing w:after="0" w:line="267" w:lineRule="auto"/>
        <w:tabs>
          <w:tab w:leader="none" w:pos="1601"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no prepayment or cancellation event has occurred under clause 7.9 </w:t>
      </w:r>
      <w:r>
        <w:rPr>
          <w:rFonts w:ascii="Arial" w:cs="Arial" w:eastAsia="Arial" w:hAnsi="Arial"/>
          <w:sz w:val="18"/>
          <w:szCs w:val="18"/>
          <w:i w:val="1"/>
          <w:iCs w:val="1"/>
          <w:color w:val="auto"/>
        </w:rPr>
        <w:t>(Mandatory prepayment and cancellation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non-compliance with Sanctions).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Waiver of conditions precedent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 xml:space="preserve">The conditions in this clause 4 are inserted solely for the benefit of the Finance Parties and may be waived on their behalf in whole or in part and with or without conditions by the Agent acting on the instructions of the Majority Lenders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the conditions set out under clauses 2, 3, 4 and 7 of Part 1 and clauses 2, 3(a), 4, 5, 6 and 8 of Part 2 of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may only be waived by the Agent, acting on the instructions of all the Lenders.</w:t>
      </w:r>
    </w:p>
    <w:p>
      <w:pPr>
        <w:spacing w:after="0" w:line="160" w:lineRule="exact"/>
        <w:rPr>
          <w:sz w:val="20"/>
          <w:szCs w:val="20"/>
          <w:color w:val="auto"/>
        </w:rPr>
      </w:pPr>
    </w:p>
    <w:p>
      <w:pPr>
        <w:ind w:left="540" w:hanging="402"/>
        <w:spacing w:after="0"/>
        <w:tabs>
          <w:tab w:leader="none" w:pos="54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Utilisation</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w:t>
        <w:tab/>
        <w:t>Delivery of a Utilisation Request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Borrowers may utilise the Facilities by delivery to the Agent of a duly completed Utilisation Request not later than (a) 11:00 a.m. three Business Days before the proposed Utilisation Date (in the case of the first Utilisation), or (b) 11:00 a.m. five Business Days before the proposed Utilisation Date (in the case of subsequent Utilisations).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Completion of a Utilisation Request</w:t>
      </w:r>
    </w:p>
    <w:p>
      <w:pPr>
        <w:spacing w:after="0" w:line="220" w:lineRule="exact"/>
        <w:rPr>
          <w:sz w:val="20"/>
          <w:szCs w:val="20"/>
          <w:color w:val="auto"/>
        </w:rPr>
      </w:pPr>
    </w:p>
    <w:p>
      <w:pPr>
        <w:ind w:left="1020" w:hanging="512"/>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Utilisation Request is irrevocable and will not be regarded as having been duly completed unless: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it identifies the Facility to be utilised;</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576"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relation to a Utilisation under the Term Loan Facility, it identifies the Term Loan Ship Commitment, the Term Loan and the Ship to which it relates;</w:t>
      </w:r>
    </w:p>
    <w:p>
      <w:pPr>
        <w:spacing w:after="0" w:line="183" w:lineRule="exact"/>
        <w:rPr>
          <w:rFonts w:ascii="Arial" w:cs="Arial" w:eastAsia="Arial" w:hAnsi="Arial"/>
          <w:sz w:val="18"/>
          <w:szCs w:val="18"/>
          <w:color w:val="auto"/>
        </w:rPr>
      </w:pPr>
    </w:p>
    <w:p>
      <w:pPr>
        <w:ind w:left="1540" w:hanging="511"/>
        <w:spacing w:after="0" w:line="246" w:lineRule="auto"/>
        <w:tabs>
          <w:tab w:leader="none" w:pos="1676"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relation to a Utilisation under the Revolving Loan Facility, it identifies the Revolving Loan Ship Commitment, the Revolving Loan Ship Tranche and the Ship to which it relates;</w:t>
      </w:r>
    </w:p>
    <w:p>
      <w:pPr>
        <w:spacing w:after="0" w:line="183" w:lineRule="exact"/>
        <w:rPr>
          <w:rFonts w:ascii="Arial" w:cs="Arial" w:eastAsia="Arial" w:hAnsi="Arial"/>
          <w:sz w:val="18"/>
          <w:szCs w:val="18"/>
          <w:color w:val="auto"/>
        </w:rPr>
      </w:pPr>
    </w:p>
    <w:p>
      <w:pPr>
        <w:ind w:left="1540" w:hanging="511"/>
        <w:spacing w:after="0" w:line="246" w:lineRule="auto"/>
        <w:tabs>
          <w:tab w:leader="none" w:pos="16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proposed Utilisation Date in respect of a Loan under a Facility is a Business Day falling not later than the Last Availability Date for that Facility;</w:t>
      </w:r>
    </w:p>
    <w:p>
      <w:pPr>
        <w:spacing w:after="0" w:line="183" w:lineRule="exact"/>
        <w:rPr>
          <w:rFonts w:ascii="Arial" w:cs="Arial" w:eastAsia="Arial" w:hAnsi="Arial"/>
          <w:sz w:val="18"/>
          <w:szCs w:val="18"/>
          <w:color w:val="auto"/>
        </w:rPr>
      </w:pPr>
    </w:p>
    <w:p>
      <w:pPr>
        <w:ind w:left="1540" w:hanging="511"/>
        <w:spacing w:after="0" w:line="246" w:lineRule="auto"/>
        <w:tabs>
          <w:tab w:leader="none" w:pos="1566"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relation to a Utilisation of any Revolving Loan under the Revolving Loan Facility, a Utilisation of all the Term Loans has been made or will be made before or simultaneously with such Utilisation;</w:t>
      </w:r>
    </w:p>
    <w:p>
      <w:pPr>
        <w:spacing w:after="0" w:line="165" w:lineRule="exact"/>
        <w:rPr>
          <w:rFonts w:ascii="Arial" w:cs="Arial" w:eastAsia="Arial" w:hAnsi="Arial"/>
          <w:sz w:val="18"/>
          <w:szCs w:val="18"/>
          <w:color w:val="auto"/>
        </w:rPr>
      </w:pPr>
    </w:p>
    <w:p>
      <w:pPr>
        <w:ind w:left="1520" w:hanging="491"/>
        <w:spacing w:after="0"/>
        <w:tabs>
          <w:tab w:leader="none" w:pos="15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this clause 5.2 and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020" w:right="20" w:hanging="512"/>
        <w:spacing w:after="0" w:line="246" w:lineRule="auto"/>
        <w:tabs>
          <w:tab w:leader="none" w:pos="10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Term Loans will be requested in a single Utilisation Request for Utilisation on the same Utilisation Date and at the same time, and only one Term Loan may be made in respect of each Ship under the relevant Term Loan Ship Commitment.</w:t>
      </w:r>
    </w:p>
    <w:p>
      <w:pPr>
        <w:spacing w:after="0" w:line="183" w:lineRule="exact"/>
        <w:rPr>
          <w:rFonts w:ascii="Arial" w:cs="Arial" w:eastAsia="Arial" w:hAnsi="Arial"/>
          <w:sz w:val="18"/>
          <w:szCs w:val="18"/>
          <w:color w:val="auto"/>
        </w:rPr>
      </w:pPr>
    </w:p>
    <w:p>
      <w:pPr>
        <w:jc w:val="both"/>
        <w:ind w:left="1020" w:hanging="512"/>
        <w:spacing w:after="0"/>
        <w:tabs>
          <w:tab w:leader="none" w:pos="11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Revolving Loan Ship Tranche (nor any Revolving Loan thereunder) shall be requested in a Utilisation Request or made available under the Revolving Loan Facility, unless all Term Loans and Term Loan Ship Commitments under the Term Loan Facility have been utilised in full or will be so utilised simultaneously with such Utilisation of a Revolving Loan.</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Only one Revolving Loan under each Revolving Loan Ship Tranche may be requested in each Utilisation Request.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ind w:left="1020" w:hanging="512"/>
        <w:spacing w:after="0" w:line="246" w:lineRule="auto"/>
        <w:tabs>
          <w:tab w:leader="none" w:pos="11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Borrowers may not deliver a Utilisation Request if, at the time of the proposed Utilisation, more than two (2) Revolving Loans would be outstanding under the same Revolving Loan Ship Tranche.</w:t>
      </w:r>
    </w:p>
    <w:p>
      <w:pPr>
        <w:spacing w:after="0" w:line="183" w:lineRule="exact"/>
        <w:rPr>
          <w:rFonts w:ascii="Arial" w:cs="Arial" w:eastAsia="Arial" w:hAnsi="Arial"/>
          <w:sz w:val="18"/>
          <w:szCs w:val="18"/>
          <w:color w:val="auto"/>
        </w:rPr>
      </w:pPr>
    </w:p>
    <w:p>
      <w:pPr>
        <w:jc w:val="both"/>
        <w:ind w:left="1020" w:hanging="512"/>
        <w:spacing w:after="0" w:line="237" w:lineRule="auto"/>
        <w:tabs>
          <w:tab w:leader="none" w:pos="10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 Utilisation Request is not provided for a Revolving Loan under a Revolving Loan Ship Tranche and the Borrowers have not stated that such Revolving Loan will be repaid at the end of the Interest Period applicable to it, the Agent shall (provided that the Borrowers would not otherwise be restricted from utilising the Revolving Loan Facility and/or that Revolving Loan Ship Tranche) treat that Revolving Loan as a Rollover Loan under that Revolving Loan Ship Tranche, in which case a Utilisation Request shall be deemed to have been submitted in an amount equal to the amount of such Revolving Loan and with a proposed Interest Period of three months.</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Currency and amount</w:t>
      </w:r>
    </w:p>
    <w:p>
      <w:pPr>
        <w:spacing w:after="0" w:line="220" w:lineRule="exact"/>
        <w:rPr>
          <w:sz w:val="20"/>
          <w:szCs w:val="20"/>
          <w:color w:val="auto"/>
        </w:rPr>
      </w:pPr>
    </w:p>
    <w:p>
      <w:pPr>
        <w:ind w:left="1020" w:hanging="512"/>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198" w:lineRule="exact"/>
        <w:rPr>
          <w:rFonts w:ascii="Arial" w:cs="Arial" w:eastAsia="Arial" w:hAnsi="Arial"/>
          <w:sz w:val="18"/>
          <w:szCs w:val="18"/>
          <w:color w:val="auto"/>
        </w:rPr>
      </w:pPr>
    </w:p>
    <w:p>
      <w:pPr>
        <w:ind w:left="1020" w:hanging="512"/>
        <w:spacing w:after="0" w:line="246" w:lineRule="auto"/>
        <w:tabs>
          <w:tab w:leader="none" w:pos="106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total amount available and advanced under the Facilities on the first Utilisation under this Agreement shall not exceed the lower of:</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Commitments; and</w:t>
      </w:r>
    </w:p>
    <w:p>
      <w:pPr>
        <w:spacing w:after="0" w:line="198" w:lineRule="exact"/>
        <w:rPr>
          <w:rFonts w:ascii="Arial" w:cs="Arial" w:eastAsia="Arial" w:hAnsi="Arial"/>
          <w:sz w:val="18"/>
          <w:szCs w:val="18"/>
          <w:color w:val="auto"/>
        </w:rPr>
      </w:pPr>
    </w:p>
    <w:p>
      <w:pPr>
        <w:jc w:val="both"/>
        <w:ind w:left="1540" w:hanging="511"/>
        <w:spacing w:after="0" w:line="246" w:lineRule="auto"/>
        <w:tabs>
          <w:tab w:leader="none" w:pos="157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amount in dollars which is equal to 66.5% of the aggregate of the market values of all Ships as at the first Utilisation Date as demonstrated by valuations obtained pursuant to Part 2 of Schedule 3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total amount available and advanced under the Term Loan Facility shall not exceed the lower of:</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Term Loan Commitments; and</w:t>
      </w:r>
    </w:p>
    <w:p>
      <w:pPr>
        <w:spacing w:after="0" w:line="198" w:lineRule="exact"/>
        <w:rPr>
          <w:rFonts w:ascii="Arial" w:cs="Arial" w:eastAsia="Arial" w:hAnsi="Arial"/>
          <w:sz w:val="18"/>
          <w:szCs w:val="18"/>
          <w:color w:val="auto"/>
        </w:rPr>
      </w:pPr>
    </w:p>
    <w:p>
      <w:pPr>
        <w:jc w:val="both"/>
        <w:ind w:left="1540" w:hanging="511"/>
        <w:spacing w:after="0"/>
        <w:tabs>
          <w:tab w:leader="none" w:pos="153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amount in dollars which, when aggregated with the amount of the Revolving Loans utilised on the first Utilisation Date, is equal to 66.5% of the aggregate of the market values of all Ships as at the first Utilisation Date as demonstrated by valuations obtained pursuant to Schedule 3,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20" w:hanging="512"/>
        <w:spacing w:after="0" w:line="246" w:lineRule="auto"/>
        <w:tabs>
          <w:tab w:leader="none" w:pos="11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total amount available and advanced under all the Revolving Loan Ship Tranches under the Revolving Loan Facility, assuming they are all utilised on the first Utilisation Date together with the Term Loans, shall not exceed the lower of:</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Revolving Loan Commitments; and</w:t>
      </w:r>
    </w:p>
    <w:p>
      <w:pPr>
        <w:spacing w:after="0" w:line="198" w:lineRule="exact"/>
        <w:rPr>
          <w:rFonts w:ascii="Arial" w:cs="Arial" w:eastAsia="Arial" w:hAnsi="Arial"/>
          <w:sz w:val="18"/>
          <w:szCs w:val="18"/>
          <w:color w:val="auto"/>
        </w:rPr>
      </w:pPr>
    </w:p>
    <w:p>
      <w:pPr>
        <w:jc w:val="both"/>
        <w:ind w:left="1540" w:hanging="511"/>
        <w:spacing w:after="0"/>
        <w:tabs>
          <w:tab w:leader="none" w:pos="160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amount in dollars which, when aggregated with the amount of all Term Loans utilised on the first Utilisation Date, is equal to 66.5% of the aggregate of the market values of all Ships as at the first Utilisation Date as demonstrated by valuations obtained pursuant to Schedule 3,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20" w:hanging="512"/>
        <w:spacing w:after="0" w:line="246" w:lineRule="auto"/>
        <w:tabs>
          <w:tab w:leader="none" w:pos="10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proposed Term Loan specified in a Utilisation Request in relation to a Ship and the Term Loan in relation to that Ship shall not exceed the lower of:</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Term Loan Ship Commitment for that Ship; and</w:t>
      </w:r>
    </w:p>
    <w:p>
      <w:pPr>
        <w:spacing w:after="0" w:line="198" w:lineRule="exact"/>
        <w:rPr>
          <w:rFonts w:ascii="Arial" w:cs="Arial" w:eastAsia="Arial" w:hAnsi="Arial"/>
          <w:sz w:val="18"/>
          <w:szCs w:val="18"/>
          <w:color w:val="auto"/>
        </w:rPr>
      </w:pPr>
    </w:p>
    <w:p>
      <w:pPr>
        <w:jc w:val="both"/>
        <w:ind w:left="1540" w:hanging="511"/>
        <w:spacing w:after="0" w:line="261" w:lineRule="auto"/>
        <w:tabs>
          <w:tab w:leader="none" w:pos="1529"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amount in dollars which, when aggregated with the amount of all Revolving Loans of the Revolving Loan Ship Tranche for that Ship utilised on the first Utilisation Date, is equal to 66.5% of the market value of that Ship as at the first Utilisation Date as demonstrated by valuations obtained pursuant to Schedule 3, Part 2 (</w:t>
      </w:r>
      <w:r>
        <w:rPr>
          <w:rFonts w:ascii="Arial" w:cs="Arial" w:eastAsia="Arial" w:hAnsi="Arial"/>
          <w:sz w:val="17"/>
          <w:szCs w:val="17"/>
          <w:i w:val="1"/>
          <w:iCs w:val="1"/>
          <w:color w:val="auto"/>
        </w:rPr>
        <w:t>Conditions precedent to initial Utilisation</w:t>
      </w:r>
      <w:r>
        <w:rPr>
          <w:rFonts w:ascii="Arial" w:cs="Arial" w:eastAsia="Arial" w:hAnsi="Arial"/>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520" w:right="20" w:hanging="512"/>
        <w:spacing w:after="0" w:line="267" w:lineRule="auto"/>
        <w:tabs>
          <w:tab w:leader="none" w:pos="6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Term Loan shall be used for the purpose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 and utilised under the Term Loan Ship Commitment for the Ship to which that Term Loan relates, namely:</w:t>
      </w:r>
    </w:p>
    <w:p>
      <w:pPr>
        <w:spacing w:after="0" w:line="164" w:lineRule="exact"/>
        <w:rPr>
          <w:rFonts w:ascii="Arial" w:cs="Arial" w:eastAsia="Arial" w:hAnsi="Arial"/>
          <w:sz w:val="18"/>
          <w:szCs w:val="18"/>
          <w:color w:val="auto"/>
        </w:rPr>
      </w:pPr>
    </w:p>
    <w:p>
      <w:pPr>
        <w:ind w:left="1040" w:hanging="511"/>
        <w:spacing w:after="0"/>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Term Loan A shall be made available under the Term Loan Ship Commitment for Ship A;</w:t>
      </w:r>
    </w:p>
    <w:p>
      <w:pPr>
        <w:spacing w:after="0" w:line="198" w:lineRule="exact"/>
        <w:rPr>
          <w:rFonts w:ascii="Arial" w:cs="Arial" w:eastAsia="Arial" w:hAnsi="Arial"/>
          <w:sz w:val="18"/>
          <w:szCs w:val="18"/>
          <w:color w:val="auto"/>
        </w:rPr>
      </w:pPr>
    </w:p>
    <w:p>
      <w:pPr>
        <w:ind w:left="1020" w:hanging="491"/>
        <w:spacing w:after="0"/>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Term Loan B shall be made available under the Term Loan Ship Commitment for Ship B;</w:t>
      </w:r>
    </w:p>
    <w:p>
      <w:pPr>
        <w:spacing w:after="0" w:line="198" w:lineRule="exact"/>
        <w:rPr>
          <w:rFonts w:ascii="Arial" w:cs="Arial" w:eastAsia="Arial" w:hAnsi="Arial"/>
          <w:sz w:val="18"/>
          <w:szCs w:val="18"/>
          <w:color w:val="auto"/>
        </w:rPr>
      </w:pPr>
    </w:p>
    <w:p>
      <w:pPr>
        <w:ind w:left="1020" w:hanging="491"/>
        <w:spacing w:after="0"/>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Term Loan C shall be made available under the Term Loan Ship Commitment for Ship C;</w:t>
      </w:r>
    </w:p>
    <w:p>
      <w:pPr>
        <w:spacing w:after="0" w:line="198" w:lineRule="exact"/>
        <w:rPr>
          <w:rFonts w:ascii="Arial" w:cs="Arial" w:eastAsia="Arial" w:hAnsi="Arial"/>
          <w:sz w:val="18"/>
          <w:szCs w:val="18"/>
          <w:color w:val="auto"/>
        </w:rPr>
      </w:pPr>
    </w:p>
    <w:p>
      <w:pPr>
        <w:ind w:left="1020" w:hanging="491"/>
        <w:spacing w:after="0"/>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Term Loan D shall be made available under the Term Loan Ship Commitment for Ship D;</w:t>
      </w:r>
    </w:p>
    <w:p>
      <w:pPr>
        <w:spacing w:after="0" w:line="198" w:lineRule="exact"/>
        <w:rPr>
          <w:rFonts w:ascii="Arial" w:cs="Arial" w:eastAsia="Arial" w:hAnsi="Arial"/>
          <w:sz w:val="18"/>
          <w:szCs w:val="18"/>
          <w:color w:val="auto"/>
        </w:rPr>
      </w:pPr>
    </w:p>
    <w:p>
      <w:pPr>
        <w:ind w:left="1040" w:hanging="511"/>
        <w:spacing w:after="0"/>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Term Loan E shall be made available under the Term Loan Ship Commitment for Ship E; and</w:t>
      </w:r>
    </w:p>
    <w:p>
      <w:pPr>
        <w:spacing w:after="0" w:line="198" w:lineRule="exact"/>
        <w:rPr>
          <w:rFonts w:ascii="Arial" w:cs="Arial" w:eastAsia="Arial" w:hAnsi="Arial"/>
          <w:sz w:val="18"/>
          <w:szCs w:val="18"/>
          <w:color w:val="auto"/>
        </w:rPr>
      </w:pPr>
    </w:p>
    <w:p>
      <w:pPr>
        <w:ind w:left="1020" w:hanging="491"/>
        <w:spacing w:after="0"/>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Term Loan F shall be made available under the Term Loan Ship Commitment for Ship F.</w:t>
      </w:r>
    </w:p>
    <w:p>
      <w:pPr>
        <w:spacing w:after="0" w:line="198" w:lineRule="exact"/>
        <w:rPr>
          <w:rFonts w:ascii="Arial" w:cs="Arial" w:eastAsia="Arial" w:hAnsi="Arial"/>
          <w:sz w:val="18"/>
          <w:szCs w:val="18"/>
          <w:color w:val="auto"/>
        </w:rPr>
      </w:pPr>
    </w:p>
    <w:p>
      <w:pPr>
        <w:jc w:val="both"/>
        <w:ind w:left="520" w:hanging="512"/>
        <w:spacing w:after="0"/>
        <w:tabs>
          <w:tab w:leader="none" w:pos="5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Revolving Loan Facility shall be sub-divided into six (6) Revolving Loan Ship Tranches, one in relation to each Ship and each one in the maximum amount of the Revolving Loan Ship Commitment for that Ship, and each made available in up to 2 Revolving Loans at any time.</w:t>
      </w:r>
    </w:p>
    <w:p>
      <w:pPr>
        <w:spacing w:after="0" w:line="189" w:lineRule="exact"/>
        <w:rPr>
          <w:rFonts w:ascii="Arial" w:cs="Arial" w:eastAsia="Arial" w:hAnsi="Arial"/>
          <w:sz w:val="18"/>
          <w:szCs w:val="18"/>
          <w:color w:val="auto"/>
        </w:rPr>
      </w:pPr>
    </w:p>
    <w:p>
      <w:pPr>
        <w:ind w:left="520" w:hanging="512"/>
        <w:spacing w:after="0" w:line="246" w:lineRule="auto"/>
        <w:tabs>
          <w:tab w:leader="none" w:pos="5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total amount available and advanced under each Revolving Loan Ship Tranche in respect of a Ship under the Revolving Loan Facility, if utilised on the first Utilisation Date together with the Term Loans, shall not exceed the lower of:</w:t>
      </w:r>
    </w:p>
    <w:p>
      <w:pPr>
        <w:spacing w:after="0" w:line="183" w:lineRule="exact"/>
        <w:rPr>
          <w:rFonts w:ascii="Arial" w:cs="Arial" w:eastAsia="Arial" w:hAnsi="Arial"/>
          <w:sz w:val="18"/>
          <w:szCs w:val="18"/>
          <w:color w:val="auto"/>
        </w:rPr>
      </w:pPr>
    </w:p>
    <w:p>
      <w:pPr>
        <w:ind w:left="980" w:hanging="451"/>
        <w:spacing w:after="0"/>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Revolving Loan Ship Commitment for that Ship; and</w:t>
      </w:r>
    </w:p>
    <w:p>
      <w:pPr>
        <w:spacing w:after="0" w:line="198" w:lineRule="exact"/>
        <w:rPr>
          <w:rFonts w:ascii="Arial" w:cs="Arial" w:eastAsia="Arial" w:hAnsi="Arial"/>
          <w:sz w:val="18"/>
          <w:szCs w:val="18"/>
          <w:color w:val="auto"/>
        </w:rPr>
      </w:pPr>
    </w:p>
    <w:p>
      <w:pPr>
        <w:jc w:val="both"/>
        <w:ind w:left="1040" w:hanging="511"/>
        <w:spacing w:after="0"/>
        <w:tabs>
          <w:tab w:leader="none" w:pos="1213"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amount in dollars which, when aggregated with the amount of the Term Loan for that Ship utilised on the first Utilisation Date, is equal to 66.5% of the market value of that Ship as at the first Utilisation Date as demonstrated by valuations obtained pursuant to Schedule 3, Part 2 (</w:t>
      </w:r>
      <w:r>
        <w:rPr>
          <w:rFonts w:ascii="Arial" w:cs="Arial" w:eastAsia="Arial" w:hAnsi="Arial"/>
          <w:sz w:val="18"/>
          <w:szCs w:val="18"/>
          <w:i w:val="1"/>
          <w:iCs w:val="1"/>
          <w:color w:val="auto"/>
        </w:rPr>
        <w:t>Conditions precedent to initial Utilisation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520" w:hanging="512"/>
        <w:spacing w:after="0" w:line="238" w:lineRule="auto"/>
        <w:tabs>
          <w:tab w:leader="none" w:pos="5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proposed Revolving Loan specified in a Utilisation Request in relation to a Ship after the first Utilisation Date, must be a minimum of $5,000,000 or, if less, the amount of the Revolving Loan Ship Commitment for that Ship which is then available for Utilisation under this Agreement, less the amount of the outstanding Revolving Loan Ship Tranche for that Ship, and must not exceed (when aggregated with the other outstanding Revolving Loans under that Revolving Loan Ship Tranche) the Revolving Loan Ship Commitment for that Ship.</w:t>
      </w:r>
    </w:p>
    <w:p>
      <w:pPr>
        <w:spacing w:after="0" w:line="170" w:lineRule="exact"/>
        <w:rPr>
          <w:rFonts w:ascii="Arial" w:cs="Arial" w:eastAsia="Arial" w:hAnsi="Arial"/>
          <w:sz w:val="18"/>
          <w:szCs w:val="18"/>
          <w:color w:val="auto"/>
        </w:rPr>
      </w:pPr>
    </w:p>
    <w:p>
      <w:pPr>
        <w:ind w:left="520" w:hanging="512"/>
        <w:spacing w:after="0" w:line="267" w:lineRule="auto"/>
        <w:tabs>
          <w:tab w:leader="none" w:pos="58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Revolving Loan under a Revolving Loan Ship Tranche shall be used for the purpose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 and utilised under the Revolving Loan Ship Commitment for the Ship to which that Revolving Loan Ship Tranche relates, namely:</w:t>
      </w:r>
    </w:p>
    <w:p>
      <w:pPr>
        <w:spacing w:after="0" w:line="164" w:lineRule="exact"/>
        <w:rPr>
          <w:rFonts w:ascii="Arial" w:cs="Arial" w:eastAsia="Arial" w:hAnsi="Arial"/>
          <w:sz w:val="18"/>
          <w:szCs w:val="18"/>
          <w:color w:val="auto"/>
        </w:rPr>
      </w:pPr>
    </w:p>
    <w:p>
      <w:pPr>
        <w:ind w:left="1040" w:hanging="511"/>
        <w:spacing w:after="0" w:line="246" w:lineRule="auto"/>
        <w:tabs>
          <w:tab w:leader="none" w:pos="11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A shall be made available under the Revolving Loan Ship Commitment for Ship A;</w:t>
      </w:r>
    </w:p>
    <w:p>
      <w:pPr>
        <w:spacing w:after="0" w:line="183" w:lineRule="exact"/>
        <w:rPr>
          <w:rFonts w:ascii="Arial" w:cs="Arial" w:eastAsia="Arial" w:hAnsi="Arial"/>
          <w:sz w:val="18"/>
          <w:szCs w:val="18"/>
          <w:color w:val="auto"/>
        </w:rPr>
      </w:pPr>
    </w:p>
    <w:p>
      <w:pPr>
        <w:ind w:left="1040" w:hanging="511"/>
        <w:spacing w:after="0" w:line="246" w:lineRule="auto"/>
        <w:tabs>
          <w:tab w:leader="none" w:pos="1029"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B shall be made available under the Revolving Loan Ship Commitment for Ship B;</w:t>
      </w:r>
    </w:p>
    <w:p>
      <w:pPr>
        <w:spacing w:after="0" w:line="183" w:lineRule="exact"/>
        <w:rPr>
          <w:rFonts w:ascii="Arial" w:cs="Arial" w:eastAsia="Arial" w:hAnsi="Arial"/>
          <w:sz w:val="18"/>
          <w:szCs w:val="18"/>
          <w:color w:val="auto"/>
        </w:rPr>
      </w:pPr>
    </w:p>
    <w:p>
      <w:pPr>
        <w:ind w:left="1040" w:hanging="511"/>
        <w:spacing w:after="0" w:line="246" w:lineRule="auto"/>
        <w:tabs>
          <w:tab w:leader="none" w:pos="1165"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C shall be made available under the Revolving Loan Ship Commitment for Ship C;</w:t>
      </w:r>
    </w:p>
    <w:p>
      <w:pPr>
        <w:spacing w:after="0" w:line="18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23" w:right="339" w:bottom="1440" w:gutter="0" w:footer="0" w:header="0"/>
        </w:sectPr>
      </w:pPr>
    </w:p>
    <w:bookmarkStart w:id="42" w:name="page43"/>
    <w:bookmarkEnd w:id="42"/>
    <w:p>
      <w:pPr>
        <w:ind w:left="1540" w:hanging="511"/>
        <w:spacing w:after="0" w:line="246" w:lineRule="auto"/>
        <w:tabs>
          <w:tab w:leader="none" w:pos="16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D shall be made available under the Revolving Loan Ship Commitment for Ship D;</w:t>
      </w:r>
    </w:p>
    <w:p>
      <w:pPr>
        <w:spacing w:after="0" w:line="183" w:lineRule="exact"/>
        <w:rPr>
          <w:rFonts w:ascii="Arial" w:cs="Arial" w:eastAsia="Arial" w:hAnsi="Arial"/>
          <w:sz w:val="18"/>
          <w:szCs w:val="18"/>
          <w:color w:val="auto"/>
        </w:rPr>
      </w:pPr>
    </w:p>
    <w:p>
      <w:pPr>
        <w:ind w:left="1540" w:hanging="511"/>
        <w:spacing w:after="0" w:line="246" w:lineRule="auto"/>
        <w:tabs>
          <w:tab w:leader="none" w:pos="16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E shall be made available under the Revolving Loan Ship Commitment for Ship E; and</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6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Revolving Loan made under Revolving Loan Ship Tranche F shall be made available under the Revolving Loan Ship Commitment for Ship F.</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Lenders’ participation</w:t>
      </w:r>
    </w:p>
    <w:p>
      <w:pPr>
        <w:spacing w:after="0" w:line="220" w:lineRule="exact"/>
        <w:rPr>
          <w:sz w:val="20"/>
          <w:szCs w:val="20"/>
          <w:color w:val="auto"/>
        </w:rPr>
      </w:pPr>
    </w:p>
    <w:p>
      <w:pPr>
        <w:ind w:left="1020" w:hanging="512"/>
        <w:spacing w:after="0" w:line="246" w:lineRule="auto"/>
        <w:tabs>
          <w:tab w:leader="none" w:pos="10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each Loan available by 11:00 am on the Utilisation Date through its Facility Office.</w:t>
      </w:r>
    </w:p>
    <w:p>
      <w:pPr>
        <w:spacing w:after="0" w:line="183" w:lineRule="exact"/>
        <w:rPr>
          <w:rFonts w:ascii="Arial" w:cs="Arial" w:eastAsia="Arial" w:hAnsi="Arial"/>
          <w:sz w:val="18"/>
          <w:szCs w:val="18"/>
          <w:color w:val="auto"/>
        </w:rPr>
      </w:pPr>
    </w:p>
    <w:p>
      <w:pPr>
        <w:ind w:left="1020" w:hanging="512"/>
        <w:spacing w:after="0" w:line="246" w:lineRule="auto"/>
        <w:tabs>
          <w:tab w:leader="none" w:pos="10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 of each Lender’s participation in a Term Loan will be equal to the proportion borne by its Term Loan Commitment to the Total Term Loan Commitments immediately prior to making the relevant Term Loan.</w:t>
      </w:r>
    </w:p>
    <w:p>
      <w:pPr>
        <w:spacing w:after="0" w:line="183" w:lineRule="exact"/>
        <w:rPr>
          <w:rFonts w:ascii="Arial" w:cs="Arial" w:eastAsia="Arial" w:hAnsi="Arial"/>
          <w:sz w:val="18"/>
          <w:szCs w:val="18"/>
          <w:color w:val="auto"/>
        </w:rPr>
      </w:pPr>
    </w:p>
    <w:p>
      <w:pPr>
        <w:ind w:left="1020" w:hanging="512"/>
        <w:spacing w:after="0" w:line="246" w:lineRule="auto"/>
        <w:tabs>
          <w:tab w:leader="none" w:pos="11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 of each Lender’s participation in a Revolving Loan will be equal to the proportion borne by its Revolving Loan Commitment to the Total Revolving Loan Commitments immediately prior to making the relevant Revolving Loan.</w:t>
      </w:r>
    </w:p>
    <w:p>
      <w:pPr>
        <w:spacing w:after="0" w:line="183" w:lineRule="exact"/>
        <w:rPr>
          <w:rFonts w:ascii="Arial" w:cs="Arial" w:eastAsia="Arial" w:hAnsi="Arial"/>
          <w:sz w:val="18"/>
          <w:szCs w:val="18"/>
          <w:color w:val="auto"/>
        </w:rPr>
      </w:pPr>
    </w:p>
    <w:p>
      <w:pPr>
        <w:jc w:val="both"/>
        <w:ind w:left="1020" w:hanging="512"/>
        <w:spacing w:after="0"/>
        <w:tabs>
          <w:tab w:leader="none" w:pos="10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Agent shall promptly notify each Lender of the amount of each Loan and the relevant Facility under which it is utilised (and, in the case of a Revolving Loan, the Revolving Loan Ship Tranche to which it relates) and the amount of its participation in such Loan, in each case by 16:00 pm (London time) on the day before the Quotation Day.</w:t>
      </w:r>
    </w:p>
    <w:p>
      <w:pPr>
        <w:spacing w:after="0" w:line="189" w:lineRule="exact"/>
        <w:rPr>
          <w:rFonts w:ascii="Arial" w:cs="Arial" w:eastAsia="Arial" w:hAnsi="Arial"/>
          <w:sz w:val="18"/>
          <w:szCs w:val="18"/>
          <w:color w:val="auto"/>
        </w:rPr>
      </w:pPr>
    </w:p>
    <w:p>
      <w:pPr>
        <w:jc w:val="both"/>
        <w:ind w:left="1020" w:hanging="512"/>
        <w:spacing w:after="0"/>
        <w:tabs>
          <w:tab w:leader="none" w:pos="10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each Loan (and its own participation in it, if any) to the Borrowers or for the account of any of them or to any Existing Indebtedness Lender, in each case in accordance with the instructions contained in the relevant Utilisation Request.</w:t>
      </w:r>
    </w:p>
    <w:p>
      <w:pPr>
        <w:spacing w:after="0" w:line="157" w:lineRule="exact"/>
        <w:rPr>
          <w:sz w:val="20"/>
          <w:szCs w:val="20"/>
          <w:color w:val="auto"/>
        </w:rPr>
      </w:pPr>
    </w:p>
    <w:p>
      <w:pPr>
        <w:ind w:left="540" w:hanging="402"/>
        <w:spacing w:after="0"/>
        <w:tabs>
          <w:tab w:leader="none" w:pos="54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Repayment</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Repayment of Revolving Loan Facility and Term Loan Facility</w:t>
      </w:r>
    </w:p>
    <w:p>
      <w:pPr>
        <w:spacing w:after="0" w:line="220" w:lineRule="exact"/>
        <w:rPr>
          <w:sz w:val="20"/>
          <w:szCs w:val="20"/>
          <w:color w:val="auto"/>
        </w:rPr>
      </w:pPr>
    </w:p>
    <w:p>
      <w:pPr>
        <w:ind w:left="1020" w:hanging="512"/>
        <w:spacing w:after="0"/>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Borrowers shall repay each Revolving Loan on the last day of its Interest Period.</w:t>
      </w:r>
    </w:p>
    <w:p>
      <w:pPr>
        <w:spacing w:after="0" w:line="198" w:lineRule="exact"/>
        <w:rPr>
          <w:rFonts w:ascii="Arial" w:cs="Arial" w:eastAsia="Arial" w:hAnsi="Arial"/>
          <w:sz w:val="18"/>
          <w:szCs w:val="18"/>
          <w:color w:val="auto"/>
        </w:rPr>
      </w:pPr>
    </w:p>
    <w:p>
      <w:pPr>
        <w:jc w:val="both"/>
        <w:ind w:left="1020" w:hanging="512"/>
        <w:spacing w:after="0" w:line="237" w:lineRule="auto"/>
        <w:tabs>
          <w:tab w:leader="none" w:pos="10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Without prejudice to the Borrowers’ obligation under paragraph (a) above, if one or more Revolving Loans under a Revolving Loan Ship Tranche are to be made available to the Borrowers on the same day that a maturing Revolving Loan for that same Revolving Loan Ship Tranche is due to be repaid by the Borrowers and the proportion borne by each Lender’s participation in the maturing Revolving Loan to the amount of that maturing Revolving Loan is the same as the proportion borne by that Lender’s participation in the new Revolving Loans to the aggregate amount of those new Revolving Loans, the aggregate amount of the new Revolving Loans shall be treated as if applied in or towards repayment of the maturing Revolving Loan, so that:</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amount of the maturing Revolving Loan exceeds the aggregate amount of the new Revolving Loans:</w:t>
      </w:r>
    </w:p>
    <w:p>
      <w:pPr>
        <w:spacing w:after="0" w:line="180" w:lineRule="exact"/>
        <w:rPr>
          <w:rFonts w:ascii="Arial" w:cs="Arial" w:eastAsia="Arial" w:hAnsi="Arial"/>
          <w:sz w:val="18"/>
          <w:szCs w:val="18"/>
          <w:color w:val="auto"/>
        </w:rPr>
      </w:pPr>
    </w:p>
    <w:p>
      <w:pPr>
        <w:ind w:left="2040" w:hanging="501"/>
        <w:spacing w:after="0" w:line="267" w:lineRule="auto"/>
        <w:tabs>
          <w:tab w:leader="none" w:pos="2129"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Borrowers will only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an amount equal to that excess; and</w:t>
      </w:r>
    </w:p>
    <w:p>
      <w:pPr>
        <w:spacing w:after="0" w:line="164" w:lineRule="exact"/>
        <w:rPr>
          <w:rFonts w:ascii="Arial" w:cs="Arial" w:eastAsia="Arial" w:hAnsi="Arial"/>
          <w:sz w:val="18"/>
          <w:szCs w:val="18"/>
          <w:color w:val="auto"/>
        </w:rPr>
      </w:pPr>
    </w:p>
    <w:p>
      <w:pPr>
        <w:jc w:val="both"/>
        <w:ind w:left="2040" w:hanging="501"/>
        <w:spacing w:after="0"/>
        <w:tabs>
          <w:tab w:leader="none" w:pos="2232" w:val="left"/>
        </w:tabs>
        <w:numPr>
          <w:ilvl w:val="2"/>
          <w:numId w:val="96"/>
        </w:numPr>
        <w:rPr>
          <w:rFonts w:ascii="Arial" w:cs="Arial" w:eastAsia="Arial" w:hAnsi="Arial"/>
          <w:sz w:val="18"/>
          <w:szCs w:val="18"/>
          <w:color w:val="auto"/>
        </w:rPr>
      </w:pPr>
      <w:r>
        <w:rPr>
          <w:rFonts w:ascii="Arial" w:cs="Arial" w:eastAsia="Arial" w:hAnsi="Arial"/>
          <w:sz w:val="18"/>
          <w:szCs w:val="18"/>
          <w:color w:val="auto"/>
        </w:rPr>
        <w:t>each Lender’s participation in the new Revolving Loans shall be treated as having been made available and applied by the Borrowers in or towards repayment of that Lender’s participation in the maturing Revolving Loan and that Lender will not be required to make a payment under clause 35.1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Revolving Loans; and</w:t>
      </w:r>
    </w:p>
    <w:p>
      <w:pPr>
        <w:spacing w:after="0" w:line="216" w:lineRule="exact"/>
        <w:rPr>
          <w:sz w:val="20"/>
          <w:szCs w:val="20"/>
          <w:color w:val="auto"/>
        </w:rPr>
      </w:pPr>
    </w:p>
    <w:p>
      <w:pPr>
        <w:ind w:left="1520" w:hanging="491"/>
        <w:spacing w:after="0"/>
        <w:tabs>
          <w:tab w:leader="none" w:pos="15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the amount of the maturing Revolving Loan is equal to or less than the aggregate amount of the new Revolving Loans:</w:t>
      </w:r>
    </w:p>
    <w:p>
      <w:pPr>
        <w:spacing w:after="0" w:line="180" w:lineRule="exact"/>
        <w:rPr>
          <w:rFonts w:ascii="Arial" w:cs="Arial" w:eastAsia="Arial" w:hAnsi="Arial"/>
          <w:sz w:val="18"/>
          <w:szCs w:val="18"/>
          <w:color w:val="auto"/>
        </w:rPr>
      </w:pPr>
    </w:p>
    <w:p>
      <w:pPr>
        <w:ind w:left="2080" w:hanging="541"/>
        <w:spacing w:after="0"/>
        <w:tabs>
          <w:tab w:leader="none" w:pos="20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Borrowers will not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jc w:val="both"/>
        <w:ind w:left="2040" w:hanging="501"/>
        <w:spacing w:after="0" w:line="242" w:lineRule="auto"/>
        <w:tabs>
          <w:tab w:leader="none" w:pos="2209" w:val="left"/>
        </w:tabs>
        <w:numPr>
          <w:ilvl w:val="2"/>
          <w:numId w:val="97"/>
        </w:numPr>
        <w:rPr>
          <w:rFonts w:ascii="Arial" w:cs="Arial" w:eastAsia="Arial" w:hAnsi="Arial"/>
          <w:sz w:val="18"/>
          <w:szCs w:val="18"/>
          <w:color w:val="auto"/>
        </w:rPr>
      </w:pPr>
      <w:r>
        <w:rPr>
          <w:rFonts w:ascii="Arial" w:cs="Arial" w:eastAsia="Arial" w:hAnsi="Arial"/>
          <w:sz w:val="18"/>
          <w:szCs w:val="18"/>
          <w:color w:val="auto"/>
        </w:rPr>
        <w:t>each Lender will be required to make a payment under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Revolving Loans only to the extent that its participation in the new Revolving Loans exceeds that Lender’s participation in the maturing Revolving Loan and the remainder of that Lender’s participation in the new Revolving Loans shall be treated as having been made available and applied by the Borrowers in or towards repayment of that Lender’s participation in the maturing Revolving Loan.</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the Final Repayment Date for the Revolving Loans, the Borrowers shall repay to the Lenders all the Revolving Loans in full.</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071"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the other provisions of this Agreement, the Borrowers shall on each Repayment Date for a Term Loan, repay to the Lenders, such part of that Term Loan as is required to be repaid by clause 6.2 (</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20" w:hanging="512"/>
        <w:spacing w:after="0"/>
        <w:tabs>
          <w:tab w:leader="none" w:pos="1026"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the Final Maturity Date (without prejudice to any other provision of this Agreement) the Loans and any amounts owing by the Borrowers to any Finance Party under any of the Finance Documents (as conclusively certified by the Agent) shall be repaid in full.</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Scheduled repayment of Term Loans</w:t>
      </w:r>
    </w:p>
    <w:p>
      <w:pPr>
        <w:spacing w:after="0" w:line="220" w:lineRule="exact"/>
        <w:rPr>
          <w:sz w:val="20"/>
          <w:szCs w:val="20"/>
          <w:color w:val="auto"/>
        </w:rPr>
      </w:pPr>
    </w:p>
    <w:p>
      <w:pPr>
        <w:jc w:val="both"/>
        <w:ind w:left="1020" w:hanging="512"/>
        <w:spacing w:after="0" w:line="238" w:lineRule="auto"/>
        <w:tabs>
          <w:tab w:leader="none" w:pos="106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Borrowers shall repay to the Lenders each Term Loan by 19 instalments, one such instalment to be repaid on each of the Repayment Dates relative to such Term Loan. To the extent not previously reduced, the amount of each such repayment instalment for each Term Loan due on each such Repayment Date for such Term Loan is that shown in the relevant table of Schedule 9 (</w:t>
      </w:r>
      <w:r>
        <w:rPr>
          <w:rFonts w:ascii="Arial" w:cs="Arial" w:eastAsia="Arial" w:hAnsi="Arial"/>
          <w:sz w:val="18"/>
          <w:szCs w:val="18"/>
          <w:i w:val="1"/>
          <w:iCs w:val="1"/>
          <w:color w:val="auto"/>
        </w:rPr>
        <w:t>Table of Repayment Instalments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020" w:hanging="512"/>
        <w:spacing w:after="0" w:line="246" w:lineRule="auto"/>
        <w:tabs>
          <w:tab w:leader="none" w:pos="10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the Final Repayment Date in relation to a Term Loan (without prejudice to any other provision of this Agreement), such Term Loan shall be repaid in full.</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Scheduled reduction of Revolving Loan Facility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To the extent not previously reduced, the Total Revolving Loan Commitments (and each Revolving Loan Ship Commitment) shall be cancelled and reduced to zero on the Final Repayment Date for the Revolving Loans and on that day the Borrowers shall repay all Revolving Loan Ship Tranches in full.</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tab/>
        <w:t>Adjustment of scheduled repayments</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Total Term Loan Commitments in relation to a Term Loan have been partially reduced under this Agreement and/or any part of any Term Loan is prepaid (other than under clause 6.2 (</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 before any Repayment Date for that Term Loan, then the amount of the instalments by which the relevant Term Loan shall be repaid under clause 6.2 (</w:t>
      </w:r>
      <w:r>
        <w:rPr>
          <w:rFonts w:ascii="Arial" w:cs="Arial" w:eastAsia="Arial" w:hAnsi="Arial"/>
          <w:sz w:val="18"/>
          <w:szCs w:val="18"/>
          <w:i w:val="1"/>
          <w:iCs w:val="1"/>
          <w:color w:val="auto"/>
        </w:rPr>
        <w:t>Scheduled</w:t>
      </w:r>
      <w:r>
        <w:rPr>
          <w:rFonts w:ascii="Arial" w:cs="Arial" w:eastAsia="Arial" w:hAnsi="Arial"/>
          <w:sz w:val="18"/>
          <w:szCs w:val="18"/>
          <w:color w:val="auto"/>
        </w:rPr>
        <w:t xml:space="preserve"> </w:t>
      </w:r>
      <w:r>
        <w:rPr>
          <w:rFonts w:ascii="Arial" w:cs="Arial" w:eastAsia="Arial" w:hAnsi="Arial"/>
          <w:sz w:val="18"/>
          <w:szCs w:val="18"/>
          <w:i w:val="1"/>
          <w:iCs w:val="1"/>
          <w:color w:val="auto"/>
        </w:rPr>
        <w:t>repayment of Term Loans</w:t>
      </w:r>
      <w:r>
        <w:rPr>
          <w:rFonts w:ascii="Arial" w:cs="Arial" w:eastAsia="Arial" w:hAnsi="Arial"/>
          <w:sz w:val="18"/>
          <w:szCs w:val="18"/>
          <w:color w:val="auto"/>
        </w:rPr>
        <w:t>) on any such Repayment Date for that Term Loan (as reduced by any earlier operation of this clause 6.4)</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reduced pro rata to such reduction in the Total Term Loan Commitments in relation to that Term Loan or (as the case may be) pro rata to such prepayment of that Term Loan. In such cases, the Agent may update Schedule 9 (</w:t>
      </w:r>
      <w:r>
        <w:rPr>
          <w:rFonts w:ascii="Arial" w:cs="Arial" w:eastAsia="Arial" w:hAnsi="Arial"/>
          <w:sz w:val="18"/>
          <w:szCs w:val="18"/>
          <w:i w:val="1"/>
          <w:iCs w:val="1"/>
          <w:color w:val="auto"/>
        </w:rPr>
        <w:t>Table of Repayment Instalments</w:t>
      </w:r>
      <w:r>
        <w:rPr>
          <w:rFonts w:ascii="Arial" w:cs="Arial" w:eastAsia="Arial" w:hAnsi="Arial"/>
          <w:sz w:val="18"/>
          <w:szCs w:val="18"/>
          <w:color w:val="auto"/>
        </w:rPr>
        <w:t>) accordingly and distribute the same to the Parties for ease of reference.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p>
      <w:pPr>
        <w:ind w:left="540" w:hanging="430"/>
        <w:spacing w:after="0"/>
        <w:tabs>
          <w:tab w:leader="none" w:pos="54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Illegality, prepayment and cancellation</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Illegality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any Loan or it becomes unlawful for any Affiliate of a Lender for that Lender to do so:</w:t>
      </w:r>
    </w:p>
    <w:p>
      <w:pPr>
        <w:spacing w:after="0" w:line="189" w:lineRule="exact"/>
        <w:rPr>
          <w:sz w:val="20"/>
          <w:szCs w:val="20"/>
          <w:color w:val="auto"/>
        </w:rPr>
      </w:pPr>
    </w:p>
    <w:p>
      <w:pPr>
        <w:ind w:left="1020" w:hanging="512"/>
        <w:spacing w:after="0"/>
        <w:tabs>
          <w:tab w:leader="none" w:pos="1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198" w:lineRule="exact"/>
        <w:rPr>
          <w:rFonts w:ascii="Arial" w:cs="Arial" w:eastAsia="Arial" w:hAnsi="Arial"/>
          <w:sz w:val="18"/>
          <w:szCs w:val="18"/>
          <w:color w:val="auto"/>
        </w:rPr>
      </w:pPr>
    </w:p>
    <w:p>
      <w:pPr>
        <w:ind w:left="1020" w:hanging="512"/>
        <w:spacing w:after="0" w:line="246" w:lineRule="auto"/>
        <w:tabs>
          <w:tab w:leader="none" w:pos="127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the Agent notifying the Borrowers, the Commitments of that Lender will be immediately cancelled and the Total Commitments and the remaining Ship Aggregate Commitments shall be reduced accordingly; and</w:t>
      </w:r>
    </w:p>
    <w:p>
      <w:pPr>
        <w:spacing w:after="0" w:line="183" w:lineRule="exact"/>
        <w:rPr>
          <w:rFonts w:ascii="Arial" w:cs="Arial" w:eastAsia="Arial" w:hAnsi="Arial"/>
          <w:sz w:val="18"/>
          <w:szCs w:val="18"/>
          <w:color w:val="auto"/>
        </w:rPr>
      </w:pPr>
    </w:p>
    <w:p>
      <w:pPr>
        <w:jc w:val="both"/>
        <w:ind w:left="1020" w:hanging="512"/>
        <w:spacing w:after="0"/>
        <w:tabs>
          <w:tab w:leader="none" w:pos="10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Loans on the last day of the Interest Period for each of those Loans occurring after the Agent has notified the Borrowers or, if earlier, the date specified by the Lender in the notice delivered to the Agent (being no earlier than the last day of any applicable grace period permitted by law).</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Change of Control; de-listing</w:t>
      </w:r>
    </w:p>
    <w:p>
      <w:pPr>
        <w:spacing w:after="0" w:line="220" w:lineRule="exact"/>
        <w:rPr>
          <w:sz w:val="20"/>
          <w:szCs w:val="20"/>
          <w:color w:val="auto"/>
        </w:rPr>
      </w:pPr>
    </w:p>
    <w:p>
      <w:pPr>
        <w:ind w:left="1020" w:hanging="512"/>
        <w:spacing w:after="0"/>
        <w:tabs>
          <w:tab w:leader="none" w:pos="1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there is a Change of Control</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Borrowers shall promptly notify the Agent upon any Obligor becoming aware of a Change of Control occurring; and</w:t>
      </w:r>
    </w:p>
    <w:p>
      <w:pPr>
        <w:spacing w:after="0" w:line="198" w:lineRule="exact"/>
        <w:rPr>
          <w:rFonts w:ascii="Arial" w:cs="Arial" w:eastAsia="Arial" w:hAnsi="Arial"/>
          <w:sz w:val="18"/>
          <w:szCs w:val="18"/>
          <w:color w:val="auto"/>
        </w:rPr>
      </w:pPr>
    </w:p>
    <w:p>
      <w:pPr>
        <w:jc w:val="both"/>
        <w:ind w:left="1540" w:hanging="511"/>
        <w:spacing w:after="0" w:line="237" w:lineRule="auto"/>
        <w:tabs>
          <w:tab w:leader="none" w:pos="154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upon becoming notified by any Party of a Change of Control in respect of the Parent, GasLog Carriers, GPHL or MLP, the Agent shall, if instructed by the Majority Lenders, by notice to the Borrowers, cancel the Total Commitments immediately and declare the Loans to be payable within ten (10) Business Days from the date of such notice. Upon such notice being given, the Total Commitments shall be forthwith cancelled and the Borrowers shall, within such ten (10) Business Day period, prepay the Loans in full together with all other amounts owing under this Agreement or any of the other Finance Documents; and</w:t>
      </w:r>
    </w:p>
    <w:p>
      <w:pPr>
        <w:spacing w:after="0" w:line="191" w:lineRule="exact"/>
        <w:rPr>
          <w:rFonts w:ascii="Arial" w:cs="Arial" w:eastAsia="Arial" w:hAnsi="Arial"/>
          <w:sz w:val="18"/>
          <w:szCs w:val="18"/>
          <w:color w:val="auto"/>
        </w:rPr>
      </w:pPr>
    </w:p>
    <w:p>
      <w:pPr>
        <w:ind w:left="1540" w:hanging="511"/>
        <w:spacing w:after="0" w:line="246" w:lineRule="auto"/>
        <w:tabs>
          <w:tab w:leader="none" w:pos="15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upon becoming notified by any Party of a Change of Control in respect of a Borrower, the Agent shall, if instructed by the Majority Lenders, by notice to the Borrowers:</w:t>
      </w:r>
    </w:p>
    <w:p>
      <w:pPr>
        <w:spacing w:after="0" w:line="183" w:lineRule="exact"/>
        <w:rPr>
          <w:rFonts w:ascii="Arial" w:cs="Arial" w:eastAsia="Arial" w:hAnsi="Arial"/>
          <w:sz w:val="18"/>
          <w:szCs w:val="18"/>
          <w:color w:val="auto"/>
        </w:rPr>
      </w:pPr>
    </w:p>
    <w:p>
      <w:pPr>
        <w:jc w:val="both"/>
        <w:ind w:left="2040" w:hanging="501"/>
        <w:spacing w:after="0"/>
        <w:tabs>
          <w:tab w:leader="none" w:pos="231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declare the Ship Aggregate Loans relevant to the Ship owned by such Borrower to be payable forthwith, whereupon the Borrowers shall forthwith prepay such Loans in full together with all interest thereon and all other amounts payable together with such prepayment under this Agreement and the other Finance Documents; and</w:t>
      </w:r>
    </w:p>
    <w:p>
      <w:pPr>
        <w:spacing w:after="0" w:line="189" w:lineRule="exact"/>
        <w:rPr>
          <w:rFonts w:ascii="Arial" w:cs="Arial" w:eastAsia="Arial" w:hAnsi="Arial"/>
          <w:sz w:val="18"/>
          <w:szCs w:val="18"/>
          <w:color w:val="auto"/>
        </w:rPr>
      </w:pPr>
    </w:p>
    <w:p>
      <w:pPr>
        <w:ind w:left="2040" w:hanging="501"/>
        <w:spacing w:after="0" w:line="246" w:lineRule="auto"/>
        <w:tabs>
          <w:tab w:leader="none" w:pos="218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cancel the Ship Aggregate Commitments for that Ship whereupon such Ship Aggregate Commitments shall be reduced to zero, the Total Commitments shall be reduced accordingly and the Commitments reduced pro rata.</w:t>
      </w:r>
    </w:p>
    <w:p>
      <w:pPr>
        <w:spacing w:after="0" w:line="183" w:lineRule="exact"/>
        <w:rPr>
          <w:rFonts w:ascii="Arial" w:cs="Arial" w:eastAsia="Arial" w:hAnsi="Arial"/>
          <w:sz w:val="18"/>
          <w:szCs w:val="18"/>
          <w:color w:val="auto"/>
        </w:rPr>
      </w:pPr>
    </w:p>
    <w:p>
      <w:pPr>
        <w:jc w:val="both"/>
        <w:ind w:left="1020" w:hanging="512"/>
        <w:spacing w:after="0" w:line="237" w:lineRule="auto"/>
        <w:tabs>
          <w:tab w:leader="none" w:pos="122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Parent ceases to be listed on an Approved Exchange, the Borrowers shall notify the Agent of the same upon its occurrence, and the Agent, upon being notified shall, if instructed by the Majority Lenders, cancel the Total Commitments immediately and declare the Loans to be payable within ten (10) Business Days from the date of such notice. Upon such notice being given, the Total Commitments shall be immediately cancelled and the Borrowers shall, within such ten (10) Business Day period, prepay the Loans in full together with all other amounts owing under this Agreement or any of the other Finance Documents.</w:t>
      </w:r>
    </w:p>
    <w:p>
      <w:pPr>
        <w:spacing w:after="0" w:line="191" w:lineRule="exact"/>
        <w:rPr>
          <w:rFonts w:ascii="Arial" w:cs="Arial" w:eastAsia="Arial" w:hAnsi="Arial"/>
          <w:sz w:val="18"/>
          <w:szCs w:val="18"/>
          <w:color w:val="auto"/>
        </w:rPr>
      </w:pPr>
    </w:p>
    <w:p>
      <w:pPr>
        <w:jc w:val="both"/>
        <w:ind w:left="1020" w:hanging="512"/>
        <w:spacing w:after="0"/>
        <w:tabs>
          <w:tab w:leader="none" w:pos="10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MLP ceases to be listed on an Approved Exchange, the Borrowers shall notify the Agent of the same upon its occurrence. Immediately upon such event occurring, clause 17.11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shall apply and clause 17.10 (</w:t>
      </w:r>
      <w:r>
        <w:rPr>
          <w:rFonts w:ascii="Arial" w:cs="Arial" w:eastAsia="Arial" w:hAnsi="Arial"/>
          <w:sz w:val="18"/>
          <w:szCs w:val="18"/>
          <w:i w:val="1"/>
          <w:iCs w:val="1"/>
          <w:color w:val="auto"/>
        </w:rPr>
        <w:t>Limited</w:t>
      </w:r>
      <w:r>
        <w:rPr>
          <w:rFonts w:ascii="Arial" w:cs="Arial" w:eastAsia="Arial" w:hAnsi="Arial"/>
          <w:sz w:val="18"/>
          <w:szCs w:val="18"/>
          <w:color w:val="auto"/>
        </w:rPr>
        <w:t xml:space="preserve"> </w:t>
      </w:r>
      <w:r>
        <w:rPr>
          <w:rFonts w:ascii="Arial" w:cs="Arial" w:eastAsia="Arial" w:hAnsi="Arial"/>
          <w:sz w:val="18"/>
          <w:szCs w:val="18"/>
          <w:i w:val="1"/>
          <w:iCs w:val="1"/>
          <w:color w:val="auto"/>
        </w:rPr>
        <w:t>recourse</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5" w:name="page46"/>
    <w:bookmarkEnd w:id="45"/>
    <w:p>
      <w:pPr>
        <w:ind w:left="1040"/>
        <w:spacing w:after="0" w:line="267" w:lineRule="auto"/>
        <w:rPr>
          <w:sz w:val="20"/>
          <w:szCs w:val="20"/>
          <w:color w:val="auto"/>
        </w:rPr>
      </w:pPr>
      <w:r>
        <w:rPr>
          <w:rFonts w:ascii="Arial" w:cs="Arial" w:eastAsia="Arial" w:hAnsi="Arial"/>
          <w:sz w:val="18"/>
          <w:szCs w:val="18"/>
          <w:color w:val="auto"/>
        </w:rPr>
        <w:t>shall be disapplied to the extent and as specified in such clause 17.11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in respect of the Parent and GasLog Carriers.</w:t>
      </w:r>
    </w:p>
    <w:p>
      <w:pPr>
        <w:spacing w:after="0" w:line="14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Voluntary cancellation</w:t>
      </w:r>
    </w:p>
    <w:p>
      <w:pPr>
        <w:spacing w:after="0" w:line="220" w:lineRule="exact"/>
        <w:rPr>
          <w:sz w:val="20"/>
          <w:szCs w:val="20"/>
          <w:color w:val="auto"/>
        </w:rPr>
      </w:pPr>
    </w:p>
    <w:p>
      <w:pPr>
        <w:jc w:val="both"/>
        <w:ind w:left="1020" w:hanging="512"/>
        <w:spacing w:after="0" w:line="23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Borrowers may, if they give the Agent not less than 5 Business Days’ (or such shorter period as the Majority Lenders may agree) prior written notice, cancel the whole or any part (being a minimum amount of $5,000,000 and a multiple of $1,000,000) of the Term Loan Facility or the Revolving Loan Facility (or a combination of both Facilities) which is undrawn at the proposed date of cancellation, such cancellation being applied to reduce one or more Term Loan Ship Commitments and/or one or more Revolving Loan Ship Commitments (as designated by the Borrowers at their option). Upon any such cancellation the Total Commitments shall be reduced by the same amount and the relevant Commitments of the Lenders under the relevant Facility or Facilities reduced on a pro rata basis.</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10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Borrowers shall be entitled to cancel the whole or any part of the Available Revolving Loan Facility which is then drawn under a Revolving Loan Ship Commitment, only if the Borrowers prepay such amount of the Revolving Loans under the relevant Revolving Loan Ship Tranche as may be necessary to ensure that the outstanding Revolving Loans under such Revolving Loan Ship Tranche after such cancellation will not exceed the then available amount of such Revolving Loan Ship Commitment (as so reduced by this clause 7.3).</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Voluntary prepayment</w:t>
      </w:r>
    </w:p>
    <w:p>
      <w:pPr>
        <w:spacing w:after="0" w:line="220" w:lineRule="exact"/>
        <w:rPr>
          <w:sz w:val="20"/>
          <w:szCs w:val="20"/>
          <w:color w:val="auto"/>
        </w:rPr>
      </w:pPr>
    </w:p>
    <w:p>
      <w:pPr>
        <w:jc w:val="both"/>
        <w:ind w:left="520"/>
        <w:spacing w:after="0" w:line="234" w:lineRule="auto"/>
        <w:rPr>
          <w:sz w:val="20"/>
          <w:szCs w:val="20"/>
          <w:color w:val="auto"/>
        </w:rPr>
      </w:pPr>
      <w:r>
        <w:rPr>
          <w:rFonts w:ascii="Arial" w:cs="Arial" w:eastAsia="Arial" w:hAnsi="Arial"/>
          <w:sz w:val="18"/>
          <w:szCs w:val="18"/>
          <w:color w:val="auto"/>
        </w:rPr>
        <w:t>The Borrowers may, if they give the Agent not less than 5 Business Days (or such shorter period as the Majority Lenders may agree) prior written notice, prepay the whole or any part of a Term Loan or a Revolving Loan (but if in part, (a) in the case of a Term Loan being an amount that reduces the amount of that Term Loan by a minimum amount equal to a repayment instalment falling due under clause 6.2 (Scheduled repayment of Term Loans) in respect of that Term Loan or is a multiple of any such repayment instalment or</w:t>
      </w:r>
    </w:p>
    <w:p>
      <w:pPr>
        <w:spacing w:after="0" w:line="3" w:lineRule="exact"/>
        <w:rPr>
          <w:sz w:val="20"/>
          <w:szCs w:val="20"/>
          <w:color w:val="auto"/>
        </w:rPr>
      </w:pPr>
    </w:p>
    <w:p>
      <w:pPr>
        <w:ind w:left="520" w:right="20" w:hanging="2"/>
        <w:spacing w:after="0" w:line="246" w:lineRule="auto"/>
        <w:tabs>
          <w:tab w:leader="none" w:pos="7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a Revolving Loan, being an amount equal to $5,000,000 or an integral multiple of $1,000,000), on the last day of an Interest Period in respect of the amount to be prepaid (or any other date subject to payment of any Break Costs).</w:t>
      </w:r>
    </w:p>
    <w:p>
      <w:pPr>
        <w:spacing w:after="0" w:line="161" w:lineRule="exact"/>
        <w:rPr>
          <w:sz w:val="20"/>
          <w:szCs w:val="20"/>
          <w:color w:val="auto"/>
        </w:rPr>
      </w:pPr>
    </w:p>
    <w:p>
      <w:pPr>
        <w:ind w:left="520" w:hanging="505"/>
        <w:spacing w:after="0" w:line="271" w:lineRule="auto"/>
        <w:tabs>
          <w:tab w:leader="none" w:pos="500" w:val="left"/>
        </w:tabs>
        <w:rPr>
          <w:sz w:val="20"/>
          <w:szCs w:val="20"/>
          <w:color w:val="auto"/>
        </w:rPr>
      </w:pPr>
      <w:r>
        <w:rPr>
          <w:rFonts w:ascii="Arial" w:cs="Arial" w:eastAsia="Arial" w:hAnsi="Arial"/>
          <w:sz w:val="18"/>
          <w:szCs w:val="18"/>
          <w:b w:val="1"/>
          <w:bCs w:val="1"/>
          <w:color w:val="auto"/>
        </w:rPr>
        <w:t>7.5</w:t>
        <w:tab/>
        <w:t>Right of replacement or cancellation and prepayment in relation to a single Lender/Right of cancellation in relation to a Defaulting Lender</w:t>
      </w:r>
    </w:p>
    <w:p>
      <w:pPr>
        <w:spacing w:after="0" w:line="162" w:lineRule="exact"/>
        <w:rPr>
          <w:sz w:val="20"/>
          <w:szCs w:val="20"/>
          <w:color w:val="auto"/>
        </w:rPr>
      </w:pPr>
    </w:p>
    <w:p>
      <w:pPr>
        <w:ind w:left="1020" w:hanging="512"/>
        <w:spacing w:after="0"/>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w:t>
      </w:r>
    </w:p>
    <w:p>
      <w:pPr>
        <w:spacing w:after="0" w:line="180" w:lineRule="exact"/>
        <w:rPr>
          <w:rFonts w:ascii="Arial" w:cs="Arial" w:eastAsia="Arial" w:hAnsi="Arial"/>
          <w:sz w:val="18"/>
          <w:szCs w:val="18"/>
          <w:color w:val="auto"/>
        </w:rPr>
      </w:pPr>
    </w:p>
    <w:p>
      <w:pPr>
        <w:ind w:left="1540" w:hanging="511"/>
        <w:spacing w:after="0"/>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198" w:lineRule="exact"/>
        <w:rPr>
          <w:rFonts w:ascii="Arial" w:cs="Arial" w:eastAsia="Arial" w:hAnsi="Arial"/>
          <w:sz w:val="18"/>
          <w:szCs w:val="18"/>
          <w:color w:val="auto"/>
        </w:rPr>
      </w:pPr>
    </w:p>
    <w:p>
      <w:pPr>
        <w:ind w:left="1540" w:hanging="511"/>
        <w:spacing w:after="0" w:line="267" w:lineRule="auto"/>
        <w:tabs>
          <w:tab w:leader="none" w:pos="169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Borrowers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13.1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65"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Borrowers may, whilst the circumstance giving rise to the requirement for that increase or indemnification continues, give the Agent notice of cancellation of the Commitments of that Lender and their intention to procure the repayment of that Lender’s participation in the Loans or give the Agent notice of their intention to replace that Lender in accordance with clause 7.5(d).</w:t>
      </w:r>
    </w:p>
    <w:p>
      <w:pPr>
        <w:spacing w:after="0" w:line="189" w:lineRule="exact"/>
        <w:rPr>
          <w:sz w:val="20"/>
          <w:szCs w:val="20"/>
          <w:color w:val="auto"/>
        </w:rPr>
      </w:pPr>
    </w:p>
    <w:p>
      <w:pPr>
        <w:jc w:val="both"/>
        <w:ind w:left="1020" w:hanging="512"/>
        <w:spacing w:after="0" w:line="238" w:lineRule="auto"/>
        <w:tabs>
          <w:tab w:leader="none" w:pos="10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receipt of a notice referred to in clause 7.5(a) above, the Commitments of that Lender shall immediately be reduced to zero and (unless the Commitments of the relevant Lender are replaced in accordance with clause 7.5(d)) the Total Commitments shall be reduced accordingly (and the Term Loan Ship Commitments and the Revolving Loan Ship Commitments shall each be reduced rateably). The Agent shall as soon as practicable after receipt of a notice referred to in clause 7.5(a) above, notify all the Lenders.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6" w:name="page47"/>
    <w:bookmarkEnd w:id="46"/>
    <w:p>
      <w:pPr>
        <w:jc w:val="both"/>
        <w:ind w:left="1020" w:hanging="512"/>
        <w:spacing w:after="0"/>
        <w:tabs>
          <w:tab w:leader="none" w:pos="100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Borrowers have given notice under clause 7.5(a) above in relation to a Lender (or, if earlier, the date specified by the Borrowers in that notice), the Borrowers shall repay that Lender’s participation in the Loans.</w:t>
      </w:r>
    </w:p>
    <w:p>
      <w:pPr>
        <w:spacing w:after="0" w:line="189" w:lineRule="exact"/>
        <w:rPr>
          <w:rFonts w:ascii="Arial" w:cs="Arial" w:eastAsia="Arial" w:hAnsi="Arial"/>
          <w:sz w:val="18"/>
          <w:szCs w:val="18"/>
          <w:color w:val="auto"/>
        </w:rPr>
      </w:pPr>
    </w:p>
    <w:p>
      <w:pPr>
        <w:jc w:val="both"/>
        <w:ind w:left="1020" w:hanging="512"/>
        <w:spacing w:after="0" w:line="237" w:lineRule="auto"/>
        <w:tabs>
          <w:tab w:leader="none" w:pos="11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Borrowers may, in the circumstances set out in clause 7.5(a), on 15 Business Days’ prior notice to the Agent and that Lender, replace that Lender by requiring that Lender to assign (and, to the extent permitted by law, that Lender shall assign) pursuant to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under this Agreement to a Lender or other bank, financial institution, trust, fund or other entity selected by the Borrowers which confirms its willingness to assume and does assume all the obligations of the assigning Lender in accordance with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the assignment equal to the aggregate of:</w:t>
      </w:r>
    </w:p>
    <w:p>
      <w:pPr>
        <w:spacing w:after="0" w:line="191" w:lineRule="exact"/>
        <w:rPr>
          <w:rFonts w:ascii="Arial" w:cs="Arial" w:eastAsia="Arial" w:hAnsi="Arial"/>
          <w:sz w:val="18"/>
          <w:szCs w:val="18"/>
          <w:color w:val="auto"/>
        </w:rPr>
      </w:pPr>
    </w:p>
    <w:p>
      <w:pPr>
        <w:ind w:left="1540" w:hanging="511"/>
        <w:spacing w:after="0"/>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Loans;</w:t>
      </w:r>
    </w:p>
    <w:p>
      <w:pPr>
        <w:spacing w:after="0" w:line="180" w:lineRule="exact"/>
        <w:rPr>
          <w:rFonts w:ascii="Arial" w:cs="Arial" w:eastAsia="Arial" w:hAnsi="Arial"/>
          <w:sz w:val="18"/>
          <w:szCs w:val="18"/>
          <w:color w:val="auto"/>
        </w:rPr>
      </w:pPr>
    </w:p>
    <w:p>
      <w:pPr>
        <w:ind w:left="1540" w:hanging="511"/>
        <w:spacing w:after="0" w:line="267" w:lineRule="auto"/>
        <w:tabs>
          <w:tab w:leader="none" w:pos="156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30.8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rata interest settlement</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1540" w:right="20" w:hanging="511"/>
        <w:spacing w:after="0" w:line="267" w:lineRule="auto"/>
        <w:tabs>
          <w:tab w:leader="none" w:pos="151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Borrowers prepaid in full that Lender’s participation in the Loans on the date of the assignment; and</w:t>
      </w:r>
    </w:p>
    <w:p>
      <w:pPr>
        <w:spacing w:after="0" w:line="164" w:lineRule="exact"/>
        <w:rPr>
          <w:rFonts w:ascii="Arial" w:cs="Arial" w:eastAsia="Arial" w:hAnsi="Arial"/>
          <w:sz w:val="18"/>
          <w:szCs w:val="18"/>
          <w:color w:val="auto"/>
        </w:rPr>
      </w:pPr>
    </w:p>
    <w:p>
      <w:pPr>
        <w:ind w:left="1520" w:hanging="491"/>
        <w:spacing w:after="0"/>
        <w:tabs>
          <w:tab w:leader="none" w:pos="15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198" w:lineRule="exact"/>
        <w:rPr>
          <w:rFonts w:ascii="Arial" w:cs="Arial" w:eastAsia="Arial" w:hAnsi="Arial"/>
          <w:sz w:val="18"/>
          <w:szCs w:val="18"/>
          <w:color w:val="auto"/>
        </w:rPr>
      </w:pPr>
    </w:p>
    <w:p>
      <w:pPr>
        <w:ind w:left="1540" w:hanging="511"/>
        <w:spacing w:after="0" w:line="246" w:lineRule="auto"/>
        <w:tabs>
          <w:tab w:leader="none" w:pos="151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183" w:lineRule="exact"/>
        <w:rPr>
          <w:rFonts w:ascii="Arial" w:cs="Arial" w:eastAsia="Arial" w:hAnsi="Arial"/>
          <w:sz w:val="18"/>
          <w:szCs w:val="18"/>
          <w:color w:val="auto"/>
        </w:rPr>
      </w:pPr>
    </w:p>
    <w:p>
      <w:pPr>
        <w:jc w:val="both"/>
        <w:ind w:left="1540" w:hanging="511"/>
        <w:spacing w:after="0"/>
        <w:tabs>
          <w:tab w:leader="none" w:pos="153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189" w:lineRule="exact"/>
        <w:rPr>
          <w:rFonts w:ascii="Arial" w:cs="Arial" w:eastAsia="Arial" w:hAnsi="Arial"/>
          <w:sz w:val="18"/>
          <w:szCs w:val="18"/>
          <w:color w:val="auto"/>
        </w:rPr>
      </w:pPr>
    </w:p>
    <w:p>
      <w:pPr>
        <w:jc w:val="both"/>
        <w:ind w:left="1020" w:hanging="512"/>
        <w:spacing w:after="0"/>
        <w:tabs>
          <w:tab w:leader="none" w:pos="10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Lender shall perform the checks described in clause 7.5(e) above as soon as reasonably practicable following delivery of a notice referred to in clause 7.5(d) above and shall notify the Agent and the Borrowers when it is satisfied that it has complied with those checks.</w:t>
      </w:r>
    </w:p>
    <w:p>
      <w:pPr>
        <w:spacing w:after="0" w:line="189" w:lineRule="exact"/>
        <w:rPr>
          <w:rFonts w:ascii="Arial" w:cs="Arial" w:eastAsia="Arial" w:hAnsi="Arial"/>
          <w:sz w:val="18"/>
          <w:szCs w:val="18"/>
          <w:color w:val="auto"/>
        </w:rPr>
      </w:pPr>
    </w:p>
    <w:p>
      <w:pPr>
        <w:ind w:left="1020" w:hanging="512"/>
        <w:spacing w:after="0" w:line="246" w:lineRule="auto"/>
        <w:tabs>
          <w:tab w:leader="none" w:pos="11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Agent 5 Business Days’ notice of cancellation of the undrawn Commitments of that Lender.</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the notice referred to in clause 7.5(g) above becoming effective, the undrawn Commitments of the Defaulting Lender shall immediately be reduced to zero and (unless the Commitments of the relevant Lender are replaced in accordance with 41.5 (</w:t>
      </w:r>
      <w:r>
        <w:rPr>
          <w:rFonts w:ascii="Arial" w:cs="Arial" w:eastAsia="Arial" w:hAnsi="Arial"/>
          <w:sz w:val="18"/>
          <w:szCs w:val="18"/>
          <w:i w:val="1"/>
          <w:iCs w:val="1"/>
          <w:color w:val="auto"/>
        </w:rPr>
        <w:t>Replacement of a Defaulting Lender</w:t>
      </w:r>
      <w:r>
        <w:rPr>
          <w:rFonts w:ascii="Arial" w:cs="Arial" w:eastAsia="Arial" w:hAnsi="Arial"/>
          <w:sz w:val="18"/>
          <w:szCs w:val="18"/>
          <w:color w:val="auto"/>
        </w:rPr>
        <w:t>)) the remaining Ship Aggregate Commitments and the Total Commitments shall be reduced accordingly, and the Agent shall as soon as practicable after receipt of such notice, notify all the Lenders.</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color w:val="auto"/>
        </w:rPr>
        <w:t>Sale or Total Loss</w:t>
      </w:r>
    </w:p>
    <w:p>
      <w:pPr>
        <w:spacing w:after="0" w:line="220" w:lineRule="exact"/>
        <w:rPr>
          <w:sz w:val="20"/>
          <w:szCs w:val="20"/>
          <w:color w:val="auto"/>
        </w:rPr>
      </w:pPr>
    </w:p>
    <w:p>
      <w:pPr>
        <w:ind w:left="5520" w:right="3680" w:hanging="5012"/>
        <w:spacing w:after="0" w:line="481" w:lineRule="auto"/>
        <w:tabs>
          <w:tab w:leader="none" w:pos="10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paragraph (b) below, on a Mortgaged Ship’s Disposal Repayment Date: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left="1540" w:hanging="511"/>
        <w:spacing w:after="0" w:line="246" w:lineRule="auto"/>
        <w:tabs>
          <w:tab w:leader="none" w:pos="156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Borrowers shall prepay in full the Term Loan relevant to that Ship and all the Revolving Loans relevant to that Ship; and</w:t>
      </w:r>
    </w:p>
    <w:p>
      <w:pPr>
        <w:spacing w:after="0" w:line="183" w:lineRule="exact"/>
        <w:rPr>
          <w:rFonts w:ascii="Arial" w:cs="Arial" w:eastAsia="Arial" w:hAnsi="Arial"/>
          <w:sz w:val="18"/>
          <w:szCs w:val="18"/>
          <w:color w:val="auto"/>
        </w:rPr>
      </w:pPr>
    </w:p>
    <w:p>
      <w:pPr>
        <w:ind w:left="1540" w:hanging="511"/>
        <w:spacing w:after="0" w:line="246" w:lineRule="auto"/>
        <w:tabs>
          <w:tab w:leader="none" w:pos="171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Ship Aggregate Commitments for that Ship shall be reduced to zero, the Total Commitments shall be reduced accordingly and the Commitments reduced pro rata.</w:t>
      </w:r>
    </w:p>
    <w:p>
      <w:pPr>
        <w:spacing w:after="0" w:line="183" w:lineRule="exact"/>
        <w:rPr>
          <w:rFonts w:ascii="Arial" w:cs="Arial" w:eastAsia="Arial" w:hAnsi="Arial"/>
          <w:sz w:val="18"/>
          <w:szCs w:val="18"/>
          <w:color w:val="auto"/>
        </w:rPr>
      </w:pPr>
    </w:p>
    <w:p>
      <w:pPr>
        <w:ind w:left="1020" w:hanging="512"/>
        <w:spacing w:after="0" w:line="246" w:lineRule="auto"/>
        <w:tabs>
          <w:tab w:leader="none" w:pos="10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on the relevant Mortgaged Ship’s Disposal Repayment Date referred to in paragraph (a) above, the relevant Mortgaged Ship is one other than Ship F and on such day;</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Ship F is still a Mortgaged Ship; and</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at least one of the other Ships is no longer a Mortgaged Ship,</w:t>
      </w:r>
    </w:p>
    <w:p>
      <w:pPr>
        <w:spacing w:after="0" w:line="198" w:lineRule="exact"/>
        <w:rPr>
          <w:rFonts w:ascii="Arial" w:cs="Arial" w:eastAsia="Arial" w:hAnsi="Arial"/>
          <w:sz w:val="18"/>
          <w:szCs w:val="18"/>
          <w:color w:val="auto"/>
        </w:rPr>
      </w:pPr>
    </w:p>
    <w:p>
      <w:pPr>
        <w:ind w:left="1540"/>
        <w:spacing w:after="0" w:line="246" w:lineRule="auto"/>
        <w:rPr>
          <w:rFonts w:ascii="Arial" w:cs="Arial" w:eastAsia="Arial" w:hAnsi="Arial"/>
          <w:sz w:val="18"/>
          <w:szCs w:val="18"/>
          <w:color w:val="auto"/>
        </w:rPr>
      </w:pPr>
      <w:r>
        <w:rPr>
          <w:rFonts w:ascii="Arial" w:cs="Arial" w:eastAsia="Arial" w:hAnsi="Arial"/>
          <w:sz w:val="18"/>
          <w:szCs w:val="18"/>
          <w:color w:val="auto"/>
        </w:rPr>
        <w:t>then, in addition to the prepayment and reduction referred to in paragraph (a) above, on the same Mortgaged Ship’s Disposal Repayment Date:</w:t>
      </w:r>
    </w:p>
    <w:p>
      <w:pPr>
        <w:spacing w:after="0" w:line="183" w:lineRule="exact"/>
        <w:rPr>
          <w:rFonts w:ascii="Arial" w:cs="Arial" w:eastAsia="Arial" w:hAnsi="Arial"/>
          <w:sz w:val="18"/>
          <w:szCs w:val="18"/>
          <w:color w:val="auto"/>
        </w:rPr>
      </w:pPr>
    </w:p>
    <w:p>
      <w:pPr>
        <w:jc w:val="both"/>
        <w:ind w:left="2040" w:hanging="501"/>
        <w:spacing w:after="0" w:line="238" w:lineRule="auto"/>
        <w:tabs>
          <w:tab w:leader="none" w:pos="212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Ship Aggregate Commitments for Ship F shall be reduced by $2,500,000 (or by such lower amount as would reduce such Ship Aggregate Commitments for Ship F to zero), such reduction shall be allocated and applied as between the Revolving Loan Ship Commitment and the Term Loan Ship Commitment in a manner requested by the Borrowers, the Total Commitments shall be reduced accordingly and the Commitments reduced pro rata; and</w:t>
      </w:r>
    </w:p>
    <w:p>
      <w:pPr>
        <w:spacing w:after="0" w:line="191" w:lineRule="exact"/>
        <w:rPr>
          <w:rFonts w:ascii="Arial" w:cs="Arial" w:eastAsia="Arial" w:hAnsi="Arial"/>
          <w:sz w:val="18"/>
          <w:szCs w:val="18"/>
          <w:color w:val="auto"/>
        </w:rPr>
      </w:pPr>
    </w:p>
    <w:p>
      <w:pPr>
        <w:jc w:val="both"/>
        <w:ind w:left="2040" w:hanging="501"/>
        <w:spacing w:after="0" w:line="238" w:lineRule="auto"/>
        <w:tabs>
          <w:tab w:leader="none" w:pos="2093"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Borrowers shall prepay (1) such amount of the Term Loan relevant to Ship F as is equal to the reduction of the Term Loan Ship Commitment for Ship F made under paragraph (A) above and (2) such amount of the Revolving Loans relevant to Ship F as may be necessary to ensure that the outstanding Revolving Loans under the Revolving Loan Ship Tranche of Ship F after the reduction made under paragraph (A) above will not exceed the then available amount of the Revolving Loan Ship Commitment for Ship F (as so reduced by paragraph (A) above).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7.7</w:t>
        <w:tab/>
        <w:t>Automatic cancellation</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part of the Total Commitments relating to a Facility which has not become available by, or which is undrawn on, the Last Availability Date applicable to it shall be automatically cancelled at close of business in London on the Last Availability Date applicable to it.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Restrictions</w:t>
      </w:r>
    </w:p>
    <w:p>
      <w:pPr>
        <w:spacing w:after="0" w:line="220" w:lineRule="exact"/>
        <w:rPr>
          <w:sz w:val="20"/>
          <w:szCs w:val="20"/>
          <w:color w:val="auto"/>
        </w:rPr>
      </w:pPr>
    </w:p>
    <w:p>
      <w:pPr>
        <w:jc w:val="both"/>
        <w:ind w:left="1020" w:hanging="512"/>
        <w:spacing w:after="0" w:line="238" w:lineRule="auto"/>
        <w:tabs>
          <w:tab w:leader="none" w:pos="11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 and, in the case of a cancellation or prepayment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the relevant Facility, Loan, Term Loan Ship Commitment or Revolving Loan Ship Commitment to be cancelled or prepaid (as the case may be).</w:t>
      </w:r>
    </w:p>
    <w:p>
      <w:pPr>
        <w:spacing w:after="0" w:line="188" w:lineRule="exact"/>
        <w:rPr>
          <w:rFonts w:ascii="Arial" w:cs="Arial" w:eastAsia="Arial" w:hAnsi="Arial"/>
          <w:sz w:val="18"/>
          <w:szCs w:val="18"/>
          <w:color w:val="auto"/>
        </w:rPr>
      </w:pPr>
    </w:p>
    <w:p>
      <w:pPr>
        <w:ind w:left="1020" w:hanging="512"/>
        <w:spacing w:after="0" w:line="246" w:lineRule="auto"/>
        <w:tabs>
          <w:tab w:leader="none" w:pos="10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2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Revolving Loan Facility which is drawn under a Revolving Loan Ship Commitment for a Ship and is prepaid or repaid may be re-borrowed under the same Revolving Loan Ship Commitment in accordance with the terms of this Agreement. The Borrowers may not re-borrow any part of the Term Loan Facility which is prepaid or repaid.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1020" w:hanging="512"/>
        <w:spacing w:after="0" w:line="246" w:lineRule="auto"/>
        <w:tabs>
          <w:tab w:leader="none" w:pos="10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Loans or cancel all or any part of the Commitments except at the times and in the manner expressly provided for in this Agreement.</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0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Borrowers or the affected Lender, as appropriate.</w:t>
      </w:r>
    </w:p>
    <w:p>
      <w:pPr>
        <w:spacing w:after="0" w:line="165" w:lineRule="exact"/>
        <w:rPr>
          <w:rFonts w:ascii="Arial" w:cs="Arial" w:eastAsia="Arial" w:hAnsi="Arial"/>
          <w:sz w:val="18"/>
          <w:szCs w:val="18"/>
          <w:color w:val="auto"/>
        </w:rPr>
      </w:pPr>
    </w:p>
    <w:p>
      <w:pPr>
        <w:jc w:val="both"/>
        <w:ind w:left="1020" w:hanging="512"/>
        <w:spacing w:after="0" w:line="242" w:lineRule="auto"/>
        <w:tabs>
          <w:tab w:leader="none" w:pos="1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Total Commitments are partially reduced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7.5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cancellation and prepayment in relation to a single Lender/Right of cancellation in relation to a Defaulting Lender</w:t>
      </w:r>
      <w:r>
        <w:rPr>
          <w:rFonts w:ascii="Arial" w:cs="Arial" w:eastAsia="Arial" w:hAnsi="Arial"/>
          <w:sz w:val="18"/>
          <w:szCs w:val="18"/>
          <w:color w:val="auto"/>
        </w:rPr>
        <w:t>) and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in respect of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the Commitments of all the Lenders under both Facilities shall be reduced pro rata (except where otherwise expressly specified in this Agreement).</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all cases where the Total Commitments are partially reduced under this Agreement (other than in relation to a cancellation of all of the Term Loan Ship Commitment for a Ship and/or all of the Revolving Loan Ship Commitment for a Ship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or where the Borrowers have so selected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except where otherwise expressly specified in this Agreement (including in clause 7.6(b) (</w:t>
      </w:r>
      <w:r>
        <w:rPr>
          <w:rFonts w:ascii="Arial" w:cs="Arial" w:eastAsia="Arial" w:hAnsi="Arial"/>
          <w:sz w:val="18"/>
          <w:szCs w:val="18"/>
          <w:i w:val="1"/>
          <w:iCs w:val="1"/>
          <w:color w:val="auto"/>
        </w:rPr>
        <w:t>Sale or Total Loss</w:t>
      </w:r>
      <w:r>
        <w:rPr>
          <w:rFonts w:ascii="Arial" w:cs="Arial" w:eastAsia="Arial" w:hAnsi="Arial"/>
          <w:sz w:val="18"/>
          <w:szCs w:val="18"/>
          <w:color w:val="auto"/>
        </w:rPr>
        <w:t>)), the remaining Term Loan Ship Commitments and the remaining Revolving Loan Ship Commitments for all Ships shall be reduced pro rata.</w:t>
      </w:r>
    </w:p>
    <w:p>
      <w:pPr>
        <w:spacing w:after="0" w:line="170" w:lineRule="exact"/>
        <w:rPr>
          <w:rFonts w:ascii="Arial" w:cs="Arial" w:eastAsia="Arial" w:hAnsi="Arial"/>
          <w:sz w:val="18"/>
          <w:szCs w:val="18"/>
          <w:color w:val="auto"/>
        </w:rPr>
      </w:pPr>
    </w:p>
    <w:p>
      <w:pPr>
        <w:jc w:val="both"/>
        <w:ind w:left="1020" w:hanging="512"/>
        <w:spacing w:after="0" w:line="242" w:lineRule="auto"/>
        <w:tabs>
          <w:tab w:leader="none" w:pos="112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Term Loans are partially prepaid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7.5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cancellation and prepayment in relation to a single Lender / right of cancellation in relation to a Defaulting Lender</w:t>
      </w:r>
      <w:r>
        <w:rPr>
          <w:rFonts w:ascii="Arial" w:cs="Arial" w:eastAsia="Arial" w:hAnsi="Arial"/>
          <w:sz w:val="18"/>
          <w:szCs w:val="18"/>
          <w:color w:val="auto"/>
        </w:rPr>
        <w:t>) and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in respect of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the amount prepaid shall reduce the participation of all the Lenders in the Term Loans rateably (except where otherwise expressly specified in this Agreement).</w:t>
      </w:r>
    </w:p>
    <w:p>
      <w:pPr>
        <w:spacing w:after="0" w:line="171" w:lineRule="exact"/>
        <w:rPr>
          <w:rFonts w:ascii="Arial" w:cs="Arial" w:eastAsia="Arial" w:hAnsi="Arial"/>
          <w:sz w:val="18"/>
          <w:szCs w:val="18"/>
          <w:color w:val="auto"/>
        </w:rPr>
      </w:pPr>
    </w:p>
    <w:p>
      <w:pPr>
        <w:jc w:val="both"/>
        <w:ind w:left="1020" w:hanging="512"/>
        <w:spacing w:after="0" w:line="242" w:lineRule="auto"/>
        <w:tabs>
          <w:tab w:leader="none" w:pos="103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Revolving Loans are partially prepaid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7.5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cancellation and prepayment in relation to a single Lender / right of cancellation in relation to a Defaulting Lender</w:t>
      </w:r>
      <w:r>
        <w:rPr>
          <w:rFonts w:ascii="Arial" w:cs="Arial" w:eastAsia="Arial" w:hAnsi="Arial"/>
          <w:sz w:val="18"/>
          <w:szCs w:val="18"/>
          <w:color w:val="auto"/>
        </w:rPr>
        <w:t>) and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in respect of a</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the amount prepaid shall reduce the participation of all the Lenders in the Revolving Loans rateably (except where otherwise expressly specified in this Agreement).</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prepayment of the Term Loans for the account of all the Lenders shall be applied pro rata to each Lender’s participation in the Term Loans (other than a prepayment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or clause 7.2(a)(iii) (</w:t>
      </w:r>
      <w:r>
        <w:rPr>
          <w:rFonts w:ascii="Arial" w:cs="Arial" w:eastAsia="Arial" w:hAnsi="Arial"/>
          <w:sz w:val="18"/>
          <w:szCs w:val="18"/>
          <w:i w:val="1"/>
          <w:iCs w:val="1"/>
          <w:color w:val="auto"/>
        </w:rPr>
        <w:t>Change of Control; de-listing</w:t>
      </w:r>
      <w:r>
        <w:rPr>
          <w:rFonts w:ascii="Arial" w:cs="Arial" w:eastAsia="Arial" w:hAnsi="Arial"/>
          <w:sz w:val="18"/>
          <w:szCs w:val="18"/>
          <w:color w:val="auto"/>
        </w:rPr>
        <w:t>) in respect of a Borrower, where the Borrowers have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w:t>
      </w:r>
      <w:r>
        <w:rPr>
          <w:rFonts w:ascii="Arial" w:cs="Arial" w:eastAsia="Arial" w:hAnsi="Arial"/>
          <w:sz w:val="18"/>
          <w:szCs w:val="18"/>
          <w:i w:val="1"/>
          <w:iCs w:val="1"/>
          <w:color w:val="auto"/>
        </w:rPr>
        <w:t xml:space="preserve"> </w:t>
      </w:r>
      <w:r>
        <w:rPr>
          <w:rFonts w:ascii="Arial" w:cs="Arial" w:eastAsia="Arial" w:hAnsi="Arial"/>
          <w:sz w:val="18"/>
          <w:szCs w:val="18"/>
          <w:color w:val="auto"/>
        </w:rPr>
        <w:t>prepayment will be applied to the Term Loan in relation to the relevant Ship only).</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2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prepayment of the Revolving Loans for the account of all the Lenders shall be applied pro rata to each Lender’s participation in the Revolving Loans (other than a prepayment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or clause 7.2(a)(iii) (</w:t>
      </w:r>
      <w:r>
        <w:rPr>
          <w:rFonts w:ascii="Arial" w:cs="Arial" w:eastAsia="Arial" w:hAnsi="Arial"/>
          <w:sz w:val="18"/>
          <w:szCs w:val="18"/>
          <w:i w:val="1"/>
          <w:iCs w:val="1"/>
          <w:color w:val="auto"/>
        </w:rPr>
        <w:t>Change</w:t>
      </w:r>
      <w:r>
        <w:rPr>
          <w:rFonts w:ascii="Arial" w:cs="Arial" w:eastAsia="Arial" w:hAnsi="Arial"/>
          <w:sz w:val="18"/>
          <w:szCs w:val="18"/>
          <w:color w:val="auto"/>
        </w:rPr>
        <w:t xml:space="preserve"> </w:t>
      </w:r>
      <w:r>
        <w:rPr>
          <w:rFonts w:ascii="Arial" w:cs="Arial" w:eastAsia="Arial" w:hAnsi="Arial"/>
          <w:sz w:val="18"/>
          <w:szCs w:val="18"/>
          <w:i w:val="1"/>
          <w:iCs w:val="1"/>
          <w:color w:val="auto"/>
        </w:rPr>
        <w:t>of Control; de-listing</w:t>
      </w:r>
      <w:r>
        <w:rPr>
          <w:rFonts w:ascii="Arial" w:cs="Arial" w:eastAsia="Arial" w:hAnsi="Arial"/>
          <w:sz w:val="18"/>
          <w:szCs w:val="18"/>
          <w:color w:val="auto"/>
        </w:rPr>
        <w:t>) or where the Borrowers have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w:t>
      </w:r>
      <w:r>
        <w:rPr>
          <w:rFonts w:ascii="Arial" w:cs="Arial" w:eastAsia="Arial" w:hAnsi="Arial"/>
          <w:sz w:val="18"/>
          <w:szCs w:val="18"/>
          <w:i w:val="1"/>
          <w:iCs w:val="1"/>
          <w:color w:val="auto"/>
        </w:rPr>
        <w:t xml:space="preserve"> </w:t>
      </w:r>
      <w:r>
        <w:rPr>
          <w:rFonts w:ascii="Arial" w:cs="Arial" w:eastAsia="Arial" w:hAnsi="Arial"/>
          <w:sz w:val="18"/>
          <w:szCs w:val="18"/>
          <w:color w:val="auto"/>
        </w:rPr>
        <w:t>prepayment will be applied to the Revolving Loans in relation to the relevant Ship only).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7.9</w:t>
        <w:tab/>
        <w:t>Mandatory prepayment and cancellation following non-compliance with Sanctions</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If the Borrowers or any Obligor is at any time not in compliance with the provisions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or at any time when a representation made or repeated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is not true, correct or accurate, then, without prejudice to any other rights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520" w:right="20"/>
        <w:spacing w:after="0" w:line="246" w:lineRule="auto"/>
        <w:rPr>
          <w:sz w:val="20"/>
          <w:szCs w:val="20"/>
          <w:color w:val="auto"/>
        </w:rPr>
      </w:pPr>
      <w:r>
        <w:rPr>
          <w:rFonts w:ascii="Arial" w:cs="Arial" w:eastAsia="Arial" w:hAnsi="Arial"/>
          <w:sz w:val="18"/>
          <w:szCs w:val="18"/>
          <w:color w:val="auto"/>
        </w:rPr>
        <w:t>Finance Parties under this Agreement and the other Finance Documents, following instructions to this effect by a Lender to the Agent, by notice of the Agent to the Borrowers (with a copy to the other Lenders):</w:t>
      </w:r>
    </w:p>
    <w:p>
      <w:pPr>
        <w:spacing w:after="0" w:line="183" w:lineRule="exact"/>
        <w:rPr>
          <w:sz w:val="20"/>
          <w:szCs w:val="20"/>
          <w:color w:val="auto"/>
        </w:rPr>
      </w:pPr>
    </w:p>
    <w:p>
      <w:pPr>
        <w:ind w:left="1020" w:right="20" w:hanging="512"/>
        <w:spacing w:after="0" w:line="246" w:lineRule="auto"/>
        <w:tabs>
          <w:tab w:leader="none" w:pos="131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Commitments of that Lender will be immediately cancelled and the Total Commitments and the Ship Aggregate Commitments shall be reduced accordingly; and</w:t>
      </w:r>
    </w:p>
    <w:p>
      <w:pPr>
        <w:spacing w:after="0" w:line="183" w:lineRule="exact"/>
        <w:rPr>
          <w:rFonts w:ascii="Arial" w:cs="Arial" w:eastAsia="Arial" w:hAnsi="Arial"/>
          <w:sz w:val="18"/>
          <w:szCs w:val="18"/>
          <w:color w:val="auto"/>
        </w:rPr>
      </w:pPr>
    </w:p>
    <w:p>
      <w:pPr>
        <w:jc w:val="both"/>
        <w:ind w:left="1020" w:hanging="512"/>
        <w:spacing w:after="0"/>
        <w:tabs>
          <w:tab w:leader="none" w:pos="10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Loans on the earlier of (i) the date falling 10 Business Days after the Agent notifies the Borrowers of such non-compliance and (ii) the date falling 10 Business Days after the Borrowers become aware of such non-compliance and (iii) the last day of the Interest Period falling after the said non-compliance has occurred.</w:t>
      </w:r>
    </w:p>
    <w:p>
      <w:pPr>
        <w:spacing w:after="0" w:line="157" w:lineRule="exact"/>
        <w:rPr>
          <w:sz w:val="20"/>
          <w:szCs w:val="20"/>
          <w:color w:val="auto"/>
        </w:rPr>
      </w:pPr>
    </w:p>
    <w:p>
      <w:pPr>
        <w:ind w:left="540" w:hanging="430"/>
        <w:spacing w:after="0"/>
        <w:tabs>
          <w:tab w:leader="none" w:pos="54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Interest</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8.1</w:t>
        <w:tab/>
        <w:t>Calculation of interest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rate of interest on each Loan for its Interest Period is the percentage rate per annum which is the aggregate of the applicable:</w:t>
      </w:r>
    </w:p>
    <w:p>
      <w:pPr>
        <w:spacing w:after="0" w:line="198" w:lineRule="exact"/>
        <w:rPr>
          <w:sz w:val="20"/>
          <w:szCs w:val="20"/>
          <w:color w:val="auto"/>
        </w:rPr>
      </w:pPr>
    </w:p>
    <w:p>
      <w:pPr>
        <w:ind w:left="1080" w:hanging="57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98" w:lineRule="exact"/>
        <w:rPr>
          <w:rFonts w:ascii="Arial" w:cs="Arial" w:eastAsia="Arial" w:hAnsi="Arial"/>
          <w:sz w:val="18"/>
          <w:szCs w:val="18"/>
          <w:color w:val="auto"/>
        </w:rPr>
      </w:pPr>
    </w:p>
    <w:p>
      <w:pPr>
        <w:ind w:left="1080" w:hanging="57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LIBOR.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8.2</w:t>
        <w:tab/>
        <w:t>Payment of interest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pay accrued interest on each Loan on the last day of each Interest Period for that Loan.</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8.3</w:t>
        <w:tab/>
        <w:t>Default interest</w:t>
      </w:r>
    </w:p>
    <w:p>
      <w:pPr>
        <w:spacing w:after="0" w:line="220" w:lineRule="exact"/>
        <w:rPr>
          <w:sz w:val="20"/>
          <w:szCs w:val="20"/>
          <w:color w:val="auto"/>
        </w:rPr>
      </w:pPr>
    </w:p>
    <w:p>
      <w:pPr>
        <w:jc w:val="both"/>
        <w:ind w:left="1020" w:hanging="512"/>
        <w:spacing w:after="0" w:line="237" w:lineRule="auto"/>
        <w:tabs>
          <w:tab w:leader="none" w:pos="113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 Loan for successive Interest Periods, each of a duration selected by the Agent (acting reasonably). Any interest accruing under this clause 8.3 shall be immediately payable by the Obligors on demand by the Agent.</w:t>
      </w:r>
    </w:p>
    <w:p>
      <w:pPr>
        <w:spacing w:after="0" w:line="191" w:lineRule="exact"/>
        <w:rPr>
          <w:rFonts w:ascii="Arial" w:cs="Arial" w:eastAsia="Arial" w:hAnsi="Arial"/>
          <w:sz w:val="18"/>
          <w:szCs w:val="18"/>
          <w:color w:val="auto"/>
        </w:rPr>
      </w:pPr>
    </w:p>
    <w:p>
      <w:pPr>
        <w:ind w:left="1020" w:hanging="512"/>
        <w:spacing w:after="0" w:line="246" w:lineRule="auto"/>
        <w:tabs>
          <w:tab w:leader="none" w:pos="109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 or the relevant part of it:</w:t>
      </w:r>
    </w:p>
    <w:p>
      <w:pPr>
        <w:spacing w:after="0" w:line="183" w:lineRule="exact"/>
        <w:rPr>
          <w:rFonts w:ascii="Arial" w:cs="Arial" w:eastAsia="Arial" w:hAnsi="Arial"/>
          <w:sz w:val="18"/>
          <w:szCs w:val="18"/>
          <w:color w:val="auto"/>
        </w:rPr>
      </w:pPr>
    </w:p>
    <w:p>
      <w:pPr>
        <w:ind w:left="1540" w:hanging="511"/>
        <w:spacing w:after="0" w:line="246" w:lineRule="auto"/>
        <w:tabs>
          <w:tab w:leader="none" w:pos="15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57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8.4</w:t>
        <w:tab/>
        <w:t>Notification of rates of interest</w:t>
      </w:r>
    </w:p>
    <w:p>
      <w:pPr>
        <w:spacing w:after="0" w:line="220" w:lineRule="exact"/>
        <w:rPr>
          <w:sz w:val="20"/>
          <w:szCs w:val="20"/>
          <w:color w:val="auto"/>
        </w:rPr>
      </w:pPr>
    </w:p>
    <w:p>
      <w:pPr>
        <w:ind w:left="5520" w:right="220" w:hanging="5012"/>
        <w:spacing w:after="0" w:line="481" w:lineRule="auto"/>
        <w:tabs>
          <w:tab w:leader="none" w:pos="102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Agent shall promptly notify the Lenders and the Borrowers of the determination of a rate of interest under this Agreement.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020" w:hanging="512"/>
        <w:spacing w:after="0"/>
        <w:tabs>
          <w:tab w:leader="none" w:pos="10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Agent shall notify the Borrowers of each Funding Rate relating to the Loan (or any relevant part of it) or Unpaid Sum.</w:t>
      </w:r>
    </w:p>
    <w:p>
      <w:pPr>
        <w:spacing w:after="0" w:line="166" w:lineRule="exact"/>
        <w:rPr>
          <w:sz w:val="20"/>
          <w:szCs w:val="20"/>
          <w:color w:val="auto"/>
        </w:rPr>
      </w:pPr>
    </w:p>
    <w:p>
      <w:pPr>
        <w:ind w:left="540" w:hanging="430"/>
        <w:spacing w:after="0"/>
        <w:tabs>
          <w:tab w:leader="none" w:pos="54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Interest Periods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9.1</w:t>
        <w:tab/>
        <w:t>Selection of Interest Periods</w:t>
      </w:r>
    </w:p>
    <w:p>
      <w:pPr>
        <w:spacing w:after="0" w:line="220" w:lineRule="exact"/>
        <w:rPr>
          <w:sz w:val="20"/>
          <w:szCs w:val="20"/>
          <w:color w:val="auto"/>
        </w:rPr>
      </w:pPr>
    </w:p>
    <w:p>
      <w:pPr>
        <w:jc w:val="both"/>
        <w:ind w:left="1020" w:hanging="512"/>
        <w:spacing w:after="0"/>
        <w:tabs>
          <w:tab w:leader="none" w:pos="10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Borrowers may select an Interest Period for a Loan in the Utilisation Request for that Loan or (in relation to a Term Loan, if such Term Loan has already been borrowed) in a Selection Notice. In any event, the first Interest Period for each Term Loan shall be six (6) months and each subsequent Interest Period for such Term Loan shall be three (3) months.</w:t>
      </w:r>
    </w:p>
    <w:p>
      <w:pPr>
        <w:spacing w:after="0" w:line="184" w:lineRule="exact"/>
        <w:rPr>
          <w:rFonts w:ascii="Arial" w:cs="Arial" w:eastAsia="Arial" w:hAnsi="Arial"/>
          <w:sz w:val="18"/>
          <w:szCs w:val="18"/>
          <w:color w:val="auto"/>
        </w:rPr>
      </w:pPr>
    </w:p>
    <w:p>
      <w:pPr>
        <w:ind w:left="1180" w:hanging="672"/>
        <w:spacing w:after="0"/>
        <w:tabs>
          <w:tab w:leader="none" w:pos="1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Selection Notice is irrevocable and must be delivered to the Agent by the Borrowers not later than 11:00 a.m. three</w:t>
      </w:r>
    </w:p>
    <w:p>
      <w:pPr>
        <w:ind w:left="1300" w:hanging="271"/>
        <w:spacing w:after="0"/>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Business Days before the last day of the then current Interest Period.</w:t>
      </w:r>
    </w:p>
    <w:p>
      <w:pPr>
        <w:spacing w:after="0" w:line="198" w:lineRule="exact"/>
        <w:rPr>
          <w:rFonts w:ascii="Arial" w:cs="Arial" w:eastAsia="Arial" w:hAnsi="Arial"/>
          <w:sz w:val="18"/>
          <w:szCs w:val="18"/>
          <w:color w:val="auto"/>
        </w:rPr>
      </w:pPr>
    </w:p>
    <w:p>
      <w:pPr>
        <w:jc w:val="both"/>
        <w:ind w:left="1020" w:hanging="512"/>
        <w:spacing w:after="0"/>
        <w:tabs>
          <w:tab w:leader="none" w:pos="10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Borrowers fail to deliver a Selection Notice to the Agent in accordance with clause 9.1(b), the relevant Interest Period will, subject to clause 9.2 (</w:t>
      </w:r>
      <w:r>
        <w:rPr>
          <w:rFonts w:ascii="Arial" w:cs="Arial" w:eastAsia="Arial" w:hAnsi="Arial"/>
          <w:sz w:val="18"/>
          <w:szCs w:val="18"/>
          <w:i w:val="1"/>
          <w:iCs w:val="1"/>
          <w:color w:val="auto"/>
        </w:rPr>
        <w:t>Interest Periods overrunning Repayment Dates</w:t>
      </w:r>
      <w:r>
        <w:rPr>
          <w:rFonts w:ascii="Arial" w:cs="Arial" w:eastAsia="Arial" w:hAnsi="Arial"/>
          <w:sz w:val="18"/>
          <w:szCs w:val="18"/>
          <w:color w:val="auto"/>
        </w:rPr>
        <w:t>), be three (3) months and, in the case of the first Interest Period of each Term Loan only, six (6) months.</w:t>
      </w:r>
    </w:p>
    <w:p>
      <w:pPr>
        <w:spacing w:after="0" w:line="184" w:lineRule="exact"/>
        <w:rPr>
          <w:rFonts w:ascii="Arial" w:cs="Arial" w:eastAsia="Arial" w:hAnsi="Arial"/>
          <w:sz w:val="18"/>
          <w:szCs w:val="18"/>
          <w:color w:val="auto"/>
        </w:rPr>
      </w:pPr>
    </w:p>
    <w:p>
      <w:pPr>
        <w:ind w:left="1020" w:hanging="512"/>
        <w:spacing w:after="0"/>
        <w:tabs>
          <w:tab w:leader="none" w:pos="10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this clause 9, the Borrowers may select an Interest Period of three (3) months or any other period not exceeding three</w:t>
      </w:r>
    </w:p>
    <w:p>
      <w:pPr>
        <w:ind w:left="1300" w:hanging="271"/>
        <w:spacing w:after="0"/>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months agreed between the Borrowers and the Agent on the instructions of all the Lenders.</w:t>
      </w:r>
    </w:p>
    <w:p>
      <w:pPr>
        <w:spacing w:after="0" w:line="198" w:lineRule="exact"/>
        <w:rPr>
          <w:rFonts w:ascii="Arial" w:cs="Arial" w:eastAsia="Arial" w:hAnsi="Arial"/>
          <w:sz w:val="18"/>
          <w:szCs w:val="18"/>
          <w:color w:val="auto"/>
        </w:rPr>
      </w:pPr>
    </w:p>
    <w:p>
      <w:pPr>
        <w:ind w:left="1020" w:hanging="512"/>
        <w:spacing w:after="0" w:line="246" w:lineRule="auto"/>
        <w:tabs>
          <w:tab w:leader="none" w:pos="110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Interest Period in respect of a Term Loan shall extend beyond the Final Repayment Date for that Term Loan. No Interest Period for any Loan shall extend beyond the Final Maturity Date.</w:t>
      </w:r>
    </w:p>
    <w:p>
      <w:pPr>
        <w:spacing w:after="0" w:line="183" w:lineRule="exact"/>
        <w:rPr>
          <w:rFonts w:ascii="Arial" w:cs="Arial" w:eastAsia="Arial" w:hAnsi="Arial"/>
          <w:sz w:val="18"/>
          <w:szCs w:val="18"/>
          <w:color w:val="auto"/>
        </w:rPr>
      </w:pPr>
    </w:p>
    <w:p>
      <w:pPr>
        <w:ind w:left="1020" w:hanging="512"/>
        <w:spacing w:after="0" w:line="246" w:lineRule="auto"/>
        <w:tabs>
          <w:tab w:leader="none" w:pos="10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first Interest Period for a Term Loan shall start on the Utilisation Date of such Term Loan and each subsequent Interest Period for such Term Loan shall start on the last day of its preceding Interest Period.</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Interest Period for a Revolving Loan shall start on its Utilisation Date. A Revolving Loan has one Interest Period only.</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Interest Periods overrunning Repayment Dates</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Borrowers select an Interest Period in respect of a Term Loan which would overrun any later Repayment Date for that Term Loan, the relevant Term Loan shall be divided into parts corresponding to the amounts by which the Total Term Loan Commitments for that Term Loan are scheduled to be reduced under clause 6.2 (</w:t>
      </w:r>
      <w:r>
        <w:rPr>
          <w:rFonts w:ascii="Arial" w:cs="Arial" w:eastAsia="Arial" w:hAnsi="Arial"/>
          <w:sz w:val="18"/>
          <w:szCs w:val="18"/>
          <w:i w:val="1"/>
          <w:iCs w:val="1"/>
          <w:color w:val="auto"/>
        </w:rPr>
        <w:t>Scheduled repayment of Term Loans</w:t>
      </w:r>
      <w:r>
        <w:rPr>
          <w:rFonts w:ascii="Arial" w:cs="Arial" w:eastAsia="Arial" w:hAnsi="Arial"/>
          <w:sz w:val="18"/>
          <w:szCs w:val="18"/>
          <w:color w:val="auto"/>
        </w:rPr>
        <w:t>) on each of the Repayment Dates for that Term Loan falling during such Interest Period (each of which shall have a separate Interest Period ending on the relevant Repayment Date for that Term Loan) and to the balance of that Term Loan (which shall have the Interest Period selected by the Borrowers).</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9.3</w:t>
        <w:tab/>
        <w:t>Non-Business Days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52"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1"/>
          <w:szCs w:val="21"/>
          <w:b w:val="1"/>
          <w:bCs w:val="1"/>
          <w:color w:val="auto"/>
        </w:rPr>
        <w:t>Changes to the calculation of interest</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Unavailability of Screen Rate</w:t>
      </w:r>
    </w:p>
    <w:p>
      <w:pPr>
        <w:spacing w:after="0" w:line="220" w:lineRule="exact"/>
        <w:rPr>
          <w:sz w:val="20"/>
          <w:szCs w:val="20"/>
          <w:color w:val="auto"/>
        </w:rPr>
      </w:pPr>
    </w:p>
    <w:p>
      <w:pPr>
        <w:ind w:left="1020" w:hanging="512"/>
        <w:spacing w:after="0" w:line="246" w:lineRule="auto"/>
        <w:tabs>
          <w:tab w:leader="none" w:pos="10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of a Loan, LIBOR for that Interest Period of that Loan shall be the Interpolated Screen Rate for a period equal in length to that Interest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left="1020" w:hanging="512"/>
        <w:spacing w:after="0"/>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no Screen Rate is available for LIBOR for: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dollars; or</w:t>
      </w:r>
    </w:p>
    <w:p>
      <w:pPr>
        <w:spacing w:after="0" w:line="198" w:lineRule="exact"/>
        <w:rPr>
          <w:rFonts w:ascii="Arial" w:cs="Arial" w:eastAsia="Arial" w:hAnsi="Arial"/>
          <w:sz w:val="18"/>
          <w:szCs w:val="18"/>
          <w:color w:val="auto"/>
        </w:rPr>
      </w:pPr>
    </w:p>
    <w:p>
      <w:pPr>
        <w:ind w:left="520" w:right="1640" w:firstLine="509"/>
        <w:spacing w:after="0" w:line="483" w:lineRule="auto"/>
        <w:tabs>
          <w:tab w:leader="none" w:pos="153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relevant Interest Period of a Loan and it is not possible to calculate the Interpolated Screen Rate, there shall be no LIBOR for that Interest Period and clause 10.3 (</w:t>
      </w:r>
      <w:r>
        <w:rPr>
          <w:rFonts w:ascii="Arial" w:cs="Arial" w:eastAsia="Arial" w:hAnsi="Arial"/>
          <w:sz w:val="17"/>
          <w:szCs w:val="17"/>
          <w:i w:val="1"/>
          <w:iCs w:val="1"/>
          <w:color w:val="auto"/>
        </w:rPr>
        <w:t>Cost of funds</w:t>
      </w:r>
      <w:r>
        <w:rPr>
          <w:rFonts w:ascii="Arial" w:cs="Arial" w:eastAsia="Arial" w:hAnsi="Arial"/>
          <w:sz w:val="17"/>
          <w:szCs w:val="17"/>
          <w:color w:val="auto"/>
        </w:rPr>
        <w:t>) shall apply for that Interest Period.</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Market disruption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before close of business in London on the Quotation Day for an Interest Period of a Loan the Agent receives notification from a Lender or Lenders (whose participations in all the Loans exceed 50% of all Loans or, if prior to the first Utilisation, whose Commitments exceed 50% of the Total Commitments), that the cost to it or them of funding its participation in that Loan (or relevant part of it) from whatever source it may reasonably select, would be in excess of LIBOR,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the relevant Interest Period.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Cost of funds</w:t>
      </w:r>
    </w:p>
    <w:p>
      <w:pPr>
        <w:spacing w:after="0" w:line="220" w:lineRule="exact"/>
        <w:rPr>
          <w:sz w:val="20"/>
          <w:szCs w:val="20"/>
          <w:color w:val="auto"/>
        </w:rPr>
      </w:pPr>
    </w:p>
    <w:p>
      <w:pPr>
        <w:ind w:left="1020" w:hanging="512"/>
        <w:spacing w:after="0" w:line="246" w:lineRule="auto"/>
        <w:tabs>
          <w:tab w:leader="none" w:pos="10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relevant Loan (or relevant part of it) for the Interest Period shall be the percentage rate per annum which is the sum of:</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61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rate notified to the Agent by that Lender as soon as practicable and in any event by close of business on the date falling ten (10) Business Days after the Quotation Day (or, if earlier, on the date falling ten (10) Business Days before the date on which interest is due to be paid in respect of that Interest Period), to be that which expresses as a percentage rate per annum the cost which the relevant Lender would have in order to fund an amount equal to its participation in the Loans (or relevant part of it) from whatever source it may reasonably select.</w:t>
      </w:r>
    </w:p>
    <w:p>
      <w:pPr>
        <w:spacing w:after="0" w:line="188" w:lineRule="exact"/>
        <w:rPr>
          <w:rFonts w:ascii="Arial" w:cs="Arial" w:eastAsia="Arial" w:hAnsi="Arial"/>
          <w:sz w:val="18"/>
          <w:szCs w:val="18"/>
          <w:color w:val="auto"/>
        </w:rPr>
      </w:pPr>
    </w:p>
    <w:p>
      <w:pPr>
        <w:ind w:left="1020" w:right="20" w:hanging="512"/>
        <w:spacing w:after="0" w:line="246" w:lineRule="auto"/>
        <w:tabs>
          <w:tab w:leader="none" w:pos="10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this clause 10.3 applies and the Agent or the Borrowers so require, the Agent and the Borrowers shall enter into negotiations (for a period of not more than thirty days) with a view to agreeing a substitute basis for determining the rate of interest.</w:t>
      </w:r>
    </w:p>
    <w:p>
      <w:pPr>
        <w:spacing w:after="0" w:line="165" w:lineRule="exact"/>
        <w:rPr>
          <w:rFonts w:ascii="Arial" w:cs="Arial" w:eastAsia="Arial" w:hAnsi="Arial"/>
          <w:sz w:val="18"/>
          <w:szCs w:val="18"/>
          <w:color w:val="auto"/>
        </w:rPr>
      </w:pPr>
    </w:p>
    <w:p>
      <w:pPr>
        <w:ind w:left="1220" w:hanging="712"/>
        <w:spacing w:after="0"/>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Subject to clause 41.8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 any substitute or alternative basis agreed pursuant to paragraph</w:t>
      </w:r>
    </w:p>
    <w:p>
      <w:pPr>
        <w:spacing w:after="0" w:line="1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(b) above shall, with the prior consent of all the Lenders and the Borrowers, be binding on all Parties.</w:t>
      </w:r>
    </w:p>
    <w:p>
      <w:pPr>
        <w:spacing w:after="0" w:line="180" w:lineRule="exact"/>
        <w:rPr>
          <w:rFonts w:ascii="Arial" w:cs="Arial" w:eastAsia="Arial" w:hAnsi="Arial"/>
          <w:sz w:val="18"/>
          <w:szCs w:val="18"/>
          <w:color w:val="auto"/>
        </w:rPr>
      </w:pPr>
    </w:p>
    <w:p>
      <w:pPr>
        <w:ind w:left="1020" w:hanging="512"/>
        <w:spacing w:after="0"/>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16" w:lineRule="exact"/>
        <w:rPr>
          <w:rFonts w:ascii="Arial" w:cs="Arial" w:eastAsia="Arial" w:hAnsi="Arial"/>
          <w:sz w:val="18"/>
          <w:szCs w:val="18"/>
          <w:color w:val="auto"/>
        </w:rPr>
      </w:pPr>
    </w:p>
    <w:p>
      <w:pPr>
        <w:ind w:left="1540" w:hanging="511"/>
        <w:spacing w:after="0"/>
        <w:tabs>
          <w:tab w:leader="none" w:pos="15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above,</w:t>
      </w:r>
    </w:p>
    <w:p>
      <w:pPr>
        <w:spacing w:after="0" w:line="198" w:lineRule="exact"/>
        <w:rPr>
          <w:sz w:val="20"/>
          <w:szCs w:val="20"/>
          <w:color w:val="auto"/>
        </w:rPr>
      </w:pPr>
    </w:p>
    <w:p>
      <w:pPr>
        <w:ind w:left="1020" w:hanging="9"/>
        <w:spacing w:after="0" w:line="246" w:lineRule="auto"/>
        <w:rPr>
          <w:sz w:val="20"/>
          <w:szCs w:val="20"/>
          <w:color w:val="auto"/>
        </w:rPr>
      </w:pPr>
      <w:r>
        <w:rPr>
          <w:rFonts w:ascii="Arial" w:cs="Arial" w:eastAsia="Arial" w:hAnsi="Arial"/>
          <w:sz w:val="18"/>
          <w:szCs w:val="18"/>
          <w:color w:val="auto"/>
        </w:rPr>
        <w:t>the cost to that Lender of funding its participation in the relevant Loan (or relevant part of it) for that Interest Period shall be deemed, for the purposes of paragraph (a) above, to be LIBOR.</w:t>
      </w:r>
    </w:p>
    <w:p>
      <w:pPr>
        <w:spacing w:after="0" w:line="183" w:lineRule="exact"/>
        <w:rPr>
          <w:sz w:val="20"/>
          <w:szCs w:val="20"/>
          <w:color w:val="auto"/>
        </w:rPr>
      </w:pPr>
    </w:p>
    <w:p>
      <w:pPr>
        <w:ind w:left="1020" w:hanging="512"/>
        <w:spacing w:after="0"/>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distributions to the Lenders pursuant to this clause 10.3 shall be made on the basis of that Lender’s Funding Rate.</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Notification to the Borrowers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Borrowers.</w:t>
      </w:r>
    </w:p>
    <w:p>
      <w:pPr>
        <w:spacing w:after="0" w:line="2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tabs>
          <w:tab w:leader="none" w:pos="5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Break Costs</w:t>
      </w:r>
    </w:p>
    <w:p>
      <w:pPr>
        <w:spacing w:after="0" w:line="220" w:lineRule="exact"/>
        <w:rPr>
          <w:sz w:val="20"/>
          <w:szCs w:val="20"/>
          <w:color w:val="auto"/>
        </w:rPr>
      </w:pPr>
    </w:p>
    <w:p>
      <w:pPr>
        <w:jc w:val="both"/>
        <w:ind w:left="1020" w:hanging="512"/>
        <w:spacing w:after="0"/>
        <w:tabs>
          <w:tab w:leader="none" w:pos="11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Borrowers shall, within three Business Days of demand by a Finance Party, pay to that Finance Party its Break Costs attributable to all or any part of a Loan or Unpaid Sum being paid by the Borrowers on a day other than the last day of an Interest Period for that Loan or Unpaid Sum or relevant part of it.</w:t>
      </w:r>
    </w:p>
    <w:p>
      <w:pPr>
        <w:spacing w:after="0" w:line="189" w:lineRule="exact"/>
        <w:rPr>
          <w:rFonts w:ascii="Arial" w:cs="Arial" w:eastAsia="Arial" w:hAnsi="Arial"/>
          <w:sz w:val="18"/>
          <w:szCs w:val="18"/>
          <w:color w:val="auto"/>
        </w:rPr>
      </w:pPr>
    </w:p>
    <w:p>
      <w:pPr>
        <w:ind w:left="1020" w:hanging="512"/>
        <w:spacing w:after="0" w:line="246" w:lineRule="auto"/>
        <w:tabs>
          <w:tab w:leader="none" w:pos="10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52"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1"/>
          <w:szCs w:val="21"/>
          <w:b w:val="1"/>
          <w:bCs w:val="1"/>
          <w:color w:val="auto"/>
        </w:rPr>
        <w:t>Fees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Commitment commission</w:t>
      </w:r>
    </w:p>
    <w:p>
      <w:pPr>
        <w:spacing w:after="0" w:line="220" w:lineRule="exact"/>
        <w:rPr>
          <w:sz w:val="20"/>
          <w:szCs w:val="20"/>
          <w:color w:val="auto"/>
        </w:rPr>
      </w:pPr>
    </w:p>
    <w:p>
      <w:pPr>
        <w:jc w:val="both"/>
        <w:ind w:left="1020" w:hanging="512"/>
        <w:spacing w:after="0"/>
        <w:tabs>
          <w:tab w:leader="none" w:pos="103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Borrowers shall pay to the Agent a fee in dollars computed at the rate of 0.40 multiplied by the Margin, on the undrawn and uncancelled portion of that Lender’s Commitments under each Facility, calculated on a daily basis from the date of this Agreement (</w:t>
      </w:r>
      <w:r>
        <w:rPr>
          <w:rFonts w:ascii="Arial" w:cs="Arial" w:eastAsia="Arial" w:hAnsi="Arial"/>
          <w:sz w:val="18"/>
          <w:szCs w:val="18"/>
          <w:b w:val="1"/>
          <w:bCs w:val="1"/>
          <w:color w:val="auto"/>
        </w:rPr>
        <w:t>start date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Borrowers shall pay the accrued commitment fee referred to in paragraph (a) above in respect of each Facility on each 31 March, 30 June, 30 September and 31 December of each calendar year, on the Last Availability Date in respect of that Facility and, if cancelled in full, on the cancelled amount of the relevant Lender’s Commitments under the relevant Facility at the time the cancellation is effective.</w:t>
      </w:r>
    </w:p>
    <w:p>
      <w:pPr>
        <w:spacing w:after="0" w:line="191" w:lineRule="exact"/>
        <w:rPr>
          <w:rFonts w:ascii="Arial" w:cs="Arial" w:eastAsia="Arial" w:hAnsi="Arial"/>
          <w:sz w:val="18"/>
          <w:szCs w:val="18"/>
          <w:color w:val="auto"/>
        </w:rPr>
      </w:pPr>
    </w:p>
    <w:p>
      <w:pPr>
        <w:ind w:left="1020" w:hanging="512"/>
        <w:spacing w:after="0" w:line="246" w:lineRule="auto"/>
        <w:tabs>
          <w:tab w:leader="none" w:pos="10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undrawn Commitments of that Lender for any day on which that Lender is a Defaulting Lender.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Agency fee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pay to the Agent (for its own account) an agency fee in the amount and at the times agreed in a Fee Letter.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Other fees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pay any other fees set out in a Fee Letter in the amount and at the times agreed in the applicable Fee Letter.</w:t>
      </w:r>
    </w:p>
    <w:p>
      <w:pPr>
        <w:spacing w:after="0" w:line="166"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1"/>
          <w:szCs w:val="21"/>
          <w:b w:val="1"/>
          <w:bCs w:val="1"/>
          <w:color w:val="auto"/>
        </w:rPr>
        <w:t>Tax gross-up and indemnities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b w:val="1"/>
          <w:bCs w:val="1"/>
          <w:color w:val="auto"/>
        </w:rPr>
        <w:t>Definitions</w:t>
      </w:r>
    </w:p>
    <w:p>
      <w:pPr>
        <w:spacing w:after="0" w:line="198" w:lineRule="exact"/>
        <w:rPr>
          <w:sz w:val="20"/>
          <w:szCs w:val="20"/>
          <w:color w:val="auto"/>
        </w:rPr>
      </w:pPr>
    </w:p>
    <w:p>
      <w:pPr>
        <w:ind w:left="1020" w:hanging="512"/>
        <w:spacing w:after="0"/>
        <w:tabs>
          <w:tab w:leader="none" w:pos="10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this Agreement</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102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or, in relation to clause 14.4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(Indemnity concerning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clause 14.7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insofar as it relates to interest on any amount demanded by that Indemnified Person under clause 14.4 </w:t>
      </w:r>
      <w:r>
        <w:rPr>
          <w:rFonts w:ascii="Arial" w:cs="Arial" w:eastAsia="Arial" w:hAnsi="Arial"/>
          <w:sz w:val="18"/>
          <w:szCs w:val="18"/>
          <w:i w:val="1"/>
          <w:iCs w:val="1"/>
          <w:color w:val="auto"/>
        </w:rPr>
        <w:t>(Indemnity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any Indemnified Person, which is or will be subject to any liability, or required to make any payment, for or on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Tax in relation to a sum received or receivable (or any sum deemed for the purposes of Tax to be received or receivable) under a Finance Document.</w:t>
      </w:r>
    </w:p>
    <w:p>
      <w:pPr>
        <w:spacing w:after="0" w:line="16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198" w:lineRule="exact"/>
        <w:rPr>
          <w:rFonts w:ascii="Arial" w:cs="Arial" w:eastAsia="Arial" w:hAnsi="Arial"/>
          <w:sz w:val="18"/>
          <w:szCs w:val="18"/>
          <w:color w:val="auto"/>
        </w:rPr>
      </w:pPr>
    </w:p>
    <w:p>
      <w:pPr>
        <w:ind w:left="1020" w:right="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 FATCA Deduction.</w:t>
      </w:r>
    </w:p>
    <w:p>
      <w:pPr>
        <w:spacing w:after="0" w:line="140"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a 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3" w:name="page54"/>
    <w:bookmarkEnd w:id="53"/>
    <w:p>
      <w:pPr>
        <w:ind w:left="1020" w:hanging="512"/>
        <w:spacing w:after="0" w:line="271" w:lineRule="auto"/>
        <w:tabs>
          <w:tab w:leader="none" w:pos="10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 acting in good faith.</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Tax gross-up</w:t>
      </w:r>
    </w:p>
    <w:p>
      <w:pPr>
        <w:spacing w:after="0" w:line="220" w:lineRule="exact"/>
        <w:rPr>
          <w:sz w:val="20"/>
          <w:szCs w:val="20"/>
          <w:color w:val="auto"/>
        </w:rPr>
      </w:pPr>
    </w:p>
    <w:p>
      <w:pPr>
        <w:ind w:left="1020" w:hanging="512"/>
        <w:spacing w:after="0" w:line="246" w:lineRule="auto"/>
        <w:tabs>
          <w:tab w:leader="none" w:pos="10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07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Borrowers shall, promptly upon any of them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Borrowers and that Obligor.</w:t>
      </w:r>
    </w:p>
    <w:p>
      <w:pPr>
        <w:spacing w:after="0" w:line="191" w:lineRule="exact"/>
        <w:rPr>
          <w:rFonts w:ascii="Arial" w:cs="Arial" w:eastAsia="Arial" w:hAnsi="Arial"/>
          <w:sz w:val="18"/>
          <w:szCs w:val="18"/>
          <w:color w:val="auto"/>
        </w:rPr>
      </w:pPr>
    </w:p>
    <w:p>
      <w:pPr>
        <w:jc w:val="both"/>
        <w:ind w:left="1020" w:hanging="512"/>
        <w:spacing w:after="0"/>
        <w:tabs>
          <w:tab w:leader="none" w:pos="110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189" w:lineRule="exact"/>
        <w:rPr>
          <w:rFonts w:ascii="Arial" w:cs="Arial" w:eastAsia="Arial" w:hAnsi="Arial"/>
          <w:sz w:val="18"/>
          <w:szCs w:val="18"/>
          <w:color w:val="auto"/>
        </w:rPr>
      </w:pPr>
    </w:p>
    <w:p>
      <w:pPr>
        <w:ind w:left="1020" w:hanging="512"/>
        <w:spacing w:after="0" w:line="246" w:lineRule="auto"/>
        <w:tabs>
          <w:tab w:leader="none" w:pos="113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7"/>
          <w:szCs w:val="17"/>
          <w:b w:val="1"/>
          <w:bCs w:val="1"/>
          <w:color w:val="auto"/>
        </w:rPr>
        <w:t>Tax indemnity</w:t>
      </w:r>
    </w:p>
    <w:p>
      <w:pPr>
        <w:spacing w:after="0" w:line="220" w:lineRule="exact"/>
        <w:rPr>
          <w:sz w:val="20"/>
          <w:szCs w:val="20"/>
          <w:color w:val="auto"/>
        </w:rPr>
      </w:pPr>
    </w:p>
    <w:p>
      <w:pPr>
        <w:jc w:val="both"/>
        <w:ind w:left="1020" w:hanging="512"/>
        <w:spacing w:after="0"/>
        <w:tabs>
          <w:tab w:leader="none" w:pos="10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Obligor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98" w:lineRule="exact"/>
        <w:rPr>
          <w:rFonts w:ascii="Arial" w:cs="Arial" w:eastAsia="Arial" w:hAnsi="Arial"/>
          <w:sz w:val="18"/>
          <w:szCs w:val="18"/>
          <w:color w:val="auto"/>
        </w:rPr>
      </w:pPr>
    </w:p>
    <w:p>
      <w:pPr>
        <w:ind w:left="2040" w:right="20" w:hanging="501"/>
        <w:spacing w:after="0" w:line="246" w:lineRule="auto"/>
        <w:tabs>
          <w:tab w:leader="none" w:pos="2225" w:val="left"/>
        </w:tabs>
        <w:numPr>
          <w:ilvl w:val="2"/>
          <w:numId w:val="13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83" w:lineRule="exact"/>
        <w:rPr>
          <w:rFonts w:ascii="Arial" w:cs="Arial" w:eastAsia="Arial" w:hAnsi="Arial"/>
          <w:sz w:val="18"/>
          <w:szCs w:val="18"/>
          <w:color w:val="auto"/>
        </w:rPr>
      </w:pPr>
    </w:p>
    <w:p>
      <w:pPr>
        <w:ind w:left="2040" w:hanging="501"/>
        <w:spacing w:after="0" w:line="246" w:lineRule="auto"/>
        <w:tabs>
          <w:tab w:leader="none" w:pos="222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83"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165" w:lineRule="exact"/>
        <w:rPr>
          <w:sz w:val="20"/>
          <w:szCs w:val="20"/>
          <w:color w:val="auto"/>
        </w:rPr>
      </w:pPr>
    </w:p>
    <w:p>
      <w:pPr>
        <w:ind w:left="1540" w:right="20" w:hanging="511"/>
        <w:spacing w:after="0" w:line="267" w:lineRule="auto"/>
        <w:tabs>
          <w:tab w:leader="none" w:pos="15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 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1540" w:hanging="511"/>
        <w:spacing w:after="0" w:line="267" w:lineRule="auto"/>
        <w:tabs>
          <w:tab w:leader="none" w:pos="15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 payment under clause 12.4 (</w:t>
      </w:r>
      <w:r>
        <w:rPr>
          <w:rFonts w:ascii="Arial" w:cs="Arial" w:eastAsia="Arial" w:hAnsi="Arial"/>
          <w:sz w:val="18"/>
          <w:szCs w:val="18"/>
          <w:i w:val="1"/>
          <w:iCs w:val="1"/>
          <w:color w:val="auto"/>
        </w:rPr>
        <w:t>Indemnities on after Tax basis</w:t>
      </w:r>
      <w:r>
        <w:rPr>
          <w:rFonts w:ascii="Arial" w:cs="Arial" w:eastAsia="Arial" w:hAnsi="Arial"/>
          <w:sz w:val="18"/>
          <w:szCs w:val="18"/>
          <w:color w:val="auto"/>
        </w:rPr>
        <w:t>);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4" w:name="page55"/>
    <w:bookmarkEnd w:id="54"/>
    <w:p>
      <w:pPr>
        <w:ind w:left="1520" w:hanging="491"/>
        <w:spacing w:after="0"/>
        <w:tabs>
          <w:tab w:leader="none" w:pos="15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r>
        <w:rPr>
          <w:rFonts w:ascii="Arial" w:cs="Arial" w:eastAsia="Arial" w:hAnsi="Arial"/>
          <w:sz w:val="18"/>
          <w:szCs w:val="18"/>
          <w:i w:val="1"/>
          <w:iCs w:val="1"/>
          <w:color w:val="auto"/>
        </w:rPr>
        <w:t>.</w:t>
      </w:r>
    </w:p>
    <w:p>
      <w:pPr>
        <w:spacing w:after="0" w:line="216" w:lineRule="exact"/>
        <w:rPr>
          <w:rFonts w:ascii="Arial" w:cs="Arial" w:eastAsia="Arial" w:hAnsi="Arial"/>
          <w:sz w:val="18"/>
          <w:szCs w:val="18"/>
          <w:color w:val="auto"/>
        </w:rPr>
      </w:pPr>
    </w:p>
    <w:p>
      <w:pPr>
        <w:ind w:left="1020" w:hanging="512"/>
        <w:spacing w:after="0" w:line="246" w:lineRule="auto"/>
        <w:tabs>
          <w:tab w:leader="none" w:pos="103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Borrowers and the Guarantors.</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Indemnities on after Tax basis</w:t>
      </w:r>
    </w:p>
    <w:p>
      <w:pPr>
        <w:spacing w:after="0" w:line="220" w:lineRule="exact"/>
        <w:rPr>
          <w:sz w:val="20"/>
          <w:szCs w:val="20"/>
          <w:color w:val="auto"/>
        </w:rPr>
      </w:pPr>
    </w:p>
    <w:p>
      <w:pPr>
        <w:jc w:val="both"/>
        <w:ind w:left="1020" w:hanging="512"/>
        <w:spacing w:after="0" w:line="238" w:lineRule="auto"/>
        <w:tabs>
          <w:tab w:leader="none" w:pos="11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and to the extent that any sum payable to any Protected Party by the Borrowers under any Finance Document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Borrowers shall pay that Protected Party such additional sum as (after taking into account any Tax suffered by that Protected Party on such additional sum) shall be required to make up the relevant deficit.</w:t>
      </w:r>
    </w:p>
    <w:p>
      <w:pPr>
        <w:spacing w:after="0" w:line="166" w:lineRule="exact"/>
        <w:rPr>
          <w:rFonts w:ascii="Arial" w:cs="Arial" w:eastAsia="Arial" w:hAnsi="Arial"/>
          <w:sz w:val="18"/>
          <w:szCs w:val="18"/>
          <w:color w:val="auto"/>
        </w:rPr>
      </w:pPr>
    </w:p>
    <w:p>
      <w:pPr>
        <w:jc w:val="both"/>
        <w:ind w:left="1020" w:hanging="512"/>
        <w:spacing w:after="0" w:line="244" w:lineRule="auto"/>
        <w:tabs>
          <w:tab w:leader="none" w:pos="10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If and to the extent that any sum (the </w:t>
      </w:r>
      <w:r>
        <w:rPr>
          <w:rFonts w:ascii="Arial" w:cs="Arial" w:eastAsia="Arial" w:hAnsi="Arial"/>
          <w:sz w:val="18"/>
          <w:szCs w:val="18"/>
          <w:b w:val="1"/>
          <w:bCs w:val="1"/>
          <w:color w:val="auto"/>
        </w:rPr>
        <w:t>Indemnity Sum</w:t>
      </w:r>
      <w:r>
        <w:rPr>
          <w:rFonts w:ascii="Arial" w:cs="Arial" w:eastAsia="Arial" w:hAnsi="Arial"/>
          <w:sz w:val="18"/>
          <w:szCs w:val="18"/>
          <w:color w:val="auto"/>
        </w:rPr>
        <w:t xml:space="preserve">) constituting (directly or indirectly) an indemnity to any Protected Party but paid by the Borrowers to any person other than that Protected Party, shall be treated as taxable in the hands of the Protected Party, the Borrowers shall pay to that Protected Party such sum (the </w:t>
      </w:r>
      <w:r>
        <w:rPr>
          <w:rFonts w:ascii="Arial" w:cs="Arial" w:eastAsia="Arial" w:hAnsi="Arial"/>
          <w:sz w:val="18"/>
          <w:szCs w:val="18"/>
          <w:b w:val="1"/>
          <w:bCs w:val="1"/>
          <w:color w:val="auto"/>
        </w:rPr>
        <w:t>Compensating Sum</w:t>
      </w:r>
      <w:r>
        <w:rPr>
          <w:rFonts w:ascii="Arial" w:cs="Arial" w:eastAsia="Arial" w:hAnsi="Arial"/>
          <w:sz w:val="18"/>
          <w:szCs w:val="18"/>
          <w:color w:val="auto"/>
        </w:rPr>
        <w:t>) as (after taking into account any Tax suffered by that Protected Party on the Compensating Sum) shall reimburse that Protected Party for any Tax suffered by it in respect of the Indemnity Sum.</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FATCA Information</w:t>
      </w:r>
    </w:p>
    <w:p>
      <w:pPr>
        <w:spacing w:after="0" w:line="220" w:lineRule="exact"/>
        <w:rPr>
          <w:sz w:val="20"/>
          <w:szCs w:val="20"/>
          <w:color w:val="auto"/>
        </w:rPr>
      </w:pPr>
    </w:p>
    <w:p>
      <w:pPr>
        <w:ind w:left="1020" w:hanging="512"/>
        <w:spacing w:after="0"/>
        <w:tabs>
          <w:tab w:leader="none" w:pos="10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98" w:lineRule="exact"/>
        <w:rPr>
          <w:rFonts w:ascii="Arial" w:cs="Arial" w:eastAsia="Arial" w:hAnsi="Arial"/>
          <w:sz w:val="18"/>
          <w:szCs w:val="18"/>
          <w:color w:val="auto"/>
        </w:rPr>
      </w:pPr>
    </w:p>
    <w:p>
      <w:pPr>
        <w:ind w:left="2080" w:hanging="541"/>
        <w:spacing w:after="0"/>
        <w:tabs>
          <w:tab w:leader="none" w:pos="208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98" w:lineRule="exact"/>
        <w:rPr>
          <w:rFonts w:ascii="Arial" w:cs="Arial" w:eastAsia="Arial" w:hAnsi="Arial"/>
          <w:sz w:val="18"/>
          <w:szCs w:val="18"/>
          <w:color w:val="auto"/>
        </w:rPr>
      </w:pPr>
    </w:p>
    <w:p>
      <w:pPr>
        <w:ind w:left="2080" w:hanging="541"/>
        <w:spacing w:after="0"/>
        <w:tabs>
          <w:tab w:leader="none" w:pos="208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98" w:lineRule="exact"/>
        <w:rPr>
          <w:rFonts w:ascii="Arial" w:cs="Arial" w:eastAsia="Arial" w:hAnsi="Arial"/>
          <w:sz w:val="18"/>
          <w:szCs w:val="18"/>
          <w:color w:val="auto"/>
        </w:rPr>
      </w:pPr>
    </w:p>
    <w:p>
      <w:pPr>
        <w:ind w:left="1540" w:hanging="511"/>
        <w:spacing w:after="0" w:line="246" w:lineRule="auto"/>
        <w:tabs>
          <w:tab w:leader="none" w:pos="163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83" w:lineRule="exact"/>
        <w:rPr>
          <w:rFonts w:ascii="Arial" w:cs="Arial" w:eastAsia="Arial" w:hAnsi="Arial"/>
          <w:sz w:val="18"/>
          <w:szCs w:val="18"/>
          <w:color w:val="auto"/>
        </w:rPr>
      </w:pPr>
    </w:p>
    <w:p>
      <w:pPr>
        <w:jc w:val="both"/>
        <w:ind w:left="1540" w:hanging="511"/>
        <w:spacing w:after="0"/>
        <w:tabs>
          <w:tab w:leader="none" w:pos="165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89" w:lineRule="exact"/>
        <w:rPr>
          <w:rFonts w:ascii="Arial" w:cs="Arial" w:eastAsia="Arial" w:hAnsi="Arial"/>
          <w:sz w:val="18"/>
          <w:szCs w:val="18"/>
          <w:color w:val="auto"/>
        </w:rPr>
      </w:pPr>
    </w:p>
    <w:p>
      <w:pPr>
        <w:jc w:val="both"/>
        <w:ind w:left="1020" w:hanging="512"/>
        <w:spacing w:after="0"/>
        <w:tabs>
          <w:tab w:leader="none" w:pos="111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189"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5" w:name="page56"/>
    <w:bookmarkEnd w:id="55"/>
    <w:p>
      <w:pPr>
        <w:ind w:left="1520" w:hanging="491"/>
        <w:spacing w:after="0"/>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98" w:lineRule="exact"/>
        <w:rPr>
          <w:rFonts w:ascii="Arial" w:cs="Arial" w:eastAsia="Arial" w:hAnsi="Arial"/>
          <w:sz w:val="18"/>
          <w:szCs w:val="18"/>
          <w:color w:val="auto"/>
        </w:rPr>
      </w:pPr>
    </w:p>
    <w:p>
      <w:pPr>
        <w:jc w:val="both"/>
        <w:ind w:left="1020" w:hanging="512"/>
        <w:spacing w:after="0" w:line="238" w:lineRule="auto"/>
        <w:tabs>
          <w:tab w:leader="none" w:pos="11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88" w:lineRule="exact"/>
        <w:rPr>
          <w:rFonts w:ascii="Arial" w:cs="Arial" w:eastAsia="Arial" w:hAnsi="Arial"/>
          <w:sz w:val="18"/>
          <w:szCs w:val="18"/>
          <w:color w:val="auto"/>
        </w:rPr>
      </w:pPr>
    </w:p>
    <w:p>
      <w:pPr>
        <w:ind w:left="1020" w:hanging="512"/>
        <w:spacing w:after="0" w:line="246" w:lineRule="auto"/>
        <w:tabs>
          <w:tab w:leader="none" w:pos="103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a Borrower is a US Tax Obligor, or the Agent reasonably believes that its obligations under FATCA or any other applicable law or regulation require it, each Lender shall, within ten Business Days of:</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where a Borrower is a US Tax Obligor and the relevant Lender is an Original Lender, the date of this Agreement;</w:t>
      </w:r>
    </w:p>
    <w:p>
      <w:pPr>
        <w:spacing w:after="0" w:line="198" w:lineRule="exact"/>
        <w:rPr>
          <w:sz w:val="20"/>
          <w:szCs w:val="20"/>
          <w:color w:val="auto"/>
        </w:rPr>
      </w:pPr>
    </w:p>
    <w:p>
      <w:pPr>
        <w:ind w:left="1540" w:hanging="511"/>
        <w:spacing w:after="0" w:line="246" w:lineRule="auto"/>
        <w:tabs>
          <w:tab w:leader="none" w:pos="15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a Borrower is a US Tax Obligor on a Transfer Date and the relevant Lender is a New Lender, the relevant Transfer Date;</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date a new US Tax Obligor accedes as a Borrower; 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supply to the Agent:</w:t>
      </w:r>
    </w:p>
    <w:p>
      <w:pPr>
        <w:spacing w:after="0" w:line="198" w:lineRule="exact"/>
        <w:rPr>
          <w:sz w:val="20"/>
          <w:szCs w:val="20"/>
          <w:color w:val="auto"/>
        </w:rPr>
      </w:pPr>
    </w:p>
    <w:p>
      <w:pPr>
        <w:ind w:left="2080" w:hanging="541"/>
        <w:spacing w:after="0"/>
        <w:tabs>
          <w:tab w:leader="none" w:pos="2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198" w:lineRule="exact"/>
        <w:rPr>
          <w:rFonts w:ascii="Arial" w:cs="Arial" w:eastAsia="Arial" w:hAnsi="Arial"/>
          <w:sz w:val="18"/>
          <w:szCs w:val="18"/>
          <w:color w:val="auto"/>
        </w:rPr>
      </w:pPr>
    </w:p>
    <w:p>
      <w:pPr>
        <w:ind w:left="2040" w:hanging="501"/>
        <w:spacing w:after="0" w:line="246" w:lineRule="auto"/>
        <w:tabs>
          <w:tab w:leader="none" w:pos="210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183" w:lineRule="exact"/>
        <w:rPr>
          <w:rFonts w:ascii="Arial" w:cs="Arial" w:eastAsia="Arial" w:hAnsi="Arial"/>
          <w:sz w:val="18"/>
          <w:szCs w:val="18"/>
          <w:color w:val="auto"/>
        </w:rPr>
      </w:pPr>
    </w:p>
    <w:p>
      <w:pPr>
        <w:ind w:left="1020" w:hanging="512"/>
        <w:spacing w:after="0" w:line="246" w:lineRule="auto"/>
        <w:tabs>
          <w:tab w:leader="none" w:pos="107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Borrowers.</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8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188" w:lineRule="exact"/>
        <w:rPr>
          <w:rFonts w:ascii="Arial" w:cs="Arial" w:eastAsia="Arial" w:hAnsi="Arial"/>
          <w:sz w:val="18"/>
          <w:szCs w:val="18"/>
          <w:color w:val="auto"/>
        </w:rPr>
      </w:pPr>
    </w:p>
    <w:p>
      <w:pPr>
        <w:jc w:val="both"/>
        <w:ind w:left="1020" w:hanging="512"/>
        <w:spacing w:after="0"/>
        <w:tabs>
          <w:tab w:leader="none" w:pos="107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FATCA Deduction</w:t>
      </w:r>
    </w:p>
    <w:p>
      <w:pPr>
        <w:spacing w:after="0" w:line="220" w:lineRule="exact"/>
        <w:rPr>
          <w:sz w:val="20"/>
          <w:szCs w:val="20"/>
          <w:color w:val="auto"/>
        </w:rPr>
      </w:pPr>
    </w:p>
    <w:p>
      <w:pPr>
        <w:jc w:val="both"/>
        <w:ind w:left="1020" w:hanging="512"/>
        <w:spacing w:after="0"/>
        <w:tabs>
          <w:tab w:leader="none" w:pos="102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9" w:lineRule="exact"/>
        <w:rPr>
          <w:rFonts w:ascii="Arial" w:cs="Arial" w:eastAsia="Arial" w:hAnsi="Arial"/>
          <w:sz w:val="18"/>
          <w:szCs w:val="18"/>
          <w:color w:val="auto"/>
        </w:rPr>
      </w:pPr>
    </w:p>
    <w:p>
      <w:pPr>
        <w:ind w:left="1020" w:hanging="512"/>
        <w:spacing w:after="0" w:line="246" w:lineRule="auto"/>
        <w:tabs>
          <w:tab w:leader="none" w:pos="10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left="1040"/>
        <w:spacing w:after="0" w:line="246" w:lineRule="auto"/>
        <w:rPr>
          <w:sz w:val="20"/>
          <w:szCs w:val="20"/>
          <w:color w:val="auto"/>
        </w:rPr>
      </w:pPr>
      <w:r>
        <w:rPr>
          <w:rFonts w:ascii="Arial" w:cs="Arial" w:eastAsia="Arial" w:hAnsi="Arial"/>
          <w:sz w:val="18"/>
          <w:szCs w:val="18"/>
          <w:color w:val="auto"/>
        </w:rPr>
        <w:t>Party to whom it is making the payment and, in addition, shall notify the Borrowers and the Agent and the Agent shall notify the other Finance Parties.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7"/>
          <w:szCs w:val="17"/>
          <w:b w:val="1"/>
          <w:bCs w:val="1"/>
          <w:color w:val="auto"/>
        </w:rPr>
        <w:t>Stamp taxes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pay and, within three Business Days of demand, indemnify each Finance Party against any cost, loss or liability that Finance Party incurs in relation to all stamp duty, registration and other similar Taxes payable in respect of any Finance Document provided that this clause 12.7 shall not apply in respect of any such stamp duty or Tax which is payable in respect of an assignment or transfer by a Finance Party of any of its rights and/or obligations under any Finance Document, except as such assignment or transfer is required by the terms of the Finance Documents, in terms of which this clause 12.7 shall apply in any event.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7"/>
          <w:szCs w:val="17"/>
          <w:b w:val="1"/>
          <w:bCs w:val="1"/>
          <w:color w:val="auto"/>
        </w:rPr>
        <w:t>Value added tax</w:t>
      </w:r>
    </w:p>
    <w:p>
      <w:pPr>
        <w:spacing w:after="0" w:line="220" w:lineRule="exact"/>
        <w:rPr>
          <w:sz w:val="20"/>
          <w:szCs w:val="20"/>
          <w:color w:val="auto"/>
        </w:rPr>
      </w:pPr>
    </w:p>
    <w:p>
      <w:pPr>
        <w:jc w:val="both"/>
        <w:ind w:left="1020" w:hanging="512"/>
        <w:spacing w:after="0" w:line="237" w:lineRule="auto"/>
        <w:tabs>
          <w:tab w:leader="none" w:pos="106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69" w:lineRule="exact"/>
        <w:rPr>
          <w:rFonts w:ascii="Arial" w:cs="Arial" w:eastAsia="Arial" w:hAnsi="Arial"/>
          <w:sz w:val="18"/>
          <w:szCs w:val="18"/>
          <w:color w:val="auto"/>
        </w:rPr>
      </w:pPr>
    </w:p>
    <w:p>
      <w:pPr>
        <w:jc w:val="both"/>
        <w:ind w:left="1020" w:hanging="512"/>
        <w:spacing w:after="0" w:line="247" w:lineRule="auto"/>
        <w:tabs>
          <w:tab w:leader="none" w:pos="11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to a Finance Document other than the Recipient (the</w:t>
      </w:r>
      <w:r>
        <w:rPr>
          <w:rFonts w:ascii="Arial" w:cs="Arial" w:eastAsia="Arial" w:hAnsi="Arial"/>
          <w:sz w:val="18"/>
          <w:szCs w:val="18"/>
          <w:b w:val="1"/>
          <w:bCs w:val="1"/>
          <w:color w:val="auto"/>
        </w:rPr>
        <w:t xml:space="preserve"> Subject Party</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the terms of any Finance Document to pay an amount equal to the consideration for such supply to the Supplier (rather than being required to reimburse or indemnify the Recipient in respect of that consideration):</w:t>
      </w:r>
    </w:p>
    <w:p>
      <w:pPr>
        <w:spacing w:after="0" w:line="182" w:lineRule="exact"/>
        <w:rPr>
          <w:rFonts w:ascii="Arial" w:cs="Arial" w:eastAsia="Arial" w:hAnsi="Arial"/>
          <w:sz w:val="18"/>
          <w:szCs w:val="18"/>
          <w:color w:val="auto"/>
        </w:rPr>
      </w:pPr>
    </w:p>
    <w:p>
      <w:pPr>
        <w:jc w:val="both"/>
        <w:ind w:left="1540" w:hanging="511"/>
        <w:spacing w:after="0" w:line="238" w:lineRule="auto"/>
        <w:tabs>
          <w:tab w:leader="none" w:pos="154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 Party an amount equal to any credit or repayment the Recipient receives from the relevant tax authority which the Recipient reasonably determines relates to the VAT chargeable on that supply; and</w:t>
      </w:r>
    </w:p>
    <w:p>
      <w:pPr>
        <w:spacing w:after="0" w:line="188" w:lineRule="exact"/>
        <w:rPr>
          <w:rFonts w:ascii="Arial" w:cs="Arial" w:eastAsia="Arial" w:hAnsi="Arial"/>
          <w:sz w:val="18"/>
          <w:szCs w:val="18"/>
          <w:color w:val="auto"/>
        </w:rPr>
      </w:pPr>
    </w:p>
    <w:p>
      <w:pPr>
        <w:jc w:val="both"/>
        <w:ind w:left="1540" w:hanging="511"/>
        <w:spacing w:after="0" w:line="238" w:lineRule="auto"/>
        <w:tabs>
          <w:tab w:leader="none" w:pos="160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1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191" w:lineRule="exact"/>
        <w:rPr>
          <w:rFonts w:ascii="Arial" w:cs="Arial" w:eastAsia="Arial" w:hAnsi="Arial"/>
          <w:sz w:val="18"/>
          <w:szCs w:val="18"/>
          <w:color w:val="auto"/>
        </w:rPr>
      </w:pPr>
    </w:p>
    <w:p>
      <w:pPr>
        <w:jc w:val="both"/>
        <w:ind w:left="1020" w:hanging="512"/>
        <w:spacing w:after="0"/>
        <w:tabs>
          <w:tab w:leader="none" w:pos="10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ind w:left="1020" w:hanging="512"/>
        <w:spacing w:after="0" w:line="238" w:lineRule="auto"/>
        <w:tabs>
          <w:tab w:leader="none" w:pos="111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b w:val="1"/>
          <w:bCs w:val="1"/>
          <w:color w:val="auto"/>
        </w:rPr>
        <w:t>Tax Credit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198" w:lineRule="exact"/>
        <w:rPr>
          <w:sz w:val="20"/>
          <w:szCs w:val="20"/>
          <w:color w:val="auto"/>
        </w:rPr>
      </w:pPr>
    </w:p>
    <w:p>
      <w:pPr>
        <w:ind w:left="1020" w:hanging="512"/>
        <w:spacing w:after="0" w:line="246" w:lineRule="auto"/>
        <w:tabs>
          <w:tab w:leader="none" w:pos="112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198" w:lineRule="exact"/>
        <w:rPr>
          <w:sz w:val="20"/>
          <w:szCs w:val="20"/>
          <w:color w:val="auto"/>
        </w:rPr>
      </w:pPr>
    </w:p>
    <w:p>
      <w:pPr>
        <w:ind w:left="500"/>
        <w:spacing w:after="0" w:line="246"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52"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Increased Costs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Increased Costs</w:t>
      </w:r>
    </w:p>
    <w:p>
      <w:pPr>
        <w:spacing w:after="0" w:line="202" w:lineRule="exact"/>
        <w:rPr>
          <w:sz w:val="20"/>
          <w:szCs w:val="20"/>
          <w:color w:val="auto"/>
        </w:rPr>
      </w:pPr>
    </w:p>
    <w:p>
      <w:pPr>
        <w:ind w:left="1020" w:right="20" w:hanging="512"/>
        <w:spacing w:after="0" w:line="267" w:lineRule="auto"/>
        <w:tabs>
          <w:tab w:leader="none" w:pos="111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Borrowers shall, within three Business Days of a demand by the Agent, pay for the account of a Finance Party the amount of any Increased Cost incurred by that Finance Party or any of its Affiliates which:</w:t>
      </w:r>
    </w:p>
    <w:p>
      <w:pPr>
        <w:spacing w:after="0" w:line="164" w:lineRule="exact"/>
        <w:rPr>
          <w:rFonts w:ascii="Arial" w:cs="Arial" w:eastAsia="Arial" w:hAnsi="Arial"/>
          <w:sz w:val="18"/>
          <w:szCs w:val="18"/>
          <w:color w:val="auto"/>
        </w:rPr>
      </w:pPr>
    </w:p>
    <w:p>
      <w:pPr>
        <w:ind w:left="1540" w:hanging="511"/>
        <w:spacing w:after="0" w:line="246" w:lineRule="auto"/>
        <w:tabs>
          <w:tab w:leader="none" w:pos="158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 and/or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is a Reformed Basel III Increased Cost and is generally ascribed to borrowers as a matter of market practice.</w:t>
      </w:r>
    </w:p>
    <w:p>
      <w:pPr>
        <w:spacing w:after="0" w:line="176" w:lineRule="exact"/>
        <w:rPr>
          <w:rFonts w:ascii="Arial" w:cs="Arial" w:eastAsia="Arial" w:hAnsi="Arial"/>
          <w:sz w:val="18"/>
          <w:szCs w:val="18"/>
          <w:color w:val="auto"/>
        </w:rPr>
      </w:pPr>
    </w:p>
    <w:p>
      <w:pPr>
        <w:ind w:left="1020" w:hanging="512"/>
        <w:spacing w:after="0"/>
        <w:tabs>
          <w:tab w:leader="none" w:pos="10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20" w:lineRule="exact"/>
        <w:rPr>
          <w:rFonts w:ascii="Arial" w:cs="Arial" w:eastAsia="Arial" w:hAnsi="Arial"/>
          <w:sz w:val="18"/>
          <w:szCs w:val="18"/>
          <w:color w:val="auto"/>
        </w:rPr>
      </w:pPr>
    </w:p>
    <w:p>
      <w:pPr>
        <w:ind w:left="1540" w:hanging="511"/>
        <w:spacing w:after="0"/>
        <w:tabs>
          <w:tab w:leader="none" w:pos="15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Facilities or on a Finance Party’s (or its Affiliate’s) overall capital;</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98"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Increased Cost claims</w:t>
      </w:r>
    </w:p>
    <w:p>
      <w:pPr>
        <w:spacing w:after="0" w:line="202" w:lineRule="exact"/>
        <w:rPr>
          <w:sz w:val="20"/>
          <w:szCs w:val="20"/>
          <w:color w:val="auto"/>
        </w:rPr>
      </w:pPr>
    </w:p>
    <w:p>
      <w:pPr>
        <w:ind w:left="1020" w:hanging="512"/>
        <w:spacing w:after="0" w:line="267" w:lineRule="auto"/>
        <w:tabs>
          <w:tab w:leader="none" w:pos="105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left="1020" w:hanging="512"/>
        <w:spacing w:after="0" w:line="246" w:lineRule="auto"/>
        <w:tabs>
          <w:tab w:leader="none" w:pos="105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and basis of calculation of its Increased Costs.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Exceptions</w:t>
      </w:r>
    </w:p>
    <w:p>
      <w:pPr>
        <w:spacing w:after="0" w:line="202" w:lineRule="exact"/>
        <w:rPr>
          <w:sz w:val="20"/>
          <w:szCs w:val="20"/>
          <w:color w:val="auto"/>
        </w:rPr>
      </w:pPr>
    </w:p>
    <w:p>
      <w:pPr>
        <w:ind w:left="1020" w:hanging="512"/>
        <w:spacing w:after="0"/>
        <w:tabs>
          <w:tab w:leader="none" w:pos="10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16" w:lineRule="exact"/>
        <w:rPr>
          <w:rFonts w:ascii="Arial" w:cs="Arial" w:eastAsia="Arial" w:hAnsi="Arial"/>
          <w:sz w:val="18"/>
          <w:szCs w:val="18"/>
          <w:color w:val="auto"/>
        </w:rPr>
      </w:pPr>
    </w:p>
    <w:p>
      <w:pPr>
        <w:ind w:left="1540" w:hanging="511"/>
        <w:spacing w:after="0"/>
        <w:tabs>
          <w:tab w:leader="none" w:pos="15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180" w:lineRule="exact"/>
        <w:rPr>
          <w:rFonts w:ascii="Arial" w:cs="Arial" w:eastAsia="Arial" w:hAnsi="Arial"/>
          <w:sz w:val="18"/>
          <w:szCs w:val="18"/>
          <w:color w:val="auto"/>
        </w:rPr>
      </w:pPr>
    </w:p>
    <w:p>
      <w:pPr>
        <w:ind w:left="1540" w:hanging="511"/>
        <w:spacing w:after="0" w:line="267" w:lineRule="auto"/>
        <w:tabs>
          <w:tab w:leader="none" w:pos="154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64" w:lineRule="exact"/>
        <w:rPr>
          <w:rFonts w:ascii="Arial" w:cs="Arial" w:eastAsia="Arial" w:hAnsi="Arial"/>
          <w:sz w:val="18"/>
          <w:szCs w:val="18"/>
          <w:color w:val="auto"/>
        </w:rPr>
      </w:pPr>
    </w:p>
    <w:p>
      <w:pPr>
        <w:ind w:left="1520" w:hanging="491"/>
        <w:spacing w:after="0"/>
        <w:tabs>
          <w:tab w:leader="none" w:pos="15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76" w:lineRule="exact"/>
        <w:rPr>
          <w:rFonts w:ascii="Arial" w:cs="Arial" w:eastAsia="Arial" w:hAnsi="Arial"/>
          <w:sz w:val="18"/>
          <w:szCs w:val="18"/>
          <w:color w:val="auto"/>
        </w:rPr>
      </w:pPr>
    </w:p>
    <w:p>
      <w:pPr>
        <w:ind w:left="1020" w:hanging="512"/>
        <w:spacing w:after="0"/>
        <w:tabs>
          <w:tab w:leader="none" w:pos="10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88"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1"/>
          <w:szCs w:val="21"/>
          <w:b w:val="1"/>
          <w:bCs w:val="1"/>
          <w:color w:val="auto"/>
        </w:rPr>
        <w:t>Other indemnities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Currency indemnity</w:t>
      </w:r>
    </w:p>
    <w:p>
      <w:pPr>
        <w:spacing w:after="0" w:line="198" w:lineRule="exact"/>
        <w:rPr>
          <w:sz w:val="20"/>
          <w:szCs w:val="20"/>
          <w:color w:val="auto"/>
        </w:rPr>
      </w:pPr>
    </w:p>
    <w:p>
      <w:pPr>
        <w:jc w:val="both"/>
        <w:ind w:left="1020" w:hanging="502"/>
        <w:spacing w:after="0" w:line="253" w:lineRule="auto"/>
        <w:tabs>
          <w:tab w:leader="none" w:pos="114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77" w:lineRule="exact"/>
        <w:rPr>
          <w:rFonts w:ascii="Arial" w:cs="Arial" w:eastAsia="Arial" w:hAnsi="Arial"/>
          <w:sz w:val="18"/>
          <w:szCs w:val="18"/>
          <w:color w:val="auto"/>
        </w:rPr>
      </w:pPr>
    </w:p>
    <w:p>
      <w:pPr>
        <w:ind w:left="1540" w:hanging="511"/>
        <w:spacing w:after="0"/>
        <w:tabs>
          <w:tab w:leader="none" w:pos="15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98" w:lineRule="exact"/>
        <w:rPr>
          <w:sz w:val="20"/>
          <w:szCs w:val="20"/>
          <w:color w:val="auto"/>
        </w:rPr>
      </w:pPr>
    </w:p>
    <w:p>
      <w:pPr>
        <w:jc w:val="both"/>
        <w:ind w:left="1020"/>
        <w:spacing w:after="0" w:line="234" w:lineRule="auto"/>
        <w:rPr>
          <w:sz w:val="20"/>
          <w:szCs w:val="20"/>
          <w:color w:val="auto"/>
        </w:rPr>
      </w:pPr>
      <w:r>
        <w:rPr>
          <w:rFonts w:ascii="Arial" w:cs="Arial" w:eastAsia="Arial" w:hAnsi="Arial"/>
          <w:sz w:val="18"/>
          <w:szCs w:val="18"/>
          <w:color w:val="auto"/>
        </w:rPr>
        <w:t>that Obligor shall, as an independent obligation, within three (3)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 the rate or rates of exchange available to that person at the time of its receipt of that Sum.</w:t>
      </w:r>
    </w:p>
    <w:p>
      <w:pPr>
        <w:spacing w:after="0" w:line="198" w:lineRule="exact"/>
        <w:rPr>
          <w:sz w:val="20"/>
          <w:szCs w:val="20"/>
          <w:color w:val="auto"/>
        </w:rPr>
      </w:pPr>
    </w:p>
    <w:p>
      <w:pPr>
        <w:ind w:left="1020" w:hanging="512"/>
        <w:spacing w:after="0" w:line="246" w:lineRule="auto"/>
        <w:tabs>
          <w:tab w:leader="none" w:pos="105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Other indemnities</w:t>
      </w:r>
    </w:p>
    <w:p>
      <w:pPr>
        <w:spacing w:after="0" w:line="220" w:lineRule="exact"/>
        <w:rPr>
          <w:sz w:val="20"/>
          <w:szCs w:val="20"/>
          <w:color w:val="auto"/>
        </w:rPr>
      </w:pPr>
    </w:p>
    <w:p>
      <w:pPr>
        <w:ind w:left="1020" w:hanging="512"/>
        <w:spacing w:after="0" w:line="246" w:lineRule="auto"/>
        <w:tabs>
          <w:tab w:leader="none" w:pos="107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 Finance Party, indemnify each Finance Party against any and all Losses incurred by that Finance Party (as the case may be) as a result of:</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53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34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ind w:left="1540" w:hanging="511"/>
        <w:spacing w:after="0"/>
        <w:tabs>
          <w:tab w:leader="none" w:pos="156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Borrowers in a Utilisation Request but not made by reason of the operation of any one or more of the provisions of this Agreement (other than by reason of default or negligence by that Finance Party alone); and</w:t>
      </w:r>
    </w:p>
    <w:p>
      <w:pPr>
        <w:spacing w:after="0" w:line="189" w:lineRule="exact"/>
        <w:rPr>
          <w:rFonts w:ascii="Arial" w:cs="Arial" w:eastAsia="Arial" w:hAnsi="Arial"/>
          <w:sz w:val="18"/>
          <w:szCs w:val="18"/>
          <w:color w:val="auto"/>
        </w:rPr>
      </w:pPr>
    </w:p>
    <w:p>
      <w:pPr>
        <w:ind w:left="1520" w:hanging="491"/>
        <w:spacing w:after="0"/>
        <w:tabs>
          <w:tab w:leader="none" w:pos="15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Borrowers.</w:t>
      </w:r>
    </w:p>
    <w:p>
      <w:pPr>
        <w:spacing w:after="0" w:line="198" w:lineRule="exact"/>
        <w:rPr>
          <w:rFonts w:ascii="Arial" w:cs="Arial" w:eastAsia="Arial" w:hAnsi="Arial"/>
          <w:sz w:val="18"/>
          <w:szCs w:val="18"/>
          <w:color w:val="auto"/>
        </w:rPr>
      </w:pPr>
    </w:p>
    <w:p>
      <w:pPr>
        <w:jc w:val="both"/>
        <w:ind w:left="1020" w:hanging="512"/>
        <w:spacing w:after="0" w:line="235" w:lineRule="auto"/>
        <w:tabs>
          <w:tab w:leader="none" w:pos="117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had not entered into any of the Finance Documents and/or exercised any of their rights, powers and discretions thereby conferred and/or performed any of their obligations thereunder and/or been involved in any of the transactions contemplated by the Finance Documents). This indemnity shall apply whether or not such claims, investigation, litigation or proceedings is brought by any Obligor, any other Group Member,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Indemnity to the Agent and Security Agent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promptly indemnify the Agent and Security Agent against:</w:t>
      </w:r>
    </w:p>
    <w:p>
      <w:pPr>
        <w:spacing w:after="0" w:line="198" w:lineRule="exact"/>
        <w:rPr>
          <w:sz w:val="20"/>
          <w:szCs w:val="20"/>
          <w:color w:val="auto"/>
        </w:rPr>
      </w:pPr>
    </w:p>
    <w:p>
      <w:pPr>
        <w:ind w:left="1020" w:hanging="512"/>
        <w:spacing w:after="0"/>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(acting reasonably) as a result of:</w:t>
      </w:r>
    </w:p>
    <w:p>
      <w:pPr>
        <w:spacing w:after="0" w:line="180" w:lineRule="exact"/>
        <w:rPr>
          <w:rFonts w:ascii="Arial" w:cs="Arial" w:eastAsia="Arial" w:hAnsi="Arial"/>
          <w:sz w:val="18"/>
          <w:szCs w:val="18"/>
          <w:color w:val="auto"/>
        </w:rPr>
      </w:pPr>
    </w:p>
    <w:p>
      <w:pPr>
        <w:ind w:left="1540" w:hanging="511"/>
        <w:spacing w:after="0" w:line="267" w:lineRule="auto"/>
        <w:tabs>
          <w:tab w:leader="none" w:pos="156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without prejudice to clause 32.7(b)(i) as extended to the Security Agent by clause 32.21 (</w:t>
      </w:r>
      <w:r>
        <w:rPr>
          <w:rFonts w:ascii="Arial" w:cs="Arial" w:eastAsia="Arial" w:hAnsi="Arial"/>
          <w:sz w:val="18"/>
          <w:szCs w:val="18"/>
          <w:i w:val="1"/>
          <w:iCs w:val="1"/>
          <w:color w:val="auto"/>
        </w:rPr>
        <w:t>Application of certain clauses to</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Agent</w:t>
      </w:r>
      <w:r>
        <w:rPr>
          <w:rFonts w:ascii="Arial" w:cs="Arial" w:eastAsia="Arial" w:hAnsi="Arial"/>
          <w:sz w:val="18"/>
          <w:szCs w:val="18"/>
          <w:color w:val="auto"/>
        </w:rPr>
        <w:t>), investigating any event which it reasonably believes is a Default;</w:t>
      </w:r>
    </w:p>
    <w:p>
      <w:pPr>
        <w:spacing w:after="0" w:line="164" w:lineRule="exact"/>
        <w:rPr>
          <w:rFonts w:ascii="Arial" w:cs="Arial" w:eastAsia="Arial" w:hAnsi="Arial"/>
          <w:sz w:val="18"/>
          <w:szCs w:val="18"/>
          <w:color w:val="auto"/>
        </w:rPr>
      </w:pPr>
    </w:p>
    <w:p>
      <w:pPr>
        <w:ind w:left="1540" w:hanging="511"/>
        <w:spacing w:after="0" w:line="246" w:lineRule="auto"/>
        <w:tabs>
          <w:tab w:leader="none" w:pos="153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83" w:lineRule="exact"/>
        <w:rPr>
          <w:rFonts w:ascii="Arial" w:cs="Arial" w:eastAsia="Arial" w:hAnsi="Arial"/>
          <w:sz w:val="18"/>
          <w:szCs w:val="18"/>
          <w:color w:val="auto"/>
        </w:rPr>
      </w:pPr>
    </w:p>
    <w:p>
      <w:pPr>
        <w:ind w:left="1540" w:hanging="511"/>
        <w:spacing w:after="0" w:line="246" w:lineRule="auto"/>
        <w:tabs>
          <w:tab w:leader="none" w:pos="174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instructing lawyers, accountants, tax advisers, insurance consultants, ship managers, valuers, surveyors or other professional advisers or experts as permitted under this Agreement; or</w:t>
      </w:r>
    </w:p>
    <w:p>
      <w:pPr>
        <w:spacing w:after="0" w:line="183" w:lineRule="exact"/>
        <w:rPr>
          <w:rFonts w:ascii="Arial" w:cs="Arial" w:eastAsia="Arial" w:hAnsi="Arial"/>
          <w:sz w:val="18"/>
          <w:szCs w:val="18"/>
          <w:color w:val="auto"/>
        </w:rPr>
      </w:pPr>
    </w:p>
    <w:p>
      <w:pPr>
        <w:jc w:val="both"/>
        <w:ind w:left="1540" w:hanging="511"/>
        <w:spacing w:after="0"/>
        <w:tabs>
          <w:tab w:leader="none" w:pos="168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 any Security Document to enforce any Security Interest thereunder or to remedy any breach of any Obligor’s obligations under the Finance Documents; and</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2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(otherwise than by reason of the Agent’s or the Security Agent’s gross negligence or wilful default) (or, in the case of any cost, loss or liability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or the Security Agent’s negligence, gross negligence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left="1040"/>
        <w:spacing w:after="0" w:line="246" w:lineRule="auto"/>
        <w:rPr>
          <w:sz w:val="20"/>
          <w:szCs w:val="20"/>
          <w:color w:val="auto"/>
        </w:rPr>
      </w:pPr>
      <w:r>
        <w:rPr>
          <w:rFonts w:ascii="Arial" w:cs="Arial" w:eastAsia="Arial" w:hAnsi="Arial"/>
          <w:sz w:val="18"/>
          <w:szCs w:val="18"/>
          <w:color w:val="auto"/>
        </w:rPr>
        <w:t>any other category of liability whatsoever but not including any claim based on the fraud of the Agent in acting as Agent or the Security Agent under the Finance Documents).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7"/>
          <w:szCs w:val="17"/>
          <w:b w:val="1"/>
          <w:bCs w:val="1"/>
          <w:color w:val="auto"/>
        </w:rPr>
        <w:t>Indemnity concerning security</w:t>
      </w:r>
    </w:p>
    <w:p>
      <w:pPr>
        <w:spacing w:after="0" w:line="220" w:lineRule="exact"/>
        <w:rPr>
          <w:sz w:val="20"/>
          <w:szCs w:val="20"/>
          <w:color w:val="auto"/>
        </w:rPr>
      </w:pPr>
    </w:p>
    <w:p>
      <w:pPr>
        <w:ind w:left="1020" w:hanging="512"/>
        <w:spacing w:after="0" w:line="246" w:lineRule="auto"/>
        <w:tabs>
          <w:tab w:leader="none" w:pos="104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promptly indemnify each Indemnified Person against any and all Losses incurred by it in connection with:</w:t>
      </w:r>
    </w:p>
    <w:p>
      <w:pPr>
        <w:spacing w:after="0" w:line="165" w:lineRule="exact"/>
        <w:rPr>
          <w:rFonts w:ascii="Arial" w:cs="Arial" w:eastAsia="Arial" w:hAnsi="Arial"/>
          <w:sz w:val="18"/>
          <w:szCs w:val="18"/>
          <w:color w:val="auto"/>
        </w:rPr>
      </w:pPr>
    </w:p>
    <w:p>
      <w:pPr>
        <w:ind w:left="1540" w:hanging="511"/>
        <w:spacing w:after="0" w:line="267" w:lineRule="auto"/>
        <w:tabs>
          <w:tab w:leader="none" w:pos="155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failure by the Borrowers to comply with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or any similar provision in any other Finance Document;</w:t>
      </w:r>
    </w:p>
    <w:p>
      <w:pPr>
        <w:spacing w:after="0" w:line="164" w:lineRule="exact"/>
        <w:rPr>
          <w:rFonts w:ascii="Arial" w:cs="Arial" w:eastAsia="Arial" w:hAnsi="Arial"/>
          <w:sz w:val="18"/>
          <w:szCs w:val="18"/>
          <w:color w:val="auto"/>
        </w:rPr>
      </w:pPr>
    </w:p>
    <w:p>
      <w:pPr>
        <w:ind w:left="1540" w:hanging="511"/>
        <w:spacing w:after="0" w:line="246" w:lineRule="auto"/>
        <w:tabs>
          <w:tab w:leader="none" w:pos="152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198" w:lineRule="exact"/>
        <w:rPr>
          <w:rFonts w:ascii="Arial" w:cs="Arial" w:eastAsia="Arial" w:hAnsi="Arial"/>
          <w:sz w:val="18"/>
          <w:szCs w:val="18"/>
          <w:color w:val="auto"/>
        </w:rPr>
      </w:pPr>
    </w:p>
    <w:p>
      <w:pPr>
        <w:jc w:val="both"/>
        <w:ind w:left="1540" w:hanging="511"/>
        <w:spacing w:after="0"/>
        <w:tabs>
          <w:tab w:leader="none" w:pos="167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189" w:lineRule="exact"/>
        <w:rPr>
          <w:rFonts w:ascii="Arial" w:cs="Arial" w:eastAsia="Arial" w:hAnsi="Arial"/>
          <w:sz w:val="18"/>
          <w:szCs w:val="18"/>
          <w:color w:val="auto"/>
        </w:rPr>
      </w:pPr>
    </w:p>
    <w:p>
      <w:pPr>
        <w:jc w:val="both"/>
        <w:ind w:left="1540" w:right="20" w:hanging="511"/>
        <w:spacing w:after="0"/>
        <w:tabs>
          <w:tab w:leader="none" w:pos="164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w:t>
      </w:r>
    </w:p>
    <w:p>
      <w:pPr>
        <w:spacing w:after="0" w:line="189" w:lineRule="exact"/>
        <w:rPr>
          <w:rFonts w:ascii="Arial" w:cs="Arial" w:eastAsia="Arial" w:hAnsi="Arial"/>
          <w:sz w:val="18"/>
          <w:szCs w:val="18"/>
          <w:color w:val="auto"/>
        </w:rPr>
      </w:pPr>
    </w:p>
    <w:p>
      <w:pPr>
        <w:ind w:left="1520" w:hanging="491"/>
        <w:spacing w:after="0"/>
        <w:tabs>
          <w:tab w:leader="none" w:pos="15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 or</w:t>
      </w:r>
    </w:p>
    <w:p>
      <w:pPr>
        <w:spacing w:after="0" w:line="198" w:lineRule="exact"/>
        <w:rPr>
          <w:rFonts w:ascii="Arial" w:cs="Arial" w:eastAsia="Arial" w:hAnsi="Arial"/>
          <w:sz w:val="18"/>
          <w:szCs w:val="18"/>
          <w:color w:val="auto"/>
        </w:rPr>
      </w:pPr>
    </w:p>
    <w:p>
      <w:pPr>
        <w:ind w:left="1540" w:hanging="511"/>
        <w:spacing w:after="0" w:line="246" w:lineRule="auto"/>
        <w:tabs>
          <w:tab w:leader="none" w:pos="170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instructing lawyers, accountants, tax advisers, insurance consultants, ship managers, valuers, surveyors or other professional advisers or experts as permitted under the Finance Documents.</w:t>
      </w:r>
    </w:p>
    <w:p>
      <w:pPr>
        <w:spacing w:after="0" w:line="183" w:lineRule="exact"/>
        <w:rPr>
          <w:rFonts w:ascii="Arial" w:cs="Arial" w:eastAsia="Arial" w:hAnsi="Arial"/>
          <w:sz w:val="18"/>
          <w:szCs w:val="18"/>
          <w:color w:val="auto"/>
        </w:rPr>
      </w:pPr>
    </w:p>
    <w:p>
      <w:pPr>
        <w:jc w:val="both"/>
        <w:ind w:left="1020" w:hanging="512"/>
        <w:spacing w:after="0"/>
        <w:tabs>
          <w:tab w:leader="none" w:pos="111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7"/>
          <w:szCs w:val="17"/>
          <w:b w:val="1"/>
          <w:bCs w:val="1"/>
          <w:color w:val="auto"/>
        </w:rPr>
        <w:t>Continuation of indemnities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indemnities by the Borrowers in favour of the Indemnified Persons contained in this Agreement shall continue in full force and effect notwithstanding any breach by any Finance Party or any of the Borrowers of the terms of this Agreement, the repayment or prepayment of the Loans, the cancellation of the Total Commitments or the repudiation by the Agent or any of the Borrowers of this Agreement.</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b w:val="1"/>
          <w:bCs w:val="1"/>
          <w:color w:val="auto"/>
        </w:rPr>
        <w:t>Third Parties Act</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indemnities) </w:t>
      </w:r>
      <w:r>
        <w:rPr>
          <w:rFonts w:ascii="Arial" w:cs="Arial" w:eastAsia="Arial" w:hAnsi="Arial"/>
          <w:sz w:val="18"/>
          <w:szCs w:val="18"/>
          <w:color w:val="auto"/>
        </w:rPr>
        <w:t>and 14.7</w:t>
      </w:r>
      <w:r>
        <w:rPr>
          <w:rFonts w:ascii="Arial" w:cs="Arial" w:eastAsia="Arial" w:hAnsi="Arial"/>
          <w:sz w:val="18"/>
          <w:szCs w:val="18"/>
          <w:i w:val="1"/>
          <w:iCs w:val="1"/>
          <w:color w:val="auto"/>
        </w:rPr>
        <w:t xml:space="preserve"> (Interest) </w:t>
      </w:r>
      <w:r>
        <w:rPr>
          <w:rFonts w:ascii="Arial" w:cs="Arial" w:eastAsia="Arial" w:hAnsi="Arial"/>
          <w:sz w:val="18"/>
          <w:szCs w:val="18"/>
          <w:color w:val="auto"/>
        </w:rPr>
        <w:t>insofar as it relates to interest on any amount demanded by that Indemnified Person under clause 14.4</w:t>
      </w:r>
      <w:r>
        <w:rPr>
          <w:rFonts w:ascii="Arial" w:cs="Arial" w:eastAsia="Arial" w:hAnsi="Arial"/>
          <w:sz w:val="18"/>
          <w:szCs w:val="18"/>
          <w:i w:val="1"/>
          <w:iCs w:val="1"/>
          <w:color w:val="auto"/>
        </w:rPr>
        <w:t xml:space="preserve"> (Indemnity concerning security)</w:t>
      </w:r>
      <w:r>
        <w:rPr>
          <w:rFonts w:ascii="Arial" w:cs="Arial" w:eastAsia="Arial" w:hAnsi="Arial"/>
          <w:sz w:val="18"/>
          <w:szCs w:val="18"/>
          <w:color w:val="auto"/>
        </w:rPr>
        <w:t>,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b w:val="1"/>
          <w:bCs w:val="1"/>
          <w:color w:val="auto"/>
        </w:rPr>
        <w:t>Interest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Moneys becoming due by the Borrowers to any Indemnified Person under the indemnities contained in this clause 14 or elsewhere in this Agreement shall be paid on demand made by such Indemnified Person and shall be paid together with interest on the sum demanded from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ind w:left="520"/>
        <w:spacing w:after="0" w:line="246" w:lineRule="auto"/>
        <w:rPr>
          <w:sz w:val="20"/>
          <w:szCs w:val="20"/>
          <w:color w:val="auto"/>
        </w:rPr>
      </w:pPr>
      <w:r>
        <w:rPr>
          <w:rFonts w:ascii="Arial" w:cs="Arial" w:eastAsia="Arial" w:hAnsi="Arial"/>
          <w:sz w:val="18"/>
          <w:szCs w:val="18"/>
          <w:color w:val="auto"/>
        </w:rPr>
        <w:t xml:space="preserve">date of demand therefor to the date of reimbursement by the Borrowers to such Indemnified Person (both before and after judgment) at the rate referred to in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7"/>
          <w:szCs w:val="17"/>
          <w:b w:val="1"/>
          <w:bCs w:val="1"/>
          <w:color w:val="auto"/>
        </w:rPr>
        <w:t>Exclusion of liability</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7"/>
          <w:szCs w:val="17"/>
          <w:b w:val="1"/>
          <w:bCs w:val="1"/>
          <w:color w:val="auto"/>
        </w:rPr>
        <w:t>Email indemnity</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indemnify each Finance Party against any and all Losses together with any VAT thereon which any of the Finance Parties may sustain or incur as a consequence of any email communication purporting to originate from the Borrowers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14.10 Waiver</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60"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1"/>
          <w:szCs w:val="21"/>
          <w:b w:val="1"/>
          <w:bCs w:val="1"/>
          <w:color w:val="auto"/>
        </w:rPr>
        <w:t>Mitigation by the Lenders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7"/>
          <w:szCs w:val="17"/>
          <w:b w:val="1"/>
          <w:bCs w:val="1"/>
          <w:color w:val="auto"/>
        </w:rPr>
        <w:t>Mitigation</w:t>
      </w:r>
    </w:p>
    <w:p>
      <w:pPr>
        <w:spacing w:after="0" w:line="220" w:lineRule="exact"/>
        <w:rPr>
          <w:sz w:val="20"/>
          <w:szCs w:val="20"/>
          <w:color w:val="auto"/>
        </w:rPr>
      </w:pPr>
    </w:p>
    <w:p>
      <w:pPr>
        <w:jc w:val="both"/>
        <w:ind w:left="1020" w:hanging="512"/>
        <w:spacing w:after="0" w:line="238" w:lineRule="auto"/>
        <w:tabs>
          <w:tab w:leader="none" w:pos="111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Borrowers,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assigning its rights under the Finance Documents to another Affiliate or Facility Office.</w:t>
      </w:r>
    </w:p>
    <w:p>
      <w:pPr>
        <w:spacing w:after="0" w:line="191" w:lineRule="exact"/>
        <w:rPr>
          <w:rFonts w:ascii="Arial" w:cs="Arial" w:eastAsia="Arial" w:hAnsi="Arial"/>
          <w:sz w:val="18"/>
          <w:szCs w:val="18"/>
          <w:color w:val="auto"/>
        </w:rPr>
      </w:pPr>
    </w:p>
    <w:p>
      <w:pPr>
        <w:ind w:left="1020" w:hanging="512"/>
        <w:spacing w:after="0"/>
        <w:tabs>
          <w:tab w:leader="none" w:pos="10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Limitation of liability</w:t>
      </w:r>
    </w:p>
    <w:p>
      <w:pPr>
        <w:spacing w:after="0" w:line="220" w:lineRule="exact"/>
        <w:rPr>
          <w:sz w:val="20"/>
          <w:szCs w:val="20"/>
          <w:color w:val="auto"/>
        </w:rPr>
      </w:pPr>
    </w:p>
    <w:p>
      <w:pPr>
        <w:ind w:left="1020" w:hanging="512"/>
        <w:spacing w:after="0" w:line="246" w:lineRule="auto"/>
        <w:tabs>
          <w:tab w:leader="none" w:pos="112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Borrowers shall promptly indemnify each Finance Party for all costs and expenses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020" w:hanging="512"/>
        <w:spacing w:after="0" w:line="267" w:lineRule="auto"/>
        <w:tabs>
          <w:tab w:leader="none" w:pos="11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33"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21"/>
          <w:szCs w:val="21"/>
          <w:b w:val="1"/>
          <w:bCs w:val="1"/>
          <w:color w:val="auto"/>
        </w:rPr>
        <w:t>Costs and expenses</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Transaction expenses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Borrowers shall promptly within five Business Days of demand pay the Agent, the Arrangers and the Security Agent the amount of all costs and expenses (including fees, costs and expenses of legal advisers and insurance and other consultants and advisers) reasonably incurred by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520"/>
        <w:spacing w:after="0" w:line="246" w:lineRule="auto"/>
        <w:rPr>
          <w:sz w:val="20"/>
          <w:szCs w:val="20"/>
          <w:color w:val="auto"/>
        </w:rPr>
      </w:pPr>
      <w:r>
        <w:rPr>
          <w:rFonts w:ascii="Arial" w:cs="Arial" w:eastAsia="Arial" w:hAnsi="Arial"/>
          <w:sz w:val="18"/>
          <w:szCs w:val="18"/>
          <w:color w:val="auto"/>
        </w:rPr>
        <w:t>of them (and by any Receiver or Delegate) in connection with the negotiation, preparation, printing, execution, syndication, registration and perfection and any release, discharge or reassignment of:</w:t>
      </w:r>
    </w:p>
    <w:p>
      <w:pPr>
        <w:spacing w:after="0" w:line="183" w:lineRule="exact"/>
        <w:rPr>
          <w:sz w:val="20"/>
          <w:szCs w:val="20"/>
          <w:color w:val="auto"/>
        </w:rPr>
      </w:pPr>
    </w:p>
    <w:p>
      <w:pPr>
        <w:ind w:left="1020" w:hanging="512"/>
        <w:spacing w:after="0"/>
        <w:tabs>
          <w:tab w:leader="none" w:pos="10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Agreement, any other documents referred to in this Agreement and the Original Security Documents;</w:t>
      </w:r>
    </w:p>
    <w:p>
      <w:pPr>
        <w:spacing w:after="0" w:line="198" w:lineRule="exact"/>
        <w:rPr>
          <w:rFonts w:ascii="Arial" w:cs="Arial" w:eastAsia="Arial" w:hAnsi="Arial"/>
          <w:sz w:val="18"/>
          <w:szCs w:val="18"/>
          <w:color w:val="auto"/>
        </w:rPr>
      </w:pPr>
    </w:p>
    <w:p>
      <w:pPr>
        <w:ind w:left="1020" w:hanging="512"/>
        <w:spacing w:after="0" w:line="246" w:lineRule="auto"/>
        <w:tabs>
          <w:tab w:leader="none" w:pos="108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);or</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Amendment costs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 Obligor requests an amendment, waiver or consent, the Borrowers shall, within five Business Days of demand by the Agent, reimburse the Agent for the amount of all costs and expenses (including fees, costs and expenses of legal advisers and (subject to clause 24.17 (</w:t>
      </w:r>
      <w:r>
        <w:rPr>
          <w:rFonts w:ascii="Arial" w:cs="Arial" w:eastAsia="Arial" w:hAnsi="Arial"/>
          <w:sz w:val="18"/>
          <w:szCs w:val="18"/>
          <w:i w:val="1"/>
          <w:iCs w:val="1"/>
          <w:color w:val="auto"/>
        </w:rPr>
        <w:t>Independent report</w:t>
      </w:r>
      <w:r>
        <w:rPr>
          <w:rFonts w:ascii="Arial" w:cs="Arial" w:eastAsia="Arial" w:hAnsi="Arial"/>
          <w:sz w:val="18"/>
          <w:szCs w:val="18"/>
          <w:color w:val="auto"/>
        </w:rPr>
        <w:t>) insurance and other consultants and advisers) reasonably incurred by the Agent or the Security Agent (and by any Receiver or Delegate) in responding to, evaluating, negotiating or complying with that request or requirement.</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7"/>
          <w:szCs w:val="17"/>
          <w:b w:val="1"/>
          <w:bCs w:val="1"/>
          <w:color w:val="auto"/>
        </w:rPr>
        <w:t>Enforcement, preservation and other costs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in connection with:</w:t>
      </w:r>
    </w:p>
    <w:p>
      <w:pPr>
        <w:spacing w:after="0" w:line="191" w:lineRule="exact"/>
        <w:rPr>
          <w:sz w:val="20"/>
          <w:szCs w:val="20"/>
          <w:color w:val="auto"/>
        </w:rPr>
      </w:pPr>
    </w:p>
    <w:p>
      <w:pPr>
        <w:jc w:val="both"/>
        <w:ind w:left="1020" w:right="20" w:hanging="512"/>
        <w:spacing w:after="0" w:line="238" w:lineRule="auto"/>
        <w:tabs>
          <w:tab w:leader="none" w:pos="10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173" w:lineRule="exact"/>
        <w:rPr>
          <w:rFonts w:ascii="Arial" w:cs="Arial" w:eastAsia="Arial" w:hAnsi="Arial"/>
          <w:sz w:val="18"/>
          <w:szCs w:val="18"/>
          <w:color w:val="auto"/>
        </w:rPr>
      </w:pPr>
    </w:p>
    <w:p>
      <w:pPr>
        <w:ind w:left="1020" w:hanging="512"/>
        <w:spacing w:after="0" w:line="267" w:lineRule="auto"/>
        <w:tabs>
          <w:tab w:leader="none" w:pos="103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valuation carried out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times provided in such clauses that the relevant costs must be borne by the Borrowers; or</w:t>
      </w:r>
    </w:p>
    <w:p>
      <w:pPr>
        <w:spacing w:after="0" w:line="146" w:lineRule="exact"/>
        <w:rPr>
          <w:rFonts w:ascii="Arial" w:cs="Arial" w:eastAsia="Arial" w:hAnsi="Arial"/>
          <w:sz w:val="18"/>
          <w:szCs w:val="18"/>
          <w:color w:val="auto"/>
        </w:rPr>
      </w:pPr>
    </w:p>
    <w:p>
      <w:pPr>
        <w:ind w:left="1020" w:hanging="512"/>
        <w:spacing w:after="0" w:line="267" w:lineRule="auto"/>
        <w:tabs>
          <w:tab w:leader="none" w:pos="100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inspection carried out under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or any survey carried out under clause 23.16 (</w:t>
      </w:r>
      <w:r>
        <w:rPr>
          <w:rFonts w:ascii="Arial" w:cs="Arial" w:eastAsia="Arial" w:hAnsi="Arial"/>
          <w:sz w:val="18"/>
          <w:szCs w:val="18"/>
          <w:i w:val="1"/>
          <w:iCs w:val="1"/>
          <w:color w:val="auto"/>
        </w:rPr>
        <w:t>Survey report</w:t>
      </w:r>
      <w:r>
        <w:rPr>
          <w:rFonts w:ascii="Arial" w:cs="Arial" w:eastAsia="Arial" w:hAnsi="Arial"/>
          <w:sz w:val="18"/>
          <w:szCs w:val="18"/>
          <w:color w:val="auto"/>
        </w:rPr>
        <w:t>).</w:t>
      </w:r>
    </w:p>
    <w:p>
      <w:pPr>
        <w:spacing w:after="0" w:line="133"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21"/>
          <w:szCs w:val="21"/>
          <w:b w:val="1"/>
          <w:bCs w:val="1"/>
          <w:color w:val="auto"/>
        </w:rPr>
        <w:t>Guarantee and indemnity</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b w:val="1"/>
          <w:bCs w:val="1"/>
          <w:color w:val="auto"/>
        </w:rPr>
        <w:t>Guarantee and indemnity</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Subject at all times to the provisions of clause 17.10 (</w:t>
      </w:r>
      <w:r>
        <w:rPr>
          <w:rFonts w:ascii="Arial" w:cs="Arial" w:eastAsia="Arial" w:hAnsi="Arial"/>
          <w:sz w:val="18"/>
          <w:szCs w:val="18"/>
          <w:i w:val="1"/>
          <w:iCs w:val="1"/>
          <w:color w:val="auto"/>
        </w:rPr>
        <w:t>Limited recourse</w:t>
      </w:r>
      <w:r>
        <w:rPr>
          <w:rFonts w:ascii="Arial" w:cs="Arial" w:eastAsia="Arial" w:hAnsi="Arial"/>
          <w:sz w:val="18"/>
          <w:szCs w:val="18"/>
          <w:color w:val="auto"/>
        </w:rPr>
        <w:t>) and clause 17.11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each</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Guarantor hereby irrevocably and unconditionally and jointly and severally with the other Guarantors:</w:t>
      </w:r>
    </w:p>
    <w:p>
      <w:pPr>
        <w:spacing w:after="0" w:line="198" w:lineRule="exact"/>
        <w:rPr>
          <w:sz w:val="20"/>
          <w:szCs w:val="20"/>
          <w:color w:val="auto"/>
        </w:rPr>
      </w:pPr>
    </w:p>
    <w:p>
      <w:pPr>
        <w:ind w:left="1020" w:hanging="512"/>
        <w:spacing w:after="0" w:line="246" w:lineRule="auto"/>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83" w:lineRule="exact"/>
        <w:rPr>
          <w:rFonts w:ascii="Arial" w:cs="Arial" w:eastAsia="Arial" w:hAnsi="Arial"/>
          <w:sz w:val="18"/>
          <w:szCs w:val="18"/>
          <w:color w:val="auto"/>
        </w:rPr>
      </w:pPr>
    </w:p>
    <w:p>
      <w:pPr>
        <w:ind w:left="1020" w:hanging="512"/>
        <w:spacing w:after="0" w:line="246" w:lineRule="auto"/>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left="540"/>
        <w:spacing w:after="0" w:line="246" w:lineRule="auto"/>
        <w:rPr>
          <w:sz w:val="20"/>
          <w:szCs w:val="20"/>
          <w:color w:val="auto"/>
        </w:rPr>
      </w:pPr>
      <w:r>
        <w:rPr>
          <w:rFonts w:ascii="Arial" w:cs="Arial" w:eastAsia="Arial" w:hAnsi="Arial"/>
          <w:sz w:val="18"/>
          <w:szCs w:val="18"/>
          <w:color w:val="auto"/>
        </w:rPr>
        <w:t>or in connection with any Finance Document, it shall immediately on demand pay that amount as if it was the principal obligor; and</w:t>
      </w:r>
    </w:p>
    <w:p>
      <w:pPr>
        <w:spacing w:after="0" w:line="183" w:lineRule="exact"/>
        <w:rPr>
          <w:sz w:val="20"/>
          <w:szCs w:val="20"/>
          <w:color w:val="auto"/>
        </w:rPr>
      </w:pPr>
    </w:p>
    <w:p>
      <w:pPr>
        <w:ind w:left="520" w:hanging="512"/>
        <w:spacing w:after="0" w:line="246" w:lineRule="auto"/>
        <w:tabs>
          <w:tab w:leader="none" w:pos="5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agrees with the Security Agent (as trustee for the Finance Parties) and the other Finance Parties that it will, as an independent and primary obligation, indemnify each Finance Party immediately on demand against any cost, loss or liability it incurs:</w:t>
      </w:r>
    </w:p>
    <w:p>
      <w:pPr>
        <w:spacing w:after="0" w:line="18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198" w:lineRule="exact"/>
        <w:rPr>
          <w:rFonts w:ascii="Arial" w:cs="Arial" w:eastAsia="Arial" w:hAnsi="Arial"/>
          <w:sz w:val="18"/>
          <w:szCs w:val="18"/>
          <w:color w:val="auto"/>
        </w:rPr>
      </w:pPr>
    </w:p>
    <w:p>
      <w:pPr>
        <w:ind w:left="1580" w:hanging="541"/>
        <w:spacing w:after="0"/>
        <w:tabs>
          <w:tab w:leader="none" w:pos="15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any obligation guaranteed by it is or becomes unenforceable, invalid or illegal; or</w:t>
      </w:r>
    </w:p>
    <w:p>
      <w:pPr>
        <w:spacing w:after="0" w:line="198" w:lineRule="exact"/>
        <w:rPr>
          <w:rFonts w:ascii="Arial" w:cs="Arial" w:eastAsia="Arial" w:hAnsi="Arial"/>
          <w:sz w:val="18"/>
          <w:szCs w:val="18"/>
          <w:color w:val="auto"/>
        </w:rPr>
      </w:pPr>
    </w:p>
    <w:p>
      <w:pPr>
        <w:ind w:left="1580" w:hanging="541"/>
        <w:spacing w:after="0"/>
        <w:tabs>
          <w:tab w:leader="none" w:pos="15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198" w:lineRule="exact"/>
        <w:rPr>
          <w:sz w:val="20"/>
          <w:szCs w:val="20"/>
          <w:color w:val="auto"/>
        </w:rPr>
      </w:pPr>
    </w:p>
    <w:p>
      <w:pPr>
        <w:jc w:val="both"/>
        <w:ind w:left="1040"/>
        <w:spacing w:after="0"/>
        <w:rPr>
          <w:sz w:val="20"/>
          <w:szCs w:val="20"/>
          <w:color w:val="auto"/>
        </w:rPr>
      </w:pPr>
      <w:r>
        <w:rPr>
          <w:rFonts w:ascii="Arial" w:cs="Arial" w:eastAsia="Arial" w:hAnsi="Arial"/>
          <w:sz w:val="18"/>
          <w:szCs w:val="18"/>
          <w:color w:val="auto"/>
        </w:rPr>
        <w:t>and as a result of the same, the Borrowers have not paid any amount which would, but for such unenforceability, invalidity, illegality or operation of law, have been payable by the Borrowers under any Finance Document on the date when it would have been due; or</w:t>
      </w:r>
    </w:p>
    <w:p>
      <w:pPr>
        <w:spacing w:after="0" w:line="189" w:lineRule="exact"/>
        <w:rPr>
          <w:sz w:val="20"/>
          <w:szCs w:val="20"/>
          <w:color w:val="auto"/>
        </w:rPr>
      </w:pPr>
    </w:p>
    <w:p>
      <w:pPr>
        <w:jc w:val="both"/>
        <w:ind w:left="1040" w:hanging="511"/>
        <w:spacing w:after="0" w:line="238" w:lineRule="auto"/>
        <w:tabs>
          <w:tab w:leader="none" w:pos="123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Arial" w:cs="Arial" w:eastAsia="Arial" w:hAnsi="Arial"/>
          <w:sz w:val="18"/>
          <w:szCs w:val="18"/>
          <w:b w:val="1"/>
          <w:bCs w:val="1"/>
          <w:color w:val="auto"/>
        </w:rPr>
        <w:t>Change in Law</w:t>
      </w:r>
      <w:r>
        <w:rPr>
          <w:rFonts w:ascii="Arial" w:cs="Arial" w:eastAsia="Arial" w:hAnsi="Arial"/>
          <w:sz w:val="18"/>
          <w:szCs w:val="18"/>
          <w:color w:val="auto"/>
        </w:rPr>
        <w:t>), there is a change in the currency, the value of the currency or the timing, place or manner in which any obligation guaranteed by a Guarantor is payable.</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amount payable by a Guarantor under this indemnity:</w:t>
      </w:r>
    </w:p>
    <w:p>
      <w:pPr>
        <w:spacing w:after="0" w:line="198" w:lineRule="exact"/>
        <w:rPr>
          <w:sz w:val="20"/>
          <w:szCs w:val="20"/>
          <w:color w:val="auto"/>
        </w:rPr>
      </w:pPr>
    </w:p>
    <w:p>
      <w:pPr>
        <w:jc w:val="both"/>
        <w:ind w:left="2060" w:hanging="511"/>
        <w:spacing w:after="0"/>
        <w:tabs>
          <w:tab w:leader="none" w:pos="209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189" w:lineRule="exact"/>
        <w:rPr>
          <w:rFonts w:ascii="Arial" w:cs="Arial" w:eastAsia="Arial" w:hAnsi="Arial"/>
          <w:sz w:val="18"/>
          <w:szCs w:val="18"/>
          <w:color w:val="auto"/>
        </w:rPr>
      </w:pPr>
    </w:p>
    <w:p>
      <w:pPr>
        <w:jc w:val="both"/>
        <w:ind w:left="2060" w:hanging="511"/>
        <w:spacing w:after="0" w:line="237" w:lineRule="auto"/>
        <w:tabs>
          <w:tab w:leader="none" w:pos="211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 respect of paragraph (ii) above, shall include (aa) the difference between (x) the amount (if any) received by the Security Agent and the other Finance Parties from the Borrowers and (y) the amount that the Borrowers were obliged to pay under the original express terms of the Finance Documents in the currency specified in the Finance Documents, disregarding any Change in Law (the </w:t>
      </w:r>
      <w:r>
        <w:rPr>
          <w:rFonts w:ascii="Arial" w:cs="Arial" w:eastAsia="Arial" w:hAnsi="Arial"/>
          <w:sz w:val="18"/>
          <w:szCs w:val="18"/>
          <w:b w:val="1"/>
          <w:bCs w:val="1"/>
          <w:color w:val="auto"/>
        </w:rPr>
        <w:t>Original Currency</w:t>
      </w:r>
      <w:r>
        <w:rPr>
          <w:rFonts w:ascii="Arial" w:cs="Arial" w:eastAsia="Arial" w:hAnsi="Arial"/>
          <w:sz w:val="18"/>
          <w:szCs w:val="18"/>
          <w:color w:val="auto"/>
        </w:rPr>
        <w:t>), and (bb) all further costs, losses and liabilities suffered or incurred by the Security Agent and the other Finance Parties as a result of a Change in Law.</w:t>
      </w:r>
    </w:p>
    <w:p>
      <w:pPr>
        <w:spacing w:after="0" w:line="19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For the purposes of (aa)(x) above, if payment was not received by the Security Agent or the other Finance Parties in the Original Currency, the amount received by the Security Agent and the other Finance Parties shall be deemed to be that payment’s equivalent in 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18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If the Original Currency no longer exists, the Guarantor shall make such payment in such currency as is, in the reasonable opinion of the Security Agent, required, after taking into account any payments by the Borrowers, to place the Security Agent and the other Finance Parties in a position reasonably comparable to that it would have been in had the Original Currency continued to exist.</w:t>
      </w:r>
    </w:p>
    <w:p>
      <w:pPr>
        <w:spacing w:after="0" w:line="1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64" w:name="page65"/>
    <w:bookmarkEnd w:id="64"/>
    <w:p>
      <w:pPr>
        <w:spacing w:after="0"/>
        <w:tabs>
          <w:tab w:leader="none" w:pos="5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b w:val="1"/>
          <w:bCs w:val="1"/>
          <w:color w:val="auto"/>
        </w:rPr>
        <w:t>Continuing guarantee</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Reinstatement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 disposition, and the same is avoided or reduced or must be restored in, or as a result of, insolvency, liquidation, administration or any other similar event or otherwise, then:</w:t>
      </w:r>
    </w:p>
    <w:p>
      <w:pPr>
        <w:spacing w:after="0" w:line="191" w:lineRule="exact"/>
        <w:rPr>
          <w:sz w:val="20"/>
          <w:szCs w:val="20"/>
          <w:color w:val="auto"/>
        </w:rPr>
      </w:pPr>
    </w:p>
    <w:p>
      <w:pPr>
        <w:ind w:left="1020" w:hanging="512"/>
        <w:spacing w:after="0" w:line="246" w:lineRule="auto"/>
        <w:tabs>
          <w:tab w:leader="none" w:pos="119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liability of each Guarantor under this clause 17 shall continue or be reinstated as if the payment, discharge, release, arrangement, avoidance or reduction had not occurred; and</w:t>
      </w:r>
    </w:p>
    <w:p>
      <w:pPr>
        <w:spacing w:after="0" w:line="183" w:lineRule="exact"/>
        <w:rPr>
          <w:rFonts w:ascii="Arial" w:cs="Arial" w:eastAsia="Arial" w:hAnsi="Arial"/>
          <w:sz w:val="18"/>
          <w:szCs w:val="18"/>
          <w:color w:val="auto"/>
        </w:rPr>
      </w:pPr>
    </w:p>
    <w:p>
      <w:pPr>
        <w:ind w:left="1020" w:hanging="512"/>
        <w:spacing w:after="0" w:line="246" w:lineRule="auto"/>
        <w:tabs>
          <w:tab w:leader="none" w:pos="112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Waiver of defences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189" w:lineRule="exact"/>
        <w:rPr>
          <w:sz w:val="20"/>
          <w:szCs w:val="20"/>
          <w:color w:val="auto"/>
        </w:rPr>
      </w:pPr>
    </w:p>
    <w:p>
      <w:pPr>
        <w:ind w:left="1020" w:hanging="512"/>
        <w:spacing w:after="0"/>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198" w:lineRule="exact"/>
        <w:rPr>
          <w:rFonts w:ascii="Arial" w:cs="Arial" w:eastAsia="Arial" w:hAnsi="Arial"/>
          <w:sz w:val="18"/>
          <w:szCs w:val="18"/>
          <w:color w:val="auto"/>
        </w:rPr>
      </w:pPr>
    </w:p>
    <w:p>
      <w:pPr>
        <w:ind w:left="1020" w:hanging="512"/>
        <w:spacing w:after="0" w:line="246" w:lineRule="auto"/>
        <w:tabs>
          <w:tab w:leader="none" w:pos="102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83" w:lineRule="exact"/>
        <w:rPr>
          <w:rFonts w:ascii="Arial" w:cs="Arial" w:eastAsia="Arial" w:hAnsi="Arial"/>
          <w:sz w:val="18"/>
          <w:szCs w:val="18"/>
          <w:color w:val="auto"/>
        </w:rPr>
      </w:pPr>
    </w:p>
    <w:p>
      <w:pPr>
        <w:jc w:val="both"/>
        <w:ind w:left="1020" w:hanging="512"/>
        <w:spacing w:after="0"/>
        <w:tabs>
          <w:tab w:leader="none" w:pos="100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9" w:lineRule="exact"/>
        <w:rPr>
          <w:rFonts w:ascii="Arial" w:cs="Arial" w:eastAsia="Arial" w:hAnsi="Arial"/>
          <w:sz w:val="18"/>
          <w:szCs w:val="18"/>
          <w:color w:val="auto"/>
        </w:rPr>
      </w:pPr>
    </w:p>
    <w:p>
      <w:pPr>
        <w:ind w:left="1020" w:hanging="512"/>
        <w:spacing w:after="0" w:line="246" w:lineRule="auto"/>
        <w:tabs>
          <w:tab w:leader="none" w:pos="10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13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91" w:lineRule="exact"/>
        <w:rPr>
          <w:rFonts w:ascii="Arial" w:cs="Arial" w:eastAsia="Arial" w:hAnsi="Arial"/>
          <w:sz w:val="18"/>
          <w:szCs w:val="18"/>
          <w:color w:val="auto"/>
        </w:rPr>
      </w:pPr>
    </w:p>
    <w:p>
      <w:pPr>
        <w:ind w:left="1020" w:right="20" w:hanging="512"/>
        <w:spacing w:after="0" w:line="246" w:lineRule="auto"/>
        <w:tabs>
          <w:tab w:leader="none" w:pos="10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the guaranteed obligations; or</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other circumstance that might constitute a defence of any Guarantor.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5" w:name="page66"/>
    <w:bookmarkEnd w:id="65"/>
    <w:p>
      <w:pPr>
        <w:spacing w:after="0"/>
        <w:tabs>
          <w:tab w:leader="none" w:pos="5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b w:val="1"/>
          <w:bCs w:val="1"/>
          <w:color w:val="auto"/>
        </w:rPr>
        <w:t>Immediate recourse</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7"/>
          <w:szCs w:val="17"/>
          <w:b w:val="1"/>
          <w:bCs w:val="1"/>
          <w:color w:val="auto"/>
        </w:rPr>
        <w:t>Appropriations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83" w:lineRule="exact"/>
        <w:rPr>
          <w:sz w:val="20"/>
          <w:szCs w:val="20"/>
          <w:color w:val="auto"/>
        </w:rPr>
      </w:pPr>
    </w:p>
    <w:p>
      <w:pPr>
        <w:jc w:val="both"/>
        <w:ind w:left="1020" w:hanging="512"/>
        <w:spacing w:after="0"/>
        <w:tabs>
          <w:tab w:leader="none" w:pos="105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189" w:lineRule="exact"/>
        <w:rPr>
          <w:rFonts w:ascii="Arial" w:cs="Arial" w:eastAsia="Arial" w:hAnsi="Arial"/>
          <w:sz w:val="18"/>
          <w:szCs w:val="18"/>
          <w:color w:val="auto"/>
        </w:rPr>
      </w:pPr>
    </w:p>
    <w:p>
      <w:pPr>
        <w:ind w:left="1020" w:hanging="512"/>
        <w:spacing w:after="0" w:line="246" w:lineRule="auto"/>
        <w:tabs>
          <w:tab w:leader="none" w:pos="106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 Guarantor’s liability under this clause 17.</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b w:val="1"/>
          <w:bCs w:val="1"/>
          <w:color w:val="auto"/>
        </w:rPr>
        <w:t>Deferral of Guarantors’ rights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91" w:lineRule="exact"/>
        <w:rPr>
          <w:sz w:val="20"/>
          <w:szCs w:val="20"/>
          <w:color w:val="auto"/>
        </w:rPr>
      </w:pPr>
    </w:p>
    <w:p>
      <w:pPr>
        <w:ind w:left="1020" w:hanging="512"/>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198" w:lineRule="exact"/>
        <w:rPr>
          <w:rFonts w:ascii="Arial" w:cs="Arial" w:eastAsia="Arial" w:hAnsi="Arial"/>
          <w:sz w:val="18"/>
          <w:szCs w:val="18"/>
          <w:color w:val="auto"/>
        </w:rPr>
      </w:pPr>
    </w:p>
    <w:p>
      <w:pPr>
        <w:jc w:val="both"/>
        <w:ind w:left="1020" w:hanging="512"/>
        <w:spacing w:after="0"/>
        <w:tabs>
          <w:tab w:leader="none" w:pos="111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89" w:lineRule="exact"/>
        <w:rPr>
          <w:rFonts w:ascii="Arial" w:cs="Arial" w:eastAsia="Arial" w:hAnsi="Arial"/>
          <w:sz w:val="18"/>
          <w:szCs w:val="18"/>
          <w:color w:val="auto"/>
        </w:rPr>
      </w:pPr>
    </w:p>
    <w:p>
      <w:pPr>
        <w:ind w:left="1020" w:right="20" w:hanging="512"/>
        <w:spacing w:after="0" w:line="246" w:lineRule="auto"/>
        <w:tabs>
          <w:tab w:leader="none" w:pos="102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Guarantor has given a guarantee, undertaking or indemnity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198" w:lineRule="exact"/>
        <w:rPr>
          <w:rFonts w:ascii="Arial" w:cs="Arial" w:eastAsia="Arial" w:hAnsi="Arial"/>
          <w:sz w:val="18"/>
          <w:szCs w:val="18"/>
          <w:color w:val="auto"/>
        </w:rPr>
      </w:pPr>
    </w:p>
    <w:p>
      <w:pPr>
        <w:ind w:left="980" w:hanging="472"/>
        <w:spacing w:after="0"/>
        <w:tabs>
          <w:tab w:leader="none" w:pos="9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198"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7"/>
          <w:szCs w:val="17"/>
          <w:b w:val="1"/>
          <w:bCs w:val="1"/>
          <w:color w:val="auto"/>
        </w:rPr>
        <w:t>Additional security</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6" w:name="page67"/>
    <w:bookmarkEnd w:id="66"/>
    <w:p>
      <w:pPr>
        <w:spacing w:after="0"/>
        <w:tabs>
          <w:tab w:leader="none" w:pos="5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7"/>
          <w:szCs w:val="17"/>
          <w:b w:val="1"/>
          <w:bCs w:val="1"/>
          <w:color w:val="auto"/>
        </w:rPr>
        <w:t>Guarantors’ rights and obligations</w:t>
      </w:r>
    </w:p>
    <w:p>
      <w:pPr>
        <w:spacing w:after="0" w:line="220" w:lineRule="exact"/>
        <w:rPr>
          <w:sz w:val="20"/>
          <w:szCs w:val="20"/>
          <w:color w:val="auto"/>
        </w:rPr>
      </w:pPr>
    </w:p>
    <w:p>
      <w:pPr>
        <w:ind w:left="1020" w:right="20" w:hanging="512"/>
        <w:spacing w:after="0" w:line="246" w:lineRule="auto"/>
        <w:tabs>
          <w:tab w:leader="none" w:pos="10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Guarantor irrevocably and unconditionally jointly and severally with the other Guarantor:</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60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the other Guarantor under the Guarantee and this Agreement;</w:t>
      </w:r>
    </w:p>
    <w:p>
      <w:pPr>
        <w:spacing w:after="0" w:line="183" w:lineRule="exact"/>
        <w:rPr>
          <w:rFonts w:ascii="Arial" w:cs="Arial" w:eastAsia="Arial" w:hAnsi="Arial"/>
          <w:sz w:val="18"/>
          <w:szCs w:val="18"/>
          <w:color w:val="auto"/>
        </w:rPr>
      </w:pPr>
    </w:p>
    <w:p>
      <w:pPr>
        <w:ind w:left="1540" w:hanging="511"/>
        <w:spacing w:after="0" w:line="246" w:lineRule="auto"/>
        <w:tabs>
          <w:tab w:leader="none" w:pos="153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Guarantors under the Guarantee and under this Agreement; and</w:t>
      </w:r>
    </w:p>
    <w:p>
      <w:pPr>
        <w:spacing w:after="0" w:line="183" w:lineRule="exact"/>
        <w:rPr>
          <w:rFonts w:ascii="Arial" w:cs="Arial" w:eastAsia="Arial" w:hAnsi="Arial"/>
          <w:sz w:val="18"/>
          <w:szCs w:val="18"/>
          <w:color w:val="auto"/>
        </w:rPr>
      </w:pPr>
    </w:p>
    <w:p>
      <w:pPr>
        <w:jc w:val="both"/>
        <w:ind w:left="1540" w:hanging="511"/>
        <w:spacing w:after="0" w:line="237" w:lineRule="auto"/>
        <w:tabs>
          <w:tab w:leader="none" w:pos="155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the other Guarantor under the Guarantee and this Agreement is or becomes unenforceable, invalid or illegal for any reason it will, as an independent and primary obligation, indemnify that Finance Party immediately on demand against any and all Losses it incurs as a result of the other Guarantor not paying any amount which would, but for such unenforceability, invalidity or illegality, have been payable by the other Guarantor under the Guarantee and/or this Agreement. The amount payable under this indemnity shall be equal to the amount which that Finance Party would otherwise have been entitled to recover.</w:t>
      </w:r>
    </w:p>
    <w:p>
      <w:pPr>
        <w:spacing w:after="0" w:line="191" w:lineRule="exact"/>
        <w:rPr>
          <w:rFonts w:ascii="Arial" w:cs="Arial" w:eastAsia="Arial" w:hAnsi="Arial"/>
          <w:sz w:val="18"/>
          <w:szCs w:val="18"/>
          <w:color w:val="auto"/>
        </w:rPr>
      </w:pPr>
    </w:p>
    <w:p>
      <w:pPr>
        <w:jc w:val="both"/>
        <w:ind w:left="1020" w:hanging="512"/>
        <w:spacing w:after="0"/>
        <w:tabs>
          <w:tab w:leader="none" w:pos="112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obligations of each Guarantor under the Finance Documents shall continue until all amounts which may be or become payable by the Guarantors under or in connection with the Finance Documents have been irrevocably and unconditionally paid or discharged in full, regardless of any intermediate payment or discharge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17.10 Limited recourse</w:t>
      </w:r>
    </w:p>
    <w:p>
      <w:pPr>
        <w:spacing w:after="0" w:line="220" w:lineRule="exact"/>
        <w:rPr>
          <w:sz w:val="20"/>
          <w:szCs w:val="20"/>
          <w:color w:val="auto"/>
        </w:rPr>
      </w:pPr>
    </w:p>
    <w:p>
      <w:pPr>
        <w:jc w:val="both"/>
        <w:ind w:left="1020" w:hanging="512"/>
        <w:spacing w:after="0"/>
        <w:tabs>
          <w:tab w:leader="none" w:pos="110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Finance Parties hereby agree that the liability of each Guarantor under the Guarantee set out in this clause 17, shall be limited in the manner and subject to the terms and conditions set out in this clause 17.10 but subject always to the overriding provisions of clause 17.11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20" w:hanging="512"/>
        <w:spacing w:after="0"/>
        <w:tabs>
          <w:tab w:leader="none" w:pos="11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At any relevant time, the Finance Parties acknowledge and agree that, notwithstanding anything to the contrary contained in clause 2.4(b) (</w:t>
      </w:r>
      <w:r>
        <w:rPr>
          <w:rFonts w:ascii="Arial" w:cs="Arial" w:eastAsia="Arial" w:hAnsi="Arial"/>
          <w:sz w:val="18"/>
          <w:szCs w:val="18"/>
          <w:i w:val="1"/>
          <w:iCs w:val="1"/>
          <w:color w:val="auto"/>
        </w:rPr>
        <w:t>Borrowers’ rights and obligations</w:t>
      </w:r>
      <w:r>
        <w:rPr>
          <w:rFonts w:ascii="Arial" w:cs="Arial" w:eastAsia="Arial" w:hAnsi="Arial"/>
          <w:sz w:val="18"/>
          <w:szCs w:val="18"/>
          <w:color w:val="auto"/>
        </w:rPr>
        <w:t>), neither the Parent nor GasLog Carriers shall under any circumstances be liable to pay any amount under or in respect of the Guarantee set out in this clause 17 in excess of the aggregate of:</w:t>
      </w:r>
    </w:p>
    <w:p>
      <w:pPr>
        <w:spacing w:after="0" w:line="189" w:lineRule="exact"/>
        <w:rPr>
          <w:rFonts w:ascii="Arial" w:cs="Arial" w:eastAsia="Arial" w:hAnsi="Arial"/>
          <w:sz w:val="18"/>
          <w:szCs w:val="18"/>
          <w:color w:val="auto"/>
        </w:rPr>
      </w:pPr>
    </w:p>
    <w:p>
      <w:pPr>
        <w:ind w:left="1540" w:right="20" w:hanging="511"/>
        <w:spacing w:after="0" w:line="246" w:lineRule="auto"/>
        <w:tabs>
          <w:tab w:leader="none" w:pos="164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outstanding amount of the Term Loans and Revolving Loan Ship Tranches which relate to Ships owned by Parent Relevant Borrowers at the relevant time and all accrued interest thereon; and</w:t>
      </w:r>
    </w:p>
    <w:p>
      <w:pPr>
        <w:spacing w:after="0" w:line="183" w:lineRule="exact"/>
        <w:rPr>
          <w:rFonts w:ascii="Arial" w:cs="Arial" w:eastAsia="Arial" w:hAnsi="Arial"/>
          <w:sz w:val="18"/>
          <w:szCs w:val="18"/>
          <w:color w:val="auto"/>
        </w:rPr>
      </w:pPr>
    </w:p>
    <w:p>
      <w:pPr>
        <w:jc w:val="both"/>
        <w:ind w:left="1540" w:hanging="511"/>
        <w:spacing w:after="0"/>
        <w:tabs>
          <w:tab w:leader="none" w:pos="153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such proportion of any other amounts owing under this Agreement and the other Finance Documents (other than amounts of principal and interest in respect of the Loans) which are at the relevant time due and payable by the Obligors, as the Agent in its sole discretion determines shall be payable by the Parent Relevant Borrowers at the relevant time.</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any event, the liability of each of the Parent and GasLog Carriers under the Guarantee shall always be joint and several.</w:t>
      </w:r>
    </w:p>
    <w:p>
      <w:pPr>
        <w:spacing w:after="0" w:line="198"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For the avoidance of any doubt and notwithstanding anything else to the contrary contained (express or implied) in this clause 17.10, the obligations and liability of the Parent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7" w:name="page68"/>
    <w:bookmarkEnd w:id="67"/>
    <w:p>
      <w:pPr>
        <w:jc w:val="both"/>
        <w:ind w:left="520"/>
        <w:spacing w:after="0" w:line="236" w:lineRule="auto"/>
        <w:rPr>
          <w:sz w:val="20"/>
          <w:szCs w:val="20"/>
          <w:color w:val="auto"/>
        </w:rPr>
      </w:pPr>
      <w:r>
        <w:rPr>
          <w:rFonts w:ascii="Arial" w:cs="Arial" w:eastAsia="Arial" w:hAnsi="Arial"/>
          <w:sz w:val="18"/>
          <w:szCs w:val="18"/>
          <w:color w:val="auto"/>
        </w:rPr>
        <w:t>GasLog Carriers under this clause 17 in respect of a Term Loan or a Revolving Loan Ship Tranche relating to a Ship owned by a Parent Relevant Borrower (and interest thereon and other amounts payable by that Parent Relevant Borrower as set out in this clause 17.10), shall not be limited by operation of this clause 17.10 on the grounds that such Borrower subsequently ceased to be a Parent Relevant Borrower, where such change of (direct or indirect) ownership or control of such Borrower (i) was effected in breach by any Obligor of any provisions of this Agreement or the other Finance Documents or (ii) constituted a Change of Control (unless any such breach or Change of Control was expressly waived or approved in writing by the Lenders in accordance with the provisions of this Agreement prior to its taking effect). For the purposes of the previous sentence a Dropdown in relation to a Borrower made in accordance with the provisions of this Agreement shall not constitute a breach of such provisions nor a Change of Control.</w:t>
      </w:r>
    </w:p>
    <w:p>
      <w:pPr>
        <w:spacing w:after="0" w:line="193" w:lineRule="exact"/>
        <w:rPr>
          <w:sz w:val="20"/>
          <w:szCs w:val="20"/>
          <w:color w:val="auto"/>
        </w:rPr>
      </w:pPr>
    </w:p>
    <w:p>
      <w:pPr>
        <w:jc w:val="both"/>
        <w:ind w:left="520" w:hanging="512"/>
        <w:spacing w:after="0"/>
        <w:tabs>
          <w:tab w:leader="none" w:pos="59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At any relevant time, the Finance Parties acknowledge and agree that, notwithstanding anything to the contrary contained in clause 2.4 (</w:t>
      </w:r>
      <w:r>
        <w:rPr>
          <w:rFonts w:ascii="Arial" w:cs="Arial" w:eastAsia="Arial" w:hAnsi="Arial"/>
          <w:sz w:val="18"/>
          <w:szCs w:val="18"/>
          <w:i w:val="1"/>
          <w:iCs w:val="1"/>
          <w:color w:val="auto"/>
        </w:rPr>
        <w:t>Borrowers’ rights and obligations</w:t>
      </w:r>
      <w:r>
        <w:rPr>
          <w:rFonts w:ascii="Arial" w:cs="Arial" w:eastAsia="Arial" w:hAnsi="Arial"/>
          <w:sz w:val="18"/>
          <w:szCs w:val="18"/>
          <w:color w:val="auto"/>
        </w:rPr>
        <w:t>), neither the MLP nor GPHL shall under any circumstances be liable to pay any amount under or in respect of the Guarantee set out in this clause 17 in excess of the aggregate of:</w:t>
      </w:r>
    </w:p>
    <w:p>
      <w:pPr>
        <w:spacing w:after="0" w:line="189" w:lineRule="exact"/>
        <w:rPr>
          <w:rFonts w:ascii="Arial" w:cs="Arial" w:eastAsia="Arial" w:hAnsi="Arial"/>
          <w:sz w:val="18"/>
          <w:szCs w:val="18"/>
          <w:color w:val="auto"/>
        </w:rPr>
      </w:pPr>
    </w:p>
    <w:p>
      <w:pPr>
        <w:ind w:left="1040" w:hanging="511"/>
        <w:spacing w:after="0" w:line="246" w:lineRule="auto"/>
        <w:tabs>
          <w:tab w:leader="none" w:pos="111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outstanding amount of all the Term Loans and Revolving Loan Ship Tranches which relate to Ships owned by MLP Relevant Borrowers at the relevant time and all accrued interest thereon; and</w:t>
      </w:r>
    </w:p>
    <w:p>
      <w:pPr>
        <w:spacing w:after="0" w:line="183" w:lineRule="exact"/>
        <w:rPr>
          <w:rFonts w:ascii="Arial" w:cs="Arial" w:eastAsia="Arial" w:hAnsi="Arial"/>
          <w:sz w:val="18"/>
          <w:szCs w:val="18"/>
          <w:color w:val="auto"/>
        </w:rPr>
      </w:pPr>
    </w:p>
    <w:p>
      <w:pPr>
        <w:jc w:val="both"/>
        <w:ind w:left="1040" w:hanging="511"/>
        <w:spacing w:after="0"/>
        <w:tabs>
          <w:tab w:leader="none" w:pos="103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such proportion of any other amounts owing under this Agreement and the other Finance Documents (other than amounts of principal and interest in respect of the Loans) which are at the relevant time due and payable by the Obligors, as the Agent in its sole discretion determines shall be payable by MLP Relevant Borrowers at the relevant time.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any event, the liability of each of the MLP and GPHL under the Guarantee shall always be joint and several.</w:t>
      </w:r>
    </w:p>
    <w:p>
      <w:pPr>
        <w:spacing w:after="0" w:line="198"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For the avoidance of any doubt and notwithstanding anything else to the contrary contained (express or implied) in this clause 17.10, the obligations and liability of the MLP and GPHL under this clause 17 in respect of a Term Loan or a Revolving Loan Ship Tranche relating to a Ship owned by a MLP Relevant Borrower (and interest thereon and other amounts payable by that MLP Relevant Borrower as set out in this clause 17.10), shall not be limited by operation of this clause 17.10 on the grounds that such Borrower subsequently ceased to be a MLP Relevant Borrower, where such change of (direct or indirect) ownership or control of such Borrower (i) was effected in breach by any Obligor of any provisions of this Agreement or the other Finance Documents or (ii) constituted a Change of Control (unless any such breach or Change of Control was expressly waived or approved in writing by the Lenders in accordance with the provisions of this Agreement prior to its taking effect). For the purposes of the previous sentence a Reverse Dropdown in relation to a Borrower made in accordance with the provisions of this Agreement shall not constitute a breach of such provisions nor a Change of Control.</w:t>
      </w:r>
    </w:p>
    <w:p>
      <w:pPr>
        <w:spacing w:after="0" w:line="192" w:lineRule="exact"/>
        <w:rPr>
          <w:sz w:val="20"/>
          <w:szCs w:val="20"/>
          <w:color w:val="auto"/>
        </w:rPr>
      </w:pPr>
    </w:p>
    <w:p>
      <w:pPr>
        <w:ind w:left="520" w:hanging="512"/>
        <w:spacing w:after="0" w:line="246" w:lineRule="auto"/>
        <w:tabs>
          <w:tab w:leader="none" w:pos="61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anything to the contrary expressly contained in, or implied by, the other provisions of this clause 17 and the other provisions of this Agreement (and subject always to clause 17.11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40" w:hanging="511"/>
        <w:spacing w:after="0"/>
        <w:tabs>
          <w:tab w:leader="none" w:pos="114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even though each Guarantor is a Party to this Agreement and this clause 17 as a guarantor, no Guarantor shall be or become liable under the Guarantee unless and until such Guarantor is or becomes an Active Guarantor under the provisions and by operation of this clause 17 and/or the other provisions of this Agreement;</w:t>
      </w:r>
    </w:p>
    <w:p>
      <w:pPr>
        <w:spacing w:after="0" w:line="189" w:lineRule="exact"/>
        <w:rPr>
          <w:rFonts w:ascii="Arial" w:cs="Arial" w:eastAsia="Arial" w:hAnsi="Arial"/>
          <w:sz w:val="18"/>
          <w:szCs w:val="18"/>
          <w:color w:val="auto"/>
        </w:rPr>
      </w:pPr>
    </w:p>
    <w:p>
      <w:pPr>
        <w:jc w:val="both"/>
        <w:ind w:left="1040" w:hanging="511"/>
        <w:spacing w:after="0"/>
        <w:tabs>
          <w:tab w:leader="none" w:pos="110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as at the date of this Agreement and at all times thereafter, the Parent and GasLog Carriers shall in any event be (and shall be considered to be) Active Guarantors and liable as guarantors under the Guarantee until a Dropdown has occurred in relation to all Borrowers and whilst no Reverse Dropdown has occurred in relation to any one of them;</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68" w:name="page69"/>
    <w:bookmarkEnd w:id="68"/>
    <w:p>
      <w:pPr>
        <w:jc w:val="both"/>
        <w:ind w:left="1540" w:hanging="511"/>
        <w:spacing w:after="0" w:line="238" w:lineRule="auto"/>
        <w:tabs>
          <w:tab w:leader="none" w:pos="152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unless and until at least one Dropdown has occurred (whereupon the MLP and GPHL shall become (and be considered to be) Active Guarantors and be liable as guarantors under the Guarantee), the MLP and GPHL shall not be or become Active Guarantors or be liable as guarantors under the Guarantee, provided that, upon a Reverse Dropdown in respect of all Borrowers previously the subject of a Dropdown, the MLP and GPHL shall cease to be (and shall not be considered as) Active Guarantors;</w:t>
      </w:r>
    </w:p>
    <w:p>
      <w:pPr>
        <w:spacing w:after="0" w:line="188" w:lineRule="exact"/>
        <w:rPr>
          <w:rFonts w:ascii="Arial" w:cs="Arial" w:eastAsia="Arial" w:hAnsi="Arial"/>
          <w:sz w:val="18"/>
          <w:szCs w:val="18"/>
          <w:color w:val="auto"/>
        </w:rPr>
      </w:pPr>
    </w:p>
    <w:p>
      <w:pPr>
        <w:ind w:left="1540" w:hanging="511"/>
        <w:spacing w:after="0" w:line="246" w:lineRule="auto"/>
        <w:tabs>
          <w:tab w:leader="none" w:pos="162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at the date of this Agreement (A) the Parent and GasLog Carriers are Active Guarantors and liable as Guarantors under the Guarantee and (B) MLP and GPHL are not Active Guarantors nor liable as Guarantors under the Guarantee;</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provisions of this clause 17 and references herein to the Guarantors shall be construed accordingly; and</w:t>
      </w:r>
    </w:p>
    <w:p>
      <w:pPr>
        <w:spacing w:after="0" w:line="198" w:lineRule="exact"/>
        <w:rPr>
          <w:rFonts w:ascii="Arial" w:cs="Arial" w:eastAsia="Arial" w:hAnsi="Arial"/>
          <w:sz w:val="18"/>
          <w:szCs w:val="18"/>
          <w:color w:val="auto"/>
        </w:rPr>
      </w:pPr>
    </w:p>
    <w:p>
      <w:pPr>
        <w:ind w:left="1540" w:hanging="511"/>
        <w:spacing w:after="0" w:line="246" w:lineRule="auto"/>
        <w:tabs>
          <w:tab w:leader="none" w:pos="155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otherwise the Guarantors shall be (and be deemed to be or become, as the case may be) Active Guarantors as required by, and by operation of, the other provisions of this Agreement.</w:t>
      </w:r>
    </w:p>
    <w:p>
      <w:pPr>
        <w:spacing w:after="0" w:line="183" w:lineRule="exact"/>
        <w:rPr>
          <w:sz w:val="20"/>
          <w:szCs w:val="20"/>
          <w:color w:val="auto"/>
        </w:rPr>
      </w:pPr>
    </w:p>
    <w:p>
      <w:pPr>
        <w:jc w:val="both"/>
        <w:ind w:left="1020" w:hanging="512"/>
        <w:spacing w:after="0" w:line="238" w:lineRule="auto"/>
        <w:tabs>
          <w:tab w:leader="none" w:pos="110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Guarantor agrees that at any time and for any purpose the Agent and/or the Security Agent shall be entitled in its sole discretion (or following instructions by the Majority Lenders) to determine the quantum of each Guarantor’s liability under the Guarantee in accordance with this clause 17.10, clause 17.11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and the other provisions of this clause 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17.11 Termination of limited recourse</w:t>
      </w:r>
    </w:p>
    <w:p>
      <w:pPr>
        <w:spacing w:after="0" w:line="202"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If at any time MLP ceases to be listed on an Approved Exchange, clause 17.10 (</w:t>
      </w:r>
      <w:r>
        <w:rPr>
          <w:rFonts w:ascii="Arial" w:cs="Arial" w:eastAsia="Arial" w:hAnsi="Arial"/>
          <w:sz w:val="18"/>
          <w:szCs w:val="18"/>
          <w:i w:val="1"/>
          <w:iCs w:val="1"/>
          <w:color w:val="auto"/>
        </w:rPr>
        <w:t>Limited recourse</w:t>
      </w:r>
      <w:r>
        <w:rPr>
          <w:rFonts w:ascii="Arial" w:cs="Arial" w:eastAsia="Arial" w:hAnsi="Arial"/>
          <w:sz w:val="18"/>
          <w:szCs w:val="18"/>
          <w:color w:val="auto"/>
        </w:rPr>
        <w:t>) above shall not apply to the Guarantee in respect of the Parent and GasLog Carriers and at that time (to the extent not already so jointly and severally liable at the time) the Parent and GasLog Carriers shall become and shall be jointly and severally liable under the Guarantee as if clause 17.10 (</w:t>
      </w:r>
      <w:r>
        <w:rPr>
          <w:rFonts w:ascii="Arial" w:cs="Arial" w:eastAsia="Arial" w:hAnsi="Arial"/>
          <w:sz w:val="18"/>
          <w:szCs w:val="18"/>
          <w:i w:val="1"/>
          <w:iCs w:val="1"/>
          <w:color w:val="auto"/>
        </w:rPr>
        <w:t>Limited recourse</w:t>
      </w:r>
      <w:r>
        <w:rPr>
          <w:rFonts w:ascii="Arial" w:cs="Arial" w:eastAsia="Arial" w:hAnsi="Arial"/>
          <w:sz w:val="18"/>
          <w:szCs w:val="18"/>
          <w:color w:val="auto"/>
        </w:rPr>
        <w:t>) were not applicable or ever effective in respect of the Parent and GasLog Carriers.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17.12 Amendments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amendment, waiver, discharge, release or consent in relation to the Guarantee and/or this clause 17 may only be made or given in writing.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17.13 Guarantor intent</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Without prejudice to the generality of clause 17.4 (</w:t>
      </w:r>
      <w:r>
        <w:rPr>
          <w:rFonts w:ascii="Arial" w:cs="Arial" w:eastAsia="Arial" w:hAnsi="Arial"/>
          <w:sz w:val="18"/>
          <w:szCs w:val="18"/>
          <w:i w:val="1"/>
          <w:iCs w:val="1"/>
          <w:color w:val="auto"/>
        </w:rPr>
        <w:t>Waiver of defences</w:t>
      </w:r>
      <w:r>
        <w:rPr>
          <w:rFonts w:ascii="Arial" w:cs="Arial" w:eastAsia="Arial" w:hAnsi="Arial"/>
          <w:sz w:val="18"/>
          <w:szCs w:val="18"/>
          <w:color w:val="auto"/>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spacing w:after="0" w:line="150" w:lineRule="exact"/>
        <w:rPr>
          <w:sz w:val="20"/>
          <w:szCs w:val="20"/>
          <w:color w:val="auto"/>
        </w:rPr>
      </w:pPr>
    </w:p>
    <w:p>
      <w:pPr>
        <w:ind w:left="520" w:hanging="410"/>
        <w:spacing w:after="0"/>
        <w:tabs>
          <w:tab w:leader="none" w:pos="52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w:t>
      </w:r>
    </w:p>
    <w:p>
      <w:pPr>
        <w:spacing w:after="0" w:line="224" w:lineRule="exact"/>
        <w:rPr>
          <w:rFonts w:ascii="Arial" w:cs="Arial" w:eastAsia="Arial" w:hAnsi="Arial"/>
          <w:sz w:val="22"/>
          <w:szCs w:val="22"/>
          <w:b w:val="1"/>
          <w:bCs w:val="1"/>
          <w:color w:val="auto"/>
        </w:rPr>
      </w:pPr>
    </w:p>
    <w:p>
      <w:pPr>
        <w:ind w:left="1020" w:hanging="512"/>
        <w:spacing w:after="0" w:line="246" w:lineRule="auto"/>
        <w:tabs>
          <w:tab w:leader="none" w:pos="103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Each Obligor makes and repeats the representations and warranties set out in this clause 18 to each Finance Party at the times specified in clause 18.33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 (subject to paragraph (b) below).</w:t>
      </w:r>
    </w:p>
    <w:p>
      <w:pPr>
        <w:spacing w:after="0" w:line="165" w:lineRule="exact"/>
        <w:rPr>
          <w:rFonts w:ascii="Arial" w:cs="Arial" w:eastAsia="Arial" w:hAnsi="Arial"/>
          <w:sz w:val="18"/>
          <w:szCs w:val="18"/>
          <w:color w:val="auto"/>
        </w:rPr>
      </w:pPr>
    </w:p>
    <w:p>
      <w:pPr>
        <w:jc w:val="both"/>
        <w:ind w:left="1020" w:hanging="512"/>
        <w:spacing w:after="0" w:line="241" w:lineRule="auto"/>
        <w:tabs>
          <w:tab w:leader="none" w:pos="108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Notwithstanding paragraph (a) above, the representations and warranties of clause 18.32 (</w:t>
      </w:r>
      <w:r>
        <w:rPr>
          <w:rFonts w:ascii="Arial" w:cs="Arial" w:eastAsia="Arial" w:hAnsi="Arial"/>
          <w:sz w:val="18"/>
          <w:szCs w:val="18"/>
          <w:i w:val="1"/>
          <w:iCs w:val="1"/>
          <w:color w:val="auto"/>
        </w:rPr>
        <w:t>Sanctions</w:t>
      </w:r>
      <w:r>
        <w:rPr>
          <w:rFonts w:ascii="Arial" w:cs="Arial" w:eastAsia="Arial" w:hAnsi="Arial"/>
          <w:sz w:val="18"/>
          <w:szCs w:val="18"/>
          <w:color w:val="auto"/>
        </w:rPr>
        <w:t>) insofar as they relate to Sanctions not imposed by Germany, the European Union or the United Nations will not be so made and repeated to any Finance Party if and to the extent that the giving of, and compliance with, such representations and warranties would, in respect of that Finance Party, result in a violation of, or conflict with, section 7 of the German Foreign Trade Regulation (Außenwirtschaftsverordnung) (in conjunction with section 4 paragraph 1 no.3 foreign trade law (AWG) (Außenwirtschaftsgesetz)),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ind w:left="1040"/>
        <w:spacing w:after="0" w:line="246" w:lineRule="auto"/>
        <w:rPr>
          <w:sz w:val="20"/>
          <w:szCs w:val="20"/>
          <w:color w:val="auto"/>
        </w:rPr>
      </w:pPr>
      <w:r>
        <w:rPr>
          <w:rFonts w:ascii="Arial" w:cs="Arial" w:eastAsia="Arial" w:hAnsi="Arial"/>
          <w:sz w:val="18"/>
          <w:szCs w:val="18"/>
          <w:color w:val="auto"/>
        </w:rPr>
        <w:t>provision of Council Regulation (EC) 2271/1996 (in conjunction with Commission Delegated Regulation EU 2018/1100) or any similar applicable anti-boycott law or regulation.</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7"/>
          <w:szCs w:val="17"/>
          <w:b w:val="1"/>
          <w:bCs w:val="1"/>
          <w:color w:val="auto"/>
        </w:rPr>
        <w:t>Status</w:t>
      </w:r>
    </w:p>
    <w:p>
      <w:pPr>
        <w:spacing w:after="0" w:line="220" w:lineRule="exact"/>
        <w:rPr>
          <w:sz w:val="20"/>
          <w:szCs w:val="20"/>
          <w:color w:val="auto"/>
        </w:rPr>
      </w:pPr>
    </w:p>
    <w:p>
      <w:pPr>
        <w:jc w:val="both"/>
        <w:ind w:left="1020" w:hanging="512"/>
        <w:spacing w:after="0" w:line="238" w:lineRule="auto"/>
        <w:tabs>
          <w:tab w:leader="none" w:pos="107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Obligor and each Manager is duly incorporated and validly existing or established under the laws of the jurisdiction of its incorporation or establishment as a limited liability company or corporation or limited partnership (as the case may be) and (other than an Obligor formed in the Marshall Islands) has no centre of main interests, permanent establishment or place of business outside the jurisdiction in which it is incorporated (save as notified to the Agent) and is in compliance with its Constitutional Documents.</w:t>
      </w:r>
    </w:p>
    <w:p>
      <w:pPr>
        <w:spacing w:after="0" w:line="188" w:lineRule="exact"/>
        <w:rPr>
          <w:rFonts w:ascii="Arial" w:cs="Arial" w:eastAsia="Arial" w:hAnsi="Arial"/>
          <w:sz w:val="18"/>
          <w:szCs w:val="18"/>
          <w:color w:val="auto"/>
        </w:rPr>
      </w:pPr>
    </w:p>
    <w:p>
      <w:pPr>
        <w:ind w:left="1020" w:hanging="512"/>
        <w:spacing w:after="0" w:line="246" w:lineRule="auto"/>
        <w:tabs>
          <w:tab w:leader="none" w:pos="107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7"/>
          <w:szCs w:val="17"/>
          <w:b w:val="1"/>
          <w:bCs w:val="1"/>
          <w:color w:val="auto"/>
        </w:rPr>
        <w:t>Binding obligations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Subject to the Legal Reservations, the obligations expressed to be assumed by each Obligor in each Finance Document and any Charter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7"/>
          <w:szCs w:val="17"/>
          <w:b w:val="1"/>
          <w:bCs w:val="1"/>
          <w:color w:val="auto"/>
        </w:rPr>
        <w:t>Power and authority</w:t>
      </w:r>
    </w:p>
    <w:p>
      <w:pPr>
        <w:spacing w:after="0" w:line="220" w:lineRule="exact"/>
        <w:rPr>
          <w:sz w:val="20"/>
          <w:szCs w:val="20"/>
          <w:color w:val="auto"/>
        </w:rPr>
      </w:pPr>
    </w:p>
    <w:p>
      <w:pPr>
        <w:jc w:val="both"/>
        <w:ind w:left="1020" w:hanging="512"/>
        <w:spacing w:after="0" w:line="238" w:lineRule="auto"/>
        <w:tabs>
          <w:tab w:leader="none" w:pos="107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Obligor has, or will have when entered into by it, power to enter into, perform and deliver and comply with its obligations under, and has taken, or will take when entered into by it, all necessary action to authorise its entry into, performance or delivery of, and compliance with, each Finance Document and any Charter Document to which it is, or is to be a party and each of the transactions contemplated by those documents.</w:t>
      </w:r>
    </w:p>
    <w:p>
      <w:pPr>
        <w:spacing w:after="0" w:line="191" w:lineRule="exact"/>
        <w:rPr>
          <w:rFonts w:ascii="Arial" w:cs="Arial" w:eastAsia="Arial" w:hAnsi="Arial"/>
          <w:sz w:val="18"/>
          <w:szCs w:val="18"/>
          <w:color w:val="auto"/>
        </w:rPr>
      </w:pPr>
    </w:p>
    <w:p>
      <w:pPr>
        <w:jc w:val="both"/>
        <w:ind w:left="1020" w:hanging="512"/>
        <w:spacing w:after="0"/>
        <w:tabs>
          <w:tab w:leader="none" w:pos="121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limitation on any Obligor’s powers to borrow, create security or give guarantees will be exceeded as a result of any transaction under, or the entry into of, any Finance Document or any Charter Document to which such Obligor is, or is to be, a party.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7"/>
          <w:szCs w:val="17"/>
          <w:b w:val="1"/>
          <w:bCs w:val="1"/>
          <w:color w:val="auto"/>
        </w:rPr>
        <w:t>Non-conflict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entry into and performance by each Obligor and any Manager of, and the transactions contemplated by the Finance Documents and the Charter Documents and the granting of the Security Interests purported to be created by the Security Documents do not and will not conflict with:</w:t>
      </w:r>
    </w:p>
    <w:p>
      <w:pPr>
        <w:spacing w:after="0" w:line="189" w:lineRule="exact"/>
        <w:rPr>
          <w:sz w:val="20"/>
          <w:szCs w:val="20"/>
          <w:color w:val="auto"/>
        </w:rPr>
      </w:pPr>
    </w:p>
    <w:p>
      <w:pPr>
        <w:ind w:left="1020" w:hanging="512"/>
        <w:spacing w:after="0"/>
        <w:tabs>
          <w:tab w:leader="none" w:pos="10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198" w:lineRule="exact"/>
        <w:rPr>
          <w:rFonts w:ascii="Arial" w:cs="Arial" w:eastAsia="Arial" w:hAnsi="Arial"/>
          <w:sz w:val="18"/>
          <w:szCs w:val="18"/>
          <w:color w:val="auto"/>
        </w:rPr>
      </w:pPr>
    </w:p>
    <w:p>
      <w:pPr>
        <w:jc w:val="both"/>
        <w:ind w:left="1020" w:hanging="512"/>
        <w:spacing w:after="0"/>
        <w:tabs>
          <w:tab w:leader="none" w:pos="101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material obligations of any Obligor or any Manager under any agreement or other instrument binding upon itself or its assets (including the Charter Documents, any management agreements in respect of a Ship and any contract or agreement in respect of Financial Indebtedness),</w:t>
      </w:r>
    </w:p>
    <w:p>
      <w:pPr>
        <w:spacing w:after="0" w:line="189"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7"/>
          <w:szCs w:val="17"/>
          <w:b w:val="1"/>
          <w:bCs w:val="1"/>
          <w:color w:val="auto"/>
        </w:rPr>
        <w:t>Validity and admissibility in evidence</w:t>
      </w:r>
    </w:p>
    <w:p>
      <w:pPr>
        <w:spacing w:after="0" w:line="220" w:lineRule="exact"/>
        <w:rPr>
          <w:sz w:val="20"/>
          <w:szCs w:val="20"/>
          <w:color w:val="auto"/>
        </w:rPr>
      </w:pPr>
    </w:p>
    <w:p>
      <w:pPr>
        <w:ind w:left="1020" w:hanging="512"/>
        <w:spacing w:after="0"/>
        <w:tabs>
          <w:tab w:leader="none" w:pos="10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ind w:left="1540" w:hanging="511"/>
        <w:spacing w:after="0" w:line="246" w:lineRule="auto"/>
        <w:tabs>
          <w:tab w:leader="none" w:pos="171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to which it is a party;</w:t>
      </w:r>
    </w:p>
    <w:p>
      <w:pPr>
        <w:spacing w:after="0" w:line="183" w:lineRule="exact"/>
        <w:rPr>
          <w:rFonts w:ascii="Arial" w:cs="Arial" w:eastAsia="Arial" w:hAnsi="Arial"/>
          <w:sz w:val="18"/>
          <w:szCs w:val="18"/>
          <w:color w:val="auto"/>
        </w:rPr>
      </w:pPr>
    </w:p>
    <w:p>
      <w:pPr>
        <w:ind w:left="1540" w:hanging="511"/>
        <w:spacing w:after="0" w:line="246" w:lineRule="auto"/>
        <w:tabs>
          <w:tab w:leader="none" w:pos="157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to which it is a party admissible in evidence in its Relevant Jurisdiction; and</w:t>
      </w:r>
    </w:p>
    <w:p>
      <w:pPr>
        <w:spacing w:after="0" w:line="183" w:lineRule="exact"/>
        <w:rPr>
          <w:rFonts w:ascii="Arial" w:cs="Arial" w:eastAsia="Arial" w:hAnsi="Arial"/>
          <w:sz w:val="18"/>
          <w:szCs w:val="18"/>
          <w:color w:val="auto"/>
        </w:rPr>
      </w:pPr>
    </w:p>
    <w:p>
      <w:pPr>
        <w:ind w:left="1540" w:hanging="511"/>
        <w:spacing w:after="0" w:line="246" w:lineRule="auto"/>
        <w:tabs>
          <w:tab w:leader="none" w:pos="172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ensure that each of the Security Interests created under the Security Documents has the priority and ranking contemplated by them,</w:t>
      </w:r>
    </w:p>
    <w:p>
      <w:pPr>
        <w:spacing w:after="0" w:line="183"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18.12 (</w:t>
      </w:r>
      <w:r>
        <w:rPr>
          <w:rFonts w:ascii="Arial" w:cs="Arial" w:eastAsia="Arial" w:hAnsi="Arial"/>
          <w:sz w:val="18"/>
          <w:szCs w:val="18"/>
          <w:i w:val="1"/>
          <w:iCs w:val="1"/>
          <w:color w:val="auto"/>
        </w:rPr>
        <w:t>No filing</w:t>
      </w:r>
      <w:r>
        <w:rPr>
          <w:rFonts w:ascii="Arial" w:cs="Arial" w:eastAsia="Arial" w:hAnsi="Arial"/>
          <w:sz w:val="18"/>
          <w:szCs w:val="18"/>
          <w:color w:val="auto"/>
        </w:rPr>
        <w:t xml:space="preserve"> </w:t>
      </w:r>
      <w:r>
        <w:rPr>
          <w:rFonts w:ascii="Arial" w:cs="Arial" w:eastAsia="Arial" w:hAnsi="Arial"/>
          <w:sz w:val="18"/>
          <w:szCs w:val="18"/>
          <w:i w:val="1"/>
          <w:iCs w:val="1"/>
          <w:color w:val="auto"/>
        </w:rPr>
        <w:t>or stamp taxes</w:t>
      </w:r>
      <w:r>
        <w:rPr>
          <w:rFonts w:ascii="Arial" w:cs="Arial" w:eastAsia="Arial" w:hAnsi="Arial"/>
          <w:sz w:val="18"/>
          <w:szCs w:val="18"/>
          <w:color w:val="auto"/>
        </w:rPr>
        <w:t>), which authorisation or filing will be promptly obtained or effected within any applicable period.</w:t>
      </w:r>
    </w:p>
    <w:p>
      <w:pPr>
        <w:spacing w:after="0" w:line="189" w:lineRule="exact"/>
        <w:rPr>
          <w:sz w:val="20"/>
          <w:szCs w:val="20"/>
          <w:color w:val="auto"/>
        </w:rPr>
      </w:pPr>
    </w:p>
    <w:p>
      <w:pPr>
        <w:jc w:val="both"/>
        <w:ind w:left="1020" w:hanging="512"/>
        <w:spacing w:after="0"/>
        <w:tabs>
          <w:tab w:leader="none" w:pos="109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b w:val="1"/>
          <w:bCs w:val="1"/>
          <w:color w:val="auto"/>
        </w:rPr>
        <w:t>Governing law and enforcement</w:t>
      </w:r>
    </w:p>
    <w:p>
      <w:pPr>
        <w:spacing w:after="0" w:line="220" w:lineRule="exact"/>
        <w:rPr>
          <w:sz w:val="20"/>
          <w:szCs w:val="20"/>
          <w:color w:val="auto"/>
        </w:rPr>
      </w:pPr>
    </w:p>
    <w:p>
      <w:pPr>
        <w:ind w:left="1020" w:hanging="512"/>
        <w:spacing w:after="0" w:line="246"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Subject to any relevant Legal Reservations, the choice of English law or any other applicable law as the governing law of any Finance Document and any Charter Document will be recognised and enforced in each Obligor’s Relevant Jurisdiction.</w:t>
      </w:r>
    </w:p>
    <w:p>
      <w:pPr>
        <w:spacing w:after="0" w:line="183" w:lineRule="exact"/>
        <w:rPr>
          <w:rFonts w:ascii="Arial" w:cs="Arial" w:eastAsia="Arial" w:hAnsi="Arial"/>
          <w:sz w:val="18"/>
          <w:szCs w:val="18"/>
          <w:color w:val="auto"/>
        </w:rPr>
      </w:pPr>
    </w:p>
    <w:p>
      <w:pPr>
        <w:ind w:left="1020" w:hanging="512"/>
        <w:spacing w:after="0" w:line="246" w:lineRule="auto"/>
        <w:tabs>
          <w:tab w:leader="none" w:pos="107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in relation to an Obligor will be recognised and enforced in each Obligor’s Relevant Jurisdictions.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7"/>
          <w:szCs w:val="17"/>
          <w:b w:val="1"/>
          <w:bCs w:val="1"/>
          <w:color w:val="auto"/>
        </w:rPr>
        <w:t>Information</w:t>
      </w:r>
    </w:p>
    <w:p>
      <w:pPr>
        <w:spacing w:after="0" w:line="220" w:lineRule="exact"/>
        <w:rPr>
          <w:sz w:val="20"/>
          <w:szCs w:val="20"/>
          <w:color w:val="auto"/>
        </w:rPr>
      </w:pPr>
    </w:p>
    <w:p>
      <w:pPr>
        <w:ind w:left="1020" w:hanging="512"/>
        <w:spacing w:after="0"/>
        <w:tabs>
          <w:tab w:leader="none" w:pos="10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198" w:lineRule="exact"/>
        <w:rPr>
          <w:rFonts w:ascii="Arial" w:cs="Arial" w:eastAsia="Arial" w:hAnsi="Arial"/>
          <w:sz w:val="18"/>
          <w:szCs w:val="18"/>
          <w:color w:val="auto"/>
        </w:rPr>
      </w:pPr>
    </w:p>
    <w:p>
      <w:pPr>
        <w:ind w:left="1020" w:hanging="512"/>
        <w:spacing w:after="0" w:line="246" w:lineRule="auto"/>
        <w:tabs>
          <w:tab w:leader="none" w:pos="106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83" w:lineRule="exact"/>
        <w:rPr>
          <w:rFonts w:ascii="Arial" w:cs="Arial" w:eastAsia="Arial" w:hAnsi="Arial"/>
          <w:sz w:val="18"/>
          <w:szCs w:val="18"/>
          <w:color w:val="auto"/>
        </w:rPr>
      </w:pPr>
    </w:p>
    <w:p>
      <w:pPr>
        <w:ind w:left="1020" w:hanging="512"/>
        <w:spacing w:after="0" w:line="246" w:lineRule="auto"/>
        <w:tabs>
          <w:tab w:leader="none" w:pos="107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83" w:lineRule="exact"/>
        <w:rPr>
          <w:rFonts w:ascii="Arial" w:cs="Arial" w:eastAsia="Arial" w:hAnsi="Arial"/>
          <w:sz w:val="18"/>
          <w:szCs w:val="18"/>
          <w:color w:val="auto"/>
        </w:rPr>
      </w:pPr>
    </w:p>
    <w:p>
      <w:pPr>
        <w:ind w:left="1020" w:hanging="512"/>
        <w:spacing w:after="0" w:line="246" w:lineRule="auto"/>
        <w:tabs>
          <w:tab w:leader="none" w:pos="106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61" w:lineRule="exact"/>
        <w:rPr>
          <w:rFonts w:ascii="Arial" w:cs="Arial" w:eastAsia="Arial" w:hAnsi="Arial"/>
          <w:sz w:val="18"/>
          <w:szCs w:val="18"/>
          <w:color w:val="auto"/>
        </w:rPr>
      </w:pPr>
    </w:p>
    <w:p>
      <w:pPr>
        <w:jc w:val="both"/>
        <w:ind w:left="1020" w:hanging="512"/>
        <w:spacing w:after="0" w:line="253" w:lineRule="auto"/>
        <w:tabs>
          <w:tab w:leader="none" w:pos="113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18.7,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 Parties in connection with the Finance Documents or the Charter Documents or the transactions referred to in them (including that contained in any information memorandum).</w:t>
      </w:r>
    </w:p>
    <w:p>
      <w:pPr>
        <w:spacing w:after="0" w:line="1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7"/>
          <w:szCs w:val="17"/>
          <w:b w:val="1"/>
          <w:bCs w:val="1"/>
          <w:color w:val="auto"/>
        </w:rPr>
        <w:t>Original Financial Statements</w:t>
      </w:r>
    </w:p>
    <w:p>
      <w:pPr>
        <w:spacing w:after="0" w:line="220" w:lineRule="exact"/>
        <w:rPr>
          <w:sz w:val="20"/>
          <w:szCs w:val="20"/>
          <w:color w:val="auto"/>
        </w:rPr>
      </w:pPr>
    </w:p>
    <w:p>
      <w:pPr>
        <w:ind w:left="1020" w:hanging="512"/>
        <w:spacing w:after="0"/>
        <w:tabs>
          <w:tab w:leader="none" w:pos="10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w:t>
      </w:r>
    </w:p>
    <w:p>
      <w:pPr>
        <w:spacing w:after="0" w:line="198" w:lineRule="exact"/>
        <w:rPr>
          <w:rFonts w:ascii="Arial" w:cs="Arial" w:eastAsia="Arial" w:hAnsi="Arial"/>
          <w:sz w:val="18"/>
          <w:szCs w:val="18"/>
          <w:color w:val="auto"/>
        </w:rPr>
      </w:pPr>
    </w:p>
    <w:p>
      <w:pPr>
        <w:jc w:val="both"/>
        <w:ind w:left="1020" w:hanging="512"/>
        <w:spacing w:after="0"/>
        <w:tabs>
          <w:tab w:leader="none" w:pos="109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Original Financial Statements give a true and fair view of the financial condition and results of operations of the relevant Obligors, the Group and the MLP Group (consolidated in the case of the Group, the MLP Group, GasLog Carriers and GPHL, respectively) during the relevant financial year.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jc w:val="both"/>
        <w:ind w:left="1020" w:hanging="512"/>
        <w:spacing w:after="0"/>
        <w:tabs>
          <w:tab w:leader="none" w:pos="102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or the MLP Group taken as a whole since the date of the latest Financial Statements delivered under this Agreement to the Finance Parties which has had or might reasonably be expected to have a Material Adverse Effect.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7"/>
          <w:szCs w:val="17"/>
          <w:b w:val="1"/>
          <w:bCs w:val="1"/>
          <w:color w:val="auto"/>
        </w:rPr>
        <w:t>Pari passu ranking</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Ranking and effectiveness of security</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4.1 (</w:t>
      </w:r>
      <w:r>
        <w:rPr>
          <w:rFonts w:ascii="Arial" w:cs="Arial" w:eastAsia="Arial" w:hAnsi="Arial"/>
          <w:sz w:val="18"/>
          <w:szCs w:val="18"/>
          <w:i w:val="1"/>
          <w:iCs w:val="1"/>
          <w:color w:val="auto"/>
        </w:rPr>
        <w:t>Conditions precedent to delivering of a Utilisation Request</w:t>
      </w:r>
      <w:r>
        <w:rPr>
          <w:rFonts w:ascii="Arial" w:cs="Arial" w:eastAsia="Arial" w:hAnsi="Arial"/>
          <w:sz w:val="18"/>
          <w:szCs w:val="18"/>
          <w:color w:val="auto"/>
        </w:rPr>
        <w:t>) and clause 4.2 (</w:t>
      </w:r>
      <w:r>
        <w:rPr>
          <w:rFonts w:ascii="Arial" w:cs="Arial" w:eastAsia="Arial" w:hAnsi="Arial"/>
          <w:sz w:val="18"/>
          <w:szCs w:val="18"/>
          <w:i w:val="1"/>
          <w:iCs w:val="1"/>
          <w:color w:val="auto"/>
        </w:rPr>
        <w:t>Conditions precedent to Utilisation</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No insolvency</w:t>
      </w:r>
    </w:p>
    <w:p>
      <w:pPr>
        <w:spacing w:after="0" w:line="202"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No corporate action, legal proceeding or other procedure or step described in clause 29.9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29.10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29.8 (</w:t>
      </w:r>
      <w:r>
        <w:rPr>
          <w:rFonts w:ascii="Arial" w:cs="Arial" w:eastAsia="Arial" w:hAnsi="Arial"/>
          <w:sz w:val="18"/>
          <w:szCs w:val="18"/>
          <w:i w:val="1"/>
          <w:iCs w:val="1"/>
          <w:color w:val="auto"/>
        </w:rPr>
        <w:t>Insolvency</w:t>
      </w:r>
      <w:r>
        <w:rPr>
          <w:rFonts w:ascii="Arial" w:cs="Arial" w:eastAsia="Arial" w:hAnsi="Arial"/>
          <w:sz w:val="18"/>
          <w:szCs w:val="18"/>
          <w:color w:val="auto"/>
        </w:rPr>
        <w:t>) applies to an Obligor or a Manager or a Subsidiary of an Obligor or a Manager.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18.12 No filing or stamp taxes</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or the Charter Documents except any filing, recording or enrolling or any tax or fee payable in relation to any Finance Document or any Charter Document which is referred to in any Legal Opinion and which will be made or paid promptly after the date of the relevant Finance Document or Charter Document.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18.13 Tax</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18.14 No Default</w:t>
      </w:r>
    </w:p>
    <w:p>
      <w:pPr>
        <w:spacing w:after="0" w:line="220" w:lineRule="exact"/>
        <w:rPr>
          <w:sz w:val="20"/>
          <w:szCs w:val="20"/>
          <w:color w:val="auto"/>
        </w:rPr>
      </w:pPr>
    </w:p>
    <w:p>
      <w:pPr>
        <w:ind w:left="1020" w:hanging="512"/>
        <w:spacing w:after="0" w:line="246" w:lineRule="auto"/>
        <w:tabs>
          <w:tab w:leader="none" w:pos="117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Default is continuing or is reasonably likely expected to result from the making of any Utilisation or the entry into, the performance of, or any transaction contemplated by, any Finance Document or any Charter Document.</w:t>
      </w:r>
    </w:p>
    <w:p>
      <w:pPr>
        <w:spacing w:after="0" w:line="183" w:lineRule="exact"/>
        <w:rPr>
          <w:rFonts w:ascii="Arial" w:cs="Arial" w:eastAsia="Arial" w:hAnsi="Arial"/>
          <w:sz w:val="18"/>
          <w:szCs w:val="18"/>
          <w:color w:val="auto"/>
        </w:rPr>
      </w:pPr>
    </w:p>
    <w:p>
      <w:pPr>
        <w:jc w:val="both"/>
        <w:ind w:left="1020" w:hanging="512"/>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left="1040"/>
        <w:spacing w:after="0" w:line="246" w:lineRule="auto"/>
        <w:rPr>
          <w:sz w:val="20"/>
          <w:szCs w:val="20"/>
          <w:color w:val="auto"/>
        </w:rPr>
      </w:pPr>
      <w:r>
        <w:rPr>
          <w:rFonts w:ascii="Arial" w:cs="Arial" w:eastAsia="Arial" w:hAnsi="Arial"/>
          <w:sz w:val="18"/>
          <w:szCs w:val="18"/>
          <w:color w:val="auto"/>
        </w:rPr>
        <w:t>or to which any Obligor’s or any Manager’s assets are subject, which have had or might reasonably be expected to have a Material Adverse Effect.</w:t>
      </w:r>
    </w:p>
    <w:p>
      <w:pPr>
        <w:spacing w:after="0" w:line="183" w:lineRule="exact"/>
        <w:rPr>
          <w:sz w:val="20"/>
          <w:szCs w:val="20"/>
          <w:color w:val="auto"/>
        </w:rPr>
      </w:pPr>
    </w:p>
    <w:p>
      <w:pPr>
        <w:ind w:left="1020" w:hanging="512"/>
        <w:spacing w:after="0" w:line="246" w:lineRule="auto"/>
        <w:tabs>
          <w:tab w:leader="none" w:pos="10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2019, which have had or might reasonably be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18.15 No proceedings pending or threatened</w:t>
      </w:r>
    </w:p>
    <w:p>
      <w:pPr>
        <w:spacing w:after="0" w:line="220" w:lineRule="exact"/>
        <w:rPr>
          <w:sz w:val="20"/>
          <w:szCs w:val="20"/>
          <w:color w:val="auto"/>
        </w:rPr>
      </w:pPr>
    </w:p>
    <w:p>
      <w:pPr>
        <w:jc w:val="both"/>
        <w:ind w:left="1020" w:hanging="512"/>
        <w:spacing w:after="0" w:line="238" w:lineRule="auto"/>
        <w:tabs>
          <w:tab w:leader="none" w:pos="124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been started or threatened against any Obligor or any Manager or any Subsidiary of an Obligor.</w:t>
      </w:r>
    </w:p>
    <w:p>
      <w:pPr>
        <w:spacing w:after="0" w:line="191" w:lineRule="exact"/>
        <w:rPr>
          <w:rFonts w:ascii="Arial" w:cs="Arial" w:eastAsia="Arial" w:hAnsi="Arial"/>
          <w:sz w:val="18"/>
          <w:szCs w:val="18"/>
          <w:color w:val="auto"/>
        </w:rPr>
      </w:pPr>
    </w:p>
    <w:p>
      <w:pPr>
        <w:jc w:val="both"/>
        <w:ind w:left="1020" w:hanging="512"/>
        <w:spacing w:after="0"/>
        <w:tabs>
          <w:tab w:leader="none" w:pos="109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judgement or order of a court, arbitral tribunal or other tribunal or any order of any governmental or other regulatory body which is reasonably likely to have a Material Adverse Effect has (to the best of any Obligor’s or other Manager’s knowledge and belief) (having made due and careful enquiry) been made against any Obligor or any Manager or any Subsidiary of an Obligor.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18.16 No breach of laws</w:t>
      </w:r>
    </w:p>
    <w:p>
      <w:pPr>
        <w:spacing w:after="0" w:line="220" w:lineRule="exact"/>
        <w:rPr>
          <w:sz w:val="20"/>
          <w:szCs w:val="20"/>
          <w:color w:val="auto"/>
        </w:rPr>
      </w:pPr>
    </w:p>
    <w:p>
      <w:pPr>
        <w:ind w:left="1020" w:hanging="512"/>
        <w:spacing w:after="0" w:line="246" w:lineRule="auto"/>
        <w:tabs>
          <w:tab w:leader="none" w:pos="115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Obligor or Manager or Subsidiary or an Obligor or a Manager has breached any law or regulation, which breach might reasonably be expected to have a Material Adverse Effect.</w:t>
      </w:r>
    </w:p>
    <w:p>
      <w:pPr>
        <w:spacing w:after="0" w:line="183" w:lineRule="exact"/>
        <w:rPr>
          <w:rFonts w:ascii="Arial" w:cs="Arial" w:eastAsia="Arial" w:hAnsi="Arial"/>
          <w:sz w:val="18"/>
          <w:szCs w:val="18"/>
          <w:color w:val="auto"/>
        </w:rPr>
      </w:pPr>
    </w:p>
    <w:p>
      <w:pPr>
        <w:jc w:val="both"/>
        <w:ind w:left="1020" w:hanging="512"/>
        <w:spacing w:after="0"/>
        <w:tabs>
          <w:tab w:leader="none" w:pos="1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18.17 Environmental matters</w:t>
      </w:r>
    </w:p>
    <w:p>
      <w:pPr>
        <w:spacing w:after="0" w:line="220" w:lineRule="exact"/>
        <w:rPr>
          <w:sz w:val="20"/>
          <w:szCs w:val="20"/>
          <w:color w:val="auto"/>
        </w:rPr>
      </w:pPr>
    </w:p>
    <w:p>
      <w:pPr>
        <w:ind w:left="1020" w:hanging="512"/>
        <w:spacing w:after="0" w:line="246" w:lineRule="auto"/>
        <w:tabs>
          <w:tab w:leader="none" w:pos="108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198" w:lineRule="exact"/>
        <w:rPr>
          <w:rFonts w:ascii="Arial" w:cs="Arial" w:eastAsia="Arial" w:hAnsi="Arial"/>
          <w:sz w:val="18"/>
          <w:szCs w:val="18"/>
          <w:color w:val="auto"/>
        </w:rPr>
      </w:pPr>
    </w:p>
    <w:p>
      <w:pPr>
        <w:jc w:val="both"/>
        <w:ind w:left="1020" w:hanging="512"/>
        <w:spacing w:after="0"/>
        <w:tabs>
          <w:tab w:leader="none" w:pos="106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18.18 Tax compliance</w:t>
      </w:r>
    </w:p>
    <w:p>
      <w:pPr>
        <w:spacing w:after="0" w:line="220" w:lineRule="exact"/>
        <w:rPr>
          <w:sz w:val="20"/>
          <w:szCs w:val="20"/>
          <w:color w:val="auto"/>
        </w:rPr>
      </w:pPr>
    </w:p>
    <w:p>
      <w:pPr>
        <w:jc w:val="both"/>
        <w:ind w:left="1020" w:hanging="512"/>
        <w:spacing w:after="0" w:line="238" w:lineRule="auto"/>
        <w:tabs>
          <w:tab w:leader="none" w:pos="10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Obligor or Manager or any Subsidiary of an Obligor is materially overdue in the filing of any Tax returns or overdue in the payment of any amount in respect of Tax, unless and to the extent that such payment is being contested in good faith, adequate reserves are being maintained for those Taxes and the costs required to contest them and such payment is being lawfully withheld.</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7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left="1020" w:right="20" w:hanging="512"/>
        <w:spacing w:after="0" w:line="246" w:lineRule="auto"/>
        <w:tabs>
          <w:tab w:leader="none" w:pos="102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18.19 Anti-corruption law</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18.20 Security and Financial Indebtedness</w:t>
      </w:r>
    </w:p>
    <w:p>
      <w:pPr>
        <w:spacing w:after="0" w:line="220" w:lineRule="exact"/>
        <w:rPr>
          <w:sz w:val="20"/>
          <w:szCs w:val="20"/>
          <w:color w:val="auto"/>
        </w:rPr>
      </w:pPr>
    </w:p>
    <w:p>
      <w:pPr>
        <w:ind w:left="1020" w:hanging="512"/>
        <w:spacing w:after="0" w:line="246" w:lineRule="auto"/>
        <w:tabs>
          <w:tab w:leader="none" w:pos="102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any Borrower in breach of this Agreement, other than Permitted Security Interests.</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in breach of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18.21 Legal and beneficial ownership</w:t>
      </w:r>
    </w:p>
    <w:p>
      <w:pPr>
        <w:spacing w:after="0" w:line="220" w:lineRule="exact"/>
        <w:rPr>
          <w:sz w:val="20"/>
          <w:szCs w:val="20"/>
          <w:color w:val="auto"/>
        </w:rPr>
      </w:pPr>
    </w:p>
    <w:p>
      <w:pPr>
        <w:ind w:left="1020" w:hanging="512"/>
        <w:spacing w:after="0"/>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Ownership of assets</w:t>
      </w:r>
    </w:p>
    <w:p>
      <w:pPr>
        <w:spacing w:after="0" w:line="198" w:lineRule="exact"/>
        <w:rPr>
          <w:rFonts w:ascii="Arial" w:cs="Arial" w:eastAsia="Arial" w:hAnsi="Arial"/>
          <w:sz w:val="18"/>
          <w:szCs w:val="18"/>
          <w:color w:val="auto"/>
        </w:rPr>
      </w:pPr>
    </w:p>
    <w:p>
      <w:pPr>
        <w:jc w:val="both"/>
        <w:ind w:left="1020"/>
        <w:spacing w:after="0"/>
        <w:rPr>
          <w:rFonts w:ascii="Arial" w:cs="Arial" w:eastAsia="Arial" w:hAnsi="Arial"/>
          <w:sz w:val="18"/>
          <w:szCs w:val="18"/>
          <w:color w:val="auto"/>
        </w:rPr>
      </w:pPr>
      <w:r>
        <w:rPr>
          <w:rFonts w:ascii="Arial" w:cs="Arial" w:eastAsia="Arial" w:hAnsi="Arial"/>
          <w:sz w:val="18"/>
          <w:szCs w:val="18"/>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Ownership of shares</w:t>
      </w:r>
    </w:p>
    <w:p>
      <w:pPr>
        <w:spacing w:after="0" w:line="198"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each Borrower is a wholly-owned direct Subsidiary of GasLog Carriers;</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GasLog Carriers is a wholly-owned direct Subsidiary of the Parent;</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GPHL is a wholly-owned direct subsidiary of MLP;</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GasLog Partners GP LLC is the general partner of MLP;</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GasLog Partners GP LLC is a wholly-owned direct subsidiary of the Parent; and</w:t>
      </w:r>
    </w:p>
    <w:p>
      <w:pPr>
        <w:spacing w:after="0" w:line="180" w:lineRule="exact"/>
        <w:rPr>
          <w:rFonts w:ascii="Arial" w:cs="Arial" w:eastAsia="Arial" w:hAnsi="Arial"/>
          <w:sz w:val="18"/>
          <w:szCs w:val="18"/>
          <w:color w:val="auto"/>
        </w:rPr>
      </w:pPr>
    </w:p>
    <w:p>
      <w:pPr>
        <w:ind w:left="1540" w:hanging="511"/>
        <w:spacing w:after="0" w:line="267" w:lineRule="auto"/>
        <w:tabs>
          <w:tab w:leader="none" w:pos="157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person referred to in the definition of the Permitted Holders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has the right and the ability to control the affairs and composition of the majority of the board of directors of the Parent.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18.22 Shares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shares of each Owner are fully paid and, other than any option which may be given to MLP in connection with a Dropdown, not subject to any option to purchase or similar rights. The Constitutional Documents of each Owner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each Owner (including any option or right of pre-emption or conversion).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18.23 Accounting Reference Date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18.24 No adverse consequences</w:t>
      </w:r>
    </w:p>
    <w:p>
      <w:pPr>
        <w:spacing w:after="0" w:line="220" w:lineRule="exact"/>
        <w:rPr>
          <w:sz w:val="20"/>
          <w:szCs w:val="20"/>
          <w:color w:val="auto"/>
        </w:rPr>
      </w:pPr>
    </w:p>
    <w:p>
      <w:pPr>
        <w:ind w:left="1020" w:hanging="512"/>
        <w:spacing w:after="0"/>
        <w:tabs>
          <w:tab w:leader="none" w:pos="10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w:t>
      </w:r>
    </w:p>
    <w:p>
      <w:pPr>
        <w:spacing w:after="0" w:line="198" w:lineRule="exact"/>
        <w:rPr>
          <w:rFonts w:ascii="Arial" w:cs="Arial" w:eastAsia="Arial" w:hAnsi="Arial"/>
          <w:sz w:val="18"/>
          <w:szCs w:val="18"/>
          <w:color w:val="auto"/>
        </w:rPr>
      </w:pPr>
    </w:p>
    <w:p>
      <w:pPr>
        <w:ind w:left="1540" w:hanging="511"/>
        <w:spacing w:after="0" w:line="246" w:lineRule="auto"/>
        <w:tabs>
          <w:tab w:leader="none" w:pos="165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183"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that any Finance Party should be licensed, qualified or otherwise entitled to carry on business in any of such Relevant Jurisdictions.</w:t>
      </w:r>
    </w:p>
    <w:p>
      <w:pPr>
        <w:spacing w:after="0" w:line="183" w:lineRule="exact"/>
        <w:rPr>
          <w:sz w:val="20"/>
          <w:szCs w:val="20"/>
          <w:color w:val="auto"/>
        </w:rPr>
      </w:pPr>
    </w:p>
    <w:p>
      <w:pPr>
        <w:ind w:left="1020" w:hanging="512"/>
        <w:spacing w:after="0" w:line="246" w:lineRule="auto"/>
        <w:tabs>
          <w:tab w:leader="none" w:pos="106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18.25 Copies of documents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copies of the Charter Documents and the Constitutional Documents of the Obligors delivered to the Agent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will, as at their delivery dates, be true, complete and accurate copies of such documents and include all amendments and supplements to them as at the time of such delivery and no other agreements or arrangements exist between any of the parties to any Charter Document which would materially affect the transactions or arrangements contemplated by any Charter Document or modify or release the obligations of any party under that Charter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18.26 No breach of any Charter Document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Obligor nor (so far as the Obligors are aware) any other person is in breach of any Charter Document to which it is a party nor has anything occurred which entitles or may entitle any party to any Charter Document to rescind or terminate it or decline to perform their obligations under it or which would render it illegal, invalid or unenforceable.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18.27 No immunity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18.28 Ship status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Ship will on the first day of the relevant Mortgage Period be:</w:t>
      </w:r>
    </w:p>
    <w:p>
      <w:pPr>
        <w:spacing w:after="0" w:line="198" w:lineRule="exact"/>
        <w:rPr>
          <w:sz w:val="20"/>
          <w:szCs w:val="20"/>
          <w:color w:val="auto"/>
        </w:rPr>
      </w:pPr>
    </w:p>
    <w:p>
      <w:pPr>
        <w:ind w:left="1020" w:hanging="512"/>
        <w:spacing w:after="0" w:line="246" w:lineRule="auto"/>
        <w:tabs>
          <w:tab w:leader="none" w:pos="107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registered in the name of the relevant Owner through the relevant Registry as a registered ship under the laws and flag of the relevant Flag State;</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198" w:lineRule="exact"/>
        <w:rPr>
          <w:rFonts w:ascii="Arial" w:cs="Arial" w:eastAsia="Arial" w:hAnsi="Arial"/>
          <w:sz w:val="18"/>
          <w:szCs w:val="18"/>
          <w:color w:val="auto"/>
        </w:rPr>
      </w:pPr>
    </w:p>
    <w:p>
      <w:pPr>
        <w:ind w:left="1020" w:right="20" w:hanging="512"/>
        <w:spacing w:after="0" w:line="246" w:lineRule="auto"/>
        <w:tabs>
          <w:tab w:leader="none" w:pos="112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18.29 Ship’s employment</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Each Ship, on the first day of its Mortgage Period, is free of any other charter commitment which, if entered into after that date, would require approval under the Finance Documents (except in the case of Ship B and its Charter).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18.30 Address commission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rebates, commissions or other payments in connection with any Charter other than those referred to in 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18.31 Money Laundering</w:t>
      </w:r>
    </w:p>
    <w:p>
      <w:pPr>
        <w:spacing w:after="0" w:line="220"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In relation to the borrowing by each Borrower of the Loans, the performance and discharge of its obligations and liabilities under the Finance Documents, and the transactions and other arrangements effected or contemplated by the Finance Documents to which each Borrower is a party, each Borrower confirms (i) that it is acting for its own account; (ii) that it will use the proceeds of the Loans for its own benefit, under its full responsibility and exclusively for the purposes specified in this Agreement; and (iii) that the foregoing will not involve or lead to a contravention of any law, official requirement or other regulatory measure or procedure which has been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18.32 Sanctions</w:t>
      </w:r>
    </w:p>
    <w:p>
      <w:pPr>
        <w:spacing w:after="0" w:line="220" w:lineRule="exact"/>
        <w:rPr>
          <w:sz w:val="20"/>
          <w:szCs w:val="20"/>
          <w:color w:val="auto"/>
        </w:rPr>
      </w:pPr>
    </w:p>
    <w:p>
      <w:pPr>
        <w:ind w:left="1020" w:right="20" w:hanging="512"/>
        <w:spacing w:after="0" w:line="246" w:lineRule="auto"/>
        <w:tabs>
          <w:tab w:leader="none" w:pos="106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Ship is a vessel with which any individual, entity or any other person is prohibited or restricted from dealing with under any Sanctions;</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Obligor nor any other Group Member, nor any of their respective directors or officers: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198" w:lineRule="exact"/>
        <w:rPr>
          <w:rFonts w:ascii="Arial" w:cs="Arial" w:eastAsia="Arial" w:hAnsi="Arial"/>
          <w:sz w:val="18"/>
          <w:szCs w:val="18"/>
          <w:color w:val="auto"/>
        </w:rPr>
      </w:pPr>
    </w:p>
    <w:p>
      <w:pPr>
        <w:ind w:left="1540" w:hanging="511"/>
        <w:spacing w:after="0" w:line="246" w:lineRule="auto"/>
        <w:tabs>
          <w:tab w:leader="none" w:pos="170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59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w:t>
      </w:r>
    </w:p>
    <w:p>
      <w:pPr>
        <w:spacing w:after="0" w:line="191" w:lineRule="exact"/>
        <w:rPr>
          <w:rFonts w:ascii="Arial" w:cs="Arial" w:eastAsia="Arial" w:hAnsi="Arial"/>
          <w:sz w:val="18"/>
          <w:szCs w:val="18"/>
          <w:color w:val="auto"/>
        </w:rPr>
      </w:pPr>
    </w:p>
    <w:p>
      <w:pPr>
        <w:ind w:left="1520" w:hanging="491"/>
        <w:spacing w:after="0"/>
        <w:tabs>
          <w:tab w:leader="none" w:pos="15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65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is located or resident in, organised or incorporated under the laws of, a country or territory subject to country-wide or territory-wide Sanctions;</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198" w:lineRule="exact"/>
        <w:rPr>
          <w:rFonts w:ascii="Arial" w:cs="Arial" w:eastAsia="Arial" w:hAnsi="Arial"/>
          <w:sz w:val="18"/>
          <w:szCs w:val="18"/>
          <w:color w:val="auto"/>
        </w:rPr>
      </w:pPr>
    </w:p>
    <w:p>
      <w:pPr>
        <w:ind w:left="1540" w:hanging="511"/>
        <w:spacing w:after="0" w:line="246" w:lineRule="auto"/>
        <w:tabs>
          <w:tab w:leader="none" w:pos="173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83" w:lineRule="exact"/>
        <w:rPr>
          <w:rFonts w:ascii="Arial" w:cs="Arial" w:eastAsia="Arial" w:hAnsi="Arial"/>
          <w:sz w:val="18"/>
          <w:szCs w:val="18"/>
          <w:color w:val="auto"/>
        </w:rPr>
      </w:pPr>
    </w:p>
    <w:p>
      <w:pPr>
        <w:ind w:left="1020" w:hanging="512"/>
        <w:spacing w:after="0" w:line="246" w:lineRule="auto"/>
        <w:tabs>
          <w:tab w:leader="none" w:pos="11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capitalised terms referred to in paragraphs (a) and (b) above shall have the meanings given to them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18.33 Times when representations are made</w:t>
      </w:r>
    </w:p>
    <w:p>
      <w:pPr>
        <w:spacing w:after="0" w:line="220" w:lineRule="exact"/>
        <w:rPr>
          <w:sz w:val="20"/>
          <w:szCs w:val="20"/>
          <w:color w:val="auto"/>
        </w:rPr>
      </w:pPr>
    </w:p>
    <w:p>
      <w:pPr>
        <w:ind w:left="1020" w:hanging="512"/>
        <w:spacing w:after="0" w:line="246" w:lineRule="auto"/>
        <w:tabs>
          <w:tab w:leader="none" w:pos="103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(other than Ship Representations) are deemed to be made on the date of this Agreement.</w:t>
      </w:r>
    </w:p>
    <w:p>
      <w:pPr>
        <w:spacing w:after="0" w:line="183" w:lineRule="exact"/>
        <w:rPr>
          <w:rFonts w:ascii="Arial" w:cs="Arial" w:eastAsia="Arial" w:hAnsi="Arial"/>
          <w:sz w:val="18"/>
          <w:szCs w:val="18"/>
          <w:color w:val="auto"/>
        </w:rPr>
      </w:pPr>
    </w:p>
    <w:p>
      <w:pPr>
        <w:jc w:val="both"/>
        <w:ind w:left="1020" w:hanging="512"/>
        <w:spacing w:after="0"/>
        <w:tabs>
          <w:tab w:leader="none" w:pos="114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18.7 (</w:t>
      </w:r>
      <w:r>
        <w:rPr>
          <w:rFonts w:ascii="Arial" w:cs="Arial" w:eastAsia="Arial" w:hAnsi="Arial"/>
          <w:sz w:val="18"/>
          <w:szCs w:val="18"/>
          <w:i w:val="1"/>
          <w:iCs w:val="1"/>
          <w:color w:val="auto"/>
        </w:rPr>
        <w:t>Information</w:t>
      </w:r>
      <w:r>
        <w:rPr>
          <w:rFonts w:ascii="Arial" w:cs="Arial" w:eastAsia="Arial" w:hAnsi="Arial"/>
          <w:sz w:val="18"/>
          <w:szCs w:val="18"/>
          <w:color w:val="auto"/>
        </w:rPr>
        <w:t>), on the date of primary syndication of the Facilities.</w:t>
      </w:r>
    </w:p>
    <w:p>
      <w:pPr>
        <w:spacing w:after="0" w:line="189" w:lineRule="exact"/>
        <w:rPr>
          <w:rFonts w:ascii="Arial" w:cs="Arial" w:eastAsia="Arial" w:hAnsi="Arial"/>
          <w:sz w:val="18"/>
          <w:szCs w:val="18"/>
          <w:color w:val="auto"/>
        </w:rPr>
      </w:pPr>
    </w:p>
    <w:p>
      <w:pPr>
        <w:ind w:left="1020" w:hanging="512"/>
        <w:spacing w:after="0" w:line="246" w:lineRule="auto"/>
        <w:tabs>
          <w:tab w:leader="none" w:pos="106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of the Ship Representations are deemed to be made and repeated on the first day of the Mortgage Period for the relevant Ship.</w:t>
      </w:r>
    </w:p>
    <w:p>
      <w:pPr>
        <w:spacing w:after="0" w:line="183" w:lineRule="exact"/>
        <w:rPr>
          <w:rFonts w:ascii="Arial" w:cs="Arial" w:eastAsia="Arial" w:hAnsi="Arial"/>
          <w:sz w:val="18"/>
          <w:szCs w:val="18"/>
          <w:color w:val="auto"/>
        </w:rPr>
      </w:pPr>
    </w:p>
    <w:p>
      <w:pPr>
        <w:jc w:val="both"/>
        <w:ind w:left="1020" w:hanging="512"/>
        <w:spacing w:after="0"/>
        <w:tabs>
          <w:tab w:leader="none" w:pos="113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6" w:name="page77"/>
    <w:bookmarkEnd w:id="76"/>
    <w:p>
      <w:pPr>
        <w:ind w:left="100"/>
        <w:spacing w:after="0"/>
        <w:tabs>
          <w:tab w:leader="none" w:pos="50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21"/>
          <w:szCs w:val="21"/>
          <w:b w:val="1"/>
          <w:bCs w:val="1"/>
          <w:color w:val="auto"/>
        </w:rPr>
        <w:t>Information undertakings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undertakes that this clause 19 will be complied with throughout the Facility Period.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19:</w:t>
      </w:r>
    </w:p>
    <w:p>
      <w:pPr>
        <w:spacing w:after="0" w:line="176"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MLP Group,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GasLog Carriers and GPHL,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ind w:left="520" w:right="20"/>
        <w:spacing w:after="0" w:line="271" w:lineRule="auto"/>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Group, the MLP Group, GasLog Carriers and GPHL,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Financial statements</w:t>
      </w:r>
    </w:p>
    <w:p>
      <w:pPr>
        <w:spacing w:after="0" w:line="220" w:lineRule="exact"/>
        <w:rPr>
          <w:sz w:val="20"/>
          <w:szCs w:val="20"/>
          <w:color w:val="auto"/>
        </w:rPr>
      </w:pPr>
    </w:p>
    <w:p>
      <w:pPr>
        <w:jc w:val="both"/>
        <w:ind w:left="1020" w:hanging="512"/>
        <w:spacing w:after="0"/>
        <w:tabs>
          <w:tab w:leader="none" w:pos="103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(and the Agent shall supply to each Lender), as soon as the same become available, but in any event within 150 days after the end of each financial year:</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Group for that financial year;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MLP Group for that financial year; and</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61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unaudited financial statements (consolidated if appropriate) of each of the Borrowers, GasLog Carriers and GPHL respectively, for that financial year.</w:t>
      </w:r>
    </w:p>
    <w:p>
      <w:pPr>
        <w:spacing w:after="0" w:line="183" w:lineRule="exact"/>
        <w:rPr>
          <w:rFonts w:ascii="Arial" w:cs="Arial" w:eastAsia="Arial" w:hAnsi="Arial"/>
          <w:sz w:val="18"/>
          <w:szCs w:val="18"/>
          <w:color w:val="auto"/>
        </w:rPr>
      </w:pPr>
    </w:p>
    <w:p>
      <w:pPr>
        <w:ind w:left="1020" w:hanging="512"/>
        <w:spacing w:after="0" w:line="246" w:lineRule="auto"/>
        <w:tabs>
          <w:tab w:leader="none" w:pos="111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as soon as the same become available, but in any event within 120 days after the end of each half year to 30 June of each financial year:</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56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each of the Group and GasLog Carriers, respectively, for that financial half year; and</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57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each of the MLP Group and GPHL, respectively, for that financial half year.</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02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Borrowers shall also supply to the Agent prior to each financial year budget and cashflow projections for the Borrowers and the Active Guarantors for such financial year.</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7"/>
          <w:szCs w:val="17"/>
          <w:b w:val="1"/>
          <w:bCs w:val="1"/>
          <w:color w:val="auto"/>
        </w:rPr>
        <w:t>Provision and contents of Compliance Certificate and valuations</w:t>
      </w:r>
    </w:p>
    <w:p>
      <w:pPr>
        <w:spacing w:after="0" w:line="220" w:lineRule="exact"/>
        <w:rPr>
          <w:sz w:val="20"/>
          <w:szCs w:val="20"/>
          <w:color w:val="auto"/>
        </w:rPr>
      </w:pPr>
    </w:p>
    <w:p>
      <w:pPr>
        <w:ind w:left="1020" w:hanging="512"/>
        <w:spacing w:after="0"/>
        <w:tabs>
          <w:tab w:leader="none" w:pos="10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Obligors shall supply to the Agent (and the Agent shall supply to each Lender):</w:t>
      </w:r>
    </w:p>
    <w:p>
      <w:pPr>
        <w:spacing w:after="0" w:line="198" w:lineRule="exact"/>
        <w:rPr>
          <w:rFonts w:ascii="Arial" w:cs="Arial" w:eastAsia="Arial" w:hAnsi="Arial"/>
          <w:sz w:val="18"/>
          <w:szCs w:val="18"/>
          <w:color w:val="auto"/>
        </w:rPr>
      </w:pPr>
    </w:p>
    <w:p>
      <w:pPr>
        <w:ind w:left="1540" w:hanging="511"/>
        <w:spacing w:after="0" w:line="246" w:lineRule="auto"/>
        <w:tabs>
          <w:tab w:leader="none" w:pos="153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the MLP Group, respectively, and with each set of unaudited Semi-Annual Financial Statements for the Group and the MLP Group, respectively, a Compliance Certificate;</w:t>
      </w:r>
    </w:p>
    <w:p>
      <w:pPr>
        <w:spacing w:after="0" w:line="183" w:lineRule="exact"/>
        <w:rPr>
          <w:rFonts w:ascii="Arial" w:cs="Arial" w:eastAsia="Arial" w:hAnsi="Arial"/>
          <w:sz w:val="18"/>
          <w:szCs w:val="18"/>
          <w:color w:val="auto"/>
        </w:rPr>
      </w:pPr>
    </w:p>
    <w:p>
      <w:pPr>
        <w:jc w:val="both"/>
        <w:ind w:left="1540" w:hanging="511"/>
        <w:spacing w:after="0" w:line="237" w:lineRule="auto"/>
        <w:tabs>
          <w:tab w:leader="none" w:pos="153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with each set of unaudited Semi-Annual Financial Statements for the Group, valuations of each Fleet Vessel, each made in accordance with clause 25 (</w:t>
      </w:r>
      <w:r>
        <w:rPr>
          <w:rFonts w:ascii="Arial" w:cs="Arial" w:eastAsia="Arial" w:hAnsi="Arial"/>
          <w:sz w:val="18"/>
          <w:szCs w:val="18"/>
          <w:i w:val="1"/>
          <w:iCs w:val="1"/>
          <w:color w:val="auto"/>
        </w:rPr>
        <w:t>Minimum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value</w:t>
      </w:r>
      <w:r>
        <w:rPr>
          <w:rFonts w:ascii="Arial" w:cs="Arial" w:eastAsia="Arial" w:hAnsi="Arial"/>
          <w:sz w:val="18"/>
          <w:szCs w:val="18"/>
          <w:color w:val="auto"/>
        </w:rPr>
        <w:t>) at the cost and expense of the Obligors and showing the value of each such Fleet Vessel as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financial statements to which they relate (and for such purposes, the provisions of such clause 25 (</w:t>
      </w:r>
      <w:r>
        <w:rPr>
          <w:rFonts w:ascii="Arial" w:cs="Arial" w:eastAsia="Arial" w:hAnsi="Arial"/>
          <w:sz w:val="18"/>
          <w:szCs w:val="18"/>
          <w:i w:val="1"/>
          <w:iCs w:val="1"/>
          <w:color w:val="auto"/>
        </w:rPr>
        <w:t>Minimum</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value</w:t>
      </w:r>
      <w:r>
        <w:rPr>
          <w:rFonts w:ascii="Arial" w:cs="Arial" w:eastAsia="Arial" w:hAnsi="Arial"/>
          <w:sz w:val="18"/>
          <w:szCs w:val="18"/>
          <w:color w:val="auto"/>
        </w:rPr>
        <w:t>) shall apply to each such Fleet Vessel and this paragraph 19.2(a)(ii) mutatis mutandis as if each such Fleet</w:t>
      </w:r>
      <w:r>
        <w:rPr>
          <w:rFonts w:ascii="Arial" w:cs="Arial" w:eastAsia="Arial" w:hAnsi="Arial"/>
          <w:sz w:val="18"/>
          <w:szCs w:val="18"/>
          <w:i w:val="1"/>
          <w:iCs w:val="1"/>
          <w:color w:val="auto"/>
        </w:rPr>
        <w:t xml:space="preserve"> </w:t>
      </w:r>
      <w:r>
        <w:rPr>
          <w:rFonts w:ascii="Arial" w:cs="Arial" w:eastAsia="Arial" w:hAnsi="Arial"/>
          <w:sz w:val="18"/>
          <w:szCs w:val="18"/>
          <w:color w:val="auto"/>
        </w:rPr>
        <w:t>Vessel was a Ship).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7" w:name="page78"/>
    <w:bookmarkEnd w:id="77"/>
    <w:p>
      <w:pPr>
        <w:jc w:val="both"/>
        <w:ind w:left="1020" w:hanging="512"/>
        <w:spacing w:after="0"/>
        <w:tabs>
          <w:tab w:leader="none" w:pos="11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clause 20.2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xml:space="preserve"> (if the Parent is an Active Guarantor) and/or, as the case may be, 20.5 (</w:t>
      </w:r>
      <w:r>
        <w:rPr>
          <w:rFonts w:ascii="Arial" w:cs="Arial" w:eastAsia="Arial" w:hAnsi="Arial"/>
          <w:sz w:val="18"/>
          <w:szCs w:val="18"/>
          <w:i w:val="1"/>
          <w:iCs w:val="1"/>
          <w:color w:val="auto"/>
        </w:rPr>
        <w:t>MLP Group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w:t>
      </w:r>
      <w:r>
        <w:rPr>
          <w:rFonts w:ascii="Arial" w:cs="Arial" w:eastAsia="Arial" w:hAnsi="Arial"/>
          <w:sz w:val="18"/>
          <w:szCs w:val="18"/>
          <w:color w:val="auto"/>
        </w:rPr>
        <w:t>) (if MLP is an Active Guarantor).</w:t>
      </w:r>
    </w:p>
    <w:p>
      <w:pPr>
        <w:spacing w:after="0" w:line="189" w:lineRule="exact"/>
        <w:rPr>
          <w:rFonts w:ascii="Arial" w:cs="Arial" w:eastAsia="Arial" w:hAnsi="Arial"/>
          <w:sz w:val="18"/>
          <w:szCs w:val="18"/>
          <w:color w:val="auto"/>
        </w:rPr>
      </w:pPr>
    </w:p>
    <w:p>
      <w:pPr>
        <w:jc w:val="both"/>
        <w:ind w:left="1020" w:hanging="512"/>
        <w:spacing w:after="0"/>
        <w:tabs>
          <w:tab w:leader="none" w:pos="109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Compliance Certificate in respect of an Active Guarantor shall be signed by the chief executive officer of each relevant Active Guarantor or by the chief financial officer of each relevant Active Guarantor, or, in his or her absence, by any other duly authorised director of each relevant Active Guarantor.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7"/>
          <w:szCs w:val="17"/>
          <w:b w:val="1"/>
          <w:bCs w:val="1"/>
          <w:color w:val="auto"/>
        </w:rPr>
        <w:t>Requirements as to financial statements</w:t>
      </w:r>
    </w:p>
    <w:p>
      <w:pPr>
        <w:spacing w:after="0" w:line="202" w:lineRule="exact"/>
        <w:rPr>
          <w:sz w:val="20"/>
          <w:szCs w:val="20"/>
          <w:color w:val="auto"/>
        </w:rPr>
      </w:pPr>
    </w:p>
    <w:p>
      <w:pPr>
        <w:jc w:val="both"/>
        <w:ind w:left="1020" w:hanging="512"/>
        <w:spacing w:after="0" w:line="250" w:lineRule="auto"/>
        <w:tabs>
          <w:tab w:leader="none" w:pos="11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and the MLP Group shall be audited by the Auditors.</w:t>
      </w:r>
    </w:p>
    <w:p>
      <w:pPr>
        <w:spacing w:after="0" w:line="163" w:lineRule="exact"/>
        <w:rPr>
          <w:rFonts w:ascii="Arial" w:cs="Arial" w:eastAsia="Arial" w:hAnsi="Arial"/>
          <w:sz w:val="18"/>
          <w:szCs w:val="18"/>
          <w:color w:val="auto"/>
        </w:rPr>
      </w:pPr>
    </w:p>
    <w:p>
      <w:pPr>
        <w:ind w:left="1020" w:hanging="512"/>
        <w:spacing w:after="0"/>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16" w:lineRule="exact"/>
        <w:rPr>
          <w:rFonts w:ascii="Arial" w:cs="Arial" w:eastAsia="Arial" w:hAnsi="Arial"/>
          <w:sz w:val="18"/>
          <w:szCs w:val="18"/>
          <w:color w:val="auto"/>
        </w:rPr>
      </w:pPr>
    </w:p>
    <w:p>
      <w:pPr>
        <w:ind w:left="1540" w:hanging="511"/>
        <w:spacing w:after="0"/>
        <w:tabs>
          <w:tab w:leader="none" w:pos="15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be prepared in accordance with GAAP;</w:t>
      </w:r>
    </w:p>
    <w:p>
      <w:pPr>
        <w:spacing w:after="0" w:line="198" w:lineRule="exact"/>
        <w:rPr>
          <w:rFonts w:ascii="Arial" w:cs="Arial" w:eastAsia="Arial" w:hAnsi="Arial"/>
          <w:sz w:val="18"/>
          <w:szCs w:val="18"/>
          <w:color w:val="auto"/>
        </w:rPr>
      </w:pPr>
    </w:p>
    <w:p>
      <w:pPr>
        <w:jc w:val="both"/>
        <w:ind w:left="1540" w:hanging="511"/>
        <w:spacing w:after="0"/>
        <w:tabs>
          <w:tab w:leader="none" w:pos="153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represent (in other cases), the financial condition and operations of the Group or (as the case may be) the MLP Group or the relevant Obligor, as at the date as at which those financial statements were drawn up; and</w:t>
      </w:r>
    </w:p>
    <w:p>
      <w:pPr>
        <w:spacing w:after="0" w:line="189" w:lineRule="exact"/>
        <w:rPr>
          <w:rFonts w:ascii="Arial" w:cs="Arial" w:eastAsia="Arial" w:hAnsi="Arial"/>
          <w:sz w:val="18"/>
          <w:szCs w:val="18"/>
          <w:color w:val="auto"/>
        </w:rPr>
      </w:pPr>
    </w:p>
    <w:p>
      <w:pPr>
        <w:ind w:left="1520" w:hanging="491"/>
        <w:spacing w:after="0"/>
        <w:tabs>
          <w:tab w:leader="none" w:pos="15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180" w:lineRule="exact"/>
        <w:rPr>
          <w:rFonts w:ascii="Arial" w:cs="Arial" w:eastAsia="Arial" w:hAnsi="Arial"/>
          <w:sz w:val="18"/>
          <w:szCs w:val="18"/>
          <w:color w:val="auto"/>
        </w:rPr>
      </w:pPr>
    </w:p>
    <w:p>
      <w:pPr>
        <w:jc w:val="both"/>
        <w:ind w:left="1020" w:hanging="512"/>
        <w:spacing w:after="0" w:line="245" w:lineRule="auto"/>
        <w:tabs>
          <w:tab w:leader="none" w:pos="103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prepared using GAAP, accounting practices and financial reference periods consistent with those applied in the preparation of the Original Financial Statements, unless, in relation to any set of financial statements, the Borrowers notify the Agent that there has been a change in GAAP or the accounting practices and the Auditors deliver to the Agent:</w:t>
      </w:r>
    </w:p>
    <w:p>
      <w:pPr>
        <w:spacing w:after="0" w:line="185" w:lineRule="exact"/>
        <w:rPr>
          <w:rFonts w:ascii="Arial" w:cs="Arial" w:eastAsia="Arial" w:hAnsi="Arial"/>
          <w:sz w:val="18"/>
          <w:szCs w:val="18"/>
          <w:color w:val="auto"/>
        </w:rPr>
      </w:pPr>
    </w:p>
    <w:p>
      <w:pPr>
        <w:ind w:left="1540" w:hanging="511"/>
        <w:spacing w:after="0" w:line="246" w:lineRule="auto"/>
        <w:tabs>
          <w:tab w:leader="none" w:pos="165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83" w:lineRule="exact"/>
        <w:rPr>
          <w:rFonts w:ascii="Arial" w:cs="Arial" w:eastAsia="Arial" w:hAnsi="Arial"/>
          <w:sz w:val="18"/>
          <w:szCs w:val="18"/>
          <w:color w:val="auto"/>
        </w:rPr>
      </w:pPr>
    </w:p>
    <w:p>
      <w:pPr>
        <w:jc w:val="both"/>
        <w:ind w:left="1540" w:hanging="511"/>
        <w:spacing w:after="0"/>
        <w:tabs>
          <w:tab w:leader="none" w:pos="167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to make an accurate comparison between the financial position indicated in those financial statements and the Original Financial Statements.</w:t>
      </w:r>
    </w:p>
    <w:p>
      <w:pPr>
        <w:spacing w:after="0" w:line="189"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b w:val="1"/>
          <w:bCs w:val="1"/>
          <w:color w:val="auto"/>
        </w:rPr>
        <w:t>Year-end</w:t>
      </w:r>
    </w:p>
    <w:p>
      <w:pPr>
        <w:spacing w:after="0" w:line="220" w:lineRule="exact"/>
        <w:rPr>
          <w:sz w:val="20"/>
          <w:szCs w:val="20"/>
          <w:color w:val="auto"/>
        </w:rPr>
      </w:pPr>
    </w:p>
    <w:p>
      <w:pPr>
        <w:ind w:left="1020" w:hanging="512"/>
        <w:spacing w:after="0"/>
        <w:tabs>
          <w:tab w:leader="none" w:pos="10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Borrowers shall procure that each financial year-end of each Obligor falls on the Accounting Reference Date.</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Borrowers shall procure that each accounting period ends on an accounting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tabs>
          <w:tab w:leader="none" w:pos="52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b w:val="1"/>
          <w:bCs w:val="1"/>
          <w:color w:val="auto"/>
        </w:rPr>
        <w:t>Information: miscellaneous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supply to the Agent (and the Agent shall supply to each Lender):</w:t>
      </w:r>
    </w:p>
    <w:p>
      <w:pPr>
        <w:spacing w:after="0" w:line="198" w:lineRule="exact"/>
        <w:rPr>
          <w:sz w:val="20"/>
          <w:szCs w:val="20"/>
          <w:color w:val="auto"/>
        </w:rPr>
      </w:pPr>
    </w:p>
    <w:p>
      <w:pPr>
        <w:ind w:left="1020" w:right="20" w:hanging="512"/>
        <w:spacing w:after="0" w:line="246" w:lineRule="auto"/>
        <w:tabs>
          <w:tab w:leader="none" w:pos="118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183" w:lineRule="exact"/>
        <w:rPr>
          <w:rFonts w:ascii="Arial" w:cs="Arial" w:eastAsia="Arial" w:hAnsi="Arial"/>
          <w:sz w:val="18"/>
          <w:szCs w:val="18"/>
          <w:color w:val="auto"/>
        </w:rPr>
      </w:pPr>
    </w:p>
    <w:p>
      <w:pPr>
        <w:jc w:val="both"/>
        <w:ind w:left="1020" w:hanging="512"/>
        <w:spacing w:after="0"/>
        <w:tabs>
          <w:tab w:leader="none" w:pos="12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 threatened or pending against any Obligor or any Manager, and which, if adversely determined, might reasonably be expected to have a Material Adverse Effect;</w:t>
      </w:r>
    </w:p>
    <w:p>
      <w:pPr>
        <w:spacing w:after="0" w:line="189" w:lineRule="exact"/>
        <w:rPr>
          <w:rFonts w:ascii="Arial" w:cs="Arial" w:eastAsia="Arial" w:hAnsi="Arial"/>
          <w:sz w:val="18"/>
          <w:szCs w:val="18"/>
          <w:color w:val="auto"/>
        </w:rPr>
      </w:pPr>
    </w:p>
    <w:p>
      <w:pPr>
        <w:ind w:left="1020" w:right="20" w:hanging="512"/>
        <w:spacing w:after="0" w:line="246" w:lineRule="auto"/>
        <w:tabs>
          <w:tab w:leader="none" w:pos="116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material claims, investigations or other proceedings relating to Sanctions which are pending against any Group Member;</w:t>
      </w:r>
    </w:p>
    <w:p>
      <w:pPr>
        <w:spacing w:after="0" w:line="183" w:lineRule="exact"/>
        <w:rPr>
          <w:rFonts w:ascii="Arial" w:cs="Arial" w:eastAsia="Arial" w:hAnsi="Arial"/>
          <w:sz w:val="18"/>
          <w:szCs w:val="18"/>
          <w:color w:val="auto"/>
        </w:rPr>
      </w:pPr>
    </w:p>
    <w:p>
      <w:pPr>
        <w:ind w:left="1020" w:right="20" w:hanging="512"/>
        <w:spacing w:after="0" w:line="246" w:lineRule="auto"/>
        <w:tabs>
          <w:tab w:leader="none" w:pos="11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 and</w:t>
      </w:r>
    </w:p>
    <w:p>
      <w:pPr>
        <w:spacing w:after="0" w:line="183" w:lineRule="exact"/>
        <w:rPr>
          <w:rFonts w:ascii="Arial" w:cs="Arial" w:eastAsia="Arial" w:hAnsi="Arial"/>
          <w:sz w:val="18"/>
          <w:szCs w:val="18"/>
          <w:color w:val="auto"/>
        </w:rPr>
      </w:pPr>
    </w:p>
    <w:p>
      <w:pPr>
        <w:ind w:left="1020" w:hanging="512"/>
        <w:spacing w:after="0" w:line="246" w:lineRule="auto"/>
        <w:tabs>
          <w:tab w:leader="none" w:pos="111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may reasonably request,</w:t>
      </w:r>
    </w:p>
    <w:p>
      <w:pPr>
        <w:spacing w:after="0" w:line="183"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7"/>
          <w:szCs w:val="17"/>
          <w:b w:val="1"/>
          <w:bCs w:val="1"/>
          <w:color w:val="auto"/>
        </w:rPr>
        <w:t>Notification of Default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and they shall procure that the Obligors shall, notify the Agent (and the Agent shall notify each Lender) of any</w:t>
      </w:r>
    </w:p>
    <w:p>
      <w:pPr>
        <w:ind w:left="520"/>
        <w:spacing w:after="0" w:line="234" w:lineRule="auto"/>
        <w:rPr>
          <w:sz w:val="20"/>
          <w:szCs w:val="20"/>
          <w:color w:val="auto"/>
        </w:rPr>
      </w:pPr>
      <w:r>
        <w:rPr>
          <w:rFonts w:ascii="Arial" w:cs="Arial" w:eastAsia="Arial" w:hAnsi="Arial"/>
          <w:sz w:val="18"/>
          <w:szCs w:val="18"/>
          <w:color w:val="auto"/>
        </w:rPr>
        <w:t>Default (and the steps, if any, being taken to remedy it) promptly upon any Obligor becoming aware of its occurrence (unless that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Obligor is aware that a notification has already been provided by another Obligor).</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7"/>
          <w:szCs w:val="17"/>
          <w:b w:val="1"/>
          <w:bCs w:val="1"/>
          <w:color w:val="auto"/>
        </w:rPr>
        <w:t>Sufficient copies</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Borrowers, if so requested by the Agent, shall deliver sufficient copies of each document to be supplied under the Finance Documents to the Agent to distribute to each of the Lenders.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7"/>
          <w:szCs w:val="17"/>
          <w:b w:val="1"/>
          <w:bCs w:val="1"/>
          <w:color w:val="auto"/>
        </w:rPr>
        <w:t>Use of websites</w:t>
      </w:r>
    </w:p>
    <w:p>
      <w:pPr>
        <w:spacing w:after="0" w:line="220" w:lineRule="exact"/>
        <w:rPr>
          <w:sz w:val="20"/>
          <w:szCs w:val="20"/>
          <w:color w:val="auto"/>
        </w:rPr>
      </w:pPr>
    </w:p>
    <w:p>
      <w:pPr>
        <w:jc w:val="both"/>
        <w:ind w:left="1020" w:hanging="512"/>
        <w:spacing w:after="0"/>
        <w:tabs>
          <w:tab w:leader="none" w:pos="112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Borrowers may satisfy their obligation under this Agreement to deliver any information in relation to those Lenders (the </w:t>
      </w:r>
      <w:r>
        <w:rPr>
          <w:rFonts w:ascii="Arial" w:cs="Arial" w:eastAsia="Arial" w:hAnsi="Arial"/>
          <w:sz w:val="18"/>
          <w:szCs w:val="18"/>
          <w:b w:val="1"/>
          <w:bCs w:val="1"/>
          <w:color w:val="auto"/>
        </w:rPr>
        <w:t>Website Lenders</w:t>
      </w:r>
      <w:r>
        <w:rPr>
          <w:rFonts w:ascii="Arial" w:cs="Arial" w:eastAsia="Arial" w:hAnsi="Arial"/>
          <w:sz w:val="18"/>
          <w:szCs w:val="18"/>
          <w:color w:val="auto"/>
        </w:rPr>
        <w:t>) who accept this method of communication by posting this information onto an electronic website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Borrowers 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89" w:lineRule="exact"/>
        <w:rPr>
          <w:rFonts w:ascii="Arial" w:cs="Arial" w:eastAsia="Arial" w:hAnsi="Arial"/>
          <w:sz w:val="18"/>
          <w:szCs w:val="18"/>
          <w:color w:val="auto"/>
        </w:rPr>
      </w:pPr>
    </w:p>
    <w:p>
      <w:pPr>
        <w:ind w:left="1540" w:hanging="511"/>
        <w:spacing w:after="0" w:line="246" w:lineRule="auto"/>
        <w:tabs>
          <w:tab w:leader="none" w:pos="178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74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both the Borrowers and the Agent are aware of the address of and any relevant password specifications for the Designated Website; and</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Borrowers and the Agent.</w:t>
      </w:r>
    </w:p>
    <w:p>
      <w:pPr>
        <w:spacing w:after="0" w:line="176"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color w:val="auto"/>
        </w:rPr>
        <w:t xml:space="preserve">If any Lender (a </w:t>
      </w:r>
      <w:r>
        <w:rPr>
          <w:rFonts w:ascii="Arial" w:cs="Arial" w:eastAsia="Arial" w:hAnsi="Arial"/>
          <w:sz w:val="18"/>
          <w:szCs w:val="18"/>
          <w:b w:val="1"/>
          <w:bCs w:val="1"/>
          <w:color w:val="auto"/>
        </w:rPr>
        <w:t>Paper Form Lender</w:t>
      </w:r>
      <w:r>
        <w:rPr>
          <w:rFonts w:ascii="Arial" w:cs="Arial" w:eastAsia="Arial" w:hAnsi="Arial"/>
          <w:sz w:val="18"/>
          <w:szCs w:val="18"/>
          <w:color w:val="auto"/>
        </w:rPr>
        <w:t>) does not agree to the delivery of information electronically then the Agent shall notify the Borrowers accordingly and the Borrowers shall supply the information to the Agent (in sufficient copies for each Paper Form Lender) in paper form. In any event the Borrowers shall supply the Agent with at least one copy in paper form of any information required to be provided by it.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9" w:name="page80"/>
    <w:bookmarkEnd w:id="79"/>
    <w:p>
      <w:pPr>
        <w:ind w:left="1020" w:hanging="512"/>
        <w:spacing w:after="0" w:line="246" w:lineRule="auto"/>
        <w:tabs>
          <w:tab w:leader="none" w:pos="107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Borrowers and the Agent.</w:t>
      </w:r>
    </w:p>
    <w:p>
      <w:pPr>
        <w:spacing w:after="0" w:line="183" w:lineRule="exact"/>
        <w:rPr>
          <w:rFonts w:ascii="Arial" w:cs="Arial" w:eastAsia="Arial" w:hAnsi="Arial"/>
          <w:sz w:val="18"/>
          <w:szCs w:val="18"/>
          <w:color w:val="auto"/>
        </w:rPr>
      </w:pPr>
    </w:p>
    <w:p>
      <w:pPr>
        <w:ind w:left="1020" w:hanging="512"/>
        <w:spacing w:after="0" w:line="246" w:lineRule="auto"/>
        <w:tabs>
          <w:tab w:leader="none" w:pos="106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Borrowers shall promptly upon any of them becoming aware of its occurrence notify the Agent (and the Agent shall notify each Lender) if:</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198" w:lineRule="exact"/>
        <w:rPr>
          <w:rFonts w:ascii="Arial" w:cs="Arial" w:eastAsia="Arial" w:hAnsi="Arial"/>
          <w:sz w:val="18"/>
          <w:szCs w:val="18"/>
          <w:color w:val="auto"/>
        </w:rPr>
      </w:pPr>
    </w:p>
    <w:p>
      <w:pPr>
        <w:ind w:left="1540" w:hanging="511"/>
        <w:spacing w:after="0" w:line="246" w:lineRule="auto"/>
        <w:tabs>
          <w:tab w:leader="none" w:pos="165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existing information which has been provided under this Agreement and posted onto the Designated Website is amended; or</w:t>
      </w:r>
    </w:p>
    <w:p>
      <w:pPr>
        <w:spacing w:after="0" w:line="183" w:lineRule="exact"/>
        <w:rPr>
          <w:rFonts w:ascii="Arial" w:cs="Arial" w:eastAsia="Arial" w:hAnsi="Arial"/>
          <w:sz w:val="18"/>
          <w:szCs w:val="18"/>
          <w:color w:val="auto"/>
        </w:rPr>
      </w:pPr>
    </w:p>
    <w:p>
      <w:pPr>
        <w:ind w:left="1540" w:hanging="511"/>
        <w:spacing w:after="0" w:line="246" w:lineRule="auto"/>
        <w:tabs>
          <w:tab w:leader="none" w:pos="1585"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Borrower becomes aware that the Designated Website or any information posted onto the Designated Website is or has been infected by any electronic virus or similar software.</w:t>
      </w:r>
    </w:p>
    <w:p>
      <w:pPr>
        <w:spacing w:after="0" w:line="183"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If the Borrowers notify the Agent under paragraphs 19.8(c)(i) or (v) above, all information to be provided by the Borrowers under this Agreement after the date of that notice shall be supplied in paper form unless and until the Agent and each Website Lender is satisfied that the circumstances giving rise to the notification are no longer continuing.</w:t>
      </w:r>
    </w:p>
    <w:p>
      <w:pPr>
        <w:spacing w:after="0" w:line="189" w:lineRule="exact"/>
        <w:rPr>
          <w:sz w:val="20"/>
          <w:szCs w:val="20"/>
          <w:color w:val="auto"/>
        </w:rPr>
      </w:pPr>
    </w:p>
    <w:p>
      <w:pPr>
        <w:jc w:val="both"/>
        <w:ind w:left="1020" w:hanging="512"/>
        <w:spacing w:after="0"/>
        <w:tabs>
          <w:tab w:leader="none" w:pos="112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Website Lender may request, through the Agent, one paper copy of any information required to be provided under this Agreement which is posted onto the Designated Website. The Borrowers shall comply with any such request within ten Business Days.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7"/>
          <w:szCs w:val="17"/>
          <w:b w:val="1"/>
          <w:bCs w:val="1"/>
          <w:color w:val="auto"/>
        </w:rPr>
        <w:t>“Know your customer” checks</w:t>
      </w:r>
    </w:p>
    <w:p>
      <w:pPr>
        <w:spacing w:after="0" w:line="220" w:lineRule="exact"/>
        <w:rPr>
          <w:sz w:val="20"/>
          <w:szCs w:val="20"/>
          <w:color w:val="auto"/>
        </w:rPr>
      </w:pPr>
    </w:p>
    <w:p>
      <w:pPr>
        <w:ind w:left="1080" w:hanging="57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w:t>
      </w:r>
    </w:p>
    <w:p>
      <w:pPr>
        <w:spacing w:after="0" w:line="198" w:lineRule="exact"/>
        <w:rPr>
          <w:rFonts w:ascii="Arial" w:cs="Arial" w:eastAsia="Arial" w:hAnsi="Arial"/>
          <w:sz w:val="18"/>
          <w:szCs w:val="18"/>
          <w:color w:val="auto"/>
        </w:rPr>
      </w:pPr>
    </w:p>
    <w:p>
      <w:pPr>
        <w:ind w:left="1540" w:hanging="511"/>
        <w:spacing w:after="0" w:line="246" w:lineRule="auto"/>
        <w:tabs>
          <w:tab w:leader="none" w:pos="159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71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change in the status of an Obligor or the composition of the shareholders of an Obligor after the date of this Agreement;</w:t>
      </w:r>
    </w:p>
    <w:p>
      <w:pPr>
        <w:spacing w:after="0" w:line="183" w:lineRule="exact"/>
        <w:rPr>
          <w:rFonts w:ascii="Arial" w:cs="Arial" w:eastAsia="Arial" w:hAnsi="Arial"/>
          <w:sz w:val="18"/>
          <w:szCs w:val="18"/>
          <w:color w:val="auto"/>
        </w:rPr>
      </w:pPr>
    </w:p>
    <w:p>
      <w:pPr>
        <w:ind w:left="1540" w:hanging="511"/>
        <w:spacing w:after="0" w:line="246" w:lineRule="auto"/>
        <w:tabs>
          <w:tab w:leader="none" w:pos="159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proposed assignment by a Lender of any of its rights under this Agreement to a party that is not already a Lender prior to such assignment;</w:t>
      </w:r>
    </w:p>
    <w:p>
      <w:pPr>
        <w:spacing w:after="0" w:line="183" w:lineRule="exact"/>
        <w:rPr>
          <w:rFonts w:ascii="Arial" w:cs="Arial" w:eastAsia="Arial" w:hAnsi="Arial"/>
          <w:sz w:val="18"/>
          <w:szCs w:val="18"/>
          <w:color w:val="auto"/>
        </w:rPr>
      </w:pPr>
    </w:p>
    <w:p>
      <w:pPr>
        <w:jc w:val="both"/>
        <w:ind w:left="1540" w:right="20" w:hanging="511"/>
        <w:spacing w:after="0"/>
        <w:tabs>
          <w:tab w:leader="none" w:pos="167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law and/or regulation to prevent money laundering and corruption, to conduct ongoing monitoring of the business relationship with the Obligors or in relation to necessary “know your customer” or other similar checks as applicable to a Lender or the transactions contemplated in the Finance Documents; or</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internal requirement of any Lender applying generally to similar clients borrowing from such Lender,</w:t>
      </w:r>
    </w:p>
    <w:p>
      <w:pPr>
        <w:spacing w:after="0" w:line="198" w:lineRule="exact"/>
        <w:rPr>
          <w:sz w:val="20"/>
          <w:szCs w:val="20"/>
          <w:color w:val="auto"/>
        </w:rPr>
      </w:pPr>
    </w:p>
    <w:p>
      <w:pPr>
        <w:jc w:val="both"/>
        <w:ind w:left="1020"/>
        <w:spacing w:after="0" w:line="237" w:lineRule="auto"/>
        <w:rPr>
          <w:sz w:val="20"/>
          <w:szCs w:val="20"/>
          <w:color w:val="auto"/>
        </w:rPr>
      </w:pPr>
      <w:r>
        <w:rPr>
          <w:rFonts w:ascii="Arial" w:cs="Arial" w:eastAsia="Arial" w:hAnsi="Arial"/>
          <w:sz w:val="18"/>
          <w:szCs w:val="18"/>
          <w:color w:val="auto"/>
        </w:rPr>
        <w:t>obliges the Agent, the Security Agent or any Lender (or, in the case of paragraph 19.9(a)(iii) above, any prospective new Lender or the Security Agent) to comply with “know your customer” or similar identification procedures in circumstances where the necessary information is not already available to it (or at any other time reasonably required by a Lender), each Obligor shall as soon as reasonably possible after the request of the Agent or the Security Agent or any Lender supply, or procure the supply of, such documentation and other evidence as is reasonably requested by the Agent (for itself or on behalf of any Lender or the Security Agent) or any Lender or the Security Agent (for itself or, in the case of the event described in paragraph 19.9(a) (iii) above, on behalf of any prospective new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ind w:left="1020"/>
        <w:spacing w:after="0" w:line="238" w:lineRule="auto"/>
        <w:rPr>
          <w:sz w:val="20"/>
          <w:szCs w:val="20"/>
          <w:color w:val="auto"/>
        </w:rPr>
      </w:pPr>
      <w:r>
        <w:rPr>
          <w:rFonts w:ascii="Arial" w:cs="Arial" w:eastAsia="Arial" w:hAnsi="Arial"/>
          <w:sz w:val="18"/>
          <w:szCs w:val="18"/>
          <w:color w:val="auto"/>
        </w:rPr>
        <w:t>Lender or the Security Agent) in order for the Agent, the Security Agent or such Lender or, in the case of the event described in paragraph 19.9(a)(iii)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191" w:lineRule="exact"/>
        <w:rPr>
          <w:sz w:val="20"/>
          <w:szCs w:val="20"/>
          <w:color w:val="auto"/>
        </w:rPr>
      </w:pPr>
    </w:p>
    <w:p>
      <w:pPr>
        <w:jc w:val="both"/>
        <w:ind w:left="1020" w:hanging="512"/>
        <w:spacing w:after="0" w:line="238" w:lineRule="auto"/>
        <w:tabs>
          <w:tab w:leader="none" w:pos="108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19.10 Money Laundering</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Borrowers will:</w:t>
      </w:r>
    </w:p>
    <w:p>
      <w:pPr>
        <w:spacing w:after="0" w:line="198" w:lineRule="exact"/>
        <w:rPr>
          <w:sz w:val="20"/>
          <w:szCs w:val="20"/>
          <w:color w:val="auto"/>
        </w:rPr>
      </w:pPr>
    </w:p>
    <w:p>
      <w:pPr>
        <w:jc w:val="both"/>
        <w:ind w:left="1020" w:hanging="512"/>
        <w:spacing w:after="0" w:line="238" w:lineRule="auto"/>
        <w:tabs>
          <w:tab w:leader="none" w:pos="10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throughout the Facility Period; and</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4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may or is about to occur or that the person(s) who have or will receive the commercial benefit of this Agreement have changed from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19.11 Liquidity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Obligors shall procure that there are maintained, from the Utilisation of the Term Loan for a Ship and at all times thereafter throughout the Mortgage Period of such Ship, in the Earnings Account of the Owner of that Ship, minimum cash balances of no less than $1,500,000 (namely, at all times $1,500,000 per Mortgaged Ship).</w:t>
      </w:r>
    </w:p>
    <w:p>
      <w:pPr>
        <w:spacing w:after="0" w:line="157"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21"/>
          <w:szCs w:val="21"/>
          <w:b w:val="1"/>
          <w:bCs w:val="1"/>
          <w:color w:val="auto"/>
        </w:rPr>
        <w:t>Financial covenants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undertakes that this clause 20 will be complied with throughout the Facility Period.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color w:val="auto"/>
        </w:rPr>
        <w:t>Financial definitions (Group)</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clauses 20 (</w:t>
      </w:r>
      <w:r>
        <w:rPr>
          <w:rFonts w:ascii="Arial" w:cs="Arial" w:eastAsia="Arial" w:hAnsi="Arial"/>
          <w:sz w:val="18"/>
          <w:szCs w:val="18"/>
          <w:i w:val="1"/>
          <w:iCs w:val="1"/>
          <w:color w:val="auto"/>
        </w:rPr>
        <w:t>Financial covenants</w:t>
      </w:r>
      <w:r>
        <w:rPr>
          <w:rFonts w:ascii="Arial" w:cs="Arial" w:eastAsia="Arial" w:hAnsi="Arial"/>
          <w:sz w:val="18"/>
          <w:szCs w:val="18"/>
          <w:color w:val="auto"/>
        </w:rPr>
        <w:t>), 20.1 (</w:t>
      </w:r>
      <w:r>
        <w:rPr>
          <w:rFonts w:ascii="Arial" w:cs="Arial" w:eastAsia="Arial" w:hAnsi="Arial"/>
          <w:sz w:val="18"/>
          <w:szCs w:val="18"/>
          <w:i w:val="1"/>
          <w:iCs w:val="1"/>
          <w:color w:val="auto"/>
        </w:rPr>
        <w:t>Financial definitions (Group)</w:t>
      </w:r>
      <w:r>
        <w:rPr>
          <w:rFonts w:ascii="Arial" w:cs="Arial" w:eastAsia="Arial" w:hAnsi="Arial"/>
          <w:sz w:val="18"/>
          <w:szCs w:val="18"/>
          <w:color w:val="auto"/>
        </w:rPr>
        <w:t>) and 20.3 (</w:t>
      </w:r>
      <w:r>
        <w:rPr>
          <w:rFonts w:ascii="Arial" w:cs="Arial" w:eastAsia="Arial" w:hAnsi="Arial"/>
          <w:sz w:val="18"/>
          <w:szCs w:val="18"/>
          <w:i w:val="1"/>
          <w:iCs w:val="1"/>
          <w:color w:val="auto"/>
        </w:rPr>
        <w:t>Group financial testing</w:t>
      </w:r>
      <w:r>
        <w:rPr>
          <w:rFonts w:ascii="Arial" w:cs="Arial" w:eastAsia="Arial" w:hAnsi="Arial"/>
          <w:sz w:val="18"/>
          <w:szCs w:val="18"/>
          <w:color w:val="auto"/>
        </w:rPr>
        <w: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Debt Service </w:t>
      </w:r>
      <w:r>
        <w:rPr>
          <w:rFonts w:ascii="Arial" w:cs="Arial" w:eastAsia="Arial" w:hAnsi="Arial"/>
          <w:sz w:val="18"/>
          <w:szCs w:val="18"/>
          <w:color w:val="auto"/>
        </w:rPr>
        <w:t>means, in respect of any financial period, the sum to be the aggregate of:</w:t>
      </w:r>
    </w:p>
    <w:p>
      <w:pPr>
        <w:spacing w:after="0" w:line="220" w:lineRule="exact"/>
        <w:rPr>
          <w:sz w:val="20"/>
          <w:szCs w:val="20"/>
          <w:color w:val="auto"/>
        </w:rPr>
      </w:pPr>
    </w:p>
    <w:p>
      <w:pPr>
        <w:ind w:left="1020" w:hanging="512"/>
        <w:spacing w:after="0"/>
        <w:tabs>
          <w:tab w:leader="none" w:pos="10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scheduled amounts of principal; and</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scheduled amounts of interest thereon; and</w:t>
      </w:r>
    </w:p>
    <w:p>
      <w:pPr>
        <w:spacing w:after="0" w:line="198" w:lineRule="exact"/>
        <w:rPr>
          <w:rFonts w:ascii="Arial" w:cs="Arial" w:eastAsia="Arial" w:hAnsi="Arial"/>
          <w:sz w:val="18"/>
          <w:szCs w:val="18"/>
          <w:color w:val="auto"/>
        </w:rPr>
      </w:pPr>
    </w:p>
    <w:p>
      <w:pPr>
        <w:ind w:left="1020" w:hanging="512"/>
        <w:spacing w:after="0" w:line="246" w:lineRule="auto"/>
        <w:tabs>
          <w:tab w:leader="none" w:pos="119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other amounts in excess of $30,000,000 per such financial period payable as non-recurring or upfront fees, cost and expenses in connection with the Group’s Financial Indebtedness,</w:t>
      </w:r>
    </w:p>
    <w:p>
      <w:pPr>
        <w:spacing w:after="0" w:line="183"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which in each case fell due and was paid by the Parent and its Subsidiaries in such period in respect of Group Total Indebtedness, as shown in the then most recent Group Financial Statements relevant to such period.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in respect of any period, the consolidated profit on ordinary activities of the Group before taxation for such period, but:</w:t>
      </w:r>
    </w:p>
    <w:p>
      <w:pPr>
        <w:spacing w:after="0" w:line="220" w:lineRule="exact"/>
        <w:rPr>
          <w:sz w:val="20"/>
          <w:szCs w:val="20"/>
          <w:color w:val="auto"/>
        </w:rPr>
      </w:pPr>
    </w:p>
    <w:p>
      <w:pPr>
        <w:ind w:left="520" w:right="20" w:hanging="512"/>
        <w:spacing w:after="0" w:line="246" w:lineRule="auto"/>
        <w:tabs>
          <w:tab w:leader="none" w:pos="69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adjusted to exclude Interest Receivable and Interest Payable and other similar income or costs to the extent not already excluded;</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adjusted to exclude any gain or loss realised on the disposal of fixed assets (whether tangible or intangible);</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after adding back depreciation and amortisation charged which relates to such period;</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adjusted to exclude any exceptional or extraordinary costs or income; and</w:t>
      </w:r>
    </w:p>
    <w:p>
      <w:pPr>
        <w:spacing w:after="0" w:line="198" w:lineRule="exact"/>
        <w:rPr>
          <w:rFonts w:ascii="Arial" w:cs="Arial" w:eastAsia="Arial" w:hAnsi="Arial"/>
          <w:sz w:val="18"/>
          <w:szCs w:val="18"/>
          <w:color w:val="auto"/>
        </w:rPr>
      </w:pPr>
    </w:p>
    <w:p>
      <w:pPr>
        <w:ind w:left="520" w:hanging="512"/>
        <w:spacing w:after="0" w:line="246" w:lineRule="auto"/>
        <w:tabs>
          <w:tab w:leader="none" w:pos="55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after deducting any profit arising out of the release of any provisions against a liability or charge and adding back any provision relating to long term assets or contracts,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176"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Group Cash and Cash Equivalents </w:t>
      </w:r>
      <w:r>
        <w:rPr>
          <w:rFonts w:ascii="Arial" w:cs="Arial" w:eastAsia="Arial" w:hAnsi="Arial"/>
          <w:sz w:val="18"/>
          <w:szCs w:val="18"/>
          <w:color w:val="auto"/>
        </w:rPr>
        <w:t>means (a) cash and cash equivalents and (b) short term investments as set forth in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which are readily convertible into known amounts of cash and with original maturities of six months or less, but excluding, for the avoidance of doubt, in each case cash and other amounts set forth as “restricted cash” in the Group Financial Statements.</w:t>
      </w:r>
    </w:p>
    <w:p>
      <w:pPr>
        <w:spacing w:after="0" w:line="160"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Group Current Assets </w:t>
      </w:r>
      <w:r>
        <w:rPr>
          <w:rFonts w:ascii="Arial" w:cs="Arial" w:eastAsia="Arial" w:hAnsi="Arial"/>
          <w:sz w:val="18"/>
          <w:szCs w:val="18"/>
          <w:color w:val="auto"/>
        </w:rPr>
        <w:t>means, at any time, “Current Assets” of the Group as shown in the then most recent Group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Current Liabilities </w:t>
      </w:r>
      <w:r>
        <w:rPr>
          <w:rFonts w:ascii="Arial" w:cs="Arial" w:eastAsia="Arial" w:hAnsi="Arial"/>
          <w:sz w:val="18"/>
          <w:szCs w:val="18"/>
          <w:color w:val="auto"/>
        </w:rPr>
        <w:t>means, at any time, the “Current Liabilities” of the Group as shown in the Group Financial Statements.</w:t>
      </w:r>
    </w:p>
    <w:p>
      <w:pPr>
        <w:spacing w:after="0" w:line="198"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Group Current Portion of Loans </w:t>
      </w:r>
      <w:r>
        <w:rPr>
          <w:rFonts w:ascii="Arial" w:cs="Arial" w:eastAsia="Arial" w:hAnsi="Arial"/>
          <w:sz w:val="18"/>
          <w:szCs w:val="18"/>
          <w:color w:val="auto"/>
        </w:rPr>
        <w:t>means, at any time, the “Borrowings, current portion” and “Lease Liability, current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Group as shown in the then most recent Group Financial Statements.</w:t>
      </w:r>
    </w:p>
    <w:p>
      <w:pPr>
        <w:spacing w:after="0" w:line="140"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color w:val="auto"/>
        </w:rPr>
        <w:t xml:space="preserve">Group Financial Statements </w:t>
      </w:r>
      <w:r>
        <w:rPr>
          <w:rFonts w:ascii="Arial" w:cs="Arial" w:eastAsia="Arial" w:hAnsi="Arial"/>
          <w:sz w:val="18"/>
          <w:szCs w:val="18"/>
          <w:color w:val="auto"/>
        </w:rPr>
        <w:t>means any of the Annual Financial Statements and the Semi-Annual Financial Statements of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and defined as such in clause 19.1 (Financial statements).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Market Adjusted Net Worth </w:t>
      </w:r>
      <w:r>
        <w:rPr>
          <w:rFonts w:ascii="Arial" w:cs="Arial" w:eastAsia="Arial" w:hAnsi="Arial"/>
          <w:sz w:val="18"/>
          <w:szCs w:val="18"/>
          <w:color w:val="auto"/>
        </w:rPr>
        <w:t>means, at any time, Group Total Market Adjusted Assets less Group Total Indebtedness.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Maximum Leverage </w:t>
      </w:r>
      <w:r>
        <w:rPr>
          <w:rFonts w:ascii="Arial" w:cs="Arial" w:eastAsia="Arial" w:hAnsi="Arial"/>
          <w:sz w:val="18"/>
          <w:szCs w:val="18"/>
          <w:color w:val="auto"/>
        </w:rPr>
        <w:t>means, at any time, the figure calculated using the following formula:</w:t>
      </w:r>
    </w:p>
    <w:p>
      <w:pPr>
        <w:spacing w:after="0" w:line="19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Group Total Indebtedness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Maximum Leverage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-62230</wp:posOffset>
            </wp:positionV>
            <wp:extent cx="23742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Group Total Assets</w:t>
      </w:r>
    </w:p>
    <w:p>
      <w:pPr>
        <w:spacing w:after="0" w:line="189"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color w:val="auto"/>
        </w:rPr>
        <w:t xml:space="preserve">Group Total Assets </w:t>
      </w:r>
      <w:r>
        <w:rPr>
          <w:rFonts w:ascii="Arial" w:cs="Arial" w:eastAsia="Arial" w:hAnsi="Arial"/>
          <w:sz w:val="18"/>
          <w:szCs w:val="18"/>
          <w:color w:val="auto"/>
        </w:rPr>
        <w:t>means, at any time, the amount of total assets of the Group on a consolidated basis as determined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GAAP and shown in the then most recent Group Financial Statements and calculated in the same manner as shown in the Original Financial Statements of the Group.</w:t>
      </w:r>
    </w:p>
    <w:p>
      <w:pPr>
        <w:spacing w:after="0" w:line="155"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color w:val="auto"/>
        </w:rPr>
        <w:t xml:space="preserve">Group Total Indebtedness </w:t>
      </w:r>
      <w:r>
        <w:rPr>
          <w:rFonts w:ascii="Arial" w:cs="Arial" w:eastAsia="Arial" w:hAnsi="Arial"/>
          <w:sz w:val="18"/>
          <w:szCs w:val="18"/>
          <w:color w:val="auto"/>
        </w:rPr>
        <w:t>means, at any time, the aggregate Financial Indebtedness (on a consolidated basis) of the Group,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then most recent Group Financial Statements.</w:t>
      </w:r>
    </w:p>
    <w:p>
      <w:pPr>
        <w:spacing w:after="0" w:line="140"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color w:val="auto"/>
        </w:rPr>
        <w:t xml:space="preserve">Group Total Market Adjusted Assets </w:t>
      </w:r>
      <w:r>
        <w:rPr>
          <w:rFonts w:ascii="Arial" w:cs="Arial" w:eastAsia="Arial" w:hAnsi="Arial"/>
          <w:sz w:val="18"/>
          <w:szCs w:val="18"/>
          <w:color w:val="auto"/>
        </w:rPr>
        <w:t>means, at any time, the Group Total Assets adjusted upwards or downwards, as the case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to reflect any difference between the book value of Fleet Vessels and mean valuations of such Fleet Vessels provided to the Agent under clause 19.2 (Provision and contents of Compliance Certificate and valuations) and made in accordance with the provisions of such clause.</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19" w:right="339" w:bottom="1440" w:gutter="0" w:footer="0" w:header="0"/>
        </w:sectPr>
      </w:pPr>
    </w:p>
    <w:bookmarkStart w:id="82" w:name="page83"/>
    <w:bookmarkEnd w:id="82"/>
    <w:p>
      <w:pPr>
        <w:ind w:left="520"/>
        <w:spacing w:after="0" w:line="271"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in respect of any specified Financial Indebtedness, all continuing regular or periodic costs, charges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effecting, servicing or maintaining such Financial Indebtedness including:</w:t>
      </w:r>
    </w:p>
    <w:p>
      <w:pPr>
        <w:spacing w:after="0" w:line="162" w:lineRule="exact"/>
        <w:rPr>
          <w:sz w:val="20"/>
          <w:szCs w:val="20"/>
          <w:color w:val="auto"/>
        </w:rPr>
      </w:pPr>
    </w:p>
    <w:p>
      <w:pPr>
        <w:ind w:left="1020" w:hanging="512"/>
        <w:spacing w:after="0" w:line="246" w:lineRule="auto"/>
        <w:tabs>
          <w:tab w:leader="none" w:pos="106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gross interest, commitment fees, financing premia or other financial charges, discount and acceptance fees and administration and guarantee fees and fronting and ancillary facility fees payable or incurred on any form of such Financial Indebtedness; and</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arrangement fees or other up front fees.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Interest Payable </w:t>
      </w:r>
      <w:r>
        <w:rPr>
          <w:rFonts w:ascii="Arial" w:cs="Arial" w:eastAsia="Arial" w:hAnsi="Arial"/>
          <w:sz w:val="18"/>
          <w:szCs w:val="18"/>
          <w:color w:val="auto"/>
        </w:rPr>
        <w:t>means, in respect of any period, the aggregate (calculated on a consolidated basis) of:</w:t>
      </w:r>
    </w:p>
    <w:p>
      <w:pPr>
        <w:spacing w:after="0" w:line="220" w:lineRule="exact"/>
        <w:rPr>
          <w:sz w:val="20"/>
          <w:szCs w:val="20"/>
          <w:color w:val="auto"/>
        </w:rPr>
      </w:pPr>
    </w:p>
    <w:p>
      <w:pPr>
        <w:jc w:val="both"/>
        <w:ind w:left="1020" w:hanging="512"/>
        <w:spacing w:after="0"/>
        <w:tabs>
          <w:tab w:leader="none" w:pos="108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amounts charged and posted (or estimated to be charged and posted) as a current accrual accrued during such period in respect of members of the Group by way of Interest, but excluding any amount accruing as interest in-kind (and not as cash pay) to the extent capitalised as principal during such period; and</w:t>
      </w:r>
    </w:p>
    <w:p>
      <w:pPr>
        <w:spacing w:after="0" w:line="189" w:lineRule="exact"/>
        <w:rPr>
          <w:rFonts w:ascii="Arial" w:cs="Arial" w:eastAsia="Arial" w:hAnsi="Arial"/>
          <w:sz w:val="18"/>
          <w:szCs w:val="18"/>
          <w:color w:val="auto"/>
        </w:rPr>
      </w:pPr>
    </w:p>
    <w:p>
      <w:pPr>
        <w:ind w:left="1020" w:hanging="512"/>
        <w:spacing w:after="0" w:line="246" w:lineRule="auto"/>
        <w:tabs>
          <w:tab w:leader="none" w:pos="103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net payments in relation to interest rate or currency hedging arrangements in respect of Financial Indebtedness (after deducting net income in relation to such interest rate or currency hedging arrangements),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176"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Interest Receivable </w:t>
      </w:r>
      <w:r>
        <w:rPr>
          <w:rFonts w:ascii="Arial" w:cs="Arial" w:eastAsia="Arial" w:hAnsi="Arial"/>
          <w:sz w:val="18"/>
          <w:szCs w:val="18"/>
          <w:color w:val="auto"/>
        </w:rPr>
        <w:t>means, in respect of any period, the amount of Interest accrued on cash balances of the Group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interest accrued on the Accounts, to the extent that the account holder is entitled to receive such interest) during such period, as shown in the then most recent Group Financial Statements relevant to such period.</w:t>
      </w:r>
    </w:p>
    <w:p>
      <w:pPr>
        <w:spacing w:after="0" w:line="1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color w:val="auto"/>
        </w:rPr>
        <w:t>Group financial condition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shall ensure that at all times throughout the Facility Period when the Parent is an Active Guarantor:</w:t>
      </w:r>
    </w:p>
    <w:p>
      <w:pPr>
        <w:spacing w:after="0" w:line="176" w:lineRule="exact"/>
        <w:rPr>
          <w:sz w:val="20"/>
          <w:szCs w:val="20"/>
          <w:color w:val="auto"/>
        </w:rPr>
      </w:pPr>
    </w:p>
    <w:p>
      <w:pPr>
        <w:ind w:left="1020" w:hanging="512"/>
        <w:spacing w:after="0"/>
        <w:tabs>
          <w:tab w:leader="none" w:pos="102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Group Net Worth</w:t>
      </w:r>
      <w:r>
        <w:rPr>
          <w:rFonts w:ascii="Arial" w:cs="Arial" w:eastAsia="Arial" w:hAnsi="Arial"/>
          <w:sz w:val="18"/>
          <w:szCs w:val="18"/>
          <w:color w:val="auto"/>
        </w:rPr>
        <w:t>: Group Market Adjusted Net Worth shall be not less than $350,000,000;</w:t>
      </w:r>
    </w:p>
    <w:p>
      <w:pPr>
        <w:spacing w:after="0" w:line="198" w:lineRule="exact"/>
        <w:rPr>
          <w:rFonts w:ascii="Arial" w:cs="Arial" w:eastAsia="Arial" w:hAnsi="Arial"/>
          <w:sz w:val="18"/>
          <w:szCs w:val="18"/>
          <w:color w:val="auto"/>
        </w:rPr>
      </w:pPr>
    </w:p>
    <w:p>
      <w:pPr>
        <w:ind w:left="1020" w:hanging="512"/>
        <w:spacing w:after="0" w:line="271" w:lineRule="auto"/>
        <w:tabs>
          <w:tab w:leader="none" w:pos="111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Group current ratio</w:t>
      </w:r>
      <w:r>
        <w:rPr>
          <w:rFonts w:ascii="Arial" w:cs="Arial" w:eastAsia="Arial" w:hAnsi="Arial"/>
          <w:sz w:val="18"/>
          <w:szCs w:val="18"/>
          <w:color w:val="auto"/>
        </w:rPr>
        <w:t>: Group Current Assets shall be greater than or equal to Group Current Liabilities (excluding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Portion of Loans);</w:t>
      </w:r>
    </w:p>
    <w:p>
      <w:pPr>
        <w:spacing w:after="0" w:line="140" w:lineRule="exact"/>
        <w:rPr>
          <w:rFonts w:ascii="Arial" w:cs="Arial" w:eastAsia="Arial" w:hAnsi="Arial"/>
          <w:sz w:val="18"/>
          <w:szCs w:val="18"/>
          <w:color w:val="auto"/>
        </w:rPr>
      </w:pPr>
    </w:p>
    <w:p>
      <w:pPr>
        <w:jc w:val="both"/>
        <w:ind w:left="1020" w:hanging="512"/>
        <w:spacing w:after="0" w:line="253" w:lineRule="auto"/>
        <w:tabs>
          <w:tab w:leader="none" w:pos="1104"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Group debt service cover</w:t>
      </w:r>
      <w:r>
        <w:rPr>
          <w:rFonts w:ascii="Arial" w:cs="Arial" w:eastAsia="Arial" w:hAnsi="Arial"/>
          <w:sz w:val="18"/>
          <w:szCs w:val="18"/>
          <w:color w:val="auto"/>
        </w:rPr>
        <w:t>: in respect of any six month period, on a trailing four quarter basis, the ratio of EBITDA to Debt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shall be no less than 1.10:1, provided always that such ratio shall be regarded as having been complied with if at the relevant time when such ratio is being tested the Group Cash and Cash Equivalents is $110,000,000 or higher;</w:t>
      </w:r>
    </w:p>
    <w:p>
      <w:pPr>
        <w:spacing w:after="0" w:line="155" w:lineRule="exact"/>
        <w:rPr>
          <w:rFonts w:ascii="Arial" w:cs="Arial" w:eastAsia="Arial" w:hAnsi="Arial"/>
          <w:sz w:val="18"/>
          <w:szCs w:val="18"/>
          <w:color w:val="auto"/>
        </w:rPr>
      </w:pPr>
    </w:p>
    <w:p>
      <w:pPr>
        <w:ind w:left="1020" w:hanging="512"/>
        <w:spacing w:after="0"/>
        <w:tabs>
          <w:tab w:leader="none" w:pos="102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Group leverage</w:t>
      </w:r>
      <w:r>
        <w:rPr>
          <w:rFonts w:ascii="Arial" w:cs="Arial" w:eastAsia="Arial" w:hAnsi="Arial"/>
          <w:sz w:val="18"/>
          <w:szCs w:val="18"/>
          <w:color w:val="auto"/>
        </w:rPr>
        <w:t>: Group Maximum Leverage shall be less than 75%; and</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Group Cash and Cash Equivalents</w:t>
      </w:r>
      <w:r>
        <w:rPr>
          <w:rFonts w:ascii="Arial" w:cs="Arial" w:eastAsia="Arial" w:hAnsi="Arial"/>
          <w:sz w:val="18"/>
          <w:szCs w:val="18"/>
          <w:color w:val="auto"/>
        </w:rPr>
        <w:t>: Group Cash and Cash Equivalents shall be at least $75,000,000.</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7"/>
          <w:szCs w:val="17"/>
          <w:b w:val="1"/>
          <w:bCs w:val="1"/>
          <w:color w:val="auto"/>
        </w:rPr>
        <w:t>Group financial testing</w:t>
      </w:r>
    </w:p>
    <w:p>
      <w:pPr>
        <w:spacing w:after="0" w:line="202"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financial covenants set out in clause 20.2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shall be calculated in accordance with GAAP on a consolidated basis and tested upon receipt of the Annual Financial Statements and Semi -Annual Financial Statements of the Group, by reference to the same and to each Compliance Certificate delivered pursuant to clause 19.2 (</w:t>
      </w:r>
      <w:r>
        <w:rPr>
          <w:rFonts w:ascii="Arial" w:cs="Arial" w:eastAsia="Arial" w:hAnsi="Arial"/>
          <w:sz w:val="18"/>
          <w:szCs w:val="18"/>
          <w:i w:val="1"/>
          <w:iCs w:val="1"/>
          <w:color w:val="auto"/>
        </w:rPr>
        <w:t>Provision and contents of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and valuations</w:t>
      </w:r>
      <w:r>
        <w:rPr>
          <w:rFonts w:ascii="Arial" w:cs="Arial" w:eastAsia="Arial" w:hAnsi="Arial"/>
          <w:sz w:val="18"/>
          <w:szCs w:val="18"/>
          <w:color w:val="auto"/>
        </w:rPr>
        <w:t>) together with such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3" w:name="page84"/>
    <w:bookmarkEnd w:id="83"/>
    <w:p>
      <w:pPr>
        <w:spacing w:after="0"/>
        <w:tabs>
          <w:tab w:leader="none" w:pos="52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7"/>
          <w:szCs w:val="17"/>
          <w:b w:val="1"/>
          <w:bCs w:val="1"/>
          <w:color w:val="auto"/>
        </w:rPr>
        <w:t>Financial definitions (MLP)</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clauses 20.4 (</w:t>
      </w:r>
      <w:r>
        <w:rPr>
          <w:rFonts w:ascii="Arial" w:cs="Arial" w:eastAsia="Arial" w:hAnsi="Arial"/>
          <w:sz w:val="18"/>
          <w:szCs w:val="18"/>
          <w:i w:val="1"/>
          <w:iCs w:val="1"/>
          <w:color w:val="auto"/>
        </w:rPr>
        <w:t>Financial definitions (MLP)</w:t>
      </w:r>
      <w:r>
        <w:rPr>
          <w:rFonts w:ascii="Arial" w:cs="Arial" w:eastAsia="Arial" w:hAnsi="Arial"/>
          <w:sz w:val="18"/>
          <w:szCs w:val="18"/>
          <w:color w:val="auto"/>
        </w:rPr>
        <w:t>), 20.5 (</w:t>
      </w:r>
      <w:r>
        <w:rPr>
          <w:rFonts w:ascii="Arial" w:cs="Arial" w:eastAsia="Arial" w:hAnsi="Arial"/>
          <w:sz w:val="18"/>
          <w:szCs w:val="18"/>
          <w:i w:val="1"/>
          <w:iCs w:val="1"/>
          <w:color w:val="auto"/>
        </w:rPr>
        <w:t>MLP Group financial condition</w:t>
      </w:r>
      <w:r>
        <w:rPr>
          <w:rFonts w:ascii="Arial" w:cs="Arial" w:eastAsia="Arial" w:hAnsi="Arial"/>
          <w:sz w:val="18"/>
          <w:szCs w:val="18"/>
          <w:color w:val="auto"/>
        </w:rPr>
        <w:t>) and 20.6 (</w:t>
      </w:r>
      <w:r>
        <w:rPr>
          <w:rFonts w:ascii="Arial" w:cs="Arial" w:eastAsia="Arial" w:hAnsi="Arial"/>
          <w:sz w:val="18"/>
          <w:szCs w:val="18"/>
          <w:i w:val="1"/>
          <w:iCs w:val="1"/>
          <w:color w:val="auto"/>
        </w:rPr>
        <w:t>MLP Group financial testing</w:t>
      </w:r>
      <w:r>
        <w:rPr>
          <w:rFonts w:ascii="Arial" w:cs="Arial" w:eastAsia="Arial" w:hAnsi="Arial"/>
          <w:sz w:val="18"/>
          <w:szCs w:val="18"/>
          <w:color w:val="auto"/>
        </w:rPr>
        <w:t>):</w:t>
      </w:r>
    </w:p>
    <w:p>
      <w:pPr>
        <w:spacing w:after="0" w:line="194"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b w:val="1"/>
          <w:bCs w:val="1"/>
          <w:color w:val="auto"/>
        </w:rPr>
        <w:t xml:space="preserve">MLP Group Cash and Cash Equivalents </w:t>
      </w:r>
      <w:r>
        <w:rPr>
          <w:rFonts w:ascii="Arial" w:cs="Arial" w:eastAsia="Arial" w:hAnsi="Arial"/>
          <w:sz w:val="18"/>
          <w:szCs w:val="18"/>
          <w:color w:val="auto"/>
        </w:rPr>
        <w:t>means (a) cash and cash equivalents and (b) short term investments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MLP Group Financial Statements, which are readily convertible into known amounts of cash and with original maturities of six months or less, but excluding, for the avoidance of doubt, in each case cash and other amounts set forth as “restricted cash” in the MLP Group Financial Statements.</w:t>
      </w:r>
    </w:p>
    <w:p>
      <w:pPr>
        <w:spacing w:after="0" w:line="160"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MLP Group Financial Statements </w:t>
      </w:r>
      <w:r>
        <w:rPr>
          <w:rFonts w:ascii="Arial" w:cs="Arial" w:eastAsia="Arial" w:hAnsi="Arial"/>
          <w:sz w:val="18"/>
          <w:szCs w:val="18"/>
          <w:color w:val="auto"/>
        </w:rPr>
        <w:t>means any of the Annual Financial Statements and the Semi-Annual Financial Statements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MLP Group referred to and defined as 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MLP Group Free Liquidity </w:t>
      </w:r>
      <w:r>
        <w:rPr>
          <w:rFonts w:ascii="Arial" w:cs="Arial" w:eastAsia="Arial" w:hAnsi="Arial"/>
          <w:sz w:val="18"/>
          <w:szCs w:val="18"/>
          <w:color w:val="auto"/>
        </w:rPr>
        <w:t>means the aggregate of:</w:t>
      </w:r>
    </w:p>
    <w:p>
      <w:pPr>
        <w:spacing w:after="0" w:line="220" w:lineRule="exact"/>
        <w:rPr>
          <w:sz w:val="20"/>
          <w:szCs w:val="20"/>
          <w:color w:val="auto"/>
        </w:rPr>
      </w:pPr>
    </w:p>
    <w:p>
      <w:pPr>
        <w:ind w:left="1020" w:hanging="512"/>
        <w:spacing w:after="0"/>
        <w:tabs>
          <w:tab w:leader="none" w:pos="10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MLP Group Cash and Cash Equivalents; and</w:t>
      </w:r>
    </w:p>
    <w:p>
      <w:pPr>
        <w:spacing w:after="0" w:line="198" w:lineRule="exact"/>
        <w:rPr>
          <w:rFonts w:ascii="Arial" w:cs="Arial" w:eastAsia="Arial" w:hAnsi="Arial"/>
          <w:sz w:val="18"/>
          <w:szCs w:val="18"/>
          <w:color w:val="auto"/>
        </w:rPr>
      </w:pPr>
    </w:p>
    <w:p>
      <w:pPr>
        <w:jc w:val="both"/>
        <w:ind w:left="1020" w:hanging="512"/>
        <w:spacing w:after="0" w:line="237" w:lineRule="auto"/>
        <w:tabs>
          <w:tab w:leader="none" w:pos="104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amounts immediately available to the MLP Group for drawing under committed revolving credit facilities, or other credit facilities for working capital purposes of the MLP Group, in each case with remaining maturities of no less than (6) six months and made available by financial institutions (which, for avoidance of doubt, shall not include lines of credit provided by Affiliates of the Obligors) (provided that the relevant borrowing entity would meet the conditions precedent to which any such drawing is subject under the relevant credit facility and such drawing would not result in an event of default (as such term is defined therein) occurring under any other credit facility of the MLP Group).</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MLP Group Maximum Leverage </w:t>
      </w:r>
      <w:r>
        <w:rPr>
          <w:rFonts w:ascii="Arial" w:cs="Arial" w:eastAsia="Arial" w:hAnsi="Arial"/>
          <w:sz w:val="18"/>
          <w:szCs w:val="18"/>
          <w:color w:val="auto"/>
        </w:rPr>
        <w:t>means, at any time, the figure calculated using the following formula:</w:t>
      </w:r>
    </w:p>
    <w:p>
      <w:pPr>
        <w:spacing w:after="0" w:line="198"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MLP Group Total Indebtedness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MLP Group Maximum Leverage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-62230</wp:posOffset>
            </wp:positionV>
            <wp:extent cx="2134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MLP Group Total Assets</w:t>
      </w:r>
    </w:p>
    <w:p>
      <w:pPr>
        <w:spacing w:after="0" w:line="189" w:lineRule="exact"/>
        <w:rPr>
          <w:sz w:val="20"/>
          <w:szCs w:val="20"/>
          <w:color w:val="auto"/>
        </w:rPr>
      </w:pPr>
    </w:p>
    <w:p>
      <w:pPr>
        <w:jc w:val="both"/>
        <w:ind w:left="520" w:right="20"/>
        <w:spacing w:after="0" w:line="253" w:lineRule="auto"/>
        <w:rPr>
          <w:sz w:val="20"/>
          <w:szCs w:val="20"/>
          <w:color w:val="auto"/>
        </w:rPr>
      </w:pPr>
      <w:r>
        <w:rPr>
          <w:rFonts w:ascii="Arial" w:cs="Arial" w:eastAsia="Arial" w:hAnsi="Arial"/>
          <w:sz w:val="18"/>
          <w:szCs w:val="18"/>
          <w:b w:val="1"/>
          <w:bCs w:val="1"/>
          <w:color w:val="auto"/>
        </w:rPr>
        <w:t xml:space="preserve">MLP Group Total Assets </w:t>
      </w:r>
      <w:r>
        <w:rPr>
          <w:rFonts w:ascii="Arial" w:cs="Arial" w:eastAsia="Arial" w:hAnsi="Arial"/>
          <w:sz w:val="18"/>
          <w:szCs w:val="18"/>
          <w:color w:val="auto"/>
        </w:rPr>
        <w:t>means, at any time, the amount of total assets of the MLP Group on a consolidated basis as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and shown in the then most recent MLP Group Financial Statements and calculated in the same manner as shown in the Original Financial Statements of the MLP Group.</w:t>
      </w:r>
    </w:p>
    <w:p>
      <w:pPr>
        <w:spacing w:after="0" w:line="155"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MLP Group Total Indebtedness </w:t>
      </w:r>
      <w:r>
        <w:rPr>
          <w:rFonts w:ascii="Arial" w:cs="Arial" w:eastAsia="Arial" w:hAnsi="Arial"/>
          <w:sz w:val="18"/>
          <w:szCs w:val="18"/>
          <w:color w:val="auto"/>
        </w:rPr>
        <w:t>means, at any time, the aggregate Financial Indebtedness (on a consolidated basis) of the MLP</w:t>
      </w:r>
      <w:r>
        <w:rPr>
          <w:rFonts w:ascii="Arial" w:cs="Arial" w:eastAsia="Arial" w:hAnsi="Arial"/>
          <w:sz w:val="18"/>
          <w:szCs w:val="18"/>
          <w:b w:val="1"/>
          <w:bCs w:val="1"/>
          <w:color w:val="auto"/>
        </w:rPr>
        <w:t xml:space="preserve"> </w:t>
      </w:r>
      <w:r>
        <w:rPr>
          <w:rFonts w:ascii="Arial" w:cs="Arial" w:eastAsia="Arial" w:hAnsi="Arial"/>
          <w:sz w:val="18"/>
          <w:szCs w:val="18"/>
          <w:color w:val="auto"/>
        </w:rPr>
        <w:t>Group, as shown in the then most recent MLP Group Financial Statements.</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7"/>
          <w:szCs w:val="17"/>
          <w:b w:val="1"/>
          <w:bCs w:val="1"/>
          <w:color w:val="auto"/>
        </w:rPr>
        <w:t>MLP Group financial condition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shall ensure that at all times throughout the Facility Period when the MLP is an Active Guarantor:</w:t>
      </w:r>
    </w:p>
    <w:p>
      <w:pPr>
        <w:spacing w:after="0" w:line="176" w:lineRule="exact"/>
        <w:rPr>
          <w:sz w:val="20"/>
          <w:szCs w:val="20"/>
          <w:color w:val="auto"/>
        </w:rPr>
      </w:pPr>
    </w:p>
    <w:p>
      <w:pPr>
        <w:ind w:left="1020" w:hanging="512"/>
        <w:spacing w:after="0"/>
        <w:tabs>
          <w:tab w:leader="none" w:pos="102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MLP Group leverage</w:t>
      </w:r>
      <w:r>
        <w:rPr>
          <w:rFonts w:ascii="Arial" w:cs="Arial" w:eastAsia="Arial" w:hAnsi="Arial"/>
          <w:sz w:val="18"/>
          <w:szCs w:val="18"/>
          <w:color w:val="auto"/>
        </w:rPr>
        <w:t>: MLP Group Maximum Leverage shall be less than 65%; and</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MLP Group Free Liquidity</w:t>
      </w:r>
      <w:r>
        <w:rPr>
          <w:rFonts w:ascii="Arial" w:cs="Arial" w:eastAsia="Arial" w:hAnsi="Arial"/>
          <w:sz w:val="18"/>
          <w:szCs w:val="18"/>
          <w:color w:val="auto"/>
        </w:rPr>
        <w:t>: MLP Group Free Liquidity shall be at least $45,000,000.</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7"/>
          <w:szCs w:val="17"/>
          <w:b w:val="1"/>
          <w:bCs w:val="1"/>
          <w:color w:val="auto"/>
        </w:rPr>
        <w:t>MLP Group financial testing</w:t>
      </w:r>
    </w:p>
    <w:p>
      <w:pPr>
        <w:spacing w:after="0" w:line="202"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The financial covenants set out in clause 20.5 (</w:t>
      </w:r>
      <w:r>
        <w:rPr>
          <w:rFonts w:ascii="Arial" w:cs="Arial" w:eastAsia="Arial" w:hAnsi="Arial"/>
          <w:sz w:val="18"/>
          <w:szCs w:val="18"/>
          <w:i w:val="1"/>
          <w:iCs w:val="1"/>
          <w:color w:val="auto"/>
        </w:rPr>
        <w:t>MLP Group 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MLP Group, by reference to the same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4" w:name="page85"/>
    <w:bookmarkEnd w:id="84"/>
    <w:p>
      <w:pPr>
        <w:ind w:left="520"/>
        <w:spacing w:after="0" w:line="267" w:lineRule="auto"/>
        <w:rPr>
          <w:sz w:val="20"/>
          <w:szCs w:val="20"/>
          <w:color w:val="auto"/>
        </w:rPr>
      </w:pPr>
      <w:r>
        <w:rPr>
          <w:rFonts w:ascii="Arial" w:cs="Arial" w:eastAsia="Arial" w:hAnsi="Arial"/>
          <w:sz w:val="18"/>
          <w:szCs w:val="18"/>
          <w:color w:val="auto"/>
        </w:rPr>
        <w:t>and to each Compliance Certificate delivered pursuant to clause 19.2 (</w:t>
      </w:r>
      <w:r>
        <w:rPr>
          <w:rFonts w:ascii="Arial" w:cs="Arial" w:eastAsia="Arial" w:hAnsi="Arial"/>
          <w:sz w:val="18"/>
          <w:szCs w:val="18"/>
          <w:i w:val="1"/>
          <w:iCs w:val="1"/>
          <w:color w:val="auto"/>
        </w:rPr>
        <w:t>Provision and contents of Compliance Certificate and</w:t>
      </w:r>
      <w:r>
        <w:rPr>
          <w:rFonts w:ascii="Arial" w:cs="Arial" w:eastAsia="Arial" w:hAnsi="Arial"/>
          <w:sz w:val="18"/>
          <w:szCs w:val="18"/>
          <w:color w:val="auto"/>
        </w:rPr>
        <w:t xml:space="preserve"> </w:t>
      </w:r>
      <w:r>
        <w:rPr>
          <w:rFonts w:ascii="Arial" w:cs="Arial" w:eastAsia="Arial" w:hAnsi="Arial"/>
          <w:sz w:val="18"/>
          <w:szCs w:val="18"/>
          <w:i w:val="1"/>
          <w:iCs w:val="1"/>
          <w:color w:val="auto"/>
        </w:rPr>
        <w:t>valuations</w:t>
      </w:r>
      <w:r>
        <w:rPr>
          <w:rFonts w:ascii="Arial" w:cs="Arial" w:eastAsia="Arial" w:hAnsi="Arial"/>
          <w:sz w:val="18"/>
          <w:szCs w:val="18"/>
          <w:color w:val="auto"/>
        </w:rPr>
        <w:t>) together with such statements.</w:t>
      </w:r>
    </w:p>
    <w:p>
      <w:pPr>
        <w:spacing w:after="0" w:line="138" w:lineRule="exact"/>
        <w:rPr>
          <w:sz w:val="20"/>
          <w:szCs w:val="20"/>
          <w:color w:val="auto"/>
        </w:rPr>
      </w:pPr>
    </w:p>
    <w:p>
      <w:pPr>
        <w:ind w:left="480" w:hanging="472"/>
        <w:spacing w:after="0"/>
        <w:tabs>
          <w:tab w:leader="none" w:pos="480"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General undertakings</w:t>
      </w:r>
    </w:p>
    <w:p>
      <w:pPr>
        <w:spacing w:after="0" w:line="219" w:lineRule="exact"/>
        <w:rPr>
          <w:rFonts w:ascii="Arial" w:cs="Arial" w:eastAsia="Arial" w:hAnsi="Arial"/>
          <w:sz w:val="22"/>
          <w:szCs w:val="22"/>
          <w:b w:val="1"/>
          <w:bCs w:val="1"/>
          <w:color w:val="auto"/>
        </w:rPr>
      </w:pPr>
    </w:p>
    <w:p>
      <w:pPr>
        <w:ind w:left="1020" w:hanging="512"/>
        <w:spacing w:after="0" w:line="246" w:lineRule="auto"/>
        <w:tabs>
          <w:tab w:leader="none" w:pos="10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Each Obligor undertakes with each Finance Party that this clause 21 will be complied with throughout the Facility Period (subject to paragraph (b) below).</w:t>
      </w:r>
    </w:p>
    <w:p>
      <w:pPr>
        <w:spacing w:after="0" w:line="165" w:lineRule="exact"/>
        <w:rPr>
          <w:rFonts w:ascii="Arial" w:cs="Arial" w:eastAsia="Arial" w:hAnsi="Arial"/>
          <w:sz w:val="18"/>
          <w:szCs w:val="18"/>
          <w:color w:val="auto"/>
        </w:rPr>
      </w:pPr>
    </w:p>
    <w:p>
      <w:pPr>
        <w:jc w:val="both"/>
        <w:ind w:left="1020" w:hanging="512"/>
        <w:spacing w:after="0" w:line="241" w:lineRule="auto"/>
        <w:tabs>
          <w:tab w:leader="none" w:pos="116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Notwithstanding paragraph (a) above, the undertakings in clause 21.11 (</w:t>
      </w:r>
      <w:r>
        <w:rPr>
          <w:rFonts w:ascii="Arial" w:cs="Arial" w:eastAsia="Arial" w:hAnsi="Arial"/>
          <w:sz w:val="18"/>
          <w:szCs w:val="18"/>
          <w:i w:val="1"/>
          <w:iCs w:val="1"/>
          <w:color w:val="auto"/>
        </w:rPr>
        <w:t>Sanctions</w:t>
      </w:r>
      <w:r>
        <w:rPr>
          <w:rFonts w:ascii="Arial" w:cs="Arial" w:eastAsia="Arial" w:hAnsi="Arial"/>
          <w:sz w:val="18"/>
          <w:szCs w:val="18"/>
          <w:color w:val="auto"/>
        </w:rPr>
        <w:t>) insofar as they relate to Sanctions not imposed by Germany, the European Union or the United Nations are not given in favour of any Finance Party if and to the extent that the giving of, and compliance with, such undertakings would, in respect of that Finance Party, result in a violation of, or conflict with, section 7 of the German Foreign Trade Regulation (Außenwirtschaftsverordnung) (in conjunction with section 4 paragraph 1 no.3 foreign trade law (AWG) (Außenwirtschaftsgesetz)), any provision of Council Regulation (EC) 2271/1996 (in conjunction with Commission Delegated Regulation EU 2018/1100) or any similar applicable anti-boycott law or regulation.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Use of proceeds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proceeds of Utilisations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Authorisations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198" w:lineRule="exact"/>
        <w:rPr>
          <w:sz w:val="20"/>
          <w:szCs w:val="20"/>
          <w:color w:val="auto"/>
        </w:rPr>
      </w:pPr>
    </w:p>
    <w:p>
      <w:pPr>
        <w:ind w:left="1020" w:hanging="512"/>
        <w:spacing w:after="0"/>
        <w:tabs>
          <w:tab w:leader="none" w:pos="10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198" w:lineRule="exact"/>
        <w:rPr>
          <w:sz w:val="20"/>
          <w:szCs w:val="20"/>
          <w:color w:val="auto"/>
        </w:rPr>
      </w:pPr>
    </w:p>
    <w:p>
      <w:pPr>
        <w:ind w:left="1540" w:hanging="511"/>
        <w:spacing w:after="0"/>
        <w:tabs>
          <w:tab w:leader="none" w:pos="1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Finance Document, Charter Document; and</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might reasonably be expected to have, a Material Adverse Effect.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Compliance with laws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Each Obligor and each Manager will comply in all respects with all laws and regulations (including Environmental Laws) to which it may be subject, where failure to do so has, or might reasonably be expected to have, a Material Adverse Effect.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Tax Compliance</w:t>
      </w:r>
    </w:p>
    <w:p>
      <w:pPr>
        <w:spacing w:after="0" w:line="220" w:lineRule="exact"/>
        <w:rPr>
          <w:sz w:val="20"/>
          <w:szCs w:val="20"/>
          <w:color w:val="auto"/>
        </w:rPr>
      </w:pPr>
    </w:p>
    <w:p>
      <w:pPr>
        <w:ind w:left="1020" w:hanging="512"/>
        <w:spacing w:after="0" w:line="246" w:lineRule="auto"/>
        <w:tabs>
          <w:tab w:leader="none" w:pos="10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Obligor and each Manager shall pay and discharge all Taxes imposed upon it or its assets within such time period as may be allowed by law without incurring penalties unless and only to the extent that:</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5" w:name="page86"/>
    <w:bookmarkEnd w:id="85"/>
    <w:p>
      <w:pPr>
        <w:ind w:left="1540" w:hanging="511"/>
        <w:spacing w:after="0" w:line="246" w:lineRule="auto"/>
        <w:tabs>
          <w:tab w:leader="none" w:pos="171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198" w:lineRule="exact"/>
        <w:rPr>
          <w:sz w:val="20"/>
          <w:szCs w:val="20"/>
          <w:color w:val="auto"/>
        </w:rPr>
      </w:pPr>
    </w:p>
    <w:p>
      <w:pPr>
        <w:ind w:left="1020" w:hanging="512"/>
        <w:spacing w:after="0" w:line="246" w:lineRule="auto"/>
        <w:tabs>
          <w:tab w:leader="none" w:pos="111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Change of business or ownership</w:t>
      </w:r>
    </w:p>
    <w:p>
      <w:pPr>
        <w:spacing w:after="0" w:line="220" w:lineRule="exact"/>
        <w:rPr>
          <w:sz w:val="20"/>
          <w:szCs w:val="20"/>
          <w:color w:val="auto"/>
        </w:rPr>
      </w:pPr>
    </w:p>
    <w:p>
      <w:pPr>
        <w:jc w:val="both"/>
        <w:ind w:left="1020" w:hanging="512"/>
        <w:spacing w:after="0" w:line="238" w:lineRule="auto"/>
        <w:tabs>
          <w:tab w:leader="none" w:pos="105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Except as approved by the Majority Lenders, or otherwise permitted by the terms of this Agreement, no material change will be made to the general nature of the business of any of the Obligors or the Group or the MLP Group taken as a whole from that carried on at the date of this Agreement, save that any activities involving or undertaken whatsoever within the maritime sector by any Group Member will not be considered a change in the general nature of the business of any of the Obligors or the Group or the MLP Group taken as a whole.</w:t>
      </w:r>
    </w:p>
    <w:p>
      <w:pPr>
        <w:spacing w:after="0" w:line="188" w:lineRule="exact"/>
        <w:rPr>
          <w:rFonts w:ascii="Arial" w:cs="Arial" w:eastAsia="Arial" w:hAnsi="Arial"/>
          <w:sz w:val="18"/>
          <w:szCs w:val="18"/>
          <w:color w:val="auto"/>
        </w:rPr>
      </w:pPr>
    </w:p>
    <w:p>
      <w:pPr>
        <w:jc w:val="both"/>
        <w:ind w:left="1020" w:hanging="512"/>
        <w:spacing w:after="0" w:line="237" w:lineRule="auto"/>
        <w:tabs>
          <w:tab w:leader="none" w:pos="104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Obligors shall procure that (1) there shall not be any transfer of any of the shares in any Borrower from GasLog Carriers or the Parent, to GPHL or MLP (whether directly or indirectly) and (2) neither GPHL nor MLP (whether directly or indirectly) will acquire control of any Borrower, provided however that the Obligors shall be permitted to proceed with a transfer of all (but not some) of the shares in one or more Borrowers from GasLog Carriers or the Parent to GPHL or MLP (whether directly or indirectly) (a Dropdown in respect of the relevant Borrower), only with the prior written approval of all the Lenders and, additionally, subject to the following conditions being met on or before completion of that Dropdown:</w:t>
      </w:r>
    </w:p>
    <w:p>
      <w:pPr>
        <w:spacing w:after="0" w:line="191" w:lineRule="exact"/>
        <w:rPr>
          <w:rFonts w:ascii="Arial" w:cs="Arial" w:eastAsia="Arial" w:hAnsi="Arial"/>
          <w:sz w:val="18"/>
          <w:szCs w:val="18"/>
          <w:color w:val="auto"/>
        </w:rPr>
      </w:pPr>
    </w:p>
    <w:p>
      <w:pPr>
        <w:ind w:left="1540" w:right="20" w:hanging="511"/>
        <w:spacing w:after="0" w:line="246" w:lineRule="auto"/>
        <w:tabs>
          <w:tab w:leader="none" w:pos="174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no Event of Default would result from completion of such Dropdown; and</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 Change of Control has occurred; and</w:t>
      </w:r>
    </w:p>
    <w:p>
      <w:pPr>
        <w:spacing w:after="0" w:line="180" w:lineRule="exact"/>
        <w:rPr>
          <w:rFonts w:ascii="Arial" w:cs="Arial" w:eastAsia="Arial" w:hAnsi="Arial"/>
          <w:sz w:val="18"/>
          <w:szCs w:val="18"/>
          <w:color w:val="auto"/>
        </w:rPr>
      </w:pPr>
    </w:p>
    <w:p>
      <w:pPr>
        <w:jc w:val="both"/>
        <w:ind w:left="1540" w:hanging="511"/>
        <w:spacing w:after="0" w:line="250" w:lineRule="auto"/>
        <w:tabs>
          <w:tab w:leader="none" w:pos="171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 events or circumstances described in any of clauses 29.7 (</w:t>
      </w:r>
      <w:r>
        <w:rPr>
          <w:rFonts w:ascii="Arial" w:cs="Arial" w:eastAsia="Arial" w:hAnsi="Arial"/>
          <w:sz w:val="18"/>
          <w:szCs w:val="18"/>
          <w:i w:val="1"/>
          <w:iCs w:val="1"/>
          <w:color w:val="auto"/>
        </w:rPr>
        <w:t>Cross default</w:t>
      </w:r>
      <w:r>
        <w:rPr>
          <w:rFonts w:ascii="Arial" w:cs="Arial" w:eastAsia="Arial" w:hAnsi="Arial"/>
          <w:sz w:val="18"/>
          <w:szCs w:val="18"/>
          <w:color w:val="auto"/>
        </w:rPr>
        <w:t>), 29.8 (</w:t>
      </w:r>
      <w:r>
        <w:rPr>
          <w:rFonts w:ascii="Arial" w:cs="Arial" w:eastAsia="Arial" w:hAnsi="Arial"/>
          <w:sz w:val="18"/>
          <w:szCs w:val="18"/>
          <w:i w:val="1"/>
          <w:iCs w:val="1"/>
          <w:color w:val="auto"/>
        </w:rPr>
        <w:t>Insolvency</w:t>
      </w:r>
      <w:r>
        <w:rPr>
          <w:rFonts w:ascii="Arial" w:cs="Arial" w:eastAsia="Arial" w:hAnsi="Arial"/>
          <w:sz w:val="18"/>
          <w:szCs w:val="18"/>
          <w:color w:val="auto"/>
        </w:rPr>
        <w:t>), 29.9 (</w:t>
      </w:r>
      <w:r>
        <w:rPr>
          <w:rFonts w:ascii="Arial" w:cs="Arial" w:eastAsia="Arial" w:hAnsi="Arial"/>
          <w:sz w:val="18"/>
          <w:szCs w:val="18"/>
          <w:i w:val="1"/>
          <w:iCs w:val="1"/>
          <w:color w:val="auto"/>
        </w:rPr>
        <w:t>Insolvency</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29.10 (</w:t>
      </w:r>
      <w:r>
        <w:rPr>
          <w:rFonts w:ascii="Arial" w:cs="Arial" w:eastAsia="Arial" w:hAnsi="Arial"/>
          <w:sz w:val="18"/>
          <w:szCs w:val="18"/>
          <w:i w:val="1"/>
          <w:iCs w:val="1"/>
          <w:color w:val="auto"/>
        </w:rPr>
        <w:t>Creditors’ process</w:t>
      </w:r>
      <w:r>
        <w:rPr>
          <w:rFonts w:ascii="Arial" w:cs="Arial" w:eastAsia="Arial" w:hAnsi="Arial"/>
          <w:sz w:val="18"/>
          <w:szCs w:val="18"/>
          <w:color w:val="auto"/>
        </w:rPr>
        <w:t>) (inclusive), 29.12 (</w:t>
      </w:r>
      <w:r>
        <w:rPr>
          <w:rFonts w:ascii="Arial" w:cs="Arial" w:eastAsia="Arial" w:hAnsi="Arial"/>
          <w:sz w:val="18"/>
          <w:szCs w:val="18"/>
          <w:i w:val="1"/>
          <w:iCs w:val="1"/>
          <w:color w:val="auto"/>
        </w:rPr>
        <w:t>Cessation of business</w:t>
      </w:r>
      <w:r>
        <w:rPr>
          <w:rFonts w:ascii="Arial" w:cs="Arial" w:eastAsia="Arial" w:hAnsi="Arial"/>
          <w:sz w:val="18"/>
          <w:szCs w:val="18"/>
          <w:color w:val="auto"/>
        </w:rPr>
        <w:t>) or 29.13 (</w:t>
      </w:r>
      <w:r>
        <w:rPr>
          <w:rFonts w:ascii="Arial" w:cs="Arial" w:eastAsia="Arial" w:hAnsi="Arial"/>
          <w:sz w:val="18"/>
          <w:szCs w:val="18"/>
          <w:i w:val="1"/>
          <w:iCs w:val="1"/>
          <w:color w:val="auto"/>
        </w:rPr>
        <w:t>Expropriation</w:t>
      </w:r>
      <w:r>
        <w:rPr>
          <w:rFonts w:ascii="Arial" w:cs="Arial" w:eastAsia="Arial" w:hAnsi="Arial"/>
          <w:sz w:val="18"/>
          <w:szCs w:val="18"/>
          <w:color w:val="auto"/>
        </w:rPr>
        <w:t>) have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the MLP or GPHL as if they were Active Guarantors and such clauses applied to them; and</w:t>
      </w:r>
    </w:p>
    <w:p>
      <w:pPr>
        <w:spacing w:after="0" w:line="181" w:lineRule="exact"/>
        <w:rPr>
          <w:rFonts w:ascii="Arial" w:cs="Arial" w:eastAsia="Arial" w:hAnsi="Arial"/>
          <w:sz w:val="18"/>
          <w:szCs w:val="18"/>
          <w:color w:val="auto"/>
        </w:rPr>
      </w:pPr>
    </w:p>
    <w:p>
      <w:pPr>
        <w:jc w:val="both"/>
        <w:ind w:left="1540" w:hanging="511"/>
        <w:spacing w:after="0"/>
        <w:tabs>
          <w:tab w:leader="none" w:pos="1546"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 event or circumstances have occurred which have had a Material Adverse Effect since the date of this Agreement, but for the purposes of this paragraph (iv) the words “at any time when MLP is an Active Guarantor,” in paragraph (a)(iii) of the definition of Material Adverse Effect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shall be disregarded; and</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paragraph (d) below is complied with; and</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546"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following documents and evidence have each been provided by the Obligors to the Agent (at the cost and expense of the Borrowers) either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in respect of the Loans, or as otherwise satisfactory to the Agent, acting on the instructions of the Majority Lenders, in each case acting reasonably:</w:t>
      </w:r>
    </w:p>
    <w:p>
      <w:pPr>
        <w:spacing w:after="0" w:line="191" w:lineRule="exact"/>
        <w:rPr>
          <w:sz w:val="20"/>
          <w:szCs w:val="20"/>
          <w:color w:val="auto"/>
        </w:rPr>
      </w:pPr>
    </w:p>
    <w:p>
      <w:pPr>
        <w:jc w:val="both"/>
        <w:ind w:left="2040" w:hanging="501"/>
        <w:spacing w:after="0"/>
        <w:tabs>
          <w:tab w:leader="none" w:pos="207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replacement Share Security duly executed by GPHL in respect of the shares in the relevant Borrower subject to the Dropdown (following which such shares shall be released from the prior Share Security at the cost and expense of the Borrowers);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jc w:val="both"/>
        <w:ind w:left="1540" w:hanging="501"/>
        <w:spacing w:after="0"/>
        <w:tabs>
          <w:tab w:leader="none" w:pos="1676"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any and all relevant corporate authorisations of GPHL in respect of the execution, delivery and performance of such Share Security (of the type and nature described in Schedule 3, Part 1 paragraph 1 (</w:t>
      </w:r>
      <w:r>
        <w:rPr>
          <w:rFonts w:ascii="Arial" w:cs="Arial" w:eastAsia="Arial" w:hAnsi="Arial"/>
          <w:sz w:val="18"/>
          <w:szCs w:val="18"/>
          <w:i w:val="1"/>
          <w:iCs w:val="1"/>
          <w:color w:val="auto"/>
        </w:rPr>
        <w:t>Obligors’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and</w:t>
      </w:r>
    </w:p>
    <w:p>
      <w:pPr>
        <w:spacing w:after="0" w:line="189" w:lineRule="exact"/>
        <w:rPr>
          <w:rFonts w:ascii="Arial" w:cs="Arial" w:eastAsia="Arial" w:hAnsi="Arial"/>
          <w:sz w:val="18"/>
          <w:szCs w:val="18"/>
          <w:color w:val="auto"/>
        </w:rPr>
      </w:pPr>
    </w:p>
    <w:p>
      <w:pPr>
        <w:ind w:left="1540" w:hanging="501"/>
        <w:spacing w:after="0" w:line="246" w:lineRule="auto"/>
        <w:tabs>
          <w:tab w:leader="none" w:pos="1699"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any legal opinions reasonably required by the Agent in respect of such Share Security, in form and substance acceptable to all the Lenders.</w:t>
      </w:r>
    </w:p>
    <w:p>
      <w:pPr>
        <w:spacing w:after="0" w:line="183" w:lineRule="exact"/>
        <w:rPr>
          <w:rFonts w:ascii="Arial" w:cs="Arial" w:eastAsia="Arial" w:hAnsi="Arial"/>
          <w:sz w:val="18"/>
          <w:szCs w:val="18"/>
          <w:color w:val="auto"/>
        </w:rPr>
      </w:pPr>
    </w:p>
    <w:p>
      <w:pPr>
        <w:jc w:val="both"/>
        <w:ind w:left="520" w:hanging="512"/>
        <w:spacing w:after="0" w:line="238" w:lineRule="auto"/>
        <w:tabs>
          <w:tab w:leader="none" w:pos="51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In respect of any Borrower whose shares are owned by GPHL or MLP (directly or indirectly) following a Dropdown, the Obligors shall be permitted to proceed with a transfer of all (but not some) of the shares of that Borrower to the Parent or GasLog Carriers (a </w:t>
      </w:r>
      <w:r>
        <w:rPr>
          <w:rFonts w:ascii="Arial" w:cs="Arial" w:eastAsia="Arial" w:hAnsi="Arial"/>
          <w:sz w:val="18"/>
          <w:szCs w:val="18"/>
          <w:b w:val="1"/>
          <w:bCs w:val="1"/>
          <w:color w:val="auto"/>
        </w:rPr>
        <w:t>Reverse Dropdown</w:t>
      </w:r>
      <w:r>
        <w:rPr>
          <w:rFonts w:ascii="Arial" w:cs="Arial" w:eastAsia="Arial" w:hAnsi="Arial"/>
          <w:sz w:val="18"/>
          <w:szCs w:val="18"/>
          <w:color w:val="auto"/>
        </w:rPr>
        <w:t xml:space="preserve"> in respect of that Borrower), subject to the following conditions being met on or before completion of that Reverse Dropdown:</w:t>
      </w:r>
    </w:p>
    <w:p>
      <w:pPr>
        <w:spacing w:after="0" w:line="191" w:lineRule="exact"/>
        <w:rPr>
          <w:rFonts w:ascii="Arial" w:cs="Arial" w:eastAsia="Arial" w:hAnsi="Arial"/>
          <w:sz w:val="18"/>
          <w:szCs w:val="18"/>
          <w:color w:val="auto"/>
        </w:rPr>
      </w:pPr>
    </w:p>
    <w:p>
      <w:pPr>
        <w:ind w:left="1040" w:hanging="511"/>
        <w:spacing w:after="0" w:line="246" w:lineRule="auto"/>
        <w:tabs>
          <w:tab w:leader="none" w:pos="105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no Event of Default would result from completion of such Reverse Dropdown; and</w:t>
      </w:r>
    </w:p>
    <w:p>
      <w:pPr>
        <w:spacing w:after="0" w:line="183" w:lineRule="exact"/>
        <w:rPr>
          <w:rFonts w:ascii="Arial" w:cs="Arial" w:eastAsia="Arial" w:hAnsi="Arial"/>
          <w:sz w:val="18"/>
          <w:szCs w:val="18"/>
          <w:color w:val="auto"/>
        </w:rPr>
      </w:pPr>
    </w:p>
    <w:p>
      <w:pPr>
        <w:ind w:left="1020" w:hanging="491"/>
        <w:spacing w:after="0"/>
        <w:tabs>
          <w:tab w:leader="none" w:pos="10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 Change of Control has occurred; and</w:t>
      </w:r>
    </w:p>
    <w:p>
      <w:pPr>
        <w:spacing w:after="0" w:line="180" w:lineRule="exact"/>
        <w:rPr>
          <w:rFonts w:ascii="Arial" w:cs="Arial" w:eastAsia="Arial" w:hAnsi="Arial"/>
          <w:sz w:val="18"/>
          <w:szCs w:val="18"/>
          <w:color w:val="auto"/>
        </w:rPr>
      </w:pPr>
    </w:p>
    <w:p>
      <w:pPr>
        <w:jc w:val="both"/>
        <w:ind w:left="1040" w:hanging="511"/>
        <w:spacing w:after="0" w:line="250" w:lineRule="auto"/>
        <w:tabs>
          <w:tab w:leader="none" w:pos="121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 events or circumstances described in any of clauses 29.7 (</w:t>
      </w:r>
      <w:r>
        <w:rPr>
          <w:rFonts w:ascii="Arial" w:cs="Arial" w:eastAsia="Arial" w:hAnsi="Arial"/>
          <w:sz w:val="18"/>
          <w:szCs w:val="18"/>
          <w:i w:val="1"/>
          <w:iCs w:val="1"/>
          <w:color w:val="auto"/>
        </w:rPr>
        <w:t>Cross default</w:t>
      </w:r>
      <w:r>
        <w:rPr>
          <w:rFonts w:ascii="Arial" w:cs="Arial" w:eastAsia="Arial" w:hAnsi="Arial"/>
          <w:sz w:val="18"/>
          <w:szCs w:val="18"/>
          <w:color w:val="auto"/>
        </w:rPr>
        <w:t>), 29.8 (</w:t>
      </w:r>
      <w:r>
        <w:rPr>
          <w:rFonts w:ascii="Arial" w:cs="Arial" w:eastAsia="Arial" w:hAnsi="Arial"/>
          <w:sz w:val="18"/>
          <w:szCs w:val="18"/>
          <w:i w:val="1"/>
          <w:iCs w:val="1"/>
          <w:color w:val="auto"/>
        </w:rPr>
        <w:t>Insolvency</w:t>
      </w:r>
      <w:r>
        <w:rPr>
          <w:rFonts w:ascii="Arial" w:cs="Arial" w:eastAsia="Arial" w:hAnsi="Arial"/>
          <w:sz w:val="18"/>
          <w:szCs w:val="18"/>
          <w:color w:val="auto"/>
        </w:rPr>
        <w:t>), 29.9 (</w:t>
      </w:r>
      <w:r>
        <w:rPr>
          <w:rFonts w:ascii="Arial" w:cs="Arial" w:eastAsia="Arial" w:hAnsi="Arial"/>
          <w:sz w:val="18"/>
          <w:szCs w:val="18"/>
          <w:i w:val="1"/>
          <w:iCs w:val="1"/>
          <w:color w:val="auto"/>
        </w:rPr>
        <w:t>Insolvency</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29.10 (</w:t>
      </w:r>
      <w:r>
        <w:rPr>
          <w:rFonts w:ascii="Arial" w:cs="Arial" w:eastAsia="Arial" w:hAnsi="Arial"/>
          <w:sz w:val="18"/>
          <w:szCs w:val="18"/>
          <w:i w:val="1"/>
          <w:iCs w:val="1"/>
          <w:color w:val="auto"/>
        </w:rPr>
        <w:t>Creditors’ process</w:t>
      </w:r>
      <w:r>
        <w:rPr>
          <w:rFonts w:ascii="Arial" w:cs="Arial" w:eastAsia="Arial" w:hAnsi="Arial"/>
          <w:sz w:val="18"/>
          <w:szCs w:val="18"/>
          <w:color w:val="auto"/>
        </w:rPr>
        <w:t>) (inclusive), 29.12 (</w:t>
      </w:r>
      <w:r>
        <w:rPr>
          <w:rFonts w:ascii="Arial" w:cs="Arial" w:eastAsia="Arial" w:hAnsi="Arial"/>
          <w:sz w:val="18"/>
          <w:szCs w:val="18"/>
          <w:i w:val="1"/>
          <w:iCs w:val="1"/>
          <w:color w:val="auto"/>
        </w:rPr>
        <w:t>Cessation of business</w:t>
      </w:r>
      <w:r>
        <w:rPr>
          <w:rFonts w:ascii="Arial" w:cs="Arial" w:eastAsia="Arial" w:hAnsi="Arial"/>
          <w:sz w:val="18"/>
          <w:szCs w:val="18"/>
          <w:color w:val="auto"/>
        </w:rPr>
        <w:t>) or 29.13 (</w:t>
      </w:r>
      <w:r>
        <w:rPr>
          <w:rFonts w:ascii="Arial" w:cs="Arial" w:eastAsia="Arial" w:hAnsi="Arial"/>
          <w:sz w:val="18"/>
          <w:szCs w:val="18"/>
          <w:i w:val="1"/>
          <w:iCs w:val="1"/>
          <w:color w:val="auto"/>
        </w:rPr>
        <w:t>Expropriation</w:t>
      </w:r>
      <w:r>
        <w:rPr>
          <w:rFonts w:ascii="Arial" w:cs="Arial" w:eastAsia="Arial" w:hAnsi="Arial"/>
          <w:sz w:val="18"/>
          <w:szCs w:val="18"/>
          <w:color w:val="auto"/>
        </w:rPr>
        <w:t>) have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the Parent or GasLog Carriers as if they were Active Guarantors and such clauses applied to them; and</w:t>
      </w:r>
    </w:p>
    <w:p>
      <w:pPr>
        <w:spacing w:after="0" w:line="181" w:lineRule="exact"/>
        <w:rPr>
          <w:rFonts w:ascii="Arial" w:cs="Arial" w:eastAsia="Arial" w:hAnsi="Arial"/>
          <w:sz w:val="18"/>
          <w:szCs w:val="18"/>
          <w:color w:val="auto"/>
        </w:rPr>
      </w:pPr>
    </w:p>
    <w:p>
      <w:pPr>
        <w:jc w:val="both"/>
        <w:ind w:left="1040" w:hanging="511"/>
        <w:spacing w:after="0"/>
        <w:tabs>
          <w:tab w:leader="none" w:pos="104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 event or circumstances have occurred which have had a Material Adverse Effect since the date of this Agreement, but for the purposes of this paragraph (iv) the words “at any time when the Parent is an Active Guarantor,” in paragraph (a) (ii) of the definition of Material Adverse Effect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shall be disregarded; and</w:t>
      </w:r>
    </w:p>
    <w:p>
      <w:pPr>
        <w:spacing w:after="0" w:line="189" w:lineRule="exact"/>
        <w:rPr>
          <w:rFonts w:ascii="Arial" w:cs="Arial" w:eastAsia="Arial" w:hAnsi="Arial"/>
          <w:sz w:val="18"/>
          <w:szCs w:val="18"/>
          <w:color w:val="auto"/>
        </w:rPr>
      </w:pPr>
    </w:p>
    <w:p>
      <w:pPr>
        <w:ind w:left="1040" w:hanging="511"/>
        <w:spacing w:after="0"/>
        <w:tabs>
          <w:tab w:leader="none" w:pos="10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paragraph (d) below is complied with; and</w:t>
      </w:r>
    </w:p>
    <w:p>
      <w:pPr>
        <w:spacing w:after="0" w:line="198" w:lineRule="exact"/>
        <w:rPr>
          <w:rFonts w:ascii="Arial" w:cs="Arial" w:eastAsia="Arial" w:hAnsi="Arial"/>
          <w:sz w:val="18"/>
          <w:szCs w:val="18"/>
          <w:color w:val="auto"/>
        </w:rPr>
      </w:pPr>
    </w:p>
    <w:p>
      <w:pPr>
        <w:jc w:val="both"/>
        <w:ind w:left="1040" w:hanging="511"/>
        <w:spacing w:after="0" w:line="238" w:lineRule="auto"/>
        <w:tabs>
          <w:tab w:leader="none" w:pos="104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following documents and evidence have each been provided by the Obligors to the Agent (at the cost and expense of the Borrowers) either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in respect of the Loans, or as otherwise satisfactory to the Agent, acting on the instructions of the Majority Lenders, in each case acting reasonably:</w:t>
      </w:r>
    </w:p>
    <w:p>
      <w:pPr>
        <w:spacing w:after="0" w:line="191" w:lineRule="exact"/>
        <w:rPr>
          <w:rFonts w:ascii="Arial" w:cs="Arial" w:eastAsia="Arial" w:hAnsi="Arial"/>
          <w:sz w:val="18"/>
          <w:szCs w:val="18"/>
          <w:color w:val="auto"/>
        </w:rPr>
      </w:pPr>
    </w:p>
    <w:p>
      <w:pPr>
        <w:jc w:val="both"/>
        <w:ind w:left="1540" w:hanging="501"/>
        <w:spacing w:after="0"/>
        <w:tabs>
          <w:tab w:leader="none" w:pos="1647" w:val="left"/>
        </w:tabs>
        <w:numPr>
          <w:ilvl w:val="2"/>
          <w:numId w:val="227"/>
        </w:numPr>
        <w:rPr>
          <w:rFonts w:ascii="Arial" w:cs="Arial" w:eastAsia="Arial" w:hAnsi="Arial"/>
          <w:sz w:val="18"/>
          <w:szCs w:val="18"/>
          <w:color w:val="auto"/>
        </w:rPr>
      </w:pPr>
      <w:r>
        <w:rPr>
          <w:rFonts w:ascii="Arial" w:cs="Arial" w:eastAsia="Arial" w:hAnsi="Arial"/>
          <w:sz w:val="18"/>
          <w:szCs w:val="18"/>
          <w:color w:val="auto"/>
        </w:rPr>
        <w:t>replacement Share Security duly executed by GasLog Carriers in respect of the shares in the relevant Borrower subject to the Reverse Dropdown (following which such share shall be released from the prior Share Security at the cost and expense of the Borrowers);</w:t>
      </w:r>
    </w:p>
    <w:p>
      <w:pPr>
        <w:spacing w:after="0" w:line="189" w:lineRule="exact"/>
        <w:rPr>
          <w:rFonts w:ascii="Arial" w:cs="Arial" w:eastAsia="Arial" w:hAnsi="Arial"/>
          <w:sz w:val="18"/>
          <w:szCs w:val="18"/>
          <w:color w:val="auto"/>
        </w:rPr>
      </w:pPr>
    </w:p>
    <w:p>
      <w:pPr>
        <w:jc w:val="both"/>
        <w:ind w:left="1540" w:hanging="501"/>
        <w:spacing w:after="0"/>
        <w:tabs>
          <w:tab w:leader="none" w:pos="1805" w:val="left"/>
        </w:tabs>
        <w:numPr>
          <w:ilvl w:val="2"/>
          <w:numId w:val="227"/>
        </w:numPr>
        <w:rPr>
          <w:rFonts w:ascii="Arial" w:cs="Arial" w:eastAsia="Arial" w:hAnsi="Arial"/>
          <w:sz w:val="18"/>
          <w:szCs w:val="18"/>
          <w:color w:val="auto"/>
        </w:rPr>
      </w:pPr>
      <w:r>
        <w:rPr>
          <w:rFonts w:ascii="Arial" w:cs="Arial" w:eastAsia="Arial" w:hAnsi="Arial"/>
          <w:sz w:val="18"/>
          <w:szCs w:val="18"/>
          <w:color w:val="auto"/>
        </w:rPr>
        <w:t>any and all relevant corporate authorisations of GasLog Carriers in respect of the execution, delivery and performance of such Share Security (of the type and nature described in Schedule 3, Part 1 paragraph 1 (</w:t>
      </w:r>
      <w:r>
        <w:rPr>
          <w:rFonts w:ascii="Arial" w:cs="Arial" w:eastAsia="Arial" w:hAnsi="Arial"/>
          <w:sz w:val="18"/>
          <w:szCs w:val="18"/>
          <w:i w:val="1"/>
          <w:iCs w:val="1"/>
          <w:color w:val="auto"/>
        </w:rPr>
        <w:t>Obligors’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documents</w:t>
      </w:r>
      <w:r>
        <w:rPr>
          <w:rFonts w:ascii="Arial" w:cs="Arial" w:eastAsia="Arial" w:hAnsi="Arial"/>
          <w:sz w:val="18"/>
          <w:szCs w:val="18"/>
          <w:color w:val="auto"/>
        </w:rPr>
        <w:t>)); and</w:t>
      </w:r>
    </w:p>
    <w:p>
      <w:pPr>
        <w:spacing w:after="0" w:line="189" w:lineRule="exact"/>
        <w:rPr>
          <w:rFonts w:ascii="Arial" w:cs="Arial" w:eastAsia="Arial" w:hAnsi="Arial"/>
          <w:sz w:val="18"/>
          <w:szCs w:val="18"/>
          <w:color w:val="auto"/>
        </w:rPr>
      </w:pPr>
    </w:p>
    <w:p>
      <w:pPr>
        <w:ind w:left="1540" w:hanging="501"/>
        <w:spacing w:after="0" w:line="246" w:lineRule="auto"/>
        <w:tabs>
          <w:tab w:leader="none" w:pos="1699" w:val="left"/>
        </w:tabs>
        <w:numPr>
          <w:ilvl w:val="2"/>
          <w:numId w:val="227"/>
        </w:numPr>
        <w:rPr>
          <w:rFonts w:ascii="Arial" w:cs="Arial" w:eastAsia="Arial" w:hAnsi="Arial"/>
          <w:sz w:val="18"/>
          <w:szCs w:val="18"/>
          <w:color w:val="auto"/>
        </w:rPr>
      </w:pPr>
      <w:r>
        <w:rPr>
          <w:rFonts w:ascii="Arial" w:cs="Arial" w:eastAsia="Arial" w:hAnsi="Arial"/>
          <w:sz w:val="18"/>
          <w:szCs w:val="18"/>
          <w:color w:val="auto"/>
        </w:rPr>
        <w:t>any legal opinions reasonably required by the Agent in respect of such Share Security, in form and substance acceptable to all the Lenders.</w:t>
      </w:r>
    </w:p>
    <w:p>
      <w:pPr>
        <w:spacing w:after="0" w:line="183" w:lineRule="exact"/>
        <w:rPr>
          <w:rFonts w:ascii="Arial" w:cs="Arial" w:eastAsia="Arial" w:hAnsi="Arial"/>
          <w:sz w:val="18"/>
          <w:szCs w:val="18"/>
          <w:color w:val="auto"/>
        </w:rPr>
      </w:pPr>
    </w:p>
    <w:p>
      <w:pPr>
        <w:jc w:val="both"/>
        <w:ind w:left="520" w:hanging="512"/>
        <w:spacing w:after="0"/>
        <w:tabs>
          <w:tab w:leader="none" w:pos="52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There can be no more than ten (10) Dropdowns and Reverse Dropdowns (in aggregate) per Borrower during the Facility Period. All reasonable fees, costs and expenses incurred by the Finance Parties in connection with a Dropdown or a Reverse Dropdown will be borne by the Borrowers.</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87" w:name="page88"/>
    <w:bookmarkEnd w:id="87"/>
    <w:p>
      <w:pPr>
        <w:ind w:left="1020" w:hanging="512"/>
        <w:spacing w:after="0" w:line="246" w:lineRule="auto"/>
        <w:tabs>
          <w:tab w:leader="none" w:pos="106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Obligors represent and undertake to and with the Finance Parties that, as at the date of this Agreement and as at the first Utilisation Date, no Dropdowns or Reverse Dropdowns have occurred and none will occur by the first Utilisation Date.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Merger and corporate reconstruction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Except as approved by the Majority Lenders, no Obligor, will enter into any amalgamation, demerger, merger, consolidation, redomiciliation, legal migration or corporate reconstruction (other than an amalgamation, merger or consolidation of a Guarantor where such Guarantor is the surviving entity of the same). For the avoidance of doubt, the Parties agree that a Dropdown and a Reverse Dropdown will not constitute an amalgamation, demerger, merger, consolidation or corporate reconstruction within the meaning of this clause 21.6.</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21.7</w:t>
        <w:tab/>
        <w:t>Further assurance</w:t>
      </w:r>
    </w:p>
    <w:p>
      <w:pPr>
        <w:spacing w:after="0" w:line="220" w:lineRule="exact"/>
        <w:rPr>
          <w:sz w:val="20"/>
          <w:szCs w:val="20"/>
          <w:color w:val="auto"/>
        </w:rPr>
      </w:pPr>
    </w:p>
    <w:p>
      <w:pPr>
        <w:jc w:val="both"/>
        <w:ind w:left="1020" w:hanging="512"/>
        <w:spacing w:after="0" w:line="238" w:lineRule="auto"/>
        <w:tabs>
          <w:tab w:leader="none" w:pos="117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Obligor shall promptly do all such acts or execute all such documents (including assignments, transfers, mortgages, charges, notices and instructions) as the Agent may reasonably specify (and in such form as the Agent may reasonably require acting on the instructions of the Majority Lenders) in favour of the Security Agent or its nominee(s) as provided under each Finance Document, as applicable:</w:t>
      </w:r>
    </w:p>
    <w:p>
      <w:pPr>
        <w:spacing w:after="0" w:line="191" w:lineRule="exact"/>
        <w:rPr>
          <w:rFonts w:ascii="Arial" w:cs="Arial" w:eastAsia="Arial" w:hAnsi="Arial"/>
          <w:sz w:val="18"/>
          <w:szCs w:val="18"/>
          <w:color w:val="auto"/>
        </w:rPr>
      </w:pPr>
    </w:p>
    <w:p>
      <w:pPr>
        <w:jc w:val="both"/>
        <w:ind w:left="1540" w:hanging="511"/>
        <w:spacing w:after="0" w:line="238" w:lineRule="auto"/>
        <w:tabs>
          <w:tab w:leader="none" w:pos="166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or any other Finance Party provided by or pursuant to the Finance Documents or by law;</w:t>
      </w:r>
    </w:p>
    <w:p>
      <w:pPr>
        <w:spacing w:after="0" w:line="188" w:lineRule="exact"/>
        <w:rPr>
          <w:rFonts w:ascii="Arial" w:cs="Arial" w:eastAsia="Arial" w:hAnsi="Arial"/>
          <w:sz w:val="18"/>
          <w:szCs w:val="18"/>
          <w:color w:val="auto"/>
        </w:rPr>
      </w:pPr>
    </w:p>
    <w:p>
      <w:pPr>
        <w:jc w:val="both"/>
        <w:ind w:left="1540" w:hanging="511"/>
        <w:spacing w:after="0"/>
        <w:tabs>
          <w:tab w:leader="none" w:pos="161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89" w:lineRule="exact"/>
        <w:rPr>
          <w:rFonts w:ascii="Arial" w:cs="Arial" w:eastAsia="Arial" w:hAnsi="Arial"/>
          <w:sz w:val="18"/>
          <w:szCs w:val="18"/>
          <w:color w:val="auto"/>
        </w:rPr>
      </w:pPr>
    </w:p>
    <w:p>
      <w:pPr>
        <w:ind w:left="1520" w:hanging="491"/>
        <w:spacing w:after="0"/>
        <w:tabs>
          <w:tab w:leader="none" w:pos="15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 and/or</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62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30.1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1020" w:hanging="512"/>
        <w:spacing w:after="0" w:line="238" w:lineRule="auto"/>
        <w:tabs>
          <w:tab w:leader="none" w:pos="10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Obligor shall take all such action as is available to it (including making all filings and registrations) as may be necessary for the purpose of the creation, perfection, protection or maintenance of any Security Interest (or the priority of any Security Interest) conferred or intended to be conferred on the Security Agent and/or any other Finance Party by or pursuant to the Finance Documents.</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7"/>
          <w:szCs w:val="17"/>
          <w:b w:val="1"/>
          <w:bCs w:val="1"/>
          <w:color w:val="auto"/>
        </w:rPr>
        <w:t>Negative pledge in respect of Charged Property or Borrower’s shares</w:t>
      </w:r>
    </w:p>
    <w:p>
      <w:pPr>
        <w:spacing w:after="0" w:line="220" w:lineRule="exact"/>
        <w:rPr>
          <w:sz w:val="20"/>
          <w:szCs w:val="20"/>
          <w:color w:val="auto"/>
        </w:rPr>
      </w:pPr>
    </w:p>
    <w:p>
      <w:pPr>
        <w:ind w:left="1020" w:hanging="512"/>
        <w:spacing w:after="0"/>
        <w:tabs>
          <w:tab w:leader="none" w:pos="10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for Permitted Security Interests, no Obligor will grant or allow to exist any Security Interest over any Charged Property.</w:t>
      </w:r>
    </w:p>
    <w:p>
      <w:pPr>
        <w:spacing w:after="0" w:line="198" w:lineRule="exact"/>
        <w:rPr>
          <w:rFonts w:ascii="Arial" w:cs="Arial" w:eastAsia="Arial" w:hAnsi="Arial"/>
          <w:sz w:val="18"/>
          <w:szCs w:val="18"/>
          <w:color w:val="auto"/>
        </w:rPr>
      </w:pPr>
    </w:p>
    <w:p>
      <w:pPr>
        <w:jc w:val="both"/>
        <w:ind w:left="1020" w:hanging="512"/>
        <w:spacing w:after="0"/>
        <w:tabs>
          <w:tab w:leader="none" w:pos="102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under the Share Security in respect of each Borrower and except for Permitted Security Interests, no Obligor will grant or allow to exist any Security Interest over any of the shares in any of the Borrowers or over any of the rights deriving from or related to such shares.</w:t>
      </w:r>
    </w:p>
    <w:p>
      <w:pPr>
        <w:spacing w:after="0" w:line="189" w:lineRule="exact"/>
        <w:rPr>
          <w:rFonts w:ascii="Arial" w:cs="Arial" w:eastAsia="Arial" w:hAnsi="Arial"/>
          <w:sz w:val="18"/>
          <w:szCs w:val="18"/>
          <w:color w:val="auto"/>
        </w:rPr>
      </w:pPr>
    </w:p>
    <w:p>
      <w:pPr>
        <w:ind w:left="1020" w:hanging="512"/>
        <w:spacing w:after="0" w:line="246" w:lineRule="auto"/>
        <w:tabs>
          <w:tab w:leader="none" w:pos="108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spacing w:after="0"/>
        <w:tabs>
          <w:tab w:leader="none" w:pos="500" w:val="left"/>
        </w:tabs>
        <w:rPr>
          <w:sz w:val="20"/>
          <w:szCs w:val="20"/>
          <w:color w:val="auto"/>
        </w:rPr>
      </w:pPr>
      <w:r>
        <w:rPr>
          <w:rFonts w:ascii="Arial" w:cs="Arial" w:eastAsia="Arial" w:hAnsi="Arial"/>
          <w:sz w:val="18"/>
          <w:szCs w:val="18"/>
          <w:b w:val="1"/>
          <w:bCs w:val="1"/>
          <w:color w:val="auto"/>
        </w:rPr>
        <w:t>21.9</w:t>
        <w:tab/>
        <w:t>Environmental matters</w:t>
      </w:r>
    </w:p>
    <w:p>
      <w:pPr>
        <w:spacing w:after="0" w:line="220" w:lineRule="exact"/>
        <w:rPr>
          <w:sz w:val="20"/>
          <w:szCs w:val="20"/>
          <w:color w:val="auto"/>
        </w:rPr>
      </w:pPr>
    </w:p>
    <w:p>
      <w:pPr>
        <w:jc w:val="both"/>
        <w:ind w:left="1020" w:hanging="512"/>
        <w:spacing w:after="0" w:line="238" w:lineRule="auto"/>
        <w:tabs>
          <w:tab w:leader="none" w:pos="102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Obligors will notify the Agent as soon as reasonably practicable of any Environmental Claim being made against any Group Member or any Fleet Vessel or the owner of any Fleet Vessel or any Manager which, if successful to any extent, might reasonably be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188" w:lineRule="exact"/>
        <w:rPr>
          <w:rFonts w:ascii="Arial" w:cs="Arial" w:eastAsia="Arial" w:hAnsi="Arial"/>
          <w:sz w:val="18"/>
          <w:szCs w:val="18"/>
          <w:color w:val="auto"/>
        </w:rPr>
      </w:pPr>
    </w:p>
    <w:p>
      <w:pPr>
        <w:ind w:left="1020" w:hanging="512"/>
        <w:spacing w:after="0" w:line="246" w:lineRule="auto"/>
        <w:tabs>
          <w:tab w:leader="none" w:pos="102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Pari Passu</w:t>
      </w:r>
    </w:p>
    <w:p>
      <w:pPr>
        <w:spacing w:after="0" w:line="220" w:lineRule="exact"/>
        <w:rPr>
          <w:sz w:val="20"/>
          <w:szCs w:val="20"/>
          <w:color w:val="auto"/>
        </w:rPr>
      </w:pPr>
    </w:p>
    <w:p>
      <w:pPr>
        <w:jc w:val="both"/>
        <w:ind w:left="500"/>
        <w:spacing w:after="0" w:line="234" w:lineRule="auto"/>
        <w:rPr>
          <w:sz w:val="20"/>
          <w:szCs w:val="20"/>
          <w:color w:val="auto"/>
        </w:rPr>
      </w:pPr>
      <w:r>
        <w:rPr>
          <w:rFonts w:ascii="Arial" w:cs="Arial" w:eastAsia="Arial" w:hAnsi="Arial"/>
          <w:sz w:val="18"/>
          <w:szCs w:val="18"/>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w:t>
      </w:r>
    </w:p>
    <w:p>
      <w:pPr>
        <w:spacing w:after="0" w:line="2" w:lineRule="exact"/>
        <w:rPr>
          <w:sz w:val="20"/>
          <w:szCs w:val="20"/>
          <w:color w:val="auto"/>
        </w:rPr>
      </w:pPr>
    </w:p>
    <w:p>
      <w:pPr>
        <w:ind w:left="500" w:firstLine="8"/>
        <w:spacing w:after="0" w:line="246" w:lineRule="auto"/>
        <w:tabs>
          <w:tab w:leader="none" w:pos="78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Financial Indebtedness of any Obligor to any other Group Member or any of its shareholders or other Affiliates shall be in all respects subordinated in ranking and priority of payment to all amounts owing to the Finance Parties under the Finance Documents.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Sanctions</w:t>
      </w:r>
    </w:p>
    <w:p>
      <w:pPr>
        <w:spacing w:after="0" w:line="220" w:lineRule="exact"/>
        <w:rPr>
          <w:sz w:val="20"/>
          <w:szCs w:val="20"/>
          <w:color w:val="auto"/>
        </w:rPr>
      </w:pPr>
    </w:p>
    <w:p>
      <w:pPr>
        <w:jc w:val="both"/>
        <w:ind w:left="1020" w:hanging="512"/>
        <w:spacing w:after="0"/>
        <w:tabs>
          <w:tab w:leader="none" w:pos="114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Loans available to, or for the benefit of, a Prohibited Person or permit or authorise any such proceeds to be applied in a manner or for a purpose prohibited by Sanctions or which would put any Finance Party in breach of any Sanctions.</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nor any of the Group Members will:</w:t>
      </w:r>
    </w:p>
    <w:p>
      <w:pPr>
        <w:spacing w:after="0" w:line="198" w:lineRule="exact"/>
        <w:rPr>
          <w:rFonts w:ascii="Arial" w:cs="Arial" w:eastAsia="Arial" w:hAnsi="Arial"/>
          <w:sz w:val="18"/>
          <w:szCs w:val="18"/>
          <w:color w:val="auto"/>
        </w:rPr>
      </w:pPr>
    </w:p>
    <w:p>
      <w:pPr>
        <w:ind w:left="1480" w:hanging="451"/>
        <w:spacing w:after="0"/>
        <w:tabs>
          <w:tab w:leader="none" w:pos="14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69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57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w:t>
      </w:r>
    </w:p>
    <w:p>
      <w:pPr>
        <w:spacing w:after="0" w:line="191" w:lineRule="exact"/>
        <w:rPr>
          <w:rFonts w:ascii="Arial" w:cs="Arial" w:eastAsia="Arial" w:hAnsi="Arial"/>
          <w:sz w:val="18"/>
          <w:szCs w:val="18"/>
          <w:color w:val="auto"/>
        </w:rPr>
      </w:pPr>
    </w:p>
    <w:p>
      <w:pPr>
        <w:ind w:left="1580" w:hanging="551"/>
        <w:spacing w:after="0"/>
        <w:tabs>
          <w:tab w:leader="none" w:pos="15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 or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Borrowers will prevent any Mortgaged Ship from being used, directly or indirectly:</w:t>
      </w:r>
    </w:p>
    <w:p>
      <w:pPr>
        <w:spacing w:after="0" w:line="198" w:lineRule="exact"/>
        <w:rPr>
          <w:rFonts w:ascii="Arial" w:cs="Arial" w:eastAsia="Arial" w:hAnsi="Arial"/>
          <w:sz w:val="18"/>
          <w:szCs w:val="18"/>
          <w:color w:val="auto"/>
        </w:rPr>
      </w:pPr>
    </w:p>
    <w:p>
      <w:pPr>
        <w:jc w:val="both"/>
        <w:ind w:left="1540" w:hanging="511"/>
        <w:spacing w:after="0"/>
        <w:tabs>
          <w:tab w:leader="none" w:pos="164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by, or for the benefit of, any Prohibited Person or any person owned or controlled by any Prohibited Person (including from being sold, chartered, leased or otherwise provided directly or indirectly to any Prohibited Person) if such use would be in breach of Sanctions;</w:t>
      </w:r>
    </w:p>
    <w:p>
      <w:pPr>
        <w:spacing w:after="0" w:line="189" w:lineRule="exact"/>
        <w:rPr>
          <w:rFonts w:ascii="Arial" w:cs="Arial" w:eastAsia="Arial" w:hAnsi="Arial"/>
          <w:sz w:val="18"/>
          <w:szCs w:val="18"/>
          <w:color w:val="auto"/>
        </w:rPr>
      </w:pPr>
    </w:p>
    <w:p>
      <w:pPr>
        <w:ind w:left="1540" w:hanging="511"/>
        <w:spacing w:after="0" w:line="246" w:lineRule="auto"/>
        <w:tabs>
          <w:tab w:leader="none" w:pos="153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to enforcement proceedings arising from Sanctions; and/or</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54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 any transport of any goods that are prohibited to be sold, supplied, transferred, purchased, exported or imported under any Sanctions.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9" w:name="page90"/>
    <w:bookmarkEnd w:id="89"/>
    <w:p>
      <w:pPr>
        <w:jc w:val="both"/>
        <w:ind w:left="520" w:hanging="512"/>
        <w:spacing w:after="0" w:line="237" w:lineRule="auto"/>
        <w:tabs>
          <w:tab w:leader="none" w:pos="66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Without prejudice to the rights of the Finance Parties under any other provisions of this Agreement and the other Finance Documents, if an Owner finds out that its Ship, without its knowledge, has been sold, chartered, conferred, leased or otherwise provided directly or indirectly to any Prohibited Person in breach of Sanctions, it shall terminate as soon as possible and in any case within thirty (30) days after the day it finds out that any of the events described in this clause has occurred the relationship with the Prohibited Person under the premise that the Finance Parties may commit a breach of law by this behaviour. In this case the Borrowers will also inform the Finance Parties immediately upon becoming so aware.</w:t>
      </w:r>
    </w:p>
    <w:p>
      <w:pPr>
        <w:spacing w:after="0" w:line="191" w:lineRule="exact"/>
        <w:rPr>
          <w:rFonts w:ascii="Arial" w:cs="Arial" w:eastAsia="Arial" w:hAnsi="Arial"/>
          <w:sz w:val="18"/>
          <w:szCs w:val="18"/>
          <w:color w:val="auto"/>
        </w:rPr>
      </w:pPr>
    </w:p>
    <w:p>
      <w:pPr>
        <w:jc w:val="both"/>
        <w:ind w:left="520" w:hanging="512"/>
        <w:spacing w:after="0"/>
        <w:tabs>
          <w:tab w:leader="none" w:pos="55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p>
      <w:pPr>
        <w:spacing w:after="0" w:line="189" w:lineRule="exact"/>
        <w:rPr>
          <w:rFonts w:ascii="Arial" w:cs="Arial" w:eastAsia="Arial" w:hAnsi="Arial"/>
          <w:sz w:val="18"/>
          <w:szCs w:val="18"/>
          <w:color w:val="auto"/>
        </w:rPr>
      </w:pPr>
    </w:p>
    <w:p>
      <w:pPr>
        <w:jc w:val="both"/>
        <w:ind w:left="520" w:hanging="512"/>
        <w:spacing w:after="0"/>
        <w:tabs>
          <w:tab w:leader="none" w:pos="55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Obligors shall inform the Lenders in writing as soon as possible if any Obligor or any of their Subsidiaries or any of their respective directors or officers becomes a Prohibited Person, or if, as far as an Obligor is aware, any joint venture or any of its directors, officers or employees becomes a Prohibited Person.</w:t>
      </w:r>
    </w:p>
    <w:p>
      <w:pPr>
        <w:spacing w:after="0" w:line="189" w:lineRule="exact"/>
        <w:rPr>
          <w:rFonts w:ascii="Arial" w:cs="Arial" w:eastAsia="Arial" w:hAnsi="Arial"/>
          <w:sz w:val="18"/>
          <w:szCs w:val="18"/>
          <w:color w:val="auto"/>
        </w:rPr>
      </w:pPr>
    </w:p>
    <w:p>
      <w:pPr>
        <w:ind w:left="520" w:right="2500" w:hanging="512"/>
        <w:spacing w:after="0" w:line="469" w:lineRule="auto"/>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For the purposes of this clause 21.11 the following words shall have the following meanings: </w:t>
      </w: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means any person with whom transactions are prohibited or restricted under:</w:t>
      </w:r>
    </w:p>
    <w:p>
      <w:pPr>
        <w:spacing w:after="0" w:line="1" w:lineRule="exact"/>
        <w:rPr>
          <w:rFonts w:ascii="Arial" w:cs="Arial" w:eastAsia="Arial" w:hAnsi="Arial"/>
          <w:sz w:val="18"/>
          <w:szCs w:val="18"/>
          <w:color w:val="auto"/>
        </w:rPr>
      </w:pPr>
    </w:p>
    <w:p>
      <w:pPr>
        <w:ind w:left="1040" w:hanging="511"/>
        <w:spacing w:after="0"/>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OFAC;</w:t>
      </w:r>
    </w:p>
    <w:p>
      <w:pPr>
        <w:spacing w:after="0" w:line="198" w:lineRule="exact"/>
        <w:rPr>
          <w:rFonts w:ascii="Arial" w:cs="Arial" w:eastAsia="Arial" w:hAnsi="Arial"/>
          <w:sz w:val="18"/>
          <w:szCs w:val="18"/>
          <w:color w:val="auto"/>
        </w:rPr>
      </w:pPr>
    </w:p>
    <w:p>
      <w:pPr>
        <w:jc w:val="both"/>
        <w:ind w:left="1040" w:hanging="511"/>
        <w:spacing w:after="0" w:line="238" w:lineRule="auto"/>
        <w:tabs>
          <w:tab w:leader="none" w:pos="10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other United States of America government sanctions,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91" w:lineRule="exact"/>
        <w:rPr>
          <w:rFonts w:ascii="Arial" w:cs="Arial" w:eastAsia="Arial" w:hAnsi="Arial"/>
          <w:sz w:val="18"/>
          <w:szCs w:val="18"/>
          <w:color w:val="auto"/>
        </w:rPr>
      </w:pPr>
    </w:p>
    <w:p>
      <w:pPr>
        <w:jc w:val="both"/>
        <w:ind w:left="1040" w:hanging="511"/>
        <w:spacing w:after="0"/>
        <w:tabs>
          <w:tab w:leader="none" w:pos="11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European Union sanctions laws (including those of member states of the European Union), including without limitation persons or organisations on the European Union Restricted 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387" w:lineRule="exact"/>
        <w:rPr>
          <w:rFonts w:ascii="Arial" w:cs="Arial" w:eastAsia="Arial" w:hAnsi="Arial"/>
          <w:sz w:val="18"/>
          <w:szCs w:val="18"/>
          <w:color w:val="auto"/>
        </w:rPr>
      </w:pPr>
    </w:p>
    <w:p>
      <w:pPr>
        <w:ind w:left="1040" w:hanging="511"/>
        <w:spacing w:after="0" w:line="246" w:lineRule="auto"/>
        <w:tabs>
          <w:tab w:leader="none" w:pos="123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 Investment Ban List;</w:t>
      </w:r>
    </w:p>
    <w:p>
      <w:pPr>
        <w:spacing w:after="0" w:line="183" w:lineRule="exact"/>
        <w:rPr>
          <w:rFonts w:ascii="Arial" w:cs="Arial" w:eastAsia="Arial" w:hAnsi="Arial"/>
          <w:sz w:val="18"/>
          <w:szCs w:val="18"/>
          <w:color w:val="auto"/>
        </w:rPr>
      </w:pPr>
    </w:p>
    <w:p>
      <w:pPr>
        <w:ind w:left="1040" w:right="20" w:hanging="511"/>
        <w:spacing w:after="0" w:line="246" w:lineRule="auto"/>
        <w:tabs>
          <w:tab w:leader="none" w:pos="110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 and</w:t>
      </w:r>
    </w:p>
    <w:p>
      <w:pPr>
        <w:spacing w:after="0" w:line="183" w:lineRule="exact"/>
        <w:rPr>
          <w:rFonts w:ascii="Arial" w:cs="Arial" w:eastAsia="Arial" w:hAnsi="Arial"/>
          <w:sz w:val="18"/>
          <w:szCs w:val="18"/>
          <w:color w:val="auto"/>
        </w:rPr>
      </w:pPr>
    </w:p>
    <w:p>
      <w:pPr>
        <w:ind w:left="1000" w:hanging="471"/>
        <w:spacing w:after="0"/>
        <w:tabs>
          <w:tab w:leader="none" w:pos="10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Norway sanctions laws,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as amended from time to time and including any person controlled by or a Subsidiary of any such person.</w:t>
      </w:r>
    </w:p>
    <w:p>
      <w:pPr>
        <w:spacing w:after="0" w:line="176"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or embargoes administered, enacted or enforced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Sanctions Authority.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20" w:lineRule="exact"/>
        <w:rPr>
          <w:sz w:val="20"/>
          <w:szCs w:val="20"/>
          <w:color w:val="auto"/>
        </w:rPr>
      </w:pPr>
    </w:p>
    <w:p>
      <w:pPr>
        <w:ind w:left="1040" w:hanging="511"/>
        <w:spacing w:after="0"/>
        <w:tabs>
          <w:tab w:leader="none" w:pos="10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90" w:name="page91"/>
    <w:bookmarkEnd w:id="90"/>
    <w:p>
      <w:pPr>
        <w:ind w:left="1540" w:hanging="511"/>
        <w:spacing w:after="0"/>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European Union (and/or any member state thereof); or</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Norway,</w:t>
      </w:r>
    </w:p>
    <w:p>
      <w:pPr>
        <w:spacing w:after="0" w:line="198" w:lineRule="exact"/>
        <w:rPr>
          <w:sz w:val="20"/>
          <w:szCs w:val="20"/>
          <w:color w:val="auto"/>
        </w:rPr>
      </w:pPr>
    </w:p>
    <w:p>
      <w:pPr>
        <w:ind w:left="1020" w:right="20"/>
        <w:spacing w:after="0" w:line="246" w:lineRule="auto"/>
        <w:rPr>
          <w:sz w:val="20"/>
          <w:szCs w:val="20"/>
          <w:color w:val="auto"/>
        </w:rPr>
      </w:pPr>
      <w:r>
        <w:rPr>
          <w:rFonts w:ascii="Arial" w:cs="Arial" w:eastAsia="Arial" w:hAnsi="Arial"/>
          <w:sz w:val="18"/>
          <w:szCs w:val="18"/>
          <w:color w:val="auto"/>
        </w:rPr>
        <w:t>and includes any relevant government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and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21.12 Borrowers’ own account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21.13 Inspection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21.14 Bribery and corruption</w:t>
      </w:r>
    </w:p>
    <w:p>
      <w:pPr>
        <w:spacing w:after="0" w:line="220" w:lineRule="exact"/>
        <w:rPr>
          <w:sz w:val="20"/>
          <w:szCs w:val="20"/>
          <w:color w:val="auto"/>
        </w:rPr>
      </w:pPr>
    </w:p>
    <w:p>
      <w:pPr>
        <w:ind w:left="1020" w:hanging="512"/>
        <w:spacing w:after="0"/>
        <w:tabs>
          <w:tab w:leader="none" w:pos="10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Obligor shall engage in:</w:t>
      </w:r>
    </w:p>
    <w:p>
      <w:pPr>
        <w:spacing w:after="0" w:line="198" w:lineRule="exact"/>
        <w:rPr>
          <w:rFonts w:ascii="Arial" w:cs="Arial" w:eastAsia="Arial" w:hAnsi="Arial"/>
          <w:sz w:val="18"/>
          <w:szCs w:val="18"/>
          <w:color w:val="auto"/>
        </w:rPr>
      </w:pPr>
    </w:p>
    <w:p>
      <w:pPr>
        <w:ind w:left="1540" w:hanging="511"/>
        <w:spacing w:after="0" w:line="246" w:lineRule="auto"/>
        <w:tabs>
          <w:tab w:leader="none" w:pos="171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198" w:lineRule="exact"/>
        <w:rPr>
          <w:rFonts w:ascii="Arial" w:cs="Arial" w:eastAsia="Arial" w:hAnsi="Arial"/>
          <w:sz w:val="18"/>
          <w:szCs w:val="18"/>
          <w:color w:val="auto"/>
        </w:rPr>
      </w:pPr>
    </w:p>
    <w:p>
      <w:pPr>
        <w:jc w:val="both"/>
        <w:ind w:left="1020" w:hanging="512"/>
        <w:spacing w:after="0"/>
        <w:tabs>
          <w:tab w:leader="none" w:pos="10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no Obligor shall directly or indirectly use the proceeds of any Facility for any purpose which would breach the Bribery Act 2010 or the United States Foreign Corrupt Practices Act of 1977 or any other applicable anti-bribery law.</w:t>
      </w:r>
    </w:p>
    <w:p>
      <w:pPr>
        <w:spacing w:after="0" w:line="171" w:lineRule="exact"/>
        <w:rPr>
          <w:rFonts w:ascii="Arial" w:cs="Arial" w:eastAsia="Arial" w:hAnsi="Arial"/>
          <w:sz w:val="18"/>
          <w:szCs w:val="18"/>
          <w:color w:val="auto"/>
        </w:rPr>
      </w:pPr>
    </w:p>
    <w:p>
      <w:pPr>
        <w:ind w:left="1020" w:hanging="512"/>
        <w:spacing w:after="0"/>
        <w:tabs>
          <w:tab w:leader="none" w:pos="10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For the purposes of this clause 21.14 and clause 19.10 (</w:t>
      </w:r>
      <w:r>
        <w:rPr>
          <w:rFonts w:ascii="Arial" w:cs="Arial" w:eastAsia="Arial" w:hAnsi="Arial"/>
          <w:sz w:val="18"/>
          <w:szCs w:val="18"/>
          <w:i w:val="1"/>
          <w:iCs w:val="1"/>
          <w:color w:val="auto"/>
        </w:rPr>
        <w:t>Money Laundering</w:t>
      </w:r>
      <w:r>
        <w:rPr>
          <w:rFonts w:ascii="Arial" w:cs="Arial" w:eastAsia="Arial" w:hAnsi="Arial"/>
          <w:sz w:val="18"/>
          <w:szCs w:val="18"/>
          <w:color w:val="auto"/>
        </w:rPr>
        <w:t>), the following definitions shall apply:</w:t>
      </w:r>
    </w:p>
    <w:p>
      <w:pPr>
        <w:spacing w:after="0" w:line="194" w:lineRule="exact"/>
        <w:rPr>
          <w:rFonts w:ascii="Arial" w:cs="Arial" w:eastAsia="Arial" w:hAnsi="Arial"/>
          <w:sz w:val="18"/>
          <w:szCs w:val="18"/>
          <w:color w:val="auto"/>
        </w:rPr>
      </w:pPr>
    </w:p>
    <w:p>
      <w:pPr>
        <w:ind w:left="1020" w:right="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to improperly influence the actions of that party.</w:t>
      </w:r>
    </w:p>
    <w:p>
      <w:pPr>
        <w:spacing w:after="0" w:line="140"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another party.</w:t>
      </w:r>
    </w:p>
    <w:p>
      <w:pPr>
        <w:spacing w:after="0" w:line="140"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the actions of another party.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left="1020"/>
        <w:spacing w:after="0" w:line="271" w:lineRule="auto"/>
        <w:rPr>
          <w:sz w:val="20"/>
          <w:szCs w:val="20"/>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are to be used, in order to carry out terrorist acts.</w:t>
      </w:r>
    </w:p>
    <w:p>
      <w:pPr>
        <w:spacing w:after="0" w:line="140"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b w:val="1"/>
          <w:bCs w:val="1"/>
          <w:color w:val="auto"/>
        </w:rPr>
        <w:t xml:space="preserve">Fraudulent Practice </w:t>
      </w:r>
      <w:r>
        <w:rPr>
          <w:rFonts w:ascii="Arial" w:cs="Arial" w:eastAsia="Arial" w:hAnsi="Arial"/>
          <w:sz w:val="18"/>
          <w:szCs w:val="18"/>
          <w:color w:val="auto"/>
        </w:rPr>
        <w:t>means any action, including misrepresentation, to obtain a financial or other benefit or avoid an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deception.</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means:</w:t>
      </w:r>
    </w:p>
    <w:p>
      <w:pPr>
        <w:spacing w:after="0" w:line="220" w:lineRule="exact"/>
        <w:rPr>
          <w:sz w:val="20"/>
          <w:szCs w:val="20"/>
          <w:color w:val="auto"/>
        </w:rPr>
      </w:pPr>
    </w:p>
    <w:p>
      <w:pPr>
        <w:jc w:val="both"/>
        <w:ind w:left="1540" w:right="20" w:hanging="511"/>
        <w:spacing w:after="0"/>
        <w:tabs>
          <w:tab w:leader="none" w:pos="167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89" w:lineRule="exact"/>
        <w:rPr>
          <w:rFonts w:ascii="Arial" w:cs="Arial" w:eastAsia="Arial" w:hAnsi="Arial"/>
          <w:sz w:val="18"/>
          <w:szCs w:val="18"/>
          <w:color w:val="auto"/>
        </w:rPr>
      </w:pPr>
    </w:p>
    <w:p>
      <w:pPr>
        <w:ind w:left="1540" w:hanging="511"/>
        <w:spacing w:after="0" w:line="246" w:lineRule="auto"/>
        <w:tabs>
          <w:tab w:leader="none" w:pos="175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 or</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acquisition, possession or use of property knowing at the time of its receipt that it is derived from a criminal offence.</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22</w:t>
        <w:tab/>
        <w:t>Dealings with Ship</w:t>
      </w:r>
    </w:p>
    <w:p>
      <w:pPr>
        <w:spacing w:after="0" w:line="224"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Each Borrower undertakes that this clause 22 will be complied with in relation to each Mortgaged Ship throughout the relevant Ship’s Mortgage Period.</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b w:val="1"/>
          <w:bCs w:val="1"/>
          <w:color w:val="auto"/>
        </w:rPr>
        <w:t>Ship’s name and registration</w:t>
      </w:r>
    </w:p>
    <w:p>
      <w:pPr>
        <w:spacing w:after="0" w:line="220" w:lineRule="exact"/>
        <w:rPr>
          <w:sz w:val="20"/>
          <w:szCs w:val="20"/>
          <w:color w:val="auto"/>
        </w:rPr>
      </w:pPr>
    </w:p>
    <w:p>
      <w:pPr>
        <w:ind w:left="1020" w:hanging="512"/>
        <w:spacing w:after="0" w:line="246" w:lineRule="auto"/>
        <w:tabs>
          <w:tab w:leader="none" w:pos="103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relevant Owner shall promptly take all necessary steps to update all applicable insurance, class and registration documents with such change of name.</w:t>
      </w:r>
    </w:p>
    <w:p>
      <w:pPr>
        <w:spacing w:after="0" w:line="183" w:lineRule="exact"/>
        <w:rPr>
          <w:rFonts w:ascii="Arial" w:cs="Arial" w:eastAsia="Arial" w:hAnsi="Arial"/>
          <w:sz w:val="18"/>
          <w:szCs w:val="18"/>
          <w:color w:val="auto"/>
        </w:rPr>
      </w:pPr>
    </w:p>
    <w:p>
      <w:pPr>
        <w:jc w:val="both"/>
        <w:ind w:left="1020" w:hanging="512"/>
        <w:spacing w:after="0" w:line="236" w:lineRule="auto"/>
        <w:tabs>
          <w:tab w:leader="none" w:pos="102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Ship shall be permanently registered in the name of the relevant Owner with the relevant Registry under the laws of its Flag State. Except with approval of all the Lenders (such approval not to be unreasonably withheld),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94" w:lineRule="exact"/>
        <w:rPr>
          <w:rFonts w:ascii="Arial" w:cs="Arial" w:eastAsia="Arial" w:hAnsi="Arial"/>
          <w:sz w:val="18"/>
          <w:szCs w:val="18"/>
          <w:color w:val="auto"/>
        </w:rPr>
      </w:pPr>
    </w:p>
    <w:p>
      <w:pPr>
        <w:ind w:left="1020" w:hanging="512"/>
        <w:spacing w:after="0" w:line="246" w:lineRule="auto"/>
        <w:tabs>
          <w:tab w:leader="none" w:pos="10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7"/>
          <w:szCs w:val="17"/>
          <w:b w:val="1"/>
          <w:bCs w:val="1"/>
          <w:color w:val="auto"/>
        </w:rPr>
        <w:t>Sale or other disposal of Ship; refinancing</w:t>
      </w:r>
    </w:p>
    <w:p>
      <w:pPr>
        <w:spacing w:after="0" w:line="220" w:lineRule="exact"/>
        <w:rPr>
          <w:sz w:val="20"/>
          <w:szCs w:val="20"/>
          <w:color w:val="auto"/>
        </w:rPr>
      </w:pPr>
    </w:p>
    <w:p>
      <w:pPr>
        <w:jc w:val="both"/>
        <w:ind w:left="1020" w:hanging="512"/>
        <w:spacing w:after="0" w:line="236" w:lineRule="auto"/>
        <w:tabs>
          <w:tab w:leader="none" w:pos="109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Except for a sale of a Ship for a cash price payable on completion of the sale which is no less than the amount by which the Ship Aggregate Loans must be reduced and prepaid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on completion of the sale, the relevant Owner will not sell, or agree to sell, transfer, abandon or otherwise dispose of the relevant Ship or any share or interest in it. Provided that if the Owner agrees to sell or transfer its Ship and the relevant Owner and the other Borrowers are in compliance with this clause 22.2 and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in respect of such sale or transfer and no Default has occurred and is continuing at the time, the Lenders will approve such sale or transfer and the Lenders will procure that upon the relevant cancellation and prepayment and the discharge of the other obligations of the Borrowers under this clause 22.2 and clause 7.6 (</w:t>
      </w:r>
      <w:r>
        <w:rPr>
          <w:rFonts w:ascii="Arial" w:cs="Arial" w:eastAsia="Arial" w:hAnsi="Arial"/>
          <w:sz w:val="18"/>
          <w:szCs w:val="18"/>
          <w:i w:val="1"/>
          <w:iCs w:val="1"/>
          <w:color w:val="auto"/>
        </w:rPr>
        <w:t>Sale or Total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2" w:name="page93"/>
    <w:bookmarkEnd w:id="92"/>
    <w:p>
      <w:pPr>
        <w:jc w:val="both"/>
        <w:ind w:left="1040"/>
        <w:spacing w:after="0" w:line="245"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the Mortgage over that Ship will be discharged and the Deed of Covenant, the General Assignment, any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the Share Security, the Account Security, the Manager’s Undertaking and any Security Power of Attorney relating to that Ship will be released, and the relevant Owner will be released as Borrower under this Agreement, in each case pursuant to deeds of release in agreed form executed at the cost and expense of the Borrowers.</w:t>
      </w:r>
    </w:p>
    <w:p>
      <w:pPr>
        <w:spacing w:after="0" w:line="185" w:lineRule="exact"/>
        <w:rPr>
          <w:sz w:val="20"/>
          <w:szCs w:val="20"/>
          <w:color w:val="auto"/>
        </w:rPr>
      </w:pPr>
    </w:p>
    <w:p>
      <w:pPr>
        <w:jc w:val="both"/>
        <w:ind w:left="1020" w:hanging="512"/>
        <w:spacing w:after="0" w:line="236" w:lineRule="auto"/>
        <w:tabs>
          <w:tab w:leader="none" w:pos="111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any event, if at any time the Borrowers (i) prepay the Ship Aggregate Loans relevant to a Ship in full, (ii) cancel the Ship Aggregate Commitments relevant to that Ship in full, (iii) pay all other amounts owing and payable under this Agreement and the other Finance Documents at the time of such prepayment and cancellation and (iv) no Default has occurred and is continuing at the time, upon such prepayment and cancellation, the Lenders shall, subject to paragraph (c) below, consent to the discharge of the Mortgage, the Deed of Covenant, the General Assignment, the Manager’s Undertaking, the Share Security, the Account Security, any Charter Assignment and any Security Power of Attorney relating to the Ship, and the release of the Owner of that Ship under the Finance Documents, pursuant to deeds of release in agreed form executed at the cost and expense of the Borrowers.</w:t>
      </w:r>
    </w:p>
    <w:p>
      <w:pPr>
        <w:spacing w:after="0" w:line="194" w:lineRule="exact"/>
        <w:rPr>
          <w:rFonts w:ascii="Arial" w:cs="Arial" w:eastAsia="Arial" w:hAnsi="Arial"/>
          <w:sz w:val="18"/>
          <w:szCs w:val="18"/>
          <w:color w:val="auto"/>
        </w:rPr>
      </w:pPr>
    </w:p>
    <w:p>
      <w:pPr>
        <w:ind w:left="1020" w:hanging="512"/>
        <w:spacing w:after="0" w:line="246" w:lineRule="auto"/>
        <w:tabs>
          <w:tab w:leader="none" w:pos="103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at the time of such full prepayment and cancellation in respect of a Ship referred to in paragraph (b) above, the relevant Ship is one other than Ship F and on such day:</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Ship F is still a Mortgaged Ship; and</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at least one of the other Ships is no longer a Mortgaged Ship,</w:t>
      </w:r>
    </w:p>
    <w:p>
      <w:pPr>
        <w:spacing w:after="0" w:line="198" w:lineRule="exact"/>
        <w:rPr>
          <w:rFonts w:ascii="Arial" w:cs="Arial" w:eastAsia="Arial" w:hAnsi="Arial"/>
          <w:sz w:val="18"/>
          <w:szCs w:val="18"/>
          <w:color w:val="auto"/>
        </w:rPr>
      </w:pPr>
    </w:p>
    <w:p>
      <w:pPr>
        <w:ind w:left="1540"/>
        <w:spacing w:after="0" w:line="246" w:lineRule="auto"/>
        <w:rPr>
          <w:rFonts w:ascii="Arial" w:cs="Arial" w:eastAsia="Arial" w:hAnsi="Arial"/>
          <w:sz w:val="18"/>
          <w:szCs w:val="18"/>
          <w:color w:val="auto"/>
        </w:rPr>
      </w:pPr>
      <w:r>
        <w:rPr>
          <w:rFonts w:ascii="Arial" w:cs="Arial" w:eastAsia="Arial" w:hAnsi="Arial"/>
          <w:sz w:val="18"/>
          <w:szCs w:val="18"/>
          <w:color w:val="auto"/>
        </w:rPr>
        <w:t>then, in addition to the prepayment and cancellation referred to in paragraph (b) above, the following must occur before the Lenders consent to the discharges and releases referred to in paragraph (b) above in respect of the relevant Ship:</w:t>
      </w:r>
    </w:p>
    <w:p>
      <w:pPr>
        <w:spacing w:after="0" w:line="183" w:lineRule="exact"/>
        <w:rPr>
          <w:rFonts w:ascii="Arial" w:cs="Arial" w:eastAsia="Arial" w:hAnsi="Arial"/>
          <w:sz w:val="18"/>
          <w:szCs w:val="18"/>
          <w:color w:val="auto"/>
        </w:rPr>
      </w:pPr>
    </w:p>
    <w:p>
      <w:pPr>
        <w:jc w:val="both"/>
        <w:ind w:left="2040" w:hanging="501"/>
        <w:spacing w:after="0" w:line="238" w:lineRule="auto"/>
        <w:tabs>
          <w:tab w:leader="none" w:pos="2124" w:val="left"/>
        </w:tabs>
        <w:numPr>
          <w:ilvl w:val="2"/>
          <w:numId w:val="241"/>
        </w:numPr>
        <w:rPr>
          <w:rFonts w:ascii="Arial" w:cs="Arial" w:eastAsia="Arial" w:hAnsi="Arial"/>
          <w:sz w:val="18"/>
          <w:szCs w:val="18"/>
          <w:color w:val="auto"/>
        </w:rPr>
      </w:pPr>
      <w:r>
        <w:rPr>
          <w:rFonts w:ascii="Arial" w:cs="Arial" w:eastAsia="Arial" w:hAnsi="Arial"/>
          <w:sz w:val="18"/>
          <w:szCs w:val="18"/>
          <w:color w:val="auto"/>
        </w:rPr>
        <w:t>the Ship Aggregate Commitments for Ship F must be reduced by $2,500,000 (or by such lower amount as would reduce such Ship Aggregate Commitments for Ship F to zero), such reduction must be allocated and applied as between the Revolving Loan Ship Commitment and the Term Loan Ship Commitment in a manner requested by the Borrowers, the Total Commitments shall be reduced accordingly and the Commitments reduced pro rata; and</w:t>
      </w:r>
    </w:p>
    <w:p>
      <w:pPr>
        <w:spacing w:after="0" w:line="191" w:lineRule="exact"/>
        <w:rPr>
          <w:rFonts w:ascii="Arial" w:cs="Arial" w:eastAsia="Arial" w:hAnsi="Arial"/>
          <w:sz w:val="18"/>
          <w:szCs w:val="18"/>
          <w:color w:val="auto"/>
        </w:rPr>
      </w:pPr>
    </w:p>
    <w:p>
      <w:pPr>
        <w:jc w:val="both"/>
        <w:ind w:left="2040" w:hanging="501"/>
        <w:spacing w:after="0" w:line="238" w:lineRule="auto"/>
        <w:tabs>
          <w:tab w:leader="none" w:pos="2087" w:val="left"/>
        </w:tabs>
        <w:numPr>
          <w:ilvl w:val="2"/>
          <w:numId w:val="241"/>
        </w:numPr>
        <w:rPr>
          <w:rFonts w:ascii="Arial" w:cs="Arial" w:eastAsia="Arial" w:hAnsi="Arial"/>
          <w:sz w:val="18"/>
          <w:szCs w:val="18"/>
          <w:color w:val="auto"/>
        </w:rPr>
      </w:pPr>
      <w:r>
        <w:rPr>
          <w:rFonts w:ascii="Arial" w:cs="Arial" w:eastAsia="Arial" w:hAnsi="Arial"/>
          <w:sz w:val="18"/>
          <w:szCs w:val="18"/>
          <w:color w:val="auto"/>
        </w:rPr>
        <w:t>the Borrowers must prepay (1) such amount of the Term Loan relevant to Ship F as is equal to the reduction of the Term Loan Ship Commitment for Ship F made under paragraph (A) above; and (2) such amount of the Revolving Loans relevant to Ship F as may be necessary to ensure that the outstanding Revolving Loans under the Revolving Loan Ship Tranche of Ship F after the reduction made under paragraph (A) above will not exceed the then available amount of the Revolving Loan Ship Commitment for Ship F (as so reduced by paragraph (A) above).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Manager</w:t>
      </w:r>
    </w:p>
    <w:p>
      <w:pPr>
        <w:spacing w:after="0" w:line="220" w:lineRule="exact"/>
        <w:rPr>
          <w:sz w:val="20"/>
          <w:szCs w:val="20"/>
          <w:color w:val="auto"/>
        </w:rPr>
      </w:pPr>
    </w:p>
    <w:p>
      <w:pPr>
        <w:ind w:left="1020" w:hanging="512"/>
        <w:spacing w:after="0"/>
        <w:tabs>
          <w:tab w:leader="none" w:pos="10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manager of the Ship shall not be appointed unless:</w:t>
      </w:r>
    </w:p>
    <w:p>
      <w:pPr>
        <w:spacing w:after="0" w:line="198" w:lineRule="exact"/>
        <w:rPr>
          <w:rFonts w:ascii="Arial" w:cs="Arial" w:eastAsia="Arial" w:hAnsi="Arial"/>
          <w:sz w:val="18"/>
          <w:szCs w:val="18"/>
          <w:color w:val="auto"/>
        </w:rPr>
      </w:pPr>
    </w:p>
    <w:p>
      <w:pPr>
        <w:jc w:val="both"/>
        <w:ind w:left="1540" w:hanging="511"/>
        <w:spacing w:after="0"/>
        <w:tabs>
          <w:tab w:leader="none" w:pos="160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that manager is approved (and as at the date of this Agreement GasLog LNG Services Ltd. of Bermuda is approved as Commercial Manager and GasLog LNG Services Ltd. of Bermuda is approved as Technical Manager of each Ship) or is, in the case of the Technical Manager of any Ship, another Approved Technical Manager; and</w:t>
      </w:r>
    </w:p>
    <w:p>
      <w:pPr>
        <w:spacing w:after="0" w:line="189" w:lineRule="exact"/>
        <w:rPr>
          <w:rFonts w:ascii="Arial" w:cs="Arial" w:eastAsia="Arial" w:hAnsi="Arial"/>
          <w:sz w:val="18"/>
          <w:szCs w:val="18"/>
          <w:color w:val="auto"/>
        </w:rPr>
      </w:pPr>
    </w:p>
    <w:p>
      <w:pPr>
        <w:ind w:left="1540" w:right="20" w:hanging="511"/>
        <w:spacing w:after="0" w:line="246" w:lineRule="auto"/>
        <w:tabs>
          <w:tab w:leader="none" w:pos="163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terms of its appointment are approved by the Majority Lenders (such approval not to be unreasonably withheld or delayed); and</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it has delivered a duly executed Manager’s Undertaking to the Security Agent.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3" w:name="page94"/>
    <w:bookmarkEnd w:id="93"/>
    <w:p>
      <w:pPr>
        <w:jc w:val="both"/>
        <w:ind w:left="1020" w:hanging="512"/>
        <w:spacing w:after="0"/>
        <w:tabs>
          <w:tab w:leader="none" w:pos="106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relevant Owner shall not agree to any material change to the terms of appointment of a manager whose appointment has been approved unless such change is also approved by the Majority Lenders (such approval not to be unreasonably withheld or delayed).</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b w:val="1"/>
          <w:bCs w:val="1"/>
          <w:color w:val="auto"/>
        </w:rPr>
        <w:t>Copy of Mortgage on board</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 properly certified copy of the relevant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b w:val="1"/>
          <w:bCs w:val="1"/>
          <w:color w:val="auto"/>
        </w:rPr>
        <w:t>Notice of Mortgage</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w:t>
      </w:r>
    </w:p>
    <w:p>
      <w:pPr>
        <w:ind w:left="520"/>
        <w:spacing w:after="0"/>
        <w:rPr>
          <w:sz w:val="20"/>
          <w:szCs w:val="20"/>
          <w:color w:val="auto"/>
        </w:rPr>
      </w:pPr>
      <w:r>
        <w:rPr>
          <w:rFonts w:ascii="Arial" w:cs="Arial" w:eastAsia="Arial" w:hAnsi="Arial"/>
          <w:sz w:val="18"/>
          <w:szCs w:val="18"/>
          <w:color w:val="auto"/>
        </w:rPr>
        <w:t>Ship. The notice must be in plain type and read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MORTGAGE</w:t>
      </w:r>
    </w:p>
    <w:p>
      <w:pPr>
        <w:spacing w:after="0" w:line="198"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color w:val="auto"/>
        </w:rPr>
        <w:t>This Ship is subject to a first mortgage in favour of [</w:t>
      </w:r>
      <w:r>
        <w:rPr>
          <w:rFonts w:ascii="Arial" w:cs="Arial" w:eastAsia="Arial" w:hAnsi="Arial"/>
          <w:sz w:val="18"/>
          <w:szCs w:val="18"/>
          <w:b w:val="1"/>
          <w:bCs w:val="1"/>
          <w:color w:val="auto"/>
        </w:rPr>
        <w:t>here insert name of mortgagee</w:t>
      </w:r>
      <w:r>
        <w:rPr>
          <w:rFonts w:ascii="Arial" w:cs="Arial" w:eastAsia="Arial" w:hAnsi="Arial"/>
          <w:sz w:val="18"/>
          <w:szCs w:val="18"/>
          <w:color w:val="auto"/>
        </w:rPr>
        <w:t>] of [</w:t>
      </w:r>
      <w:r>
        <w:rPr>
          <w:rFonts w:ascii="Arial" w:cs="Arial" w:eastAsia="Arial" w:hAnsi="Arial"/>
          <w:sz w:val="18"/>
          <w:szCs w:val="18"/>
          <w:b w:val="1"/>
          <w:bCs w:val="1"/>
          <w:color w:val="auto"/>
        </w:rPr>
        <w:t>here insert address of mortgagee</w:t>
      </w:r>
      <w:r>
        <w:rPr>
          <w:rFonts w:ascii="Arial" w:cs="Arial" w:eastAsia="Arial" w:hAnsi="Arial"/>
          <w:sz w:val="18"/>
          <w:szCs w:val="18"/>
          <w:color w:val="auto"/>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spacing w:after="0" w:line="182"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b w:val="1"/>
          <w:bCs w:val="1"/>
          <w:color w:val="auto"/>
        </w:rPr>
        <w:t>Conveyance on default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22.7</w:t>
        <w:tab/>
        <w:t>Chartering</w:t>
      </w:r>
    </w:p>
    <w:p>
      <w:pPr>
        <w:spacing w:after="0" w:line="202" w:lineRule="exact"/>
        <w:rPr>
          <w:sz w:val="20"/>
          <w:szCs w:val="20"/>
          <w:color w:val="auto"/>
        </w:rPr>
      </w:pPr>
    </w:p>
    <w:p>
      <w:pPr>
        <w:jc w:val="both"/>
        <w:ind w:left="1020" w:hanging="512"/>
        <w:spacing w:after="0" w:line="250" w:lineRule="auto"/>
        <w:tabs>
          <w:tab w:leader="none" w:pos="108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with approval of the Majority Lenders, and without prejudice to clause 29.21 (</w:t>
      </w:r>
      <w:r>
        <w:rPr>
          <w:rFonts w:ascii="Arial" w:cs="Arial" w:eastAsia="Arial" w:hAnsi="Arial"/>
          <w:sz w:val="18"/>
          <w:szCs w:val="18"/>
          <w:i w:val="1"/>
          <w:iCs w:val="1"/>
          <w:color w:val="auto"/>
        </w:rPr>
        <w:t>Charters</w:t>
      </w:r>
      <w:r>
        <w:rPr>
          <w:rFonts w:ascii="Arial" w:cs="Arial" w:eastAsia="Arial" w:hAnsi="Arial"/>
          <w:sz w:val="18"/>
          <w:szCs w:val="18"/>
          <w:color w:val="auto"/>
        </w:rPr>
        <w:t>) and the other provisions of the Finance Documents, the relevant Owner shall not enter into any charter commitment for a Ship (except for the Charter for each Ship referred to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where applicable or a Replacement Charter for each Ship), which is:</w:t>
      </w:r>
    </w:p>
    <w:p>
      <w:pPr>
        <w:spacing w:after="0" w:line="181" w:lineRule="exact"/>
        <w:rPr>
          <w:rFonts w:ascii="Arial" w:cs="Arial" w:eastAsia="Arial" w:hAnsi="Arial"/>
          <w:sz w:val="18"/>
          <w:szCs w:val="18"/>
          <w:color w:val="auto"/>
        </w:rPr>
      </w:pPr>
    </w:p>
    <w:p>
      <w:pPr>
        <w:ind w:left="1540" w:hanging="511"/>
        <w:spacing w:after="0"/>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w:t>
      </w:r>
    </w:p>
    <w:p>
      <w:pPr>
        <w:spacing w:after="0" w:line="198" w:lineRule="exact"/>
        <w:rPr>
          <w:rFonts w:ascii="Arial" w:cs="Arial" w:eastAsia="Arial" w:hAnsi="Arial"/>
          <w:sz w:val="18"/>
          <w:szCs w:val="18"/>
          <w:color w:val="auto"/>
        </w:rPr>
      </w:pPr>
    </w:p>
    <w:p>
      <w:pPr>
        <w:jc w:val="both"/>
        <w:ind w:left="1540" w:hanging="511"/>
        <w:spacing w:after="0"/>
        <w:tabs>
          <w:tab w:leader="none" w:pos="155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w:t>
      </w:r>
    </w:p>
    <w:p>
      <w:pPr>
        <w:spacing w:after="0" w:line="189" w:lineRule="exact"/>
        <w:rPr>
          <w:rFonts w:ascii="Arial" w:cs="Arial" w:eastAsia="Arial" w:hAnsi="Arial"/>
          <w:sz w:val="18"/>
          <w:szCs w:val="18"/>
          <w:color w:val="auto"/>
        </w:rPr>
      </w:pPr>
    </w:p>
    <w:p>
      <w:pPr>
        <w:ind w:left="1540" w:hanging="511"/>
        <w:spacing w:after="0" w:line="246" w:lineRule="auto"/>
        <w:tabs>
          <w:tab w:leader="none" w:pos="1519" w:val="left"/>
        </w:tabs>
        <w:numPr>
          <w:ilvl w:val="1"/>
          <w:numId w:val="244"/>
        </w:numPr>
        <w:rPr>
          <w:rFonts w:ascii="Arial" w:cs="Arial" w:eastAsia="Arial" w:hAnsi="Arial"/>
          <w:sz w:val="18"/>
          <w:szCs w:val="18"/>
          <w:color w:val="auto"/>
        </w:rPr>
      </w:pPr>
      <w:r>
        <w:rPr>
          <w:rFonts w:ascii="Arial" w:cs="Arial" w:eastAsia="Arial" w:hAnsi="Arial"/>
          <w:sz w:val="18"/>
          <w:szCs w:val="18"/>
          <w:color w:val="auto"/>
        </w:rPr>
        <w:t>with an Affiliate, other than any charter entered into on an arm’s length between the relevant Owner and the MLP or any of its Affiliates; or</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57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capable of lasting more than 60 calendar months and with a fixed charter rate which is, for each calendar month, below breakeven for that Ship (taking into account for that purpose the monthly operational costs of such Ship and the monthly debt service obligations of the Loans for the entire tenor of such charter commitment). However, a charter commitment for a Ship with charter rate which is linked to an index related to LNG commodity pricing or LNG shipping shall not be deemed restricted by this paragraph (iv) above regardless of its tenor.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ind w:left="1020" w:hanging="512"/>
        <w:spacing w:after="0" w:line="246" w:lineRule="auto"/>
        <w:tabs>
          <w:tab w:leader="none" w:pos="120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clause 29.21 (</w:t>
      </w:r>
      <w:r>
        <w:rPr>
          <w:rFonts w:ascii="Arial" w:cs="Arial" w:eastAsia="Arial" w:hAnsi="Arial"/>
          <w:sz w:val="18"/>
          <w:szCs w:val="18"/>
          <w:i w:val="1"/>
          <w:iCs w:val="1"/>
          <w:color w:val="auto"/>
        </w:rPr>
        <w:t>Charters</w:t>
      </w:r>
      <w:r>
        <w:rPr>
          <w:rFonts w:ascii="Arial" w:cs="Arial" w:eastAsia="Arial" w:hAnsi="Arial"/>
          <w:sz w:val="18"/>
          <w:szCs w:val="18"/>
          <w:color w:val="auto"/>
        </w:rPr>
        <w:t>) and any other provisions of the Finance Documents, the relevant Owner shall:</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683" w:val="left"/>
        </w:tabs>
        <w:numPr>
          <w:ilvl w:val="1"/>
          <w:numId w:val="245"/>
        </w:numPr>
        <w:rPr>
          <w:rFonts w:ascii="Arial" w:cs="Arial" w:eastAsia="Arial" w:hAnsi="Arial"/>
          <w:sz w:val="18"/>
          <w:szCs w:val="18"/>
          <w:color w:val="auto"/>
        </w:rPr>
      </w:pPr>
      <w:r>
        <w:rPr>
          <w:rFonts w:ascii="Arial" w:cs="Arial" w:eastAsia="Arial" w:hAnsi="Arial"/>
          <w:sz w:val="18"/>
          <w:szCs w:val="18"/>
          <w:color w:val="auto"/>
        </w:rPr>
        <w:t>be permitted to pursue and contract for any charter business with any person other than one with a Non-Acceptable Charterer, provided that it advises the Agent promptly of any charter commitment in respect of its Ship (other than the relevant Charter for each Ship referred to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a Replacement Charter for a Ship) which has an original term in excess of 36 calendar months (without taking into account any option to extend or renew contained therein), and the relevant Owner shall:</w:t>
      </w:r>
    </w:p>
    <w:p>
      <w:pPr>
        <w:spacing w:after="0" w:line="188" w:lineRule="exact"/>
        <w:rPr>
          <w:rFonts w:ascii="Arial" w:cs="Arial" w:eastAsia="Arial" w:hAnsi="Arial"/>
          <w:sz w:val="18"/>
          <w:szCs w:val="18"/>
          <w:color w:val="auto"/>
        </w:rPr>
      </w:pPr>
    </w:p>
    <w:p>
      <w:pPr>
        <w:ind w:left="2080" w:hanging="541"/>
        <w:spacing w:after="0"/>
        <w:tabs>
          <w:tab w:leader="none" w:pos="208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deliver a copy of each such charter commitment to the Agent forthwith;</w:t>
      </w:r>
    </w:p>
    <w:p>
      <w:pPr>
        <w:spacing w:after="0" w:line="198" w:lineRule="exact"/>
        <w:rPr>
          <w:rFonts w:ascii="Arial" w:cs="Arial" w:eastAsia="Arial" w:hAnsi="Arial"/>
          <w:sz w:val="18"/>
          <w:szCs w:val="18"/>
          <w:color w:val="auto"/>
        </w:rPr>
      </w:pPr>
    </w:p>
    <w:p>
      <w:pPr>
        <w:ind w:left="2080" w:hanging="541"/>
        <w:spacing w:after="0"/>
        <w:tabs>
          <w:tab w:leader="none" w:pos="208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w:t>
      </w:r>
    </w:p>
    <w:p>
      <w:pPr>
        <w:spacing w:after="0" w:line="198" w:lineRule="exact"/>
        <w:rPr>
          <w:rFonts w:ascii="Arial" w:cs="Arial" w:eastAsia="Arial" w:hAnsi="Arial"/>
          <w:sz w:val="18"/>
          <w:szCs w:val="18"/>
          <w:color w:val="auto"/>
        </w:rPr>
      </w:pPr>
    </w:p>
    <w:p>
      <w:pPr>
        <w:ind w:left="2560" w:hanging="511"/>
        <w:spacing w:after="0" w:line="246" w:lineRule="auto"/>
        <w:tabs>
          <w:tab w:leader="none" w:pos="2583" w:val="left"/>
        </w:tabs>
        <w:numPr>
          <w:ilvl w:val="3"/>
          <w:numId w:val="245"/>
        </w:numPr>
        <w:rPr>
          <w:rFonts w:ascii="Arial" w:cs="Arial" w:eastAsia="Arial" w:hAnsi="Arial"/>
          <w:sz w:val="18"/>
          <w:szCs w:val="18"/>
          <w:color w:val="auto"/>
        </w:rPr>
      </w:pPr>
      <w:r>
        <w:rPr>
          <w:rFonts w:ascii="Arial" w:cs="Arial" w:eastAsia="Arial" w:hAnsi="Arial"/>
          <w:sz w:val="18"/>
          <w:szCs w:val="18"/>
          <w:color w:val="auto"/>
        </w:rPr>
        <w:t>execute an assignment of any such charter commitment in favour of the Security Agent (in the same form as a Charter Assignment) and any notice of assignment required in connection therewith;</w:t>
      </w:r>
    </w:p>
    <w:p>
      <w:pPr>
        <w:spacing w:after="0" w:line="183" w:lineRule="exact"/>
        <w:rPr>
          <w:rFonts w:ascii="Arial" w:cs="Arial" w:eastAsia="Arial" w:hAnsi="Arial"/>
          <w:sz w:val="18"/>
          <w:szCs w:val="18"/>
          <w:color w:val="auto"/>
        </w:rPr>
      </w:pPr>
    </w:p>
    <w:p>
      <w:pPr>
        <w:ind w:left="2560" w:right="20" w:hanging="511"/>
        <w:spacing w:after="0" w:line="246" w:lineRule="auto"/>
        <w:tabs>
          <w:tab w:leader="none" w:pos="2608" w:val="left"/>
        </w:tabs>
        <w:numPr>
          <w:ilvl w:val="3"/>
          <w:numId w:val="245"/>
        </w:numPr>
        <w:rPr>
          <w:rFonts w:ascii="Arial" w:cs="Arial" w:eastAsia="Arial" w:hAnsi="Arial"/>
          <w:sz w:val="18"/>
          <w:szCs w:val="18"/>
          <w:color w:val="auto"/>
        </w:rPr>
      </w:pPr>
      <w:r>
        <w:rPr>
          <w:rFonts w:ascii="Arial" w:cs="Arial" w:eastAsia="Arial" w:hAnsi="Arial"/>
          <w:sz w:val="18"/>
          <w:szCs w:val="18"/>
          <w:color w:val="auto"/>
        </w:rPr>
        <w:t>procure the service of any such notice of assignment on the relevant counterparty of the Owner under such charter commitment; and</w:t>
      </w:r>
    </w:p>
    <w:p>
      <w:pPr>
        <w:spacing w:after="0" w:line="183" w:lineRule="exact"/>
        <w:rPr>
          <w:rFonts w:ascii="Arial" w:cs="Arial" w:eastAsia="Arial" w:hAnsi="Arial"/>
          <w:sz w:val="18"/>
          <w:szCs w:val="18"/>
          <w:color w:val="auto"/>
        </w:rPr>
      </w:pPr>
    </w:p>
    <w:p>
      <w:pPr>
        <w:jc w:val="both"/>
        <w:ind w:left="2560" w:hanging="511"/>
        <w:spacing w:after="0" w:line="238" w:lineRule="auto"/>
        <w:tabs>
          <w:tab w:leader="none" w:pos="2825" w:val="left"/>
        </w:tabs>
        <w:numPr>
          <w:ilvl w:val="3"/>
          <w:numId w:val="245"/>
        </w:numPr>
        <w:rPr>
          <w:rFonts w:ascii="Arial" w:cs="Arial" w:eastAsia="Arial" w:hAnsi="Arial"/>
          <w:sz w:val="18"/>
          <w:szCs w:val="18"/>
          <w:color w:val="auto"/>
        </w:rPr>
      </w:pPr>
      <w:r>
        <w:rPr>
          <w:rFonts w:ascii="Arial" w:cs="Arial" w:eastAsia="Arial" w:hAnsi="Arial"/>
          <w:sz w:val="18"/>
          <w:szCs w:val="18"/>
          <w:color w:val="auto"/>
        </w:rPr>
        <w:t>use best endeavours to obtain, and provide the Agent with, the acknowledgement of such relevant counterparty to the relevant notice of assignment or (in the event that a quiet enjoyment agreement is executed by the Security Agent in respect of such charter commitment) procure that the Agent receives a copy of such acknowledgment by such relevant counterparty to the notice of assignment;</w:t>
      </w:r>
    </w:p>
    <w:p>
      <w:pPr>
        <w:spacing w:after="0" w:line="173" w:lineRule="exact"/>
        <w:rPr>
          <w:rFonts w:ascii="Arial" w:cs="Arial" w:eastAsia="Arial" w:hAnsi="Arial"/>
          <w:sz w:val="18"/>
          <w:szCs w:val="18"/>
          <w:color w:val="auto"/>
        </w:rPr>
      </w:pPr>
    </w:p>
    <w:p>
      <w:pPr>
        <w:jc w:val="both"/>
        <w:ind w:left="2040" w:hanging="501"/>
        <w:spacing w:after="0" w:line="250" w:lineRule="auto"/>
        <w:tabs>
          <w:tab w:leader="none" w:pos="2102" w:val="left"/>
        </w:tabs>
        <w:numPr>
          <w:ilvl w:val="2"/>
          <w:numId w:val="245"/>
        </w:numPr>
        <w:rPr>
          <w:rFonts w:ascii="Arial" w:cs="Arial" w:eastAsia="Arial" w:hAnsi="Arial"/>
          <w:sz w:val="18"/>
          <w:szCs w:val="18"/>
          <w:color w:val="auto"/>
        </w:rPr>
      </w:pPr>
      <w:r>
        <w:rPr>
          <w:rFonts w:ascii="Arial" w:cs="Arial" w:eastAsia="Arial" w:hAnsi="Arial"/>
          <w:sz w:val="18"/>
          <w:szCs w:val="18"/>
          <w:color w:val="auto"/>
        </w:rPr>
        <w:t>deliver to the Agent such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any such charter assignment or any other related matter referred to in this clause 22.7(b) as the Agent (acting on the instructions of the Majority Lenders in their sole discretion) shall require; and</w:t>
      </w:r>
    </w:p>
    <w:p>
      <w:pPr>
        <w:spacing w:after="0" w:line="181" w:lineRule="exact"/>
        <w:rPr>
          <w:rFonts w:ascii="Arial" w:cs="Arial" w:eastAsia="Arial" w:hAnsi="Arial"/>
          <w:sz w:val="18"/>
          <w:szCs w:val="18"/>
          <w:color w:val="auto"/>
        </w:rPr>
      </w:pPr>
    </w:p>
    <w:p>
      <w:pPr>
        <w:jc w:val="both"/>
        <w:ind w:left="2040" w:hanging="501"/>
        <w:spacing w:after="0"/>
        <w:tabs>
          <w:tab w:leader="none" w:pos="215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pay on the Agent’s demand all reasonable legal costs and other costs incurred by the Agent and/or the Lenders and/or the Security Agent in connection with or in relation to any such charter assignment or any other related matter referred to in this clause 22.7(b); and</w:t>
      </w:r>
    </w:p>
    <w:p>
      <w:pPr>
        <w:spacing w:after="0" w:line="189" w:lineRule="exact"/>
        <w:rPr>
          <w:rFonts w:ascii="Arial" w:cs="Arial" w:eastAsia="Arial" w:hAnsi="Arial"/>
          <w:sz w:val="18"/>
          <w:szCs w:val="18"/>
          <w:color w:val="auto"/>
        </w:rPr>
      </w:pPr>
    </w:p>
    <w:p>
      <w:pPr>
        <w:ind w:left="1520" w:hanging="491"/>
        <w:spacing w:after="0"/>
        <w:tabs>
          <w:tab w:leader="none" w:pos="15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be permitted to place any Ship under any Pool Arrangement provided that:</w:t>
      </w:r>
    </w:p>
    <w:p>
      <w:pPr>
        <w:spacing w:after="0" w:line="198" w:lineRule="exact"/>
        <w:rPr>
          <w:rFonts w:ascii="Arial" w:cs="Arial" w:eastAsia="Arial" w:hAnsi="Arial"/>
          <w:sz w:val="18"/>
          <w:szCs w:val="18"/>
          <w:color w:val="auto"/>
        </w:rPr>
      </w:pPr>
    </w:p>
    <w:p>
      <w:pPr>
        <w:ind w:left="2080" w:hanging="541"/>
        <w:spacing w:after="0"/>
        <w:tabs>
          <w:tab w:leader="none" w:pos="208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it provides evidence of such Ship’s acceptance under the relevant Pool Arrangement; and</w:t>
      </w:r>
    </w:p>
    <w:p>
      <w:pPr>
        <w:spacing w:after="0" w:line="198" w:lineRule="exact"/>
        <w:rPr>
          <w:rFonts w:ascii="Arial" w:cs="Arial" w:eastAsia="Arial" w:hAnsi="Arial"/>
          <w:sz w:val="18"/>
          <w:szCs w:val="18"/>
          <w:color w:val="auto"/>
        </w:rPr>
      </w:pPr>
    </w:p>
    <w:p>
      <w:pPr>
        <w:jc w:val="both"/>
        <w:ind w:left="2040" w:hanging="501"/>
        <w:spacing w:after="0"/>
        <w:tabs>
          <w:tab w:leader="none" w:pos="2161" w:val="left"/>
        </w:tabs>
        <w:numPr>
          <w:ilvl w:val="2"/>
          <w:numId w:val="245"/>
        </w:numPr>
        <w:rPr>
          <w:rFonts w:ascii="Arial" w:cs="Arial" w:eastAsia="Arial" w:hAnsi="Arial"/>
          <w:sz w:val="18"/>
          <w:szCs w:val="18"/>
          <w:color w:val="auto"/>
        </w:rPr>
      </w:pPr>
      <w:r>
        <w:rPr>
          <w:rFonts w:ascii="Arial" w:cs="Arial" w:eastAsia="Arial" w:hAnsi="Arial"/>
          <w:sz w:val="18"/>
          <w:szCs w:val="18"/>
          <w:color w:val="auto"/>
        </w:rPr>
        <w:t>it serves on the relevant counterparties of the relevant Owner under the relevant Pool Arrangement, a notice of assignment of the Earnings of such Ship pursuant to the relevant Deed of Covenant or General Assignment and delivers to the Agent the relevant acknowledgement of such notice, each in an approved form.</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7"/>
          <w:szCs w:val="17"/>
          <w:b w:val="1"/>
          <w:bCs w:val="1"/>
          <w:color w:val="auto"/>
        </w:rPr>
        <w:t>Merchant use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relevant Owner shall use the Ship only as a civil merchant trading ship.</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spacing w:after="0"/>
        <w:tabs>
          <w:tab w:leader="none" w:pos="52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b w:val="1"/>
          <w:bCs w:val="1"/>
          <w:color w:val="auto"/>
        </w:rPr>
        <w:t>Sharing of Earnings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 xml:space="preserve">Except with the approval of the Majority Lenders, the relevant Owner shall not enter into any arrangement under which its Earnings from the Ship may be shared with anyone else except under the operations of any commercial pool of LNG carriers (any such pool arrangement, a </w:t>
      </w:r>
      <w:r>
        <w:rPr>
          <w:rFonts w:ascii="Arial" w:cs="Arial" w:eastAsia="Arial" w:hAnsi="Arial"/>
          <w:sz w:val="18"/>
          <w:szCs w:val="18"/>
          <w:b w:val="1"/>
          <w:bCs w:val="1"/>
          <w:color w:val="auto"/>
        </w:rPr>
        <w:t>Pool Arrangement</w:t>
      </w:r>
      <w:r>
        <w:rPr>
          <w:rFonts w:ascii="Arial" w:cs="Arial" w:eastAsia="Arial" w:hAnsi="Arial"/>
          <w:sz w:val="18"/>
          <w:szCs w:val="18"/>
          <w:color w:val="auto"/>
        </w:rPr>
        <w:t>) which is similar on terms, in structure and operations as those of Cool Pool Ltd. (the latter, as had previously been described in more detail by the Obligors to the Lenders in the negotiation of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22.10 Payment of Earnings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relevant Owner’s Earnings from the Ship shall be paid in the way required by the Ship’s General Assignment, Deed of Covenant or any Charter Assignment. If any Earnings are held by brokers or other agents, they shall be paid to the Security Agent or the Agent (as the case may be), if it requires this after the Earnings have become payable to it under the Ship’s General Assignment, Deed of Covenant or any Charter Assignment.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22.11 Lay up</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approval by the Majority Lenders (such approval not to be unreasonably withheld), no Ship shall be laid up or deactivated.</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23</w:t>
        <w:tab/>
        <w:t>Condition and operation of Ship</w:t>
      </w:r>
    </w:p>
    <w:p>
      <w:pPr>
        <w:spacing w:after="0" w:line="22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Each Borrower undertakes that this clause 23 will be complied with in relation to each Mortgaged Ship throughout the relevant Ship’s Mortgage Period.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b w:val="1"/>
          <w:bCs w:val="1"/>
          <w:color w:val="auto"/>
        </w:rPr>
        <w:t>Defined terms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23.1 and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94"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b w:val="1"/>
          <w:bCs w:val="1"/>
          <w:color w:val="auto"/>
        </w:rPr>
        <w:t xml:space="preserve">applicable code </w:t>
      </w:r>
      <w:r>
        <w:rPr>
          <w:rFonts w:ascii="Arial" w:cs="Arial" w:eastAsia="Arial" w:hAnsi="Arial"/>
          <w:sz w:val="18"/>
          <w:szCs w:val="18"/>
          <w:color w:val="auto"/>
        </w:rPr>
        <w:t>means any code or prescribed procedures required to be observed by the Ship or the persons responsible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under any applicable law (including but not limited to those currently known as the ISM Code and the ISPS Code).</w:t>
      </w:r>
    </w:p>
    <w:p>
      <w:pPr>
        <w:spacing w:after="0" w:line="140"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laws and regulations applicable to vessels registered in the Ship’s Flag State or which for any other reason</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 Ship or to its condition or operation at any relevant time.</w:t>
      </w:r>
    </w:p>
    <w:p>
      <w:pPr>
        <w:spacing w:after="0" w:line="140" w:lineRule="exact"/>
        <w:rPr>
          <w:sz w:val="20"/>
          <w:szCs w:val="20"/>
          <w:color w:val="auto"/>
        </w:rPr>
      </w:pPr>
    </w:p>
    <w:p>
      <w:pPr>
        <w:jc w:val="both"/>
        <w:ind w:left="520"/>
        <w:spacing w:after="0" w:line="271" w:lineRule="auto"/>
        <w:rPr>
          <w:sz w:val="20"/>
          <w:szCs w:val="20"/>
          <w:color w:val="auto"/>
        </w:rPr>
      </w:pPr>
      <w:r>
        <w:rPr>
          <w:rFonts w:ascii="Arial" w:cs="Arial" w:eastAsia="Arial" w:hAnsi="Arial"/>
          <w:sz w:val="18"/>
          <w:szCs w:val="18"/>
          <w:b w:val="1"/>
          <w:bCs w:val="1"/>
          <w:color w:val="auto"/>
        </w:rPr>
        <w:t xml:space="preserve">applicable operating certificate </w:t>
      </w:r>
      <w:r>
        <w:rPr>
          <w:rFonts w:ascii="Arial" w:cs="Arial" w:eastAsia="Arial" w:hAnsi="Arial"/>
          <w:sz w:val="18"/>
          <w:szCs w:val="18"/>
          <w:color w:val="auto"/>
        </w:rPr>
        <w:t>means any certificates or other document relating to the Ship or its condition or operation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in force under any applicable law or any applicable code.</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Repair</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Modification</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the structure, type or performance characteristics of the Ship shall not be modified in a way which could or might materially alter the Ship or materially reduce its value.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Removal of parts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no material part of the Ship or any equipment shall be removed from the Ship if to do so would materially reduce its value (unless at the same time it is replaced with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color w:val="auto"/>
        </w:rPr>
        <w:t>equivalent parts or equipment owned by the relevant Owner free of any Security Interest except under the Security Documents).</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Third party owned equipment</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Maintenance of class; compliance with laws and codes</w:t>
      </w:r>
    </w:p>
    <w:p>
      <w:pPr>
        <w:spacing w:after="0" w:line="220"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The Ship’s class shall be the relevant Classification with the relevant Classification Society and neither the Classification nor the Classification Society of the Ship shall be changed without approval of the Agent (acting on the instructions of the Majority Lenders) (such approval not to be unreasonably withheld and which approval shall not be required in respect of a change to any one of DNV GL, American Bureau of Shipping, Lloyd’s Register of Shipping and Korean Register). Immediately after any such approved change the Borrowers shall notify the Lenders (through the Agent) of such change.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 (including but not limited to the Inventory of Hazardous Materials or any other applicable equivalent document required by applicable law). Promptly upon the Agent’s request, the relevant Owner shall provide to the Agent a copy of the Inventory of Hazardous Materials in respect of the Ship.</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7"/>
          <w:szCs w:val="17"/>
          <w:b w:val="1"/>
          <w:bCs w:val="1"/>
          <w:color w:val="auto"/>
        </w:rPr>
        <w:t>Surveys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Ship shall be submitted to continuous surveys and any other surveys which are required for it to maintain the Classification as its class. Copies of reports of those surveys shall be provided promptly to the Agent if it so requests.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b w:val="1"/>
          <w:bCs w:val="1"/>
          <w:color w:val="auto"/>
        </w:rPr>
        <w:t>Inspection and notice of drydockings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Agent (acting on the instructions of the Majority Lenders) and/or surveyors appointed by the Agent for such purpose shall be allowed to board the Ship at all reasonable times, subject to prior reasonable notice to the relevant Owner and without hindering the Ship’s operations, to inspect it and given all proper facilities needed for that purpose. The Agent shall be given reasonable advance notice of any intended drydocking of the Ship (whatever the purpose of that drydocking). The Borrowers shall bear the cost of only one such inspection of the Ship per calendar year unless there is an Event of Default.</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b w:val="1"/>
          <w:bCs w:val="1"/>
          <w:color w:val="auto"/>
        </w:rPr>
        <w:t>Prevention of arrest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Release from arrest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its Earnings and Insurances shall be released within 15 days (or such longer period as may be approved) from any arrest, detention, attachment or levy, and any legal process against the Ship shall be discharged within 15 days (or such longer period as may be approved), by whatever action is required to achieve that release or discharge.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23.11 Information about the Ship</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Agent shall promptly be given any information which it may reasonably require about the Ship or its employment, position, use or operation, including details of towages and salvages, and copies of all its charter commitments (other than any Confidential Information in respect of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ind w:left="520"/>
        <w:spacing w:after="0"/>
        <w:rPr>
          <w:sz w:val="20"/>
          <w:szCs w:val="20"/>
          <w:color w:val="auto"/>
        </w:rPr>
      </w:pPr>
      <w:r>
        <w:rPr>
          <w:rFonts w:ascii="Arial" w:cs="Arial" w:eastAsia="Arial" w:hAnsi="Arial"/>
          <w:sz w:val="18"/>
          <w:szCs w:val="18"/>
          <w:color w:val="auto"/>
        </w:rPr>
        <w:t>Pool Arrangement) entered into by or on behalf of any Obligor or any Manager and copies of any applicable operating certificates.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23.12 Notification of certain events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promptly be notified of:</w:t>
      </w:r>
    </w:p>
    <w:p>
      <w:pPr>
        <w:spacing w:after="0" w:line="198" w:lineRule="exact"/>
        <w:rPr>
          <w:sz w:val="20"/>
          <w:szCs w:val="20"/>
          <w:color w:val="auto"/>
        </w:rPr>
      </w:pPr>
    </w:p>
    <w:p>
      <w:pPr>
        <w:ind w:left="1020" w:hanging="512"/>
        <w:spacing w:after="0"/>
        <w:tabs>
          <w:tab w:leader="none" w:pos="10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 for such Ship;</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198" w:lineRule="exact"/>
        <w:rPr>
          <w:rFonts w:ascii="Arial" w:cs="Arial" w:eastAsia="Arial" w:hAnsi="Arial"/>
          <w:sz w:val="18"/>
          <w:szCs w:val="18"/>
          <w:color w:val="auto"/>
        </w:rPr>
      </w:pPr>
    </w:p>
    <w:p>
      <w:pPr>
        <w:ind w:left="980" w:hanging="472"/>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198" w:lineRule="exact"/>
        <w:rPr>
          <w:rFonts w:ascii="Arial" w:cs="Arial" w:eastAsia="Arial" w:hAnsi="Arial"/>
          <w:sz w:val="18"/>
          <w:szCs w:val="18"/>
          <w:color w:val="auto"/>
        </w:rPr>
      </w:pPr>
    </w:p>
    <w:p>
      <w:pPr>
        <w:ind w:left="1020" w:hanging="512"/>
        <w:spacing w:after="0" w:line="246" w:lineRule="auto"/>
        <w:tabs>
          <w:tab w:leader="none" w:pos="108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83" w:lineRule="exact"/>
        <w:rPr>
          <w:rFonts w:ascii="Arial" w:cs="Arial" w:eastAsia="Arial" w:hAnsi="Arial"/>
          <w:sz w:val="18"/>
          <w:szCs w:val="18"/>
          <w:color w:val="auto"/>
        </w:rPr>
      </w:pPr>
    </w:p>
    <w:p>
      <w:pPr>
        <w:ind w:left="1020" w:hanging="512"/>
        <w:spacing w:after="0" w:line="246" w:lineRule="auto"/>
        <w:tabs>
          <w:tab w:leader="none" w:pos="111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arrest, hijacking or detention of the Ship or any exercise or purported exercise of a lien or other claim on the Ship or its Earnings or Insurances.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23.13 Payment of outgoings</w:t>
      </w:r>
    </w:p>
    <w:p>
      <w:pPr>
        <w:spacing w:after="0" w:line="220"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23.14 Evidence of payments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Agent shall be allowed proper and reasonable access, subject to prior written notice and provided that the operations of the relevant Owner are not in any way hindered, to those accounting records when it reasonably requests it and, when it reasonably requires it, shall be given satisfactory evidence that:</w:t>
      </w:r>
    </w:p>
    <w:p>
      <w:pPr>
        <w:spacing w:after="0" w:line="189" w:lineRule="exact"/>
        <w:rPr>
          <w:sz w:val="20"/>
          <w:szCs w:val="20"/>
          <w:color w:val="auto"/>
        </w:rPr>
      </w:pPr>
    </w:p>
    <w:p>
      <w:pPr>
        <w:ind w:left="1020" w:hanging="512"/>
        <w:spacing w:after="0"/>
        <w:tabs>
          <w:tab w:leader="none" w:pos="10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wages and allotments and the insurance and pension contributions of the Ship’s crew are being promptly and regularly paid;</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198" w:lineRule="exact"/>
        <w:rPr>
          <w:rFonts w:ascii="Arial" w:cs="Arial" w:eastAsia="Arial" w:hAnsi="Arial"/>
          <w:sz w:val="18"/>
          <w:szCs w:val="18"/>
          <w:color w:val="auto"/>
        </w:rPr>
      </w:pPr>
    </w:p>
    <w:p>
      <w:pPr>
        <w:ind w:left="1020" w:hanging="512"/>
        <w:spacing w:after="0" w:line="246" w:lineRule="auto"/>
        <w:tabs>
          <w:tab w:leader="none" w:pos="112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Ship’s master has no claim for disbursements other than those incurred by him in the ordinary course of trading on the voyage then in progress.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23.15 Repairers’ liens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Except with approval by the Majority Lenders, the Ship shall not be put into any other person’s possession for work to be done on the Ship if the cost of that work will exceed or is likely to 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23.16 Survey report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As soon as reasonably practicable after the Agent requests it and promptly after each inspection made pursuant to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the Agent shall be given a report on the seaworthiness and/or safe operation of the Ship, from surveyors or inspectors approved by the Majority Lenders. If any recommendations are made in such a report they shall be complied with in the way and by the time recommended in the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23.17 Lawful use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Ship shall not be employed:</w:t>
      </w:r>
    </w:p>
    <w:p>
      <w:pPr>
        <w:spacing w:after="0" w:line="198" w:lineRule="exact"/>
        <w:rPr>
          <w:sz w:val="20"/>
          <w:szCs w:val="20"/>
          <w:color w:val="auto"/>
        </w:rPr>
      </w:pPr>
    </w:p>
    <w:p>
      <w:pPr>
        <w:ind w:left="1020" w:hanging="512"/>
        <w:spacing w:after="0"/>
        <w:tabs>
          <w:tab w:leader="none" w:pos="10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198"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23.18 War zones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Ship shall enter or remain in any zone which has been declared a war zone by any government entity or that Ship’s war risk insurers except with prior written notification to the Agent and provided that the Borrowers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23.19 Scrapping</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Subject to the other provisions of this Agreement, if a Ship, or any other vessel owned or controlled by the Obligors, is sold to any person (including an intermediary) with the intention of being scrapped, then such Ship or other vessel shall be recycled at a recycling yard which conducts its recycling business in a socially and environmentally responsible manner in accordance with the Hong Kong International Convention for the Safe and Environmentally Sound Recycling of Ships, 2009 and EU Ship Recycling Regulation,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23.20 Poseidon principles</w:t>
      </w:r>
    </w:p>
    <w:p>
      <w:pPr>
        <w:spacing w:after="0" w:line="220" w:lineRule="exact"/>
        <w:rPr>
          <w:sz w:val="20"/>
          <w:szCs w:val="20"/>
          <w:color w:val="auto"/>
        </w:rPr>
      </w:pPr>
    </w:p>
    <w:p>
      <w:pPr>
        <w:jc w:val="both"/>
        <w:ind w:left="1020" w:hanging="512"/>
        <w:spacing w:after="0" w:line="236" w:lineRule="auto"/>
        <w:tabs>
          <w:tab w:leader="none" w:pos="105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The relevant Owner shall, on or before 31 July in each calendar year, supply or procure the supply to the Agent (for the benefit of all Lenders who require compliance with the Poseidon Principles) such information provided by the Owner to the IMO in the format supplied by the Owner to the IMO, as is necessary in order for such Lenders to comply with their obligations under the Poseidon Principles in respect </w:t>
      </w:r>
      <w:r>
        <w:rPr>
          <w:rFonts w:ascii="Arial" w:cs="Arial" w:eastAsia="Arial" w:hAnsi="Arial"/>
          <w:sz w:val="18"/>
          <w:szCs w:val="18"/>
          <w:color w:val="44546A"/>
        </w:rPr>
        <w:t>of the preceding year</w:t>
      </w:r>
      <w:r>
        <w:rPr>
          <w:rFonts w:ascii="Arial" w:cs="Arial" w:eastAsia="Arial" w:hAnsi="Arial"/>
          <w:sz w:val="18"/>
          <w:szCs w:val="18"/>
          <w:color w:val="auto"/>
        </w:rPr>
        <w:t>, including, without limitation, all ship fuel oil consumption data required to be collected and reported in accordance with Regulation 22A of Annex VI and any Statement of Compliance (together with a Carbon Intensity and Climate Alignment Certificate) in each case relating to such Owner’s Ship for the preceding calendar year provided always that no Finance Party shall publicly disclose such information with the identity of any Ship without the prior written consent of the relevant Owner. For the avoidance of doubt, such information shall be Confidential Information for the purposes of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 but the relevant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9" w:name="page100"/>
    <w:bookmarkEnd w:id="99"/>
    <w:p>
      <w:pPr>
        <w:ind w:left="1040"/>
        <w:spacing w:after="0" w:line="246" w:lineRule="auto"/>
        <w:rPr>
          <w:sz w:val="20"/>
          <w:szCs w:val="20"/>
          <w:color w:val="auto"/>
        </w:rPr>
      </w:pPr>
      <w:r>
        <w:rPr>
          <w:rFonts w:ascii="Arial" w:cs="Arial" w:eastAsia="Arial" w:hAnsi="Arial"/>
          <w:sz w:val="18"/>
          <w:szCs w:val="18"/>
          <w:color w:val="auto"/>
        </w:rPr>
        <w:t>Owner acknowledges that, in accordance with the Poseidon Principles, such Confidential Information will form part of the information published regarding the relevant Lender’s portfolio climate alignment.</w:t>
      </w:r>
    </w:p>
    <w:p>
      <w:pPr>
        <w:spacing w:after="0" w:line="183" w:lineRule="exact"/>
        <w:rPr>
          <w:sz w:val="20"/>
          <w:szCs w:val="20"/>
          <w:color w:val="auto"/>
        </w:rPr>
      </w:pPr>
    </w:p>
    <w:p>
      <w:pPr>
        <w:ind w:left="1020" w:hanging="512"/>
        <w:spacing w:after="0"/>
        <w:tabs>
          <w:tab w:leader="none" w:pos="10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 the purposes of this clause 23.20 the following words shall have the following meanings:</w:t>
      </w:r>
    </w:p>
    <w:p>
      <w:pPr>
        <w:spacing w:after="0" w:line="176"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Annex VI </w:t>
      </w:r>
      <w:r>
        <w:rPr>
          <w:rFonts w:ascii="Arial" w:cs="Arial" w:eastAsia="Arial" w:hAnsi="Arial"/>
          <w:sz w:val="18"/>
          <w:szCs w:val="18"/>
          <w:color w:val="auto"/>
        </w:rPr>
        <w:t>means Annex VI of the Protocol of 1997 (as subsequently amended from time to time) to amend the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Convention for the Prevention of Pollution from Ships 1973 (Marpol), as modified by the Protocol of 1978 relating thereto.</w:t>
      </w:r>
    </w:p>
    <w:p>
      <w:pPr>
        <w:spacing w:after="0" w:line="140" w:lineRule="exact"/>
        <w:rPr>
          <w:rFonts w:ascii="Arial" w:cs="Arial" w:eastAsia="Arial" w:hAnsi="Arial"/>
          <w:sz w:val="18"/>
          <w:szCs w:val="18"/>
          <w:color w:val="auto"/>
        </w:rPr>
      </w:pPr>
    </w:p>
    <w:p>
      <w:pPr>
        <w:ind w:left="10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Carbon Intensity and Climate Alignment Certificate </w:t>
      </w:r>
      <w:r>
        <w:rPr>
          <w:rFonts w:ascii="Arial" w:cs="Arial" w:eastAsia="Arial" w:hAnsi="Arial"/>
          <w:sz w:val="18"/>
          <w:szCs w:val="18"/>
          <w:color w:val="auto"/>
        </w:rPr>
        <w:t>means a certificate from a Recognized Organisation relating to a Ship</w:t>
      </w:r>
      <w:r>
        <w:rPr>
          <w:rFonts w:ascii="Arial" w:cs="Arial" w:eastAsia="Arial" w:hAnsi="Arial"/>
          <w:sz w:val="18"/>
          <w:szCs w:val="18"/>
          <w:b w:val="1"/>
          <w:bCs w:val="1"/>
          <w:color w:val="auto"/>
        </w:rPr>
        <w:t xml:space="preserve"> </w:t>
      </w:r>
      <w:r>
        <w:rPr>
          <w:rFonts w:ascii="Arial" w:cs="Arial" w:eastAsia="Arial" w:hAnsi="Arial"/>
          <w:sz w:val="18"/>
          <w:szCs w:val="18"/>
          <w:color w:val="auto"/>
        </w:rPr>
        <w:t>and a calendar year setting out:</w:t>
      </w:r>
    </w:p>
    <w:p>
      <w:pPr>
        <w:spacing w:after="0" w:line="162" w:lineRule="exact"/>
        <w:rPr>
          <w:rFonts w:ascii="Arial" w:cs="Arial" w:eastAsia="Arial" w:hAnsi="Arial"/>
          <w:sz w:val="18"/>
          <w:szCs w:val="18"/>
          <w:color w:val="auto"/>
        </w:rPr>
      </w:pPr>
    </w:p>
    <w:p>
      <w:pPr>
        <w:jc w:val="both"/>
        <w:ind w:left="1540" w:hanging="511"/>
        <w:spacing w:after="0"/>
        <w:tabs>
          <w:tab w:leader="none" w:pos="173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average efficiency ratio of that Ship for all voyages performed by it over that calendar year using ship fuel oil consumption data required to be collected and reported in accordance with Regulation 22A of Annex VI in respect of that calendar year; and</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climate alignment of that Ship for such calendar year,</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each case as calculated in accordance with the Poseidon Principles.</w:t>
      </w:r>
    </w:p>
    <w:p>
      <w:pPr>
        <w:spacing w:after="0" w:line="176" w:lineRule="exact"/>
        <w:rPr>
          <w:sz w:val="20"/>
          <w:szCs w:val="20"/>
          <w:color w:val="auto"/>
        </w:rPr>
      </w:pPr>
    </w:p>
    <w:p>
      <w:pPr>
        <w:jc w:val="both"/>
        <w:ind w:left="1020"/>
        <w:spacing w:after="0" w:line="247" w:lineRule="auto"/>
        <w:rPr>
          <w:sz w:val="20"/>
          <w:szCs w:val="20"/>
          <w:color w:val="auto"/>
        </w:rPr>
      </w:pPr>
      <w:r>
        <w:rPr>
          <w:rFonts w:ascii="Arial" w:cs="Arial" w:eastAsia="Arial" w:hAnsi="Arial"/>
          <w:sz w:val="18"/>
          <w:szCs w:val="18"/>
          <w:b w:val="1"/>
          <w:bCs w:val="1"/>
          <w:color w:val="auto"/>
        </w:rPr>
        <w:t xml:space="preserve">Poseidon Principles </w:t>
      </w:r>
      <w:r>
        <w:rPr>
          <w:rFonts w:ascii="Arial" w:cs="Arial" w:eastAsia="Arial" w:hAnsi="Arial"/>
          <w:sz w:val="18"/>
          <w:szCs w:val="18"/>
          <w:color w:val="auto"/>
        </w:rPr>
        <w:t>means the financial industry framework for assessing and disclosing the climate alignment of ship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portfolios published on 18 June 2019 as the same may be amended or replaced (to reflect changes in applicable law or regulation or the introduction of or changes to mandatory requirements of the International Maritime Organisation) from time to time.</w:t>
      </w:r>
    </w:p>
    <w:p>
      <w:pPr>
        <w:spacing w:after="0" w:line="160" w:lineRule="exact"/>
        <w:rPr>
          <w:sz w:val="20"/>
          <w:szCs w:val="20"/>
          <w:color w:val="auto"/>
        </w:rPr>
      </w:pPr>
    </w:p>
    <w:p>
      <w:pPr>
        <w:jc w:val="both"/>
        <w:ind w:left="1020"/>
        <w:spacing w:after="0" w:line="271" w:lineRule="auto"/>
        <w:rPr>
          <w:sz w:val="20"/>
          <w:szCs w:val="20"/>
          <w:color w:val="auto"/>
        </w:rPr>
      </w:pPr>
      <w:r>
        <w:rPr>
          <w:rFonts w:ascii="Arial" w:cs="Arial" w:eastAsia="Arial" w:hAnsi="Arial"/>
          <w:sz w:val="18"/>
          <w:szCs w:val="18"/>
          <w:b w:val="1"/>
          <w:bCs w:val="1"/>
          <w:color w:val="auto"/>
        </w:rPr>
        <w:t xml:space="preserve">Recognized Organisation </w:t>
      </w:r>
      <w:r>
        <w:rPr>
          <w:rFonts w:ascii="Arial" w:cs="Arial" w:eastAsia="Arial" w:hAnsi="Arial"/>
          <w:sz w:val="18"/>
          <w:szCs w:val="18"/>
          <w:color w:val="auto"/>
        </w:rPr>
        <w:t>means, in respect of a Ship, an organisation representing that Ship’s flag state and, for the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clause 23.20, duly authorised to determine whether the relevant Owner has complied with regulation 22A of Annex Vl.</w:t>
      </w:r>
    </w:p>
    <w:p>
      <w:pPr>
        <w:spacing w:after="0" w:line="140" w:lineRule="exact"/>
        <w:rPr>
          <w:sz w:val="20"/>
          <w:szCs w:val="20"/>
          <w:color w:val="auto"/>
        </w:rPr>
      </w:pPr>
    </w:p>
    <w:p>
      <w:pPr>
        <w:jc w:val="both"/>
        <w:ind w:left="1020"/>
        <w:spacing w:after="0" w:line="271" w:lineRule="auto"/>
        <w:rPr>
          <w:sz w:val="20"/>
          <w:szCs w:val="20"/>
          <w:color w:val="auto"/>
        </w:rPr>
      </w:pPr>
      <w:r>
        <w:rPr>
          <w:rFonts w:ascii="Arial" w:cs="Arial" w:eastAsia="Arial" w:hAnsi="Arial"/>
          <w:sz w:val="18"/>
          <w:szCs w:val="18"/>
          <w:b w:val="1"/>
          <w:bCs w:val="1"/>
          <w:color w:val="auto"/>
        </w:rPr>
        <w:t xml:space="preserve">Statement of Compliance </w:t>
      </w:r>
      <w:r>
        <w:rPr>
          <w:rFonts w:ascii="Arial" w:cs="Arial" w:eastAsia="Arial" w:hAnsi="Arial"/>
          <w:sz w:val="18"/>
          <w:szCs w:val="18"/>
          <w:color w:val="auto"/>
        </w:rPr>
        <w:t>means a Statement of Compliance related to fuel oil consumption pursuant to regulations 6.6 and</w:t>
      </w:r>
      <w:r>
        <w:rPr>
          <w:rFonts w:ascii="Arial" w:cs="Arial" w:eastAsia="Arial" w:hAnsi="Arial"/>
          <w:sz w:val="18"/>
          <w:szCs w:val="18"/>
          <w:b w:val="1"/>
          <w:bCs w:val="1"/>
          <w:color w:val="auto"/>
        </w:rPr>
        <w:t xml:space="preserve"> </w:t>
      </w:r>
      <w:r>
        <w:rPr>
          <w:rFonts w:ascii="Arial" w:cs="Arial" w:eastAsia="Arial" w:hAnsi="Arial"/>
          <w:sz w:val="18"/>
          <w:szCs w:val="18"/>
          <w:color w:val="auto"/>
        </w:rPr>
        <w:t>6.7 of Annex VI.</w:t>
      </w:r>
    </w:p>
    <w:p>
      <w:pPr>
        <w:spacing w:after="0" w:line="13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21"/>
          <w:szCs w:val="21"/>
          <w:b w:val="1"/>
          <w:bCs w:val="1"/>
          <w:color w:val="auto"/>
        </w:rPr>
        <w:t>Insurance</w:t>
      </w:r>
    </w:p>
    <w:p>
      <w:pPr>
        <w:spacing w:after="0" w:line="22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Borrower undertakes that this clause 24 shall be complied with in relation to each Mortgaged Ship and its Insurances throughout the relevant Ship’s Mortgage Period.</w:t>
      </w:r>
    </w:p>
    <w:p>
      <w:pPr>
        <w:spacing w:after="0" w:line="161" w:lineRule="exact"/>
        <w:rPr>
          <w:sz w:val="20"/>
          <w:szCs w:val="20"/>
          <w:color w:val="auto"/>
        </w:rPr>
      </w:pPr>
    </w:p>
    <w:p>
      <w:pPr>
        <w:jc w:val="right"/>
        <w:ind w:right="9320"/>
        <w:spacing w:after="0"/>
        <w:tabs>
          <w:tab w:leader="none" w:pos="1068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7"/>
          <w:szCs w:val="17"/>
          <w:b w:val="1"/>
          <w:bCs w:val="1"/>
          <w:color w:val="auto"/>
        </w:rPr>
        <w:t>Insurance terms</w:t>
      </w:r>
    </w:p>
    <w:p>
      <w:pPr>
        <w:spacing w:after="0" w:line="220"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In this clause 24:</w:t>
      </w:r>
    </w:p>
    <w:p>
      <w:pPr>
        <w:spacing w:after="0" w:line="176"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b w:val="1"/>
          <w:bCs w:val="1"/>
          <w:color w:val="auto"/>
        </w:rPr>
        <w:t xml:space="preserve">excess risks </w:t>
      </w:r>
      <w:r>
        <w:rPr>
          <w:rFonts w:ascii="Arial" w:cs="Arial" w:eastAsia="Arial" w:hAnsi="Arial"/>
          <w:sz w:val="18"/>
          <w:szCs w:val="18"/>
          <w:color w:val="auto"/>
        </w:rPr>
        <w:t>means the proportion (if any) of claims for general average, collision liability, salvage and salvage charges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recoverable under the hull and machinery insurances of a vessel in consequence of the value at which the vessel is assessed for the purpose of such claims exceeding its insured value.</w:t>
      </w:r>
    </w:p>
    <w:p>
      <w:pPr>
        <w:spacing w:after="0" w:line="155"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in excess of amounts recoverable under the usual war risk cover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hull and machinery, crew and protection and indemnity risks.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24.2(a).</w:t>
      </w:r>
    </w:p>
    <w:p>
      <w:pPr>
        <w:spacing w:after="0" w:line="198" w:lineRule="exact"/>
        <w:rPr>
          <w:sz w:val="20"/>
          <w:szCs w:val="20"/>
          <w:color w:val="auto"/>
        </w:rPr>
      </w:pPr>
    </w:p>
    <w:p>
      <w:pPr>
        <w:jc w:val="both"/>
        <w:ind w:left="520" w:right="20"/>
        <w:spacing w:after="0" w:line="271" w:lineRule="auto"/>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in relation to a Mortgaged Ship, an amount equal at the relevant time to 120% of such proportion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Facility at such time as is equal to the proportion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jc w:val="both"/>
        <w:ind w:left="520"/>
        <w:spacing w:after="0" w:line="246" w:lineRule="auto"/>
        <w:rPr>
          <w:sz w:val="20"/>
          <w:szCs w:val="20"/>
          <w:color w:val="auto"/>
        </w:rPr>
      </w:pPr>
      <w:r>
        <w:rPr>
          <w:rFonts w:ascii="Arial" w:cs="Arial" w:eastAsia="Arial" w:hAnsi="Arial"/>
          <w:sz w:val="18"/>
          <w:szCs w:val="18"/>
          <w:color w:val="auto"/>
        </w:rPr>
        <w:t>which the market value of such Mortgaged Ship bears to the aggregate of the market values of all of the Mortgaged Ships at the relevant time.</w:t>
      </w:r>
    </w:p>
    <w:p>
      <w:pPr>
        <w:spacing w:after="0" w:line="161" w:lineRule="exact"/>
        <w:rPr>
          <w:sz w:val="20"/>
          <w:szCs w:val="20"/>
          <w:color w:val="auto"/>
        </w:rPr>
      </w:pPr>
    </w:p>
    <w:p>
      <w:pPr>
        <w:jc w:val="both"/>
        <w:ind w:left="520"/>
        <w:spacing w:after="0" w:line="247"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7"/>
          <w:szCs w:val="17"/>
          <w:b w:val="1"/>
          <w:bCs w:val="1"/>
          <w:color w:val="auto"/>
        </w:rPr>
        <w:t>Coverage required</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Ship (including its hull and machinery, hull interest, freight interest, disbursements and/or increased value) shall at all times be insured at the Ship’s Owner’s cost:</w:t>
      </w:r>
    </w:p>
    <w:p>
      <w:pPr>
        <w:spacing w:after="0" w:line="183" w:lineRule="exact"/>
        <w:rPr>
          <w:sz w:val="20"/>
          <w:szCs w:val="20"/>
          <w:color w:val="auto"/>
        </w:rPr>
      </w:pPr>
    </w:p>
    <w:p>
      <w:pPr>
        <w:jc w:val="both"/>
        <w:ind w:left="1020" w:hanging="512"/>
        <w:spacing w:after="0" w:line="238" w:lineRule="auto"/>
        <w:tabs>
          <w:tab w:leader="none" w:pos="103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provided that (i) the insured value under the hull and machinery policy shall be for no less than 80% of the agreed value referred to above and (ii) the balance of such agreed value may be covered by increased value insurance of which up to 33.33% may be represented by hull interest and freight interest);</w:t>
      </w:r>
    </w:p>
    <w:p>
      <w:pPr>
        <w:spacing w:after="0" w:line="188" w:lineRule="exact"/>
        <w:rPr>
          <w:rFonts w:ascii="Arial" w:cs="Arial" w:eastAsia="Arial" w:hAnsi="Arial"/>
          <w:sz w:val="18"/>
          <w:szCs w:val="18"/>
          <w:color w:val="auto"/>
        </w:rPr>
      </w:pPr>
    </w:p>
    <w:p>
      <w:pPr>
        <w:jc w:val="both"/>
        <w:ind w:left="1020" w:hanging="512"/>
        <w:spacing w:after="0"/>
        <w:tabs>
          <w:tab w:leader="none" w:pos="106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3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191" w:lineRule="exact"/>
        <w:rPr>
          <w:rFonts w:ascii="Arial" w:cs="Arial" w:eastAsia="Arial" w:hAnsi="Arial"/>
          <w:sz w:val="18"/>
          <w:szCs w:val="18"/>
          <w:color w:val="auto"/>
        </w:rPr>
      </w:pPr>
    </w:p>
    <w:p>
      <w:pPr>
        <w:ind w:left="1020" w:hanging="512"/>
        <w:spacing w:after="0"/>
        <w:tabs>
          <w:tab w:leader="none" w:pos="10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24.</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7"/>
          <w:szCs w:val="17"/>
          <w:b w:val="1"/>
          <w:bCs w:val="1"/>
          <w:color w:val="auto"/>
        </w:rPr>
        <w:t>Placing of cover</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insurance coverage required by clause 24.2 (</w:t>
      </w:r>
      <w:r>
        <w:rPr>
          <w:rFonts w:ascii="Arial" w:cs="Arial" w:eastAsia="Arial" w:hAnsi="Arial"/>
          <w:sz w:val="18"/>
          <w:szCs w:val="18"/>
          <w:i w:val="1"/>
          <w:iCs w:val="1"/>
          <w:color w:val="auto"/>
        </w:rPr>
        <w:t>Coverage required</w:t>
      </w:r>
      <w:r>
        <w:rPr>
          <w:rFonts w:ascii="Arial" w:cs="Arial" w:eastAsia="Arial" w:hAnsi="Arial"/>
          <w:sz w:val="18"/>
          <w:szCs w:val="18"/>
          <w:color w:val="auto"/>
        </w:rPr>
        <w:t>) shall be:</w:t>
      </w:r>
    </w:p>
    <w:p>
      <w:pPr>
        <w:spacing w:after="0" w:line="216" w:lineRule="exact"/>
        <w:rPr>
          <w:sz w:val="20"/>
          <w:szCs w:val="20"/>
          <w:color w:val="auto"/>
        </w:rPr>
      </w:pPr>
    </w:p>
    <w:p>
      <w:pPr>
        <w:jc w:val="both"/>
        <w:ind w:left="1020" w:hanging="512"/>
        <w:spacing w:after="0" w:line="237" w:lineRule="auto"/>
        <w:tabs>
          <w:tab w:leader="none" w:pos="107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the name of the Ship’s Owner and (in the case of the Ship’s hull cover)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 other Finance Parties in an approved form and provided such supporting documents and opinions in relation to that assignment as the Agent requires);</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198" w:lineRule="exact"/>
        <w:rPr>
          <w:rFonts w:ascii="Arial" w:cs="Arial" w:eastAsia="Arial" w:hAnsi="Arial"/>
          <w:sz w:val="18"/>
          <w:szCs w:val="18"/>
          <w:color w:val="auto"/>
        </w:rPr>
      </w:pPr>
    </w:p>
    <w:p>
      <w:pPr>
        <w:jc w:val="both"/>
        <w:ind w:left="1020" w:right="20" w:hanging="512"/>
        <w:spacing w:after="0"/>
        <w:tabs>
          <w:tab w:leader="none" w:pos="102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189" w:lineRule="exact"/>
        <w:rPr>
          <w:rFonts w:ascii="Arial" w:cs="Arial" w:eastAsia="Arial" w:hAnsi="Arial"/>
          <w:sz w:val="18"/>
          <w:szCs w:val="18"/>
          <w:color w:val="auto"/>
        </w:rPr>
      </w:pPr>
    </w:p>
    <w:p>
      <w:pPr>
        <w:ind w:left="1020" w:hanging="512"/>
        <w:spacing w:after="0" w:line="246" w:lineRule="auto"/>
        <w:tabs>
          <w:tab w:leader="none" w:pos="10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on terms approved by the Agent (acting reasonably) (and always applying the terms of the Institute Time Clauses 1/10/1983 or equivalent clauses under the Nordic Marine Insurance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ind w:left="1040"/>
        <w:spacing w:after="0" w:line="246" w:lineRule="auto"/>
        <w:rPr>
          <w:sz w:val="20"/>
          <w:szCs w:val="20"/>
          <w:color w:val="auto"/>
        </w:rPr>
      </w:pPr>
      <w:r>
        <w:rPr>
          <w:rFonts w:ascii="Arial" w:cs="Arial" w:eastAsia="Arial" w:hAnsi="Arial"/>
          <w:sz w:val="18"/>
          <w:szCs w:val="18"/>
          <w:color w:val="auto"/>
        </w:rPr>
        <w:t>Plan of 2013 or equivalent International Hull Clauses if available in the insurance market) and with insurers or associations approved by the Agent (acting on the instructions of the Majority Lenders).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b w:val="1"/>
          <w:bCs w:val="1"/>
          <w:color w:val="auto"/>
        </w:rPr>
        <w:t>Deductibles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aggregate amount of any excess or deductible under the Ship’s hull cover shall not exceed $1,000,000 or any other approved amount.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b w:val="1"/>
          <w:bCs w:val="1"/>
          <w:color w:val="auto"/>
        </w:rPr>
        <w:t>Mortgagee’s insurance</w:t>
      </w:r>
    </w:p>
    <w:p>
      <w:pPr>
        <w:spacing w:after="0" w:line="220" w:lineRule="exact"/>
        <w:rPr>
          <w:sz w:val="20"/>
          <w:szCs w:val="20"/>
          <w:color w:val="auto"/>
        </w:rPr>
      </w:pPr>
    </w:p>
    <w:p>
      <w:pPr>
        <w:jc w:val="both"/>
        <w:ind w:left="1020" w:hanging="512"/>
        <w:spacing w:after="0" w:line="238" w:lineRule="auto"/>
        <w:tabs>
          <w:tab w:leader="none" w:pos="10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Borrowers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up to 110% per cent of the Available Facility at such time.</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7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Agent shall take out mortgagee’s interest insurance and mortgagee’s additional perils (pollution risks) cover (on the terms provided under clause 24.5(a)) prior to the Utilisation of the Term Loan for that Ship and keep such mortgagee’s interest insurance and mortgagee’s additional perils (pollution risks) cover in force in respect of the Ship throughout the Mortgage Period of that Ship.</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7"/>
          <w:szCs w:val="17"/>
          <w:b w:val="1"/>
          <w:bCs w:val="1"/>
          <w:color w:val="auto"/>
        </w:rPr>
        <w:t>Fleet liens, set off and cancellations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189" w:lineRule="exact"/>
        <w:rPr>
          <w:sz w:val="20"/>
          <w:szCs w:val="20"/>
          <w:color w:val="auto"/>
        </w:rPr>
      </w:pPr>
    </w:p>
    <w:p>
      <w:pPr>
        <w:ind w:left="1020" w:right="20" w:hanging="512"/>
        <w:spacing w:after="0" w:line="246" w:lineRule="auto"/>
        <w:tabs>
          <w:tab w:leader="none" w:pos="107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(other than other Mortgaged Ships); or</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198"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or the Borrowers shall ensure that hull cover for the Ship and any other Mortgaged Ships is provided under a separate policy from any other vessels.</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7"/>
          <w:szCs w:val="17"/>
          <w:b w:val="1"/>
          <w:bCs w:val="1"/>
          <w:color w:val="auto"/>
        </w:rPr>
        <w:t>Payment of premiums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Owner and the Agent shall be provided with all relevant receipts or other evidence of payment upon request.</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b w:val="1"/>
          <w:bCs w:val="1"/>
          <w:color w:val="auto"/>
        </w:rPr>
        <w:t>Details of proposed renewal of Insurances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7"/>
          <w:szCs w:val="17"/>
          <w:b w:val="1"/>
          <w:bCs w:val="1"/>
          <w:color w:val="auto"/>
        </w:rPr>
        <w:t>Instructions for renewal</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At least seven days before any of the Ship’s Insurances are due to expire, instructions shall be given to brokers, insurers and associations for them to be renewed or replaced on or before their expiry.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24.10 Confirmation of renewal</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Ship’s Insurances shall be renewed upon their expiry in a manner and on terms which comply with this clause 24 and confirmation of such renewal given by approved brokers or insurers which shall be provided to the Agent at least 5 days (or such shorter period as may be approved) before such expiry.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24.11 P&amp;I guarantees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24.12 Insurance documents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24.13 Letters of undertaking</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24.14 Insurance Notices and Loss Payable Clauses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its Owner and, unless otherwise approved, each other person assured under the relevant cover (other than the Security Agent or any other Finance Party if it is itself an assured).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24.15 Insurance correspondence</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 provided that these are not subject to confidentiality obligations to third parties or imposed by law and subject to the Borrowers using all reasonable endeavours to obtain a waiver of any such confidentiality obligation.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24.16 Qualifications and exclusions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24.17 Independent report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the Agent (acting on the instructions of the Majority Lenders) requires and obtains a detailed report from an approved independent firm of marine insurance brokers giving their opinion on the adequacy of the Ship’s Insurances then the Agent shall be provided promptly by the Borrowers with such a report at no cost to the Agent or (if the Agent obtains such a report itself, which it shall be entitled to do) the Borrowers shall reimburse the Agent for the cost of obtaining that report. The Borrowers shall not bear the cost of more than one such report per Ship per calendar year, unless there is an Event of Default.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24.18 Collection of claims</w:t>
      </w:r>
    </w:p>
    <w:p>
      <w:pPr>
        <w:spacing w:after="0" w:line="220"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24.19 Employment of Ship</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24.20 Declarations and returns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24.21 Application of recoveries</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24.22 Settlement of claims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claim under the Ship’s Insurances for a Total Loss or Major Casualty shall only be settled, compromised or abandoned with prior approval by all Lenders.</w:t>
      </w:r>
    </w:p>
    <w:p>
      <w:pPr>
        <w:spacing w:after="0" w:line="152"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1"/>
          <w:szCs w:val="21"/>
          <w:b w:val="1"/>
          <w:bCs w:val="1"/>
          <w:color w:val="auto"/>
        </w:rPr>
        <w:t>Minimum security value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Borrower undertakes that this clause 25 will be complied with throughout the Facility Period.</w:t>
      </w:r>
    </w:p>
    <w:p>
      <w:pPr>
        <w:spacing w:after="0" w:line="1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7"/>
          <w:szCs w:val="17"/>
          <w:b w:val="1"/>
          <w:bCs w:val="1"/>
          <w:color w:val="auto"/>
        </w:rPr>
        <w:t>Valuation of assets</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For the purpose of the Finance Documents (including for the purposes of 25.12), the value at any time of any Mortgaged Ship or a Ship before any Utilisation obtained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or any other asset over which additional security is provided under this clause 25, will be its value as most recently determined in accordance with this clause 25 or, if no such value has been obtained, its value determined under any valuation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b w:val="1"/>
          <w:bCs w:val="1"/>
          <w:color w:val="auto"/>
        </w:rPr>
        <w:t>Valuation frequency</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For the purpose of the Finance Documents (including for the purposes of clause 25.12), valuation of each Mortgaged Ship or each Ship before any Utilisation and each such other asset in accordance with this clause 25 may be required by the Majority Lenders at any time (but in any event not less frequently than twice per calendar year on 30 June and 31 December of each calendar year).</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7"/>
          <w:szCs w:val="17"/>
          <w:b w:val="1"/>
          <w:bCs w:val="1"/>
          <w:color w:val="auto"/>
        </w:rPr>
        <w:t>Expenses of valuation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Borrowers shall bear, and reimburse to the Agent where incurred by the Agent, all costs and expenses of providing such a valuation provided that, in the absence of an Event of Default, the Borrowers shall bear the cost of the valuations of each Mortgaged Ship under this clause 25 only twice per calendar year (but excluding for such purpose any valuations of a Mortgaged Ship if an Event of Default exists, or a Total Loss of a Ship has occurred or has potentially occurred).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4" w:name="page105"/>
    <w:bookmarkEnd w:id="104"/>
    <w:p>
      <w:pPr>
        <w:spacing w:after="0"/>
        <w:tabs>
          <w:tab w:leader="none" w:pos="50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b w:val="1"/>
          <w:bCs w:val="1"/>
          <w:color w:val="auto"/>
        </w:rPr>
        <w:t>Valuations procedure</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value of (a) any Mortgaged Ship (namely, after the first Utilisation under this Agreement) and (b) each Ship before the first Utilisation under this Agreement, shall be determined in accordance with, and by valuers approved and appointed in accordance with, this clause 25. Additional security provided under this clause 25 shall be valued in such a way, on such a basis and by such persons (including the Agent itself) as may be approved by the Majority Lenders or as may be agreed in writing by the Borrowers and the Agent (on the instructions of the Majority Lenders).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7"/>
          <w:szCs w:val="17"/>
          <w:b w:val="1"/>
          <w:bCs w:val="1"/>
          <w:color w:val="auto"/>
        </w:rPr>
        <w:t>Currency of valuation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7"/>
          <w:szCs w:val="17"/>
          <w:b w:val="1"/>
          <w:bCs w:val="1"/>
          <w:color w:val="auto"/>
        </w:rPr>
        <w:t>Basis of valuation</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Each valuation will be addressed to the Agent in its capacity as such, it will be not more than 30 days old from its delivery to the Agent and made:</w:t>
      </w:r>
    </w:p>
    <w:p>
      <w:pPr>
        <w:spacing w:after="0" w:line="197" w:lineRule="exact"/>
        <w:rPr>
          <w:sz w:val="20"/>
          <w:szCs w:val="20"/>
          <w:color w:val="auto"/>
        </w:rPr>
      </w:pPr>
    </w:p>
    <w:p>
      <w:pPr>
        <w:ind w:left="1020" w:hanging="512"/>
        <w:spacing w:after="0"/>
        <w:tabs>
          <w:tab w:leader="none" w:pos="10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211" w:lineRule="exact"/>
        <w:rPr>
          <w:rFonts w:ascii="Arial" w:cs="Arial" w:eastAsia="Arial" w:hAnsi="Arial"/>
          <w:sz w:val="18"/>
          <w:szCs w:val="18"/>
          <w:color w:val="auto"/>
        </w:rPr>
      </w:pPr>
    </w:p>
    <w:p>
      <w:pPr>
        <w:ind w:left="1020" w:hanging="512"/>
        <w:spacing w:after="0" w:line="246" w:lineRule="auto"/>
        <w:tabs>
          <w:tab w:leader="none" w:pos="117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7"/>
          <w:szCs w:val="17"/>
          <w:b w:val="1"/>
          <w:bCs w:val="1"/>
          <w:color w:val="auto"/>
        </w:rPr>
        <w:t>Information required for valuation</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The Borrowers shall promptly provide to the Agent and any such valuer any information which they reasonably require for the purposes of providing such a valuation.</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25.8</w:t>
        <w:tab/>
        <w:t>Approved Brokers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All valuers must be Approved Brokers. The Agent may from time to time notify the Borrowers and the Lenders of any additional independent ship brokers which have been approved by the Borrowers and the Agent (acting on the instructions of the Majority Lenders) as Approved Brokers for the purposes of this clause 25 and this Agreement, and the Majority Lenders may from time to time request the replacement of an Approved Broker.</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7"/>
          <w:szCs w:val="17"/>
          <w:b w:val="1"/>
          <w:bCs w:val="1"/>
          <w:color w:val="auto"/>
        </w:rPr>
        <w:t>Appointment of Approved Brokers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When a valuation is required for the purposes of this clause 25, the Borrowers shall promptly appoint the relevant Approved Brokers to provide such a valuation. If the Borrowers fail to do so promptly, the Agent may appoint the relevant Approved Brokers to provide that valuation.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25.10 Number of valuers</w:t>
      </w:r>
    </w:p>
    <w:p>
      <w:pPr>
        <w:spacing w:after="0" w:line="234" w:lineRule="exact"/>
        <w:rPr>
          <w:sz w:val="20"/>
          <w:szCs w:val="20"/>
          <w:color w:val="auto"/>
        </w:rPr>
      </w:pPr>
    </w:p>
    <w:p>
      <w:pPr>
        <w:ind w:left="1020" w:right="20" w:hanging="512"/>
        <w:spacing w:after="0" w:line="246" w:lineRule="auto"/>
        <w:tabs>
          <w:tab w:leader="none" w:pos="127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both of whom shall be nominated by the Borrowers. If the Borrowers fail promptly to nominate an Approved Broker then the Agent may nominate that valuer.</w:t>
      </w:r>
    </w:p>
    <w:p>
      <w:pPr>
        <w:spacing w:after="0" w:line="196" w:lineRule="exact"/>
        <w:rPr>
          <w:rFonts w:ascii="Arial" w:cs="Arial" w:eastAsia="Arial" w:hAnsi="Arial"/>
          <w:sz w:val="18"/>
          <w:szCs w:val="18"/>
          <w:color w:val="auto"/>
        </w:rPr>
      </w:pPr>
    </w:p>
    <w:p>
      <w:pPr>
        <w:jc w:val="both"/>
        <w:ind w:left="1020" w:hanging="512"/>
        <w:spacing w:after="0"/>
        <w:tabs>
          <w:tab w:leader="none" w:pos="138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the two (2) valuations of a Ship made by two (2) Approved Brokers vary by more than 15% (by reference to the lower valuation), then a third Approved Broker must be nominated by the Borrowers to provide a valuation of such Ship. If the Borrowers fail to promptly nominate such third Approved Broker, then the Agent may nominate that third Approved Broker.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25.11 Differences in valuations</w:t>
      </w:r>
    </w:p>
    <w:p>
      <w:pPr>
        <w:spacing w:after="0" w:line="234" w:lineRule="exact"/>
        <w:rPr>
          <w:sz w:val="20"/>
          <w:szCs w:val="20"/>
          <w:color w:val="auto"/>
        </w:rPr>
      </w:pPr>
    </w:p>
    <w:p>
      <w:pPr>
        <w:ind w:left="1020" w:hanging="512"/>
        <w:spacing w:after="0" w:line="246" w:lineRule="auto"/>
        <w:tabs>
          <w:tab w:leader="none" w:pos="132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valuations of a Ship provided by different Approved Brokers differ, the value of the relevant Ship for the purposes of the Finance Documents will be the mean average of those valuations.</w:t>
      </w:r>
    </w:p>
    <w:p>
      <w:pPr>
        <w:spacing w:after="0" w:line="196" w:lineRule="exact"/>
        <w:rPr>
          <w:rFonts w:ascii="Arial" w:cs="Arial" w:eastAsia="Arial" w:hAnsi="Arial"/>
          <w:sz w:val="18"/>
          <w:szCs w:val="18"/>
          <w:color w:val="auto"/>
        </w:rPr>
      </w:pPr>
    </w:p>
    <w:p>
      <w:pPr>
        <w:ind w:left="1020" w:hanging="512"/>
        <w:spacing w:after="0" w:line="246" w:lineRule="auto"/>
        <w:tabs>
          <w:tab w:leader="none" w:pos="101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a Ship, the value of such Ship for the purposes of the Finance Documents will be the mean average of the values comprising such range.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Security shortfall</w:t>
      </w:r>
    </w:p>
    <w:p>
      <w:pPr>
        <w:spacing w:after="0" w:line="234" w:lineRule="exact"/>
        <w:rPr>
          <w:sz w:val="20"/>
          <w:szCs w:val="20"/>
          <w:color w:val="auto"/>
        </w:rPr>
      </w:pPr>
    </w:p>
    <w:p>
      <w:pPr>
        <w:jc w:val="both"/>
        <w:ind w:left="1020" w:hanging="512"/>
        <w:spacing w:after="0"/>
        <w:tabs>
          <w:tab w:leader="none" w:pos="101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at any time the Security Value is less than the Minimum Value, the Agent may, and shall, if so directed by the Majority Lenders, by notice to the Borrowers require that such deficiency be remedied. The Borrowers shall then within 30 days of receipt of such notice ensure that the Security Value equals or exceeds the Minimum Value. For this purpose, the Borrowers may:</w:t>
      </w:r>
    </w:p>
    <w:p>
      <w:pPr>
        <w:spacing w:after="0" w:line="202" w:lineRule="exact"/>
        <w:rPr>
          <w:rFonts w:ascii="Arial" w:cs="Arial" w:eastAsia="Arial" w:hAnsi="Arial"/>
          <w:sz w:val="18"/>
          <w:szCs w:val="18"/>
          <w:color w:val="auto"/>
        </w:rPr>
      </w:pPr>
    </w:p>
    <w:p>
      <w:pPr>
        <w:ind w:left="1540" w:hanging="511"/>
        <w:spacing w:after="0" w:line="246" w:lineRule="auto"/>
        <w:tabs>
          <w:tab w:leader="none" w:pos="164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provide additional security over cash in dollars or other assets approved by the Majority Lenders in accordance with this clause 25; and/or</w:t>
      </w:r>
    </w:p>
    <w:p>
      <w:pPr>
        <w:spacing w:after="0" w:line="196" w:lineRule="exact"/>
        <w:rPr>
          <w:rFonts w:ascii="Arial" w:cs="Arial" w:eastAsia="Arial" w:hAnsi="Arial"/>
          <w:sz w:val="18"/>
          <w:szCs w:val="18"/>
          <w:color w:val="auto"/>
        </w:rPr>
      </w:pPr>
    </w:p>
    <w:p>
      <w:pPr>
        <w:jc w:val="both"/>
        <w:ind w:left="1540" w:hanging="511"/>
        <w:spacing w:after="0" w:line="238" w:lineRule="auto"/>
        <w:tabs>
          <w:tab w:leader="none" w:pos="178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cancel part of the Available Term Loan Facility and/or (at the Borrowers’ option) the Available Revolving Loan Facility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and/or prepay all or part of one or more Loans under clause 7.4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 as necessary to ensure that the outstanding Loans under a Facility, do not exceed the Available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or (as the case may be) the Revolving Loan Facility, each as so reduced.</w:t>
      </w:r>
    </w:p>
    <w:p>
      <w:pPr>
        <w:spacing w:after="0" w:line="204" w:lineRule="exact"/>
        <w:rPr>
          <w:rFonts w:ascii="Arial" w:cs="Arial" w:eastAsia="Arial" w:hAnsi="Arial"/>
          <w:sz w:val="18"/>
          <w:szCs w:val="18"/>
          <w:color w:val="auto"/>
        </w:rPr>
      </w:pPr>
    </w:p>
    <w:p>
      <w:pPr>
        <w:jc w:val="both"/>
        <w:ind w:left="1020" w:hanging="512"/>
        <w:spacing w:after="0"/>
        <w:tabs>
          <w:tab w:leader="none" w:pos="111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cancellation of part of the Available Facility pursuant to this clause 25.12 shall reduce the Total Commitments by the same amounts and all the Commitments pro rata. Any cancellation or prepayment pursuant to clause 25.12(a)(i) shall be made without any requirement as to any minimum amount required by clauses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7.4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Creation of additional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value of any additional security which the Borrowers offer to provide to remedy all or part of a shortfall in the amount of the</w:t>
      </w:r>
    </w:p>
    <w:p>
      <w:pPr>
        <w:ind w:left="520"/>
        <w:spacing w:after="0"/>
        <w:rPr>
          <w:sz w:val="20"/>
          <w:szCs w:val="20"/>
          <w:color w:val="auto"/>
        </w:rPr>
      </w:pPr>
      <w:r>
        <w:rPr>
          <w:rFonts w:ascii="Arial" w:cs="Arial" w:eastAsia="Arial" w:hAnsi="Arial"/>
          <w:sz w:val="18"/>
          <w:szCs w:val="18"/>
          <w:color w:val="auto"/>
        </w:rPr>
        <w:t>Security Value will only be taken into account for the purposes of determining the Security Value if and when:</w:t>
      </w:r>
    </w:p>
    <w:p>
      <w:pPr>
        <w:spacing w:after="0" w:line="212" w:lineRule="exact"/>
        <w:rPr>
          <w:sz w:val="20"/>
          <w:szCs w:val="20"/>
          <w:color w:val="auto"/>
        </w:rPr>
      </w:pPr>
    </w:p>
    <w:p>
      <w:pPr>
        <w:ind w:left="1020" w:hanging="512"/>
        <w:spacing w:after="0" w:line="246" w:lineRule="auto"/>
        <w:tabs>
          <w:tab w:leader="none" w:pos="12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that additional security, its value and the method of its valuation have been approved by the Majority Lenders (except in the case of otherwise approved first ranking security over cash in Dollars which shall be valued at par);</w:t>
      </w:r>
    </w:p>
    <w:p>
      <w:pPr>
        <w:spacing w:after="0" w:line="196" w:lineRule="exact"/>
        <w:rPr>
          <w:rFonts w:ascii="Arial" w:cs="Arial" w:eastAsia="Arial" w:hAnsi="Arial"/>
          <w:sz w:val="18"/>
          <w:szCs w:val="18"/>
          <w:color w:val="auto"/>
        </w:rPr>
      </w:pPr>
    </w:p>
    <w:p>
      <w:pPr>
        <w:ind w:left="1020" w:hanging="512"/>
        <w:spacing w:after="0" w:line="246" w:lineRule="auto"/>
        <w:tabs>
          <w:tab w:leader="none" w:pos="109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37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this Agreement has been unconditionally amended with such consequential amendments as required by the Agent acting reasonably; and</w:t>
      </w:r>
    </w:p>
    <w:p>
      <w:pPr>
        <w:spacing w:after="0" w:line="196" w:lineRule="exact"/>
        <w:rPr>
          <w:rFonts w:ascii="Arial" w:cs="Arial" w:eastAsia="Arial" w:hAnsi="Arial"/>
          <w:sz w:val="18"/>
          <w:szCs w:val="18"/>
          <w:color w:val="auto"/>
        </w:rPr>
      </w:pPr>
    </w:p>
    <w:p>
      <w:pPr>
        <w:jc w:val="both"/>
        <w:ind w:left="1020" w:hanging="512"/>
        <w:spacing w:after="0"/>
        <w:tabs>
          <w:tab w:leader="none" w:pos="121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that amendment and additional security and its execution and (if applicable) registration.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25.14 Security release</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Security Value shall at any time exceed the Minimum Value, and the Borrowers shall previously have provided further security to the Security Agent and/or the other Finance Parties pursuant to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 the Security Agent (on the instructions of the Agent) and the other Finance Parties shall, as soon as reasonably practicable after notice from the Borrowers to do so and subject to being indemnified to their satisfaction against the cost of doing so, procure the release of any such further security specified by the Borrowers provided that the Agent (acting on the instructions of the Majority Lenders) is satisfied that, immediately following such release, the Security Value will equal or exceed the Minimum Value and no other Event of Default shall have occurred and be continuing.</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26</w:t>
        <w:tab/>
        <w:t>Chartering undertakings</w:t>
      </w:r>
    </w:p>
    <w:p>
      <w:pPr>
        <w:spacing w:after="0" w:line="238"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Borrower undertakes that this clause 26 will be complied with in relation to each Mortgaged Ship which is subject to a Charter and its Charter Documents throughout the relevant Ship’s Mortgage Period.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7"/>
          <w:szCs w:val="17"/>
          <w:b w:val="1"/>
          <w:bCs w:val="1"/>
          <w:color w:val="auto"/>
        </w:rPr>
        <w:t>Variations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for amendments or variations which:</w:t>
      </w:r>
    </w:p>
    <w:p>
      <w:pPr>
        <w:spacing w:after="0" w:line="212" w:lineRule="exact"/>
        <w:rPr>
          <w:sz w:val="20"/>
          <w:szCs w:val="20"/>
          <w:color w:val="auto"/>
        </w:rPr>
      </w:pPr>
    </w:p>
    <w:p>
      <w:pPr>
        <w:ind w:left="1020" w:hanging="512"/>
        <w:spacing w:after="0"/>
        <w:tabs>
          <w:tab w:leader="none" w:pos="10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reduce the tenor of a Charter;</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reduce the applicable charter rate in respect of the firm tenor of a Charter;</w:t>
      </w:r>
    </w:p>
    <w:p>
      <w:pPr>
        <w:spacing w:after="0" w:line="211" w:lineRule="exact"/>
        <w:rPr>
          <w:rFonts w:ascii="Arial" w:cs="Arial" w:eastAsia="Arial" w:hAnsi="Arial"/>
          <w:sz w:val="18"/>
          <w:szCs w:val="18"/>
          <w:color w:val="auto"/>
        </w:rPr>
      </w:pPr>
    </w:p>
    <w:p>
      <w:pPr>
        <w:jc w:val="both"/>
        <w:ind w:left="1020" w:hanging="512"/>
        <w:spacing w:after="0"/>
        <w:tabs>
          <w:tab w:leader="none" w:pos="10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result in a charter hire rate during an extension of the tenor of a Charter which is materially less beneficial to the relevant Owner than the terms which at the time could be reasonably expected to be obtained on the open market for vessels of the same age and type as the relevant Ship and for charter commitments of a similar type and period;</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connection with the extension of a Charter would result in the Charterer being a Non-Acceptable Charterer;</w:t>
      </w:r>
    </w:p>
    <w:p>
      <w:pPr>
        <w:spacing w:after="0" w:line="211" w:lineRule="exact"/>
        <w:rPr>
          <w:rFonts w:ascii="Arial" w:cs="Arial" w:eastAsia="Arial" w:hAnsi="Arial"/>
          <w:sz w:val="18"/>
          <w:szCs w:val="18"/>
          <w:color w:val="auto"/>
        </w:rPr>
      </w:pPr>
    </w:p>
    <w:p>
      <w:pPr>
        <w:ind w:left="1020" w:hanging="512"/>
        <w:spacing w:after="0" w:line="246" w:lineRule="auto"/>
        <w:tabs>
          <w:tab w:leader="none" w:pos="107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change the scheduled dates for payment of charter hire under a Charter by more than 30 days or change the payment terms to payments in arrear;</w:t>
      </w:r>
    </w:p>
    <w:p>
      <w:pPr>
        <w:spacing w:after="0" w:line="196" w:lineRule="exact"/>
        <w:rPr>
          <w:rFonts w:ascii="Arial" w:cs="Arial" w:eastAsia="Arial" w:hAnsi="Arial"/>
          <w:sz w:val="18"/>
          <w:szCs w:val="18"/>
          <w:color w:val="auto"/>
        </w:rPr>
      </w:pPr>
    </w:p>
    <w:p>
      <w:pPr>
        <w:ind w:left="1020" w:hanging="512"/>
        <w:spacing w:after="0" w:line="246" w:lineRule="auto"/>
        <w:tabs>
          <w:tab w:leader="none" w:pos="102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result in any assignment, transfer or novation of a Charter Document whether from the relevant Owner, the relevant Charterer or the relevant Charter Guarantor;</w:t>
      </w:r>
    </w:p>
    <w:p>
      <w:pPr>
        <w:spacing w:after="0" w:line="196" w:lineRule="exact"/>
        <w:rPr>
          <w:rFonts w:ascii="Arial" w:cs="Arial" w:eastAsia="Arial" w:hAnsi="Arial"/>
          <w:sz w:val="18"/>
          <w:szCs w:val="18"/>
          <w:color w:val="auto"/>
        </w:rPr>
      </w:pPr>
    </w:p>
    <w:p>
      <w:pPr>
        <w:ind w:left="1020" w:hanging="512"/>
        <w:spacing w:after="0" w:line="246" w:lineRule="auto"/>
        <w:tabs>
          <w:tab w:leader="none" w:pos="117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would result in the conversion of a Charter to a bareboat charter or an arrangement under which operational control over the Ship is passed to another person;</w:t>
      </w:r>
    </w:p>
    <w:p>
      <w:pPr>
        <w:spacing w:after="0" w:line="196" w:lineRule="exact"/>
        <w:rPr>
          <w:rFonts w:ascii="Arial" w:cs="Arial" w:eastAsia="Arial" w:hAnsi="Arial"/>
          <w:sz w:val="18"/>
          <w:szCs w:val="18"/>
          <w:color w:val="auto"/>
        </w:rPr>
      </w:pPr>
    </w:p>
    <w:p>
      <w:pPr>
        <w:jc w:val="both"/>
        <w:ind w:left="1020" w:hanging="512"/>
        <w:spacing w:after="0"/>
        <w:tabs>
          <w:tab w:leader="none" w:pos="117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affect termination rights under a Charter or relate to or amend or otherwise affect a Charter Guarantee or otherwise relate to, constitute, or cause or could cause, (A) a release of a Charter Guarantee or (B) a release of any obligations under a Charter Guarantee; or</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change the governing law, jurisdiction, assignability or mortgagee quiet enjoyment provisions of a Charter,</w:t>
      </w:r>
    </w:p>
    <w:p>
      <w:pPr>
        <w:spacing w:after="0" w:line="212"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where, in each case, approval from the Majority Lenders shall be required, each Owner shall be entitled to amend or vary a Charter (but not a Charter Guarantee) without approval. The relevant Owner shall notify the Agent of any variation of a Charter promptly upon such variation having been effected. For the avoidance of doubt, in relation to paragraph (f) above, the relevant Owner shall be entitled to novate the Charter of its Ship to another Owner who owns a Ship which at that point is not subject to another Charter because its Charter’s fixed tenor has expired by lapse of time, but always subject and without prejudice to the provisions of Clause 29.21 (</w:t>
      </w:r>
      <w:r>
        <w:rPr>
          <w:rFonts w:ascii="Arial" w:cs="Arial" w:eastAsia="Arial" w:hAnsi="Arial"/>
          <w:sz w:val="18"/>
          <w:szCs w:val="18"/>
          <w:i w:val="1"/>
          <w:iCs w:val="1"/>
          <w:color w:val="auto"/>
        </w:rPr>
        <w:t>Charters</w:t>
      </w:r>
      <w:r>
        <w:rPr>
          <w:rFonts w:ascii="Arial" w:cs="Arial" w:eastAsia="Arial" w:hAnsi="Arial"/>
          <w:sz w:val="18"/>
          <w:szCs w:val="18"/>
          <w:color w:val="auto"/>
        </w:rPr>
        <w:t>), the obligations of the Borrowers under clause 22.7 (</w:t>
      </w:r>
      <w:r>
        <w:rPr>
          <w:rFonts w:ascii="Arial" w:cs="Arial" w:eastAsia="Arial" w:hAnsi="Arial"/>
          <w:sz w:val="18"/>
          <w:szCs w:val="18"/>
          <w:i w:val="1"/>
          <w:iCs w:val="1"/>
          <w:color w:val="auto"/>
        </w:rPr>
        <w:t>Chartering</w:t>
      </w:r>
      <w:r>
        <w:rPr>
          <w:rFonts w:ascii="Arial" w:cs="Arial" w:eastAsia="Arial" w:hAnsi="Arial"/>
          <w:sz w:val="18"/>
          <w:szCs w:val="18"/>
          <w:color w:val="auto"/>
        </w:rPr>
        <w:t>), the other provisions of this clause 26 and any other provisions of this Agreement and the other Finance Documents.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spacing w:after="0"/>
        <w:tabs>
          <w:tab w:leader="none" w:pos="5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b w:val="1"/>
          <w:bCs w:val="1"/>
          <w:color w:val="auto"/>
        </w:rPr>
        <w:t>Releases and waivers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Except with approval, there shall be no release by the relevant Owner of any obligation of any other person under the Charter Documents (including by way of novation, assignment or transfer), no waiver of any breach of any such obligation and no consent to anything which would otherwise be such a breach except if any such release, waiver or consent relates to obligations, breaches or circumstances which are not relevant to, and do not constitute:</w:t>
      </w:r>
    </w:p>
    <w:p>
      <w:pPr>
        <w:spacing w:after="0" w:line="187" w:lineRule="exact"/>
        <w:rPr>
          <w:sz w:val="20"/>
          <w:szCs w:val="20"/>
          <w:color w:val="auto"/>
        </w:rPr>
      </w:pPr>
    </w:p>
    <w:p>
      <w:pPr>
        <w:ind w:left="1020" w:hanging="512"/>
        <w:spacing w:after="0"/>
        <w:tabs>
          <w:tab w:leader="none" w:pos="10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matters referred to in, or restricted by, clause 26.1 (</w:t>
      </w:r>
      <w:r>
        <w:rPr>
          <w:rFonts w:ascii="Arial" w:cs="Arial" w:eastAsia="Arial" w:hAnsi="Arial"/>
          <w:sz w:val="18"/>
          <w:szCs w:val="18"/>
          <w:i w:val="1"/>
          <w:iCs w:val="1"/>
          <w:color w:val="auto"/>
        </w:rPr>
        <w:t>Variations</w:t>
      </w:r>
      <w:r>
        <w:rPr>
          <w:rFonts w:ascii="Arial" w:cs="Arial" w:eastAsia="Arial" w:hAnsi="Arial"/>
          <w:sz w:val="18"/>
          <w:szCs w:val="18"/>
          <w:color w:val="auto"/>
        </w:rPr>
        <w:t>); or</w:t>
      </w:r>
    </w:p>
    <w:p>
      <w:pPr>
        <w:spacing w:after="0" w:line="229" w:lineRule="exact"/>
        <w:rPr>
          <w:rFonts w:ascii="Arial" w:cs="Arial" w:eastAsia="Arial" w:hAnsi="Arial"/>
          <w:sz w:val="18"/>
          <w:szCs w:val="18"/>
          <w:color w:val="auto"/>
        </w:rPr>
      </w:pPr>
    </w:p>
    <w:p>
      <w:pPr>
        <w:ind w:left="1020" w:hanging="512"/>
        <w:spacing w:after="0"/>
        <w:tabs>
          <w:tab w:leader="none" w:pos="10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release from any obligation to pay moneys to any of the Obligors under the Charter Documents in general.</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7"/>
          <w:szCs w:val="17"/>
          <w:b w:val="1"/>
          <w:bCs w:val="1"/>
          <w:color w:val="auto"/>
        </w:rPr>
        <w:t>Termination by Owner</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Except with approval, the relevant Owner shall not terminate or rescind any Charter Document or withdraw the Ship from service under the Charter or take any similar action.</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7"/>
          <w:szCs w:val="17"/>
          <w:b w:val="1"/>
          <w:bCs w:val="1"/>
          <w:color w:val="auto"/>
        </w:rPr>
        <w:t>Charter performance</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relevant Owner shall perform its obligations under the Charter Documents and use its reasonable endeavours to ensure that each other party to them performs their obligations under the Charter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7"/>
          <w:szCs w:val="17"/>
          <w:b w:val="1"/>
          <w:bCs w:val="1"/>
          <w:color w:val="auto"/>
        </w:rPr>
        <w:t>Notice of assignment</w:t>
      </w:r>
    </w:p>
    <w:p>
      <w:pPr>
        <w:spacing w:after="0" w:line="234"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The relevant Owner shall (i) give notice of assignment of the Charter Documents to the other parties to such documents promptly upon execution of the relevant Charter Assignment in the form specified by the relevant Charter Assignment for that Ship, (ii) use best endeavours (or reasonable endeavours in the case of an acknowledgment of notice by a Charter Guarantor) to obtain and provide the Agent with a copy of that notice acknowledged by each counterparty of the Owner thereunder in the form specified therein, and (iii) in the event that a Quiet Enjoyment Agreement is signed in connection with such Charter Documents, ensure that the Agent receives a copy of that notice acknowledged by each such counterparty in the form specified therein and any relevant Quiet Enjoyment Agreement, in each case, as soon as practically possible after the relevant Charter Assignment has been executed by the Security Agent and any relevant counterparty to such documents, and (in respect of the Charter for the Ship referred to in Schedule 2 (</w:t>
      </w:r>
      <w:r>
        <w:rPr>
          <w:rFonts w:ascii="Arial" w:cs="Arial" w:eastAsia="Arial" w:hAnsi="Arial"/>
          <w:sz w:val="18"/>
          <w:szCs w:val="18"/>
          <w:i w:val="1"/>
          <w:iCs w:val="1"/>
          <w:color w:val="auto"/>
        </w:rPr>
        <w:t>Ship</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in any event at the times required under clause 4.1 (</w:t>
      </w:r>
      <w:r>
        <w:rPr>
          <w:rFonts w:ascii="Arial" w:cs="Arial" w:eastAsia="Arial" w:hAnsi="Arial"/>
          <w:sz w:val="18"/>
          <w:szCs w:val="18"/>
          <w:i w:val="1"/>
          <w:iCs w:val="1"/>
          <w:color w:val="auto"/>
        </w:rPr>
        <w:t>Conditions precedent to delivering of a Utilisation Request</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as applicable.</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7"/>
          <w:szCs w:val="17"/>
          <w:b w:val="1"/>
          <w:bCs w:val="1"/>
          <w:color w:val="auto"/>
        </w:rPr>
        <w:t>Payment of Charter Earnings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All Earnings which the relevant Owner is entitled to receive under the Charter Documents shall be paid into the relevant Owner’s Earnings Account or, following an Event of Default, in the manner required by the Security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7"/>
          <w:szCs w:val="17"/>
          <w:b w:val="1"/>
          <w:bCs w:val="1"/>
          <w:color w:val="auto"/>
        </w:rPr>
        <w:t>Termination Cure</w:t>
      </w:r>
    </w:p>
    <w:p>
      <w:pPr>
        <w:spacing w:after="0" w:line="216"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Without prejudice to clause 29.21 (</w:t>
      </w:r>
      <w:r>
        <w:rPr>
          <w:rFonts w:ascii="Arial" w:cs="Arial" w:eastAsia="Arial" w:hAnsi="Arial"/>
          <w:sz w:val="18"/>
          <w:szCs w:val="18"/>
          <w:i w:val="1"/>
          <w:iCs w:val="1"/>
          <w:color w:val="auto"/>
        </w:rPr>
        <w:t>Charters</w:t>
      </w:r>
      <w:r>
        <w:rPr>
          <w:rFonts w:ascii="Arial" w:cs="Arial" w:eastAsia="Arial" w:hAnsi="Arial"/>
          <w:sz w:val="18"/>
          <w:szCs w:val="18"/>
          <w:color w:val="auto"/>
        </w:rPr>
        <w:t>), the rights of the Finance Parties thereunder and the Obligors’ other obligations under the Finance Documents, if a Charter or Charter Guarantee is cancelled or rescinded or (except as a result of the relevant Ship being a Total Loss) frustrated, or if any Ship is withdrawn from service under a Charter before the time that Charter was scheduled to expire, then the Borrowers shall use their reasonable endeavours to ensure that:</w:t>
      </w:r>
    </w:p>
    <w:p>
      <w:pPr>
        <w:spacing w:after="0" w:line="199" w:lineRule="exact"/>
        <w:rPr>
          <w:sz w:val="20"/>
          <w:szCs w:val="20"/>
          <w:color w:val="auto"/>
        </w:rPr>
      </w:pPr>
    </w:p>
    <w:p>
      <w:pPr>
        <w:ind w:left="1020" w:hanging="512"/>
        <w:spacing w:after="0" w:line="246" w:lineRule="auto"/>
        <w:tabs>
          <w:tab w:leader="none" w:pos="105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as soon as reasonably possible after such cancellation, rescission, frustration or withdrawal, the relevant Owner of that Ship will enter into a Replacement Charter for that Ship;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both"/>
        <w:ind w:left="1020" w:hanging="512"/>
        <w:spacing w:after="0" w:line="238" w:lineRule="auto"/>
        <w:tabs>
          <w:tab w:leader="none" w:pos="108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forthwith after the entry into such Replacement Charter, the relevant Owner will grant in favour of the Security Agent a Security Interest in respect of such Replacement Charter in a document in an agreed form and will provide and deliver to the Agent in respect of the same, any documents and evidence of the nature described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as reasonably required by the Agent.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7"/>
          <w:szCs w:val="17"/>
          <w:b w:val="1"/>
          <w:bCs w:val="1"/>
          <w:color w:val="auto"/>
        </w:rPr>
        <w:t>Quiet Enjoyment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required by the Charterer of a Replacement Charter or any other charterer of any other charter commitment which has an original term in excess of 36 months, as a condition to entering into the same, the Lenders agree to instruct the Security Agent to enter into a quiet enjoyment agreement with such Charterer or other charterer on substantially the same terms as the Quiet Enjoyment Agreements in respect of any Charter for a Ship referred to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7"/>
          <w:szCs w:val="17"/>
          <w:b w:val="1"/>
          <w:bCs w:val="1"/>
          <w:color w:val="auto"/>
        </w:rPr>
        <w:t>Ship B delivery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relevant Owner shall procure that by not later than 30 June 2021 (or such later date as agreed by the Majority Lenders) Ship B has been delivered by it for service to the relevant Charterer under the relevant Charter and has been accepted for service by the Charterer thereunder and it shall provide the Agent upon request with evidence of such delivery and acceptance.</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27</w:t>
        <w:tab/>
        <w:t>Bank accounts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Borrower undertakes that this clause 27 will be complied with throughout the Facility Period.</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7"/>
          <w:szCs w:val="17"/>
          <w:b w:val="1"/>
          <w:bCs w:val="1"/>
          <w:color w:val="auto"/>
        </w:rPr>
        <w:t>Earnings Accounts</w:t>
      </w:r>
    </w:p>
    <w:p>
      <w:pPr>
        <w:spacing w:after="0" w:line="212" w:lineRule="exact"/>
        <w:rPr>
          <w:sz w:val="20"/>
          <w:szCs w:val="20"/>
          <w:color w:val="auto"/>
        </w:rPr>
      </w:pPr>
    </w:p>
    <w:p>
      <w:pPr>
        <w:ind w:left="1020" w:right="20" w:hanging="512"/>
        <w:spacing w:after="0" w:line="271" w:lineRule="auto"/>
        <w:tabs>
          <w:tab w:leader="none" w:pos="112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Each Owner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75" w:lineRule="exact"/>
        <w:rPr>
          <w:rFonts w:ascii="Arial" w:cs="Arial" w:eastAsia="Arial" w:hAnsi="Arial"/>
          <w:sz w:val="18"/>
          <w:szCs w:val="18"/>
          <w:color w:val="auto"/>
        </w:rPr>
      </w:pPr>
    </w:p>
    <w:p>
      <w:pPr>
        <w:jc w:val="both"/>
        <w:ind w:left="1020" w:hanging="512"/>
        <w:spacing w:after="0"/>
        <w:tabs>
          <w:tab w:leader="none" w:pos="109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Earnings of the Mortgaged Ships and all moneys payable to the relevant Owner under the Ship’s Insurances shall be paid by the persons from whom they are due to an Earnings Account unless required to be paid to the Security Agent under the relevant Finance Documents.</w:t>
      </w:r>
    </w:p>
    <w:p>
      <w:pPr>
        <w:spacing w:after="0" w:line="202" w:lineRule="exact"/>
        <w:rPr>
          <w:rFonts w:ascii="Arial" w:cs="Arial" w:eastAsia="Arial" w:hAnsi="Arial"/>
          <w:sz w:val="18"/>
          <w:szCs w:val="18"/>
          <w:color w:val="auto"/>
        </w:rPr>
      </w:pPr>
    </w:p>
    <w:p>
      <w:pPr>
        <w:ind w:left="1020" w:right="20" w:hanging="512"/>
        <w:spacing w:after="0" w:line="246" w:lineRule="auto"/>
        <w:tabs>
          <w:tab w:leader="none" w:pos="100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relevant Account Holder(s) shall not withdraw amounts standing to the credit of an Earnings Account except as permitted by clause 27.1(d).</w:t>
      </w:r>
    </w:p>
    <w:p>
      <w:pPr>
        <w:spacing w:after="0" w:line="196" w:lineRule="exact"/>
        <w:rPr>
          <w:rFonts w:ascii="Arial" w:cs="Arial" w:eastAsia="Arial" w:hAnsi="Arial"/>
          <w:sz w:val="18"/>
          <w:szCs w:val="18"/>
          <w:color w:val="auto"/>
        </w:rPr>
      </w:pPr>
    </w:p>
    <w:p>
      <w:pPr>
        <w:jc w:val="both"/>
        <w:ind w:left="1020" w:hanging="512"/>
        <w:spacing w:after="0" w:line="238" w:lineRule="auto"/>
        <w:tabs>
          <w:tab w:leader="none" w:pos="112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there is no Event of Default which is continuing, amounts standing to the credit of the Earnings Accounts shall be at the free disposal of the relevant Account Holder(s) and the relevant Account Holder(s) may withdraw moneys from an Earnings Account for any purpose whatsoever which is permitted (or not prohibited) by the terms of this Agreement and the Finance Documents and for as long as any such withdrawal will not result in the Borrowers being in breach of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b w:val="1"/>
          <w:bCs w:val="1"/>
          <w:color w:val="auto"/>
        </w:rPr>
        <w:t>Other provisions</w:t>
      </w:r>
    </w:p>
    <w:p>
      <w:pPr>
        <w:spacing w:after="0" w:line="234" w:lineRule="exact"/>
        <w:rPr>
          <w:sz w:val="20"/>
          <w:szCs w:val="20"/>
          <w:color w:val="auto"/>
        </w:rPr>
      </w:pPr>
    </w:p>
    <w:p>
      <w:pPr>
        <w:ind w:left="1020" w:hanging="512"/>
        <w:spacing w:after="0"/>
        <w:tabs>
          <w:tab w:leader="none" w:pos="10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27 if:</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it is situated in London, England, in Amsterdam, The Netherlands or in any other jurisdiction acceptable to the Lenders;</w:t>
      </w:r>
    </w:p>
    <w:p>
      <w:pPr>
        <w:spacing w:after="0" w:line="211" w:lineRule="exact"/>
        <w:rPr>
          <w:rFonts w:ascii="Arial" w:cs="Arial" w:eastAsia="Arial" w:hAnsi="Arial"/>
          <w:sz w:val="18"/>
          <w:szCs w:val="18"/>
          <w:color w:val="auto"/>
        </w:rPr>
      </w:pPr>
    </w:p>
    <w:p>
      <w:pPr>
        <w:jc w:val="both"/>
        <w:ind w:left="1540" w:hanging="511"/>
        <w:spacing w:after="0"/>
        <w:tabs>
          <w:tab w:leader="none" w:pos="182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such designation is made in writing by the Agent and acknowledged by the Borrowers and specifies the names and addresses of the relevant Account Bank and the Account Holder(s) and the number and any designation or other reference attributed to the Account;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9" w:name="page110"/>
    <w:bookmarkEnd w:id="109"/>
    <w:p>
      <w:pPr>
        <w:ind w:left="1540" w:hanging="511"/>
        <w:spacing w:after="0" w:line="246" w:lineRule="auto"/>
        <w:tabs>
          <w:tab w:leader="none" w:pos="1715"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196" w:lineRule="exact"/>
        <w:rPr>
          <w:rFonts w:ascii="Arial" w:cs="Arial" w:eastAsia="Arial" w:hAnsi="Arial"/>
          <w:sz w:val="18"/>
          <w:szCs w:val="18"/>
          <w:color w:val="auto"/>
        </w:rPr>
      </w:pPr>
    </w:p>
    <w:p>
      <w:pPr>
        <w:ind w:left="1540" w:hanging="511"/>
        <w:spacing w:after="0" w:line="246" w:lineRule="auto"/>
        <w:tabs>
          <w:tab w:leader="none" w:pos="154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an Account Bank has been given to, and acknowledged by, the Account Bank in the form required by the relevant Account Security; and</w:t>
      </w:r>
    </w:p>
    <w:p>
      <w:pPr>
        <w:spacing w:after="0" w:line="196" w:lineRule="exact"/>
        <w:rPr>
          <w:rFonts w:ascii="Arial" w:cs="Arial" w:eastAsia="Arial" w:hAnsi="Arial"/>
          <w:sz w:val="18"/>
          <w:szCs w:val="18"/>
          <w:color w:val="auto"/>
        </w:rPr>
      </w:pPr>
    </w:p>
    <w:p>
      <w:pPr>
        <w:jc w:val="both"/>
        <w:ind w:left="1540" w:hanging="511"/>
        <w:spacing w:after="0"/>
        <w:tabs>
          <w:tab w:leader="none" w:pos="164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precedent) </w:t>
      </w:r>
      <w:r>
        <w:rPr>
          <w:rFonts w:ascii="Arial" w:cs="Arial" w:eastAsia="Arial" w:hAnsi="Arial"/>
          <w:sz w:val="18"/>
          <w:szCs w:val="18"/>
          <w:color w:val="auto"/>
        </w:rPr>
        <w:t>in relation to the Account and the relevant Account Security.</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17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until the relevant Account Security has become enforceable and the Security Agent directs otherwise.</w:t>
      </w:r>
    </w:p>
    <w:p>
      <w:pPr>
        <w:spacing w:after="0" w:line="204" w:lineRule="exact"/>
        <w:rPr>
          <w:rFonts w:ascii="Arial" w:cs="Arial" w:eastAsia="Arial" w:hAnsi="Arial"/>
          <w:sz w:val="18"/>
          <w:szCs w:val="18"/>
          <w:color w:val="auto"/>
        </w:rPr>
      </w:pPr>
    </w:p>
    <w:p>
      <w:pPr>
        <w:ind w:left="1020" w:hanging="512"/>
        <w:spacing w:after="0" w:line="246" w:lineRule="auto"/>
        <w:tabs>
          <w:tab w:leader="none" w:pos="10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w:t>
      </w:r>
    </w:p>
    <w:p>
      <w:pPr>
        <w:spacing w:after="0" w:line="196" w:lineRule="exact"/>
        <w:rPr>
          <w:rFonts w:ascii="Arial" w:cs="Arial" w:eastAsia="Arial" w:hAnsi="Arial"/>
          <w:sz w:val="18"/>
          <w:szCs w:val="18"/>
          <w:color w:val="auto"/>
        </w:rPr>
      </w:pPr>
    </w:p>
    <w:p>
      <w:pPr>
        <w:jc w:val="both"/>
        <w:ind w:left="1020" w:hanging="512"/>
        <w:spacing w:after="0"/>
        <w:tabs>
          <w:tab w:leader="none" w:pos="127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9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Finance Party agrees that if it is an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7"/>
          <w:szCs w:val="17"/>
          <w:b w:val="1"/>
          <w:bCs w:val="1"/>
          <w:color w:val="auto"/>
        </w:rPr>
        <w:t>Condition subsequent</w:t>
      </w:r>
    </w:p>
    <w:p>
      <w:pPr>
        <w:spacing w:after="0" w:line="234" w:lineRule="exact"/>
        <w:rPr>
          <w:sz w:val="20"/>
          <w:szCs w:val="20"/>
          <w:color w:val="auto"/>
        </w:rPr>
      </w:pPr>
    </w:p>
    <w:p>
      <w:pPr>
        <w:jc w:val="both"/>
        <w:ind w:left="1020" w:hanging="512"/>
        <w:spacing w:after="0" w:line="238" w:lineRule="auto"/>
        <w:tabs>
          <w:tab w:leader="none" w:pos="1044" w:val="left"/>
        </w:tabs>
        <w:numPr>
          <w:ilvl w:val="0"/>
          <w:numId w:val="268"/>
        </w:numPr>
        <w:rPr>
          <w:rFonts w:ascii="Arial" w:cs="Arial" w:eastAsia="Arial" w:hAnsi="Arial"/>
          <w:sz w:val="18"/>
          <w:szCs w:val="18"/>
          <w:color w:val="44546A"/>
        </w:rPr>
      </w:pPr>
      <w:r>
        <w:rPr>
          <w:rFonts w:ascii="Arial" w:cs="Arial" w:eastAsia="Arial" w:hAnsi="Arial"/>
          <w:sz w:val="18"/>
          <w:szCs w:val="18"/>
          <w:color w:val="auto"/>
        </w:rPr>
        <w:t>The Borrowers will procure that each Owner shall, as soon as reasonably practicable and in any event not later than twenty (20) Business Days from the date of this Agreement, elect its domicile (</w:t>
      </w:r>
      <w:r>
        <w:rPr>
          <w:rFonts w:ascii="Arial" w:cs="Arial" w:eastAsia="Arial" w:hAnsi="Arial"/>
          <w:sz w:val="18"/>
          <w:szCs w:val="18"/>
          <w:i w:val="1"/>
          <w:iCs w:val="1"/>
          <w:color w:val="auto"/>
        </w:rPr>
        <w:t>woonplaats</w:t>
      </w:r>
      <w:r>
        <w:rPr>
          <w:rFonts w:ascii="Arial" w:cs="Arial" w:eastAsia="Arial" w:hAnsi="Arial"/>
          <w:sz w:val="18"/>
          <w:szCs w:val="18"/>
          <w:color w:val="auto"/>
        </w:rPr>
        <w:t>) for the purpose of performance (</w:t>
      </w:r>
      <w:r>
        <w:rPr>
          <w:rFonts w:ascii="Arial" w:cs="Arial" w:eastAsia="Arial" w:hAnsi="Arial"/>
          <w:sz w:val="18"/>
          <w:szCs w:val="18"/>
          <w:i w:val="1"/>
          <w:iCs w:val="1"/>
          <w:color w:val="auto"/>
        </w:rPr>
        <w:t>tenuitvoerlegging</w:t>
      </w:r>
      <w:r>
        <w:rPr>
          <w:rFonts w:ascii="Arial" w:cs="Arial" w:eastAsia="Arial" w:hAnsi="Arial"/>
          <w:sz w:val="18"/>
          <w:szCs w:val="18"/>
          <w:color w:val="auto"/>
        </w:rPr>
        <w:t>) of the Account Security to be at an office address in the Netherlands and, within such twenty (20) Business Day period, it will also notify the Agent in writing of such election and address of domicile and will deliver to the Agent all necessary evidence of the same, in form and substance satisfactory to the Agent in all respects.</w:t>
      </w:r>
    </w:p>
    <w:p>
      <w:pPr>
        <w:spacing w:after="0" w:line="188" w:lineRule="exact"/>
        <w:rPr>
          <w:rFonts w:ascii="Arial" w:cs="Arial" w:eastAsia="Arial" w:hAnsi="Arial"/>
          <w:sz w:val="18"/>
          <w:szCs w:val="18"/>
          <w:color w:val="44546A"/>
        </w:rPr>
      </w:pPr>
    </w:p>
    <w:p>
      <w:pPr>
        <w:jc w:val="both"/>
        <w:ind w:left="1020" w:hanging="512"/>
        <w:spacing w:after="0"/>
        <w:tabs>
          <w:tab w:leader="none" w:pos="109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Borrowers will procure that the relevant Owner shall, as soon as reasonably practicable and in any event not later than 56 days from the date of this Agreement, deliver to the Agent evidence that Ship A is classed with the relevant Classification free of all overdue requirements and recommendations of the relevant Classification Society.</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28</w:t>
        <w:tab/>
        <w:t>Business restrictions</w:t>
      </w:r>
    </w:p>
    <w:p>
      <w:pPr>
        <w:spacing w:after="0" w:line="238"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Except as otherwise approved by the Majority Lenders, each Obligor undertakes that throughout the Facility Period this clause 28 will be complied with by and in respect of each Group Member to which each of the provisions below is expressed to apply.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7"/>
          <w:szCs w:val="17"/>
          <w:b w:val="1"/>
          <w:bCs w:val="1"/>
          <w:color w:val="auto"/>
        </w:rPr>
        <w:t>General negative pledge</w:t>
      </w:r>
    </w:p>
    <w:p>
      <w:pPr>
        <w:spacing w:after="0" w:line="212" w:lineRule="exact"/>
        <w:rPr>
          <w:sz w:val="20"/>
          <w:szCs w:val="20"/>
          <w:color w:val="auto"/>
        </w:rPr>
      </w:pPr>
    </w:p>
    <w:p>
      <w:pPr>
        <w:ind w:left="5480" w:right="2080" w:hanging="4972"/>
        <w:spacing w:after="0" w:line="522" w:lineRule="auto"/>
        <w:tabs>
          <w:tab w:leader="none" w:pos="103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In this clause 28.1,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28.1(d).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532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0" w:name="page111"/>
    <w:bookmarkEnd w:id="110"/>
    <w:p>
      <w:pPr>
        <w:ind w:left="1020" w:hanging="512"/>
        <w:spacing w:after="0" w:line="246" w:lineRule="auto"/>
        <w:tabs>
          <w:tab w:leader="none" w:pos="109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 Borrower shall permit any Security Interest to exist, arise or be created or extended over all or any part of its assets except for Permitted Security Interests.</w:t>
      </w:r>
    </w:p>
    <w:p>
      <w:pPr>
        <w:spacing w:after="0" w:line="178" w:lineRule="exact"/>
        <w:rPr>
          <w:rFonts w:ascii="Arial" w:cs="Arial" w:eastAsia="Arial" w:hAnsi="Arial"/>
          <w:sz w:val="18"/>
          <w:szCs w:val="18"/>
          <w:color w:val="auto"/>
        </w:rPr>
      </w:pPr>
    </w:p>
    <w:p>
      <w:pPr>
        <w:ind w:left="1020" w:hanging="512"/>
        <w:spacing w:after="0"/>
        <w:tabs>
          <w:tab w:leader="none" w:pos="10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(Without prejudice to clauses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 28.6 (</w:t>
      </w:r>
      <w:r>
        <w:rPr>
          <w:rFonts w:ascii="Arial" w:cs="Arial" w:eastAsia="Arial" w:hAnsi="Arial"/>
          <w:sz w:val="18"/>
          <w:szCs w:val="18"/>
          <w:i w:val="1"/>
          <w:iCs w:val="1"/>
          <w:color w:val="auto"/>
        </w:rPr>
        <w:t>Disposals</w:t>
      </w:r>
      <w:r>
        <w:rPr>
          <w:rFonts w:ascii="Arial" w:cs="Arial" w:eastAsia="Arial" w:hAnsi="Arial"/>
          <w:sz w:val="18"/>
          <w:szCs w:val="18"/>
          <w:color w:val="auto"/>
        </w:rPr>
        <w:t>)), no Borrower shall:</w:t>
      </w:r>
    </w:p>
    <w:p>
      <w:pPr>
        <w:spacing w:after="0" w:line="229" w:lineRule="exact"/>
        <w:rPr>
          <w:rFonts w:ascii="Arial" w:cs="Arial" w:eastAsia="Arial" w:hAnsi="Arial"/>
          <w:sz w:val="18"/>
          <w:szCs w:val="18"/>
          <w:color w:val="auto"/>
        </w:rPr>
      </w:pPr>
    </w:p>
    <w:p>
      <w:pPr>
        <w:ind w:left="1540" w:hanging="511"/>
        <w:spacing w:after="0" w:line="246" w:lineRule="auto"/>
        <w:tabs>
          <w:tab w:leader="none" w:pos="160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other than pursuant to disposals permitted under clause 28.6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540" w:right="20" w:hanging="511"/>
        <w:spacing w:after="0" w:line="246" w:lineRule="auto"/>
        <w:tabs>
          <w:tab w:leader="none" w:pos="159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96" w:lineRule="exact"/>
        <w:rPr>
          <w:rFonts w:ascii="Arial" w:cs="Arial" w:eastAsia="Arial" w:hAnsi="Arial"/>
          <w:sz w:val="18"/>
          <w:szCs w:val="18"/>
          <w:color w:val="auto"/>
        </w:rPr>
      </w:pPr>
    </w:p>
    <w:p>
      <w:pPr>
        <w:ind w:left="1540" w:hanging="511"/>
        <w:spacing w:after="0" w:line="246" w:lineRule="auto"/>
        <w:tabs>
          <w:tab w:leader="none" w:pos="15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96" w:lineRule="exact"/>
        <w:rPr>
          <w:rFonts w:ascii="Arial" w:cs="Arial" w:eastAsia="Arial" w:hAnsi="Arial"/>
          <w:sz w:val="18"/>
          <w:szCs w:val="18"/>
          <w:color w:val="auto"/>
        </w:rPr>
      </w:pPr>
    </w:p>
    <w:p>
      <w:pPr>
        <w:ind w:left="1520" w:hanging="491"/>
        <w:spacing w:after="0"/>
        <w:tabs>
          <w:tab w:leader="none" w:pos="15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12"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97" w:lineRule="exact"/>
        <w:rPr>
          <w:sz w:val="20"/>
          <w:szCs w:val="20"/>
          <w:color w:val="auto"/>
        </w:rPr>
      </w:pPr>
    </w:p>
    <w:p>
      <w:pPr>
        <w:ind w:left="1020" w:hanging="512"/>
        <w:spacing w:after="0"/>
        <w:tabs>
          <w:tab w:leader="none" w:pos="10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Clauses 28.1(b) and 28.1(c) above do not apply to any Security Interest or (as the case may be) Quasi-Security, listed below:</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in relation to a Mortgaged Ship, Permitted Maritime Liens; and</w:t>
      </w:r>
    </w:p>
    <w:p>
      <w:pPr>
        <w:spacing w:after="0" w:line="211" w:lineRule="exact"/>
        <w:rPr>
          <w:rFonts w:ascii="Arial" w:cs="Arial" w:eastAsia="Arial" w:hAnsi="Arial"/>
          <w:sz w:val="18"/>
          <w:szCs w:val="18"/>
          <w:color w:val="auto"/>
        </w:rPr>
      </w:pPr>
    </w:p>
    <w:p>
      <w:pPr>
        <w:ind w:left="1540" w:hanging="511"/>
        <w:spacing w:after="0" w:line="246" w:lineRule="auto"/>
        <w:tabs>
          <w:tab w:leader="none" w:pos="15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those granted in connection with the Existing Indebtedness until the Existing Indebtedness is refinanced in full and in any event not later than the first Utilisation Date.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7"/>
          <w:szCs w:val="17"/>
          <w:b w:val="1"/>
          <w:bCs w:val="1"/>
          <w:color w:val="auto"/>
        </w:rPr>
        <w:t>Financial Indebtedness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incur or permit to exist, any Financial Indebtedness owed by it to anyone else except:</w:t>
      </w:r>
    </w:p>
    <w:p>
      <w:pPr>
        <w:spacing w:after="0" w:line="212" w:lineRule="exact"/>
        <w:rPr>
          <w:sz w:val="20"/>
          <w:szCs w:val="20"/>
          <w:color w:val="auto"/>
        </w:rPr>
      </w:pPr>
    </w:p>
    <w:p>
      <w:pPr>
        <w:ind w:left="1060" w:hanging="552"/>
        <w:spacing w:after="0"/>
        <w:tabs>
          <w:tab w:leader="none" w:pos="10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w:t>
      </w:r>
    </w:p>
    <w:p>
      <w:pPr>
        <w:spacing w:after="0" w:line="211" w:lineRule="exact"/>
        <w:rPr>
          <w:rFonts w:ascii="Arial" w:cs="Arial" w:eastAsia="Arial" w:hAnsi="Arial"/>
          <w:sz w:val="18"/>
          <w:szCs w:val="18"/>
          <w:color w:val="auto"/>
        </w:rPr>
      </w:pPr>
    </w:p>
    <w:p>
      <w:pPr>
        <w:ind w:left="1020" w:hanging="512"/>
        <w:spacing w:after="0" w:line="246" w:lineRule="auto"/>
        <w:tabs>
          <w:tab w:leader="none" w:pos="148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Financial Indebtedness owed to another Obligor (provided that any such Financial Indebtedness owed by an Owner is unsecured and subordinated to the Finance Documents on approved terms);</w:t>
      </w:r>
    </w:p>
    <w:p>
      <w:pPr>
        <w:spacing w:after="0" w:line="178" w:lineRule="exact"/>
        <w:rPr>
          <w:rFonts w:ascii="Arial" w:cs="Arial" w:eastAsia="Arial" w:hAnsi="Arial"/>
          <w:sz w:val="18"/>
          <w:szCs w:val="18"/>
          <w:color w:val="auto"/>
        </w:rPr>
      </w:pPr>
    </w:p>
    <w:p>
      <w:pPr>
        <w:ind w:left="1020" w:hanging="512"/>
        <w:spacing w:after="0"/>
        <w:tabs>
          <w:tab w:leader="none" w:pos="10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Financial Indebtedness permitted under clause 28.3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Financial Indebtedness permitted under clause 28.4 (</w:t>
      </w:r>
      <w:r>
        <w:rPr>
          <w:rFonts w:ascii="Arial" w:cs="Arial" w:eastAsia="Arial" w:hAnsi="Arial"/>
          <w:sz w:val="18"/>
          <w:szCs w:val="18"/>
          <w:i w:val="1"/>
          <w:iCs w:val="1"/>
          <w:color w:val="auto"/>
        </w:rPr>
        <w:t>Loans and credit</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020" w:right="20" w:hanging="512"/>
        <w:spacing w:after="0" w:line="246" w:lineRule="auto"/>
        <w:tabs>
          <w:tab w:leader="none" w:pos="105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Existing Indebtedness until such Existing Indebtedness is refinanced in full and in any event not later than the first Utilisation Date.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28.3</w:t>
        <w:tab/>
        <w:t>Guarantees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No Borrower shall give or permit to exist, any guarantee by it in respect of indebtedness of any person or allow any of its indebtedness to be guaranteed by anyone else except:</w:t>
      </w:r>
    </w:p>
    <w:p>
      <w:pPr>
        <w:spacing w:after="0" w:line="197" w:lineRule="exact"/>
        <w:rPr>
          <w:sz w:val="20"/>
          <w:szCs w:val="20"/>
          <w:color w:val="auto"/>
        </w:rPr>
      </w:pPr>
    </w:p>
    <w:p>
      <w:pPr>
        <w:ind w:left="1060" w:hanging="552"/>
        <w:spacing w:after="0"/>
        <w:tabs>
          <w:tab w:leader="none" w:pos="10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211" w:lineRule="exact"/>
        <w:rPr>
          <w:rFonts w:ascii="Arial" w:cs="Arial" w:eastAsia="Arial" w:hAnsi="Arial"/>
          <w:sz w:val="18"/>
          <w:szCs w:val="18"/>
          <w:color w:val="auto"/>
        </w:rPr>
      </w:pPr>
    </w:p>
    <w:p>
      <w:pPr>
        <w:ind w:left="1020" w:hanging="512"/>
        <w:spacing w:after="0" w:line="246" w:lineRule="auto"/>
        <w:tabs>
          <w:tab w:leader="none" w:pos="107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1" w:name="page112"/>
    <w:bookmarkEnd w:id="111"/>
    <w:p>
      <w:pPr>
        <w:ind w:left="1020" w:hanging="512"/>
        <w:spacing w:after="0"/>
        <w:tabs>
          <w:tab w:leader="none" w:pos="10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7"/>
          <w:szCs w:val="17"/>
          <w:b w:val="1"/>
          <w:bCs w:val="1"/>
          <w:color w:val="auto"/>
        </w:rPr>
        <w:t>Loans and credit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make, grant or permit to exist any loans or any credit by it to anyone else other than:</w:t>
      </w:r>
    </w:p>
    <w:p>
      <w:pPr>
        <w:spacing w:after="0" w:line="194" w:lineRule="exact"/>
        <w:rPr>
          <w:sz w:val="20"/>
          <w:szCs w:val="20"/>
          <w:color w:val="auto"/>
        </w:rPr>
      </w:pPr>
    </w:p>
    <w:p>
      <w:pPr>
        <w:ind w:left="1020" w:hanging="512"/>
        <w:spacing w:after="0"/>
        <w:tabs>
          <w:tab w:leader="none" w:pos="10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020" w:hanging="512"/>
        <w:spacing w:after="0"/>
        <w:tabs>
          <w:tab w:leader="none" w:pos="10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7"/>
          <w:szCs w:val="17"/>
          <w:b w:val="1"/>
          <w:bCs w:val="1"/>
          <w:color w:val="auto"/>
        </w:rPr>
        <w:t>Bank accounts, operating leases and other financial transactions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w:t>
      </w:r>
    </w:p>
    <w:p>
      <w:pPr>
        <w:spacing w:after="0" w:line="212" w:lineRule="exact"/>
        <w:rPr>
          <w:sz w:val="20"/>
          <w:szCs w:val="20"/>
          <w:color w:val="auto"/>
        </w:rPr>
      </w:pPr>
    </w:p>
    <w:p>
      <w:pPr>
        <w:jc w:val="both"/>
        <w:ind w:left="1020" w:hanging="512"/>
        <w:spacing w:after="0"/>
        <w:tabs>
          <w:tab w:leader="none" w:pos="101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maintain any current or deposit account with a bank or financial institution except for the Accounts (or any accounts opened prior to this Agreement in connection with the Existing Indebtedness and until their gradual closure following the first Utilisation) and the deposit of money, operation of current accounts and the conduct of electronic banking operations through the Accounts;</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211" w:lineRule="exact"/>
        <w:rPr>
          <w:rFonts w:ascii="Arial" w:cs="Arial" w:eastAsia="Arial" w:hAnsi="Arial"/>
          <w:sz w:val="18"/>
          <w:szCs w:val="18"/>
          <w:color w:val="auto"/>
        </w:rPr>
      </w:pPr>
    </w:p>
    <w:p>
      <w:pPr>
        <w:ind w:left="1020" w:hanging="512"/>
        <w:spacing w:after="0" w:line="246" w:lineRule="auto"/>
        <w:tabs>
          <w:tab w:leader="none" w:pos="128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be party to any banking or financial transaction, whether on or off balance sheet, that is not expressly permitted under this clause 28.</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28.6</w:t>
        <w:tab/>
        <w:t>Disposals</w:t>
      </w:r>
    </w:p>
    <w:p>
      <w:pPr>
        <w:spacing w:after="0" w:line="234"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No Borrower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203" w:lineRule="exact"/>
        <w:rPr>
          <w:sz w:val="20"/>
          <w:szCs w:val="20"/>
          <w:color w:val="auto"/>
        </w:rPr>
      </w:pPr>
    </w:p>
    <w:p>
      <w:pPr>
        <w:ind w:left="1020" w:hanging="512"/>
        <w:spacing w:after="0"/>
        <w:tabs>
          <w:tab w:leader="none" w:pos="10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211"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relevant Borrower, in each case for cash on normal commercial terms and on an arm’s length basis;</w:t>
      </w:r>
    </w:p>
    <w:p>
      <w:pPr>
        <w:spacing w:after="0" w:line="178" w:lineRule="exact"/>
        <w:rPr>
          <w:rFonts w:ascii="Arial" w:cs="Arial" w:eastAsia="Arial" w:hAnsi="Arial"/>
          <w:sz w:val="18"/>
          <w:szCs w:val="18"/>
          <w:color w:val="auto"/>
        </w:rPr>
      </w:pPr>
    </w:p>
    <w:p>
      <w:pPr>
        <w:ind w:left="1020" w:hanging="512"/>
        <w:spacing w:after="0" w:line="267" w:lineRule="auto"/>
        <w:tabs>
          <w:tab w:leader="none" w:pos="10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disposals permitted by clauses 28.1 (</w:t>
      </w:r>
      <w:r>
        <w:rPr>
          <w:rFonts w:ascii="Arial" w:cs="Arial" w:eastAsia="Arial" w:hAnsi="Arial"/>
          <w:sz w:val="18"/>
          <w:szCs w:val="18"/>
          <w:i w:val="1"/>
          <w:iCs w:val="1"/>
          <w:color w:val="auto"/>
        </w:rPr>
        <w:t>General negative pledge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or 22.2 (</w:t>
      </w:r>
      <w:r>
        <w:rPr>
          <w:rFonts w:ascii="Arial" w:cs="Arial" w:eastAsia="Arial" w:hAnsi="Arial"/>
          <w:sz w:val="18"/>
          <w:szCs w:val="18"/>
          <w:i w:val="1"/>
          <w:iCs w:val="1"/>
          <w:color w:val="auto"/>
        </w:rPr>
        <w:t>Sale or other disposal of</w:t>
      </w:r>
      <w:r>
        <w:rPr>
          <w:rFonts w:ascii="Arial" w:cs="Arial" w:eastAsia="Arial" w:hAnsi="Arial"/>
          <w:sz w:val="18"/>
          <w:szCs w:val="18"/>
          <w:color w:val="auto"/>
        </w:rPr>
        <w:t xml:space="preserve"> </w:t>
      </w:r>
      <w:r>
        <w:rPr>
          <w:rFonts w:ascii="Arial" w:cs="Arial" w:eastAsia="Arial" w:hAnsi="Arial"/>
          <w:sz w:val="18"/>
          <w:szCs w:val="18"/>
          <w:i w:val="1"/>
          <w:iCs w:val="1"/>
          <w:color w:val="auto"/>
        </w:rPr>
        <w:t>a Ship; refinancing</w:t>
      </w:r>
      <w:r>
        <w:rPr>
          <w:rFonts w:ascii="Arial" w:cs="Arial" w:eastAsia="Arial" w:hAnsi="Arial"/>
          <w:sz w:val="18"/>
          <w:szCs w:val="18"/>
          <w:color w:val="auto"/>
        </w:rPr>
        <w:t>); and</w:t>
      </w:r>
    </w:p>
    <w:p>
      <w:pPr>
        <w:spacing w:after="0" w:line="178" w:lineRule="exact"/>
        <w:rPr>
          <w:rFonts w:ascii="Arial" w:cs="Arial" w:eastAsia="Arial" w:hAnsi="Arial"/>
          <w:sz w:val="18"/>
          <w:szCs w:val="18"/>
          <w:color w:val="auto"/>
        </w:rPr>
      </w:pPr>
    </w:p>
    <w:p>
      <w:pPr>
        <w:ind w:left="1020" w:hanging="512"/>
        <w:spacing w:after="0"/>
        <w:tabs>
          <w:tab w:leader="none" w:pos="10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7"/>
          <w:szCs w:val="17"/>
          <w:b w:val="1"/>
          <w:bCs w:val="1"/>
          <w:color w:val="auto"/>
        </w:rPr>
        <w:t>Contracts and arrangements with Affiliates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Borrower shall be party to any arrangement or contract with any of its Affiliates (other than intra-Group loans, and then only if and to the extent otherwise expressly permitted by the other provisions of this clause 28) unless such arrangement or contract is on an arm’s length basis.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28.8</w:t>
        <w:tab/>
        <w:t>Subsidiaries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establish or acquire a company or other entity.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tabs>
          <w:tab w:leader="none" w:pos="50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7"/>
          <w:szCs w:val="17"/>
          <w:b w:val="1"/>
          <w:bCs w:val="1"/>
          <w:color w:val="auto"/>
        </w:rPr>
        <w:t>Acquisitions and investments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No Borrower shall acquire any person, business, assets or liabilities or make any investment in any person or business or enter into any joint-venture arrangement except:</w:t>
      </w:r>
    </w:p>
    <w:p>
      <w:pPr>
        <w:spacing w:after="0" w:line="197" w:lineRule="exact"/>
        <w:rPr>
          <w:sz w:val="20"/>
          <w:szCs w:val="20"/>
          <w:color w:val="auto"/>
        </w:rPr>
      </w:pPr>
    </w:p>
    <w:p>
      <w:pPr>
        <w:ind w:left="1020" w:hanging="512"/>
        <w:spacing w:after="0"/>
        <w:tabs>
          <w:tab w:leader="none" w:pos="10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a Ship in the ordinary course of its business;</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193" w:lineRule="exact"/>
        <w:rPr>
          <w:rFonts w:ascii="Arial" w:cs="Arial" w:eastAsia="Arial" w:hAnsi="Arial"/>
          <w:sz w:val="18"/>
          <w:szCs w:val="18"/>
          <w:color w:val="auto"/>
        </w:rPr>
      </w:pPr>
    </w:p>
    <w:p>
      <w:pPr>
        <w:ind w:left="1020" w:hanging="512"/>
        <w:spacing w:after="0"/>
        <w:tabs>
          <w:tab w:leader="none" w:pos="1020" w:val="left"/>
        </w:tabs>
        <w:numPr>
          <w:ilvl w:val="0"/>
          <w:numId w:val="278"/>
        </w:numPr>
        <w:rPr>
          <w:rFonts w:ascii="Arial" w:cs="Arial" w:eastAsia="Arial" w:hAnsi="Arial"/>
          <w:sz w:val="18"/>
          <w:szCs w:val="18"/>
          <w:i w:val="1"/>
          <w:iCs w:val="1"/>
          <w:color w:val="auto"/>
        </w:rPr>
      </w:pPr>
      <w:r>
        <w:rPr>
          <w:rFonts w:ascii="Arial" w:cs="Arial" w:eastAsia="Arial" w:hAnsi="Arial"/>
          <w:sz w:val="18"/>
          <w:szCs w:val="18"/>
          <w:color w:val="auto"/>
        </w:rPr>
        <w:t>pursuant to any Finance Documents or any Charter Documents to which it is party</w:t>
      </w:r>
      <w:r>
        <w:rPr>
          <w:rFonts w:ascii="Arial" w:cs="Arial" w:eastAsia="Arial" w:hAnsi="Arial"/>
          <w:sz w:val="18"/>
          <w:szCs w:val="18"/>
          <w:i w:val="1"/>
          <w:i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28.10 Reduction of capital</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 Borrower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28.11 Distributions and other payments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the Obligors shall:</w:t>
      </w:r>
    </w:p>
    <w:p>
      <w:pPr>
        <w:spacing w:after="0" w:line="212" w:lineRule="exact"/>
        <w:rPr>
          <w:sz w:val="20"/>
          <w:szCs w:val="20"/>
          <w:color w:val="auto"/>
        </w:rPr>
      </w:pPr>
    </w:p>
    <w:p>
      <w:pPr>
        <w:jc w:val="both"/>
        <w:ind w:left="1020" w:hanging="512"/>
        <w:spacing w:after="0"/>
        <w:tabs>
          <w:tab w:leader="none" w:pos="119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202" w:lineRule="exact"/>
        <w:rPr>
          <w:rFonts w:ascii="Arial" w:cs="Arial" w:eastAsia="Arial" w:hAnsi="Arial"/>
          <w:sz w:val="18"/>
          <w:szCs w:val="18"/>
          <w:color w:val="auto"/>
        </w:rPr>
      </w:pPr>
    </w:p>
    <w:p>
      <w:pPr>
        <w:jc w:val="both"/>
        <w:ind w:left="1020" w:right="20" w:hanging="512"/>
        <w:spacing w:after="0"/>
        <w:tabs>
          <w:tab w:leader="none" w:pos="139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 except where the following conditions are met:</w:t>
      </w:r>
    </w:p>
    <w:p>
      <w:pPr>
        <w:spacing w:after="0" w:line="202" w:lineRule="exact"/>
        <w:rPr>
          <w:rFonts w:ascii="Arial" w:cs="Arial" w:eastAsia="Arial" w:hAnsi="Arial"/>
          <w:sz w:val="18"/>
          <w:szCs w:val="18"/>
          <w:color w:val="auto"/>
        </w:rPr>
      </w:pPr>
    </w:p>
    <w:p>
      <w:pPr>
        <w:ind w:left="1540" w:hanging="511"/>
        <w:spacing w:after="0" w:line="246" w:lineRule="auto"/>
        <w:tabs>
          <w:tab w:leader="none" w:pos="179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in the case of each Obligor, if no Event of Default is continuing at the time of the declaration or payment of any such dividend, distribution or other payment, nor would result from the declaration or payment of the same; and</w:t>
      </w:r>
    </w:p>
    <w:p>
      <w:pPr>
        <w:spacing w:after="0" w:line="196" w:lineRule="exact"/>
        <w:rPr>
          <w:rFonts w:ascii="Arial" w:cs="Arial" w:eastAsia="Arial" w:hAnsi="Arial"/>
          <w:sz w:val="18"/>
          <w:szCs w:val="18"/>
          <w:color w:val="auto"/>
        </w:rPr>
      </w:pPr>
    </w:p>
    <w:p>
      <w:pPr>
        <w:jc w:val="both"/>
        <w:ind w:left="1540" w:hanging="511"/>
        <w:spacing w:after="0" w:line="238" w:lineRule="auto"/>
        <w:tabs>
          <w:tab w:leader="none" w:pos="1567"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additionally, but in the case of each of the Parent and the MLP only for as long as they are an Active Guarantor, only if, at the time when any such dividend, distribution or other payment is declared and made and following declaration and payment of the same, they would be in compliance with clause 20.2(e)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in the case of the Parent or, clause 20.5(b) (</w:t>
      </w:r>
      <w:r>
        <w:rPr>
          <w:rFonts w:ascii="Arial" w:cs="Arial" w:eastAsia="Arial" w:hAnsi="Arial"/>
          <w:sz w:val="18"/>
          <w:szCs w:val="18"/>
          <w:i w:val="1"/>
          <w:iCs w:val="1"/>
          <w:color w:val="auto"/>
        </w:rPr>
        <w:t>MLP Group financial condition</w:t>
      </w:r>
      <w:r>
        <w:rPr>
          <w:rFonts w:ascii="Arial" w:cs="Arial" w:eastAsia="Arial" w:hAnsi="Arial"/>
          <w:sz w:val="18"/>
          <w:szCs w:val="18"/>
          <w:color w:val="auto"/>
        </w:rPr>
        <w:t>) in the case of the MLP.</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29</w:t>
        <w:tab/>
        <w:t>Events of Default</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of the events or circumstances set out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to 29.21 (</w:t>
      </w:r>
      <w:r>
        <w:rPr>
          <w:rFonts w:ascii="Arial" w:cs="Arial" w:eastAsia="Arial" w:hAnsi="Arial"/>
          <w:sz w:val="18"/>
          <w:szCs w:val="18"/>
          <w:i w:val="1"/>
          <w:iCs w:val="1"/>
          <w:color w:val="auto"/>
        </w:rPr>
        <w:t>Charters</w:t>
      </w:r>
      <w:r>
        <w:rPr>
          <w:rFonts w:ascii="Arial" w:cs="Arial" w:eastAsia="Arial" w:hAnsi="Arial"/>
          <w:sz w:val="18"/>
          <w:szCs w:val="18"/>
          <w:color w:val="auto"/>
        </w:rPr>
        <w:t>) is an Event of Default.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7"/>
          <w:szCs w:val="17"/>
          <w:b w:val="1"/>
          <w:bCs w:val="1"/>
          <w:color w:val="auto"/>
        </w:rPr>
        <w:t>Non-payment</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ind w:left="520"/>
        <w:spacing w:after="0" w:line="246" w:lineRule="auto"/>
        <w:rPr>
          <w:sz w:val="20"/>
          <w:szCs w:val="20"/>
          <w:color w:val="auto"/>
        </w:rPr>
      </w:pPr>
      <w:r>
        <w:rPr>
          <w:rFonts w:ascii="Arial" w:cs="Arial" w:eastAsia="Arial" w:hAnsi="Arial"/>
          <w:sz w:val="18"/>
          <w:szCs w:val="18"/>
          <w:color w:val="auto"/>
        </w:rPr>
        <w:t>no Event of Default shall occur if a Payment Disruption Event has occurred and such payment is made within three (3) Business Days of the due date.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b w:val="1"/>
          <w:bCs w:val="1"/>
          <w:color w:val="auto"/>
        </w:rPr>
        <w:t>Financial covenants; liquidity; change of business or ownership</w:t>
      </w:r>
    </w:p>
    <w:p>
      <w:pPr>
        <w:spacing w:after="0" w:line="216" w:lineRule="exact"/>
        <w:rPr>
          <w:sz w:val="20"/>
          <w:szCs w:val="20"/>
          <w:color w:val="auto"/>
        </w:rPr>
      </w:pPr>
    </w:p>
    <w:p>
      <w:pPr>
        <w:ind w:left="1020" w:hanging="512"/>
        <w:spacing w:after="0"/>
        <w:tabs>
          <w:tab w:leader="none" w:pos="10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Obligors do not comply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Obligors do not comply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Obligors do not comply with clause 21.5 (</w:t>
      </w:r>
      <w:r>
        <w:rPr>
          <w:rFonts w:ascii="Arial" w:cs="Arial" w:eastAsia="Arial" w:hAnsi="Arial"/>
          <w:sz w:val="18"/>
          <w:szCs w:val="18"/>
          <w:i w:val="1"/>
          <w:iCs w:val="1"/>
          <w:color w:val="auto"/>
        </w:rPr>
        <w:t>Change of business or ownership</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7"/>
          <w:szCs w:val="17"/>
          <w:b w:val="1"/>
          <w:bCs w:val="1"/>
          <w:color w:val="auto"/>
        </w:rPr>
        <w:t>Value of security</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do not comply with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29.4</w:t>
        <w:tab/>
        <w:t>Insurance</w:t>
      </w:r>
    </w:p>
    <w:p>
      <w:pPr>
        <w:spacing w:after="0" w:line="216" w:lineRule="exact"/>
        <w:rPr>
          <w:sz w:val="20"/>
          <w:szCs w:val="20"/>
          <w:color w:val="auto"/>
        </w:rPr>
      </w:pPr>
    </w:p>
    <w:p>
      <w:pPr>
        <w:ind w:left="1020" w:hanging="512"/>
        <w:spacing w:after="0"/>
        <w:tabs>
          <w:tab w:leader="none" w:pos="10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Insurances of a Mortgaged Ship are not placed and kept in force in the manner required by clause 24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20" w:hanging="512"/>
        <w:spacing w:after="0"/>
        <w:tabs>
          <w:tab w:leader="none" w:pos="10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211" w:lineRule="exact"/>
        <w:rPr>
          <w:rFonts w:ascii="Arial" w:cs="Arial" w:eastAsia="Arial" w:hAnsi="Arial"/>
          <w:sz w:val="18"/>
          <w:szCs w:val="18"/>
          <w:color w:val="auto"/>
        </w:rPr>
      </w:pPr>
    </w:p>
    <w:p>
      <w:pPr>
        <w:ind w:left="1540" w:hanging="511"/>
        <w:spacing w:after="0" w:line="246" w:lineRule="auto"/>
        <w:tabs>
          <w:tab w:leader="none" w:pos="1635"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cancels any such Insurances and such Insurances are not immediately replaced by the Borrowers to the full satisfaction of all the Lenders; or</w:t>
      </w:r>
    </w:p>
    <w:p>
      <w:pPr>
        <w:spacing w:after="0" w:line="196" w:lineRule="exact"/>
        <w:rPr>
          <w:rFonts w:ascii="Arial" w:cs="Arial" w:eastAsia="Arial" w:hAnsi="Arial"/>
          <w:sz w:val="18"/>
          <w:szCs w:val="18"/>
          <w:color w:val="auto"/>
        </w:rPr>
      </w:pPr>
    </w:p>
    <w:p>
      <w:pPr>
        <w:ind w:left="1520" w:hanging="491"/>
        <w:spacing w:after="0"/>
        <w:tabs>
          <w:tab w:leader="none" w:pos="15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7"/>
          <w:szCs w:val="17"/>
          <w:b w:val="1"/>
          <w:bCs w:val="1"/>
          <w:color w:val="auto"/>
        </w:rPr>
        <w:t>Other obligations</w:t>
      </w:r>
    </w:p>
    <w:p>
      <w:pPr>
        <w:spacing w:after="0" w:line="234" w:lineRule="exact"/>
        <w:rPr>
          <w:sz w:val="20"/>
          <w:szCs w:val="20"/>
          <w:color w:val="auto"/>
        </w:rPr>
      </w:pPr>
    </w:p>
    <w:p>
      <w:pPr>
        <w:ind w:left="1020" w:hanging="512"/>
        <w:spacing w:after="0"/>
        <w:tabs>
          <w:tab w:leader="none" w:pos="10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the following provisions:</w:t>
      </w:r>
    </w:p>
    <w:p>
      <w:pPr>
        <w:spacing w:after="0" w:line="193" w:lineRule="exact"/>
        <w:rPr>
          <w:rFonts w:ascii="Arial" w:cs="Arial" w:eastAsia="Arial" w:hAnsi="Arial"/>
          <w:sz w:val="18"/>
          <w:szCs w:val="18"/>
          <w:color w:val="auto"/>
        </w:rPr>
      </w:pPr>
    </w:p>
    <w:p>
      <w:pPr>
        <w:ind w:left="1540" w:hanging="511"/>
        <w:spacing w:after="0" w:line="267" w:lineRule="auto"/>
        <w:tabs>
          <w:tab w:leader="none" w:pos="160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those referred to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29.2 (</w:t>
      </w:r>
      <w:r>
        <w:rPr>
          <w:rFonts w:ascii="Arial" w:cs="Arial" w:eastAsia="Arial" w:hAnsi="Arial"/>
          <w:sz w:val="18"/>
          <w:szCs w:val="18"/>
          <w:i w:val="1"/>
          <w:iCs w:val="1"/>
          <w:color w:val="auto"/>
        </w:rPr>
        <w:t>Financial covenants; liquidity; change of business or ownership</w:t>
      </w:r>
      <w:r>
        <w:rPr>
          <w:rFonts w:ascii="Arial" w:cs="Arial" w:eastAsia="Arial" w:hAnsi="Arial"/>
          <w:sz w:val="18"/>
          <w:szCs w:val="18"/>
          <w:color w:val="auto"/>
        </w:rPr>
        <w:t>), 29.3 (</w:t>
      </w:r>
      <w:r>
        <w:rPr>
          <w:rFonts w:ascii="Arial" w:cs="Arial" w:eastAsia="Arial" w:hAnsi="Arial"/>
          <w:sz w:val="18"/>
          <w:szCs w:val="18"/>
          <w:i w:val="1"/>
          <w:iCs w:val="1"/>
          <w:color w:val="auto"/>
        </w:rPr>
        <w:t>Value of security</w:t>
      </w:r>
      <w:r>
        <w:rPr>
          <w:rFonts w:ascii="Arial" w:cs="Arial" w:eastAsia="Arial" w:hAnsi="Arial"/>
          <w:sz w:val="18"/>
          <w:szCs w:val="18"/>
          <w:color w:val="auto"/>
        </w:rPr>
        <w:t>) and 29.4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clause 29);</w:t>
      </w:r>
    </w:p>
    <w:p>
      <w:pPr>
        <w:spacing w:after="0" w:line="160" w:lineRule="exact"/>
        <w:rPr>
          <w:rFonts w:ascii="Arial" w:cs="Arial" w:eastAsia="Arial" w:hAnsi="Arial"/>
          <w:sz w:val="18"/>
          <w:szCs w:val="18"/>
          <w:color w:val="auto"/>
        </w:rPr>
      </w:pPr>
    </w:p>
    <w:p>
      <w:pPr>
        <w:ind w:left="1520" w:hanging="491"/>
        <w:spacing w:after="0"/>
        <w:tabs>
          <w:tab w:leader="none" w:pos="15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those of clauses 21.11 (</w:t>
      </w:r>
      <w:r>
        <w:rPr>
          <w:rFonts w:ascii="Arial" w:cs="Arial" w:eastAsia="Arial" w:hAnsi="Arial"/>
          <w:sz w:val="18"/>
          <w:szCs w:val="18"/>
          <w:i w:val="1"/>
          <w:iCs w:val="1"/>
          <w:color w:val="auto"/>
        </w:rPr>
        <w:t>Sanctions</w:t>
      </w:r>
      <w:r>
        <w:rPr>
          <w:rFonts w:ascii="Arial" w:cs="Arial" w:eastAsia="Arial" w:hAnsi="Arial"/>
          <w:sz w:val="18"/>
          <w:szCs w:val="18"/>
          <w:color w:val="auto"/>
        </w:rPr>
        <w:t>) and 26.7 (</w:t>
      </w:r>
      <w:r>
        <w:rPr>
          <w:rFonts w:ascii="Arial" w:cs="Arial" w:eastAsia="Arial" w:hAnsi="Arial"/>
          <w:sz w:val="18"/>
          <w:szCs w:val="18"/>
          <w:i w:val="1"/>
          <w:iCs w:val="1"/>
          <w:color w:val="auto"/>
        </w:rPr>
        <w:t>Termination Cure</w:t>
      </w:r>
      <w:r>
        <w:rPr>
          <w:rFonts w:ascii="Arial" w:cs="Arial" w:eastAsia="Arial" w:hAnsi="Arial"/>
          <w:sz w:val="18"/>
          <w:szCs w:val="18"/>
          <w:color w:val="auto"/>
        </w:rPr>
        <w:t>); and</w:t>
      </w:r>
    </w:p>
    <w:p>
      <w:pPr>
        <w:spacing w:after="0" w:line="211" w:lineRule="exact"/>
        <w:rPr>
          <w:rFonts w:ascii="Arial" w:cs="Arial" w:eastAsia="Arial" w:hAnsi="Arial"/>
          <w:sz w:val="18"/>
          <w:szCs w:val="18"/>
          <w:color w:val="auto"/>
        </w:rPr>
      </w:pPr>
    </w:p>
    <w:p>
      <w:pPr>
        <w:ind w:left="1540" w:hanging="511"/>
        <w:spacing w:after="0" w:line="267" w:lineRule="auto"/>
        <w:tabs>
          <w:tab w:leader="none" w:pos="164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those of clause 26.3 (</w:t>
      </w:r>
      <w:r>
        <w:rPr>
          <w:rFonts w:ascii="Arial" w:cs="Arial" w:eastAsia="Arial" w:hAnsi="Arial"/>
          <w:sz w:val="18"/>
          <w:szCs w:val="18"/>
          <w:i w:val="1"/>
          <w:iCs w:val="1"/>
          <w:color w:val="auto"/>
        </w:rPr>
        <w:t>Termination by Owner</w:t>
      </w:r>
      <w:r>
        <w:rPr>
          <w:rFonts w:ascii="Arial" w:cs="Arial" w:eastAsia="Arial" w:hAnsi="Arial"/>
          <w:sz w:val="18"/>
          <w:szCs w:val="18"/>
          <w:color w:val="auto"/>
        </w:rPr>
        <w:t>) where an Owner has exercised rights available to it to terminate a Charter Document or withdraw its Ship from service under the Charter.</w:t>
      </w:r>
    </w:p>
    <w:p>
      <w:pPr>
        <w:spacing w:after="0" w:line="178" w:lineRule="exact"/>
        <w:rPr>
          <w:rFonts w:ascii="Arial" w:cs="Arial" w:eastAsia="Arial" w:hAnsi="Arial"/>
          <w:sz w:val="18"/>
          <w:szCs w:val="18"/>
          <w:color w:val="auto"/>
        </w:rPr>
      </w:pPr>
    </w:p>
    <w:p>
      <w:pPr>
        <w:jc w:val="both"/>
        <w:ind w:left="1020" w:hanging="512"/>
        <w:spacing w:after="0" w:line="234" w:lineRule="auto"/>
        <w:tabs>
          <w:tab w:leader="none" w:pos="132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 Event of Default under clause 29.5(a) above will occur if the Agent (acting on the instructions of the Majority Lenders) considers that the failure to comply is capable of remedy and the failure is remedied within twenty (20) days of the earlier of</w:t>
      </w:r>
    </w:p>
    <w:p>
      <w:pPr>
        <w:spacing w:after="0" w:line="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(A) the Agent giving notice to the Borrowers and (B) any of the Borrowers becoming aware of the failure to comply.</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29.6</w:t>
        <w:tab/>
        <w:t>Misrepresentation</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when made or deemed to be made, unless the same is capable of remedy and is remedied within twenty (20) days of the earlier of (a) the Agent giving notice to the Borrowers and (b) any of the Borrowers becoming aware of the same (but excluding any representation or statement made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insofar as it relates to Sanctions not imposed by Germany, the European Union or the United Nations, to which this clause 29.6 shall not apply).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spacing w:after="0"/>
        <w:tabs>
          <w:tab w:leader="none" w:pos="500" w:val="left"/>
        </w:tabs>
        <w:rPr>
          <w:sz w:val="20"/>
          <w:szCs w:val="20"/>
          <w:color w:val="auto"/>
        </w:rPr>
      </w:pPr>
      <w:r>
        <w:rPr>
          <w:rFonts w:ascii="Arial" w:cs="Arial" w:eastAsia="Arial" w:hAnsi="Arial"/>
          <w:sz w:val="18"/>
          <w:szCs w:val="18"/>
          <w:b w:val="1"/>
          <w:bCs w:val="1"/>
          <w:color w:val="auto"/>
        </w:rPr>
        <w:t>29.7</w:t>
        <w:tab/>
        <w:t>Cross default</w:t>
      </w:r>
    </w:p>
    <w:p>
      <w:pPr>
        <w:spacing w:after="0" w:line="234" w:lineRule="exact"/>
        <w:rPr>
          <w:sz w:val="20"/>
          <w:szCs w:val="20"/>
          <w:color w:val="auto"/>
        </w:rPr>
      </w:pPr>
    </w:p>
    <w:p>
      <w:pPr>
        <w:ind w:left="1020" w:hanging="512"/>
        <w:spacing w:after="0" w:line="246" w:lineRule="auto"/>
        <w:tabs>
          <w:tab w:leader="none" w:pos="115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Financial Indebtedness of any Obligor (other than a Guarantor who is not an Active Guarantor at the relevant time) is not paid when due nor within any originally applicable grace period.</w:t>
      </w:r>
    </w:p>
    <w:p>
      <w:pPr>
        <w:spacing w:after="0" w:line="196" w:lineRule="exact"/>
        <w:rPr>
          <w:rFonts w:ascii="Arial" w:cs="Arial" w:eastAsia="Arial" w:hAnsi="Arial"/>
          <w:sz w:val="18"/>
          <w:szCs w:val="18"/>
          <w:color w:val="auto"/>
        </w:rPr>
      </w:pPr>
    </w:p>
    <w:p>
      <w:pPr>
        <w:jc w:val="both"/>
        <w:ind w:left="1020" w:hanging="512"/>
        <w:spacing w:after="0"/>
        <w:tabs>
          <w:tab w:leader="none" w:pos="13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Financial Indebtedness of any Obligor (other than a Guarantor who is not an Active Guarantor at the relevant time) is declared to be or otherwise becomes due and payable prior to its specified maturity as a result of an event of default (however described).</w:t>
      </w:r>
    </w:p>
    <w:p>
      <w:pPr>
        <w:spacing w:after="0" w:line="202" w:lineRule="exact"/>
        <w:rPr>
          <w:rFonts w:ascii="Arial" w:cs="Arial" w:eastAsia="Arial" w:hAnsi="Arial"/>
          <w:sz w:val="18"/>
          <w:szCs w:val="18"/>
          <w:color w:val="auto"/>
        </w:rPr>
      </w:pPr>
    </w:p>
    <w:p>
      <w:pPr>
        <w:ind w:left="1020" w:hanging="512"/>
        <w:spacing w:after="0" w:line="246" w:lineRule="auto"/>
        <w:tabs>
          <w:tab w:leader="none" w:pos="114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(other than a Guarantor who is not an Active Guarantor at the relevant time) is cancelled or suspended by a creditor of that Obligor as a result of an event of default (however described).</w:t>
      </w:r>
    </w:p>
    <w:p>
      <w:pPr>
        <w:spacing w:after="0" w:line="196" w:lineRule="exact"/>
        <w:rPr>
          <w:rFonts w:ascii="Arial" w:cs="Arial" w:eastAsia="Arial" w:hAnsi="Arial"/>
          <w:sz w:val="18"/>
          <w:szCs w:val="18"/>
          <w:color w:val="auto"/>
        </w:rPr>
      </w:pPr>
    </w:p>
    <w:p>
      <w:pPr>
        <w:jc w:val="both"/>
        <w:ind w:left="1020" w:hanging="512"/>
        <w:spacing w:after="0"/>
        <w:tabs>
          <w:tab w:leader="none" w:pos="105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counterparty to a Treasury Transaction entered into by any Obligor (other than a Guarantor who is not an Active Guarantor at the relevant time) becomes entitled to terminate that Treasury Transaction early by reason of an event of default (however described).</w:t>
      </w:r>
    </w:p>
    <w:p>
      <w:pPr>
        <w:spacing w:after="0" w:line="202" w:lineRule="exact"/>
        <w:rPr>
          <w:rFonts w:ascii="Arial" w:cs="Arial" w:eastAsia="Arial" w:hAnsi="Arial"/>
          <w:sz w:val="18"/>
          <w:szCs w:val="18"/>
          <w:color w:val="auto"/>
        </w:rPr>
      </w:pPr>
    </w:p>
    <w:p>
      <w:pPr>
        <w:jc w:val="both"/>
        <w:ind w:left="1020" w:hanging="512"/>
        <w:spacing w:after="0"/>
        <w:tabs>
          <w:tab w:leader="none" w:pos="120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creditor of any Obligor (other than a Guarantor who is not an Active Guarantor at the relevant time) becomes entitled to declare any Financial Indebtedness of that Obligor due and payable prior to its specified maturity as a result of an event of default (however described).</w:t>
      </w:r>
    </w:p>
    <w:p>
      <w:pPr>
        <w:spacing w:after="0" w:line="202" w:lineRule="exact"/>
        <w:rPr>
          <w:rFonts w:ascii="Arial" w:cs="Arial" w:eastAsia="Arial" w:hAnsi="Arial"/>
          <w:sz w:val="18"/>
          <w:szCs w:val="18"/>
          <w:color w:val="auto"/>
        </w:rPr>
      </w:pPr>
    </w:p>
    <w:p>
      <w:pPr>
        <w:ind w:left="1020" w:hanging="512"/>
        <w:spacing w:after="0" w:line="246" w:lineRule="auto"/>
        <w:tabs>
          <w:tab w:leader="none" w:pos="127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29.7 if the aggregate amount of Financial Indebtedness or commitment for Financial Indebtedness falling within clauses 29.7(a) to 29.7(e) above is:</w:t>
      </w:r>
    </w:p>
    <w:p>
      <w:pPr>
        <w:spacing w:after="0" w:line="196" w:lineRule="exact"/>
        <w:rPr>
          <w:rFonts w:ascii="Arial" w:cs="Arial" w:eastAsia="Arial" w:hAnsi="Arial"/>
          <w:sz w:val="18"/>
          <w:szCs w:val="18"/>
          <w:color w:val="auto"/>
        </w:rPr>
      </w:pPr>
    </w:p>
    <w:p>
      <w:pPr>
        <w:ind w:left="1520" w:hanging="491"/>
        <w:spacing w:after="0"/>
        <w:tabs>
          <w:tab w:leader="none" w:pos="15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29.8</w:t>
        <w:tab/>
        <w:t>Insolvency</w:t>
      </w:r>
    </w:p>
    <w:p>
      <w:pPr>
        <w:spacing w:after="0" w:line="234" w:lineRule="exact"/>
        <w:rPr>
          <w:sz w:val="20"/>
          <w:szCs w:val="20"/>
          <w:color w:val="auto"/>
        </w:rPr>
      </w:pPr>
    </w:p>
    <w:p>
      <w:pPr>
        <w:jc w:val="both"/>
        <w:ind w:left="1020" w:hanging="512"/>
        <w:spacing w:after="0"/>
        <w:tabs>
          <w:tab w:leader="none" w:pos="116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 Obligor (other than a Guarantor who is not an Active Guarantor at the relevant time) is unable or admits inability to pay its debts as they fall due, suspends making payments on any of its debts or, by reason of actual financial difficulties, commences negotiations with one or more of its creditors with a view to rescheduling any of its indebtedness.</w:t>
      </w:r>
    </w:p>
    <w:p>
      <w:pPr>
        <w:spacing w:after="0" w:line="202" w:lineRule="exact"/>
        <w:rPr>
          <w:rFonts w:ascii="Arial" w:cs="Arial" w:eastAsia="Arial" w:hAnsi="Arial"/>
          <w:sz w:val="18"/>
          <w:szCs w:val="18"/>
          <w:color w:val="auto"/>
        </w:rPr>
      </w:pPr>
    </w:p>
    <w:p>
      <w:pPr>
        <w:ind w:left="1020" w:hanging="512"/>
        <w:spacing w:after="0" w:line="246" w:lineRule="auto"/>
        <w:tabs>
          <w:tab w:leader="none" w:pos="107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value of the assets of any Obligor (other than a Guarantor who is not an Active Guarantor at the relevant time) is less than its liabilities (taking into account contingent and prospective liabilities).</w:t>
      </w:r>
    </w:p>
    <w:p>
      <w:pPr>
        <w:spacing w:after="0" w:line="196" w:lineRule="exact"/>
        <w:rPr>
          <w:rFonts w:ascii="Arial" w:cs="Arial" w:eastAsia="Arial" w:hAnsi="Arial"/>
          <w:sz w:val="18"/>
          <w:szCs w:val="18"/>
          <w:color w:val="auto"/>
        </w:rPr>
      </w:pPr>
    </w:p>
    <w:p>
      <w:pPr>
        <w:jc w:val="both"/>
        <w:ind w:left="1020" w:hanging="512"/>
        <w:spacing w:after="0"/>
        <w:tabs>
          <w:tab w:leader="none" w:pos="10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(other than a Guarantor who is not an Active Guarantor at the relevant time). If a moratorium occurs, the ending of the moratorium will not remedy any Event of Default caused by that moratorium.</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29.9</w:t>
        <w:tab/>
        <w:t>Insolvency proceedings</w:t>
      </w:r>
    </w:p>
    <w:p>
      <w:pPr>
        <w:spacing w:after="0" w:line="234" w:lineRule="exact"/>
        <w:rPr>
          <w:sz w:val="20"/>
          <w:szCs w:val="20"/>
          <w:color w:val="auto"/>
        </w:rPr>
      </w:pPr>
    </w:p>
    <w:p>
      <w:pPr>
        <w:ind w:left="1020" w:hanging="512"/>
        <w:spacing w:after="0"/>
        <w:tabs>
          <w:tab w:leader="none" w:pos="10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211" w:lineRule="exact"/>
        <w:rPr>
          <w:rFonts w:ascii="Arial" w:cs="Arial" w:eastAsia="Arial" w:hAnsi="Arial"/>
          <w:sz w:val="18"/>
          <w:szCs w:val="18"/>
          <w:color w:val="auto"/>
        </w:rPr>
      </w:pPr>
    </w:p>
    <w:p>
      <w:pPr>
        <w:jc w:val="both"/>
        <w:ind w:left="1540" w:hanging="511"/>
        <w:spacing w:after="0"/>
        <w:tabs>
          <w:tab w:leader="none" w:pos="159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 (other than a Guarantor who is not an Active Guarantor at the relevant time);</w:t>
      </w:r>
    </w:p>
    <w:p>
      <w:pPr>
        <w:spacing w:after="0" w:line="202"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 (other than a Guarantor who is not an Active Guarantor at the relevant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5" w:name="page116"/>
    <w:bookmarkEnd w:id="115"/>
    <w:p>
      <w:pPr>
        <w:jc w:val="both"/>
        <w:ind w:left="1540" w:hanging="511"/>
        <w:spacing w:after="0" w:line="238" w:lineRule="auto"/>
        <w:tabs>
          <w:tab w:leader="none" w:pos="183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Obligor or any of its assets (including the directors of any Obligor (other than a Guarantor who is not an Active Guarantor at the relevant time) requesting a person to appoint any such officer in relation to it or any of its assets); or</w:t>
      </w:r>
    </w:p>
    <w:p>
      <w:pPr>
        <w:spacing w:after="0" w:line="204" w:lineRule="exact"/>
        <w:rPr>
          <w:rFonts w:ascii="Arial" w:cs="Arial" w:eastAsia="Arial" w:hAnsi="Arial"/>
          <w:sz w:val="18"/>
          <w:szCs w:val="18"/>
          <w:color w:val="auto"/>
        </w:rPr>
      </w:pPr>
    </w:p>
    <w:p>
      <w:pPr>
        <w:ind w:left="1540" w:right="20" w:hanging="511"/>
        <w:spacing w:after="0" w:line="246" w:lineRule="auto"/>
        <w:tabs>
          <w:tab w:leader="none" w:pos="188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Obligor (other than a Guarantor who is not an Active Guarantor at the relevant time),</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12" w:lineRule="exact"/>
        <w:rPr>
          <w:sz w:val="20"/>
          <w:szCs w:val="20"/>
          <w:color w:val="auto"/>
        </w:rPr>
      </w:pPr>
    </w:p>
    <w:p>
      <w:pPr>
        <w:ind w:left="1020" w:hanging="512"/>
        <w:spacing w:after="0" w:line="246" w:lineRule="auto"/>
        <w:tabs>
          <w:tab w:leader="none" w:pos="105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Clause 29.9(a) shall not apply to any winding-up petition (or analogous procedure or step) which is frivolous or vexatious and is discharged, stayed or dismissed within fifteen (15) days of commencement or, if earlier, the date on which it is advertised.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29.10 Creditors’ process</w:t>
      </w:r>
    </w:p>
    <w:p>
      <w:pPr>
        <w:spacing w:after="0" w:line="234" w:lineRule="exact"/>
        <w:rPr>
          <w:sz w:val="20"/>
          <w:szCs w:val="20"/>
          <w:color w:val="auto"/>
        </w:rPr>
      </w:pPr>
    </w:p>
    <w:p>
      <w:pPr>
        <w:jc w:val="both"/>
        <w:ind w:left="1020" w:hanging="512"/>
        <w:spacing w:after="0" w:line="238" w:lineRule="auto"/>
        <w:tabs>
          <w:tab w:leader="none" w:pos="134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execution or analogous process affects any asset or assets of any Obligor (other than a Guarantor who is not an Active Guarantor at the relevant time)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05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judgment or order for an amount in excess of $10,000,000 (or the equivalent in any other currency) in respect of any of the Guarantors and/or $1,000,000 (or the equivalent in any other currency) in respect of any other Obligor, is made against any Obligor (other than a Guarantor who is not an Active Guarantor at the relevant time) and is not stayed or complied with within thirty (30)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29.11 Unlawfulness and invalidity</w:t>
      </w:r>
    </w:p>
    <w:p>
      <w:pPr>
        <w:spacing w:after="0" w:line="234" w:lineRule="exact"/>
        <w:rPr>
          <w:sz w:val="20"/>
          <w:szCs w:val="20"/>
          <w:color w:val="auto"/>
        </w:rPr>
      </w:pPr>
    </w:p>
    <w:p>
      <w:pPr>
        <w:ind w:left="1020" w:hanging="512"/>
        <w:spacing w:after="0" w:line="246" w:lineRule="auto"/>
        <w:tabs>
          <w:tab w:leader="none" w:pos="109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96" w:lineRule="exact"/>
        <w:rPr>
          <w:rFonts w:ascii="Arial" w:cs="Arial" w:eastAsia="Arial" w:hAnsi="Arial"/>
          <w:sz w:val="18"/>
          <w:szCs w:val="18"/>
          <w:color w:val="auto"/>
        </w:rPr>
      </w:pPr>
    </w:p>
    <w:p>
      <w:pPr>
        <w:jc w:val="both"/>
        <w:ind w:left="1020" w:hanging="512"/>
        <w:spacing w:after="0"/>
        <w:tabs>
          <w:tab w:leader="none" w:pos="105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202" w:lineRule="exact"/>
        <w:rPr>
          <w:rFonts w:ascii="Arial" w:cs="Arial" w:eastAsia="Arial" w:hAnsi="Arial"/>
          <w:sz w:val="18"/>
          <w:szCs w:val="18"/>
          <w:color w:val="auto"/>
        </w:rPr>
      </w:pPr>
    </w:p>
    <w:p>
      <w:pPr>
        <w:ind w:left="1020" w:hanging="512"/>
        <w:spacing w:after="0" w:line="246" w:lineRule="auto"/>
        <w:tabs>
          <w:tab w:leader="none" w:pos="118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 party to it (other than a Finance Party) to be ineffective for any reason.</w:t>
      </w:r>
    </w:p>
    <w:p>
      <w:pPr>
        <w:spacing w:after="0" w:line="196" w:lineRule="exact"/>
        <w:rPr>
          <w:rFonts w:ascii="Arial" w:cs="Arial" w:eastAsia="Arial" w:hAnsi="Arial"/>
          <w:sz w:val="18"/>
          <w:szCs w:val="18"/>
          <w:color w:val="auto"/>
        </w:rPr>
      </w:pPr>
    </w:p>
    <w:p>
      <w:pPr>
        <w:ind w:left="1020" w:hanging="512"/>
        <w:spacing w:after="0" w:line="246" w:lineRule="auto"/>
        <w:tabs>
          <w:tab w:leader="none" w:pos="135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29.12 Cessation of business</w:t>
      </w:r>
    </w:p>
    <w:p>
      <w:pPr>
        <w:spacing w:after="0" w:line="234"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Any Obligor (other than a Guarantor who is not an Active Guarantor at the relevant time) suspends or ceases to carry on (or threatens to suspend or cease to carry on) all or a material part of its business (except in the case of an Owner as a result of the sale of its Ship in accordance with, and subject to, the provisions of this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29.13 Expropriation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authority or ability of any Obligor (other than a Guarantor who is not an Active Guarantor at the relevant time)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29.14 Repudiation and rescission of Finance Documents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Obligor repudiates a Finance Document.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29.15 Litigation</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29.16 Material Adverse Effect</w:t>
      </w:r>
    </w:p>
    <w:p>
      <w:pPr>
        <w:spacing w:after="0" w:line="234" w:lineRule="exact"/>
        <w:rPr>
          <w:sz w:val="20"/>
          <w:szCs w:val="20"/>
          <w:color w:val="auto"/>
        </w:rPr>
      </w:pPr>
    </w:p>
    <w:p>
      <w:pPr>
        <w:jc w:val="both"/>
        <w:ind w:left="520" w:right="20"/>
        <w:spacing w:after="0" w:line="246"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reasonably believe has, or is reasonably expected to have, a Material Adverse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29.17 Security enforceable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29.18 Arrest of Ship</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Mortgaged Ship is arrested, confiscated, seized, taken in execution, impounded, forfeited, detained in exercise or purported exercise of any possessory lien or other claim and the relevant Owner fails to procure the release of such Ship within a period of 30 days thereafter (or such longer period as may be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29.19 Ship registration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with approval of the Majority Lenders,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29.20 Political risk</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Flag State of any Mortgaged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29.21 Charters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Except with approval of the Majority Lenders, a Charter (including, for the avoidance of doubt, a Replacement Charter) of any Ship is cancelled or rescinded or (except as a result of the relevant Ship being a Total Loss) frustrated or Ship B is not delivered for service to, and accepted by, the relevant Charterer under the relevant Charter by the time required in clause 26.9 (</w:t>
      </w:r>
      <w:r>
        <w:rPr>
          <w:rFonts w:ascii="Arial" w:cs="Arial" w:eastAsia="Arial" w:hAnsi="Arial"/>
          <w:sz w:val="18"/>
          <w:szCs w:val="18"/>
          <w:i w:val="1"/>
          <w:iCs w:val="1"/>
          <w:color w:val="auto"/>
        </w:rPr>
        <w:t>Ship B delivery</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jc w:val="both"/>
        <w:ind w:left="20"/>
        <w:spacing w:after="0" w:line="238" w:lineRule="auto"/>
        <w:rPr>
          <w:sz w:val="20"/>
          <w:szCs w:val="20"/>
          <w:color w:val="auto"/>
        </w:rPr>
      </w:pPr>
      <w:r>
        <w:rPr>
          <w:rFonts w:ascii="Arial" w:cs="Arial" w:eastAsia="Arial" w:hAnsi="Arial"/>
          <w:sz w:val="18"/>
          <w:szCs w:val="18"/>
          <w:color w:val="auto"/>
        </w:rPr>
        <w:t xml:space="preserve">or any Ship is withdrawn from service under a Charter before the time that Charter was scheduled to expire (any such Ship, an </w:t>
      </w:r>
      <w:r>
        <w:rPr>
          <w:rFonts w:ascii="Arial" w:cs="Arial" w:eastAsia="Arial" w:hAnsi="Arial"/>
          <w:sz w:val="18"/>
          <w:szCs w:val="18"/>
          <w:b w:val="1"/>
          <w:bCs w:val="1"/>
          <w:color w:val="auto"/>
        </w:rPr>
        <w:t>Affected Ship</w:t>
      </w:r>
      <w:r>
        <w:rPr>
          <w:rFonts w:ascii="Arial" w:cs="Arial" w:eastAsia="Arial" w:hAnsi="Arial"/>
          <w:sz w:val="18"/>
          <w:szCs w:val="18"/>
          <w:color w:val="auto"/>
        </w:rPr>
        <w:t>),</w:t>
      </w:r>
      <w:r>
        <w:rPr>
          <w:rFonts w:ascii="Arial" w:cs="Arial" w:eastAsia="Arial" w:hAnsi="Arial"/>
          <w:sz w:val="18"/>
          <w:szCs w:val="18"/>
          <w:b w:val="1"/>
          <w:bCs w:val="1"/>
          <w:color w:val="auto"/>
        </w:rPr>
        <w:t xml:space="preserve"> provided however that </w:t>
      </w:r>
      <w:r>
        <w:rPr>
          <w:rFonts w:ascii="Arial" w:cs="Arial" w:eastAsia="Arial" w:hAnsi="Arial"/>
          <w:sz w:val="18"/>
          <w:szCs w:val="18"/>
          <w:color w:val="auto"/>
        </w:rPr>
        <w:t>no Event of Default shall occur under this clause 29.21 in relation to a Charter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avoidance of doubt, a Replacement Charter) or Affected Ship, if the conditions under either paragraph (a) or paragraph (b) below are satisfied in respect of that Charter or (as the case may be) Affected Ship within 120 days of such cancellation, rescission, frustration, non-delivery and acceptance or withdrawal (as applicable):</w:t>
      </w:r>
    </w:p>
    <w:p>
      <w:pPr>
        <w:spacing w:after="0" w:line="202" w:lineRule="exact"/>
        <w:rPr>
          <w:sz w:val="20"/>
          <w:szCs w:val="20"/>
          <w:color w:val="auto"/>
        </w:rPr>
      </w:pPr>
    </w:p>
    <w:p>
      <w:pPr>
        <w:ind w:left="520" w:hanging="512"/>
        <w:spacing w:after="0"/>
        <w:tabs>
          <w:tab w:leader="none" w:pos="5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Borrowers:</w:t>
      </w:r>
    </w:p>
    <w:p>
      <w:pPr>
        <w:spacing w:after="0" w:line="193" w:lineRule="exact"/>
        <w:rPr>
          <w:rFonts w:ascii="Arial" w:cs="Arial" w:eastAsia="Arial" w:hAnsi="Arial"/>
          <w:sz w:val="18"/>
          <w:szCs w:val="18"/>
          <w:color w:val="auto"/>
        </w:rPr>
      </w:pPr>
    </w:p>
    <w:p>
      <w:pPr>
        <w:jc w:val="both"/>
        <w:ind w:left="1040" w:hanging="511"/>
        <w:spacing w:after="0" w:line="250" w:lineRule="auto"/>
        <w:tabs>
          <w:tab w:leader="none" w:pos="1216" w:val="left"/>
        </w:tabs>
        <w:numPr>
          <w:ilvl w:val="1"/>
          <w:numId w:val="290"/>
        </w:numPr>
        <w:rPr>
          <w:rFonts w:ascii="Arial" w:cs="Arial" w:eastAsia="Arial" w:hAnsi="Arial"/>
          <w:sz w:val="18"/>
          <w:szCs w:val="18"/>
          <w:color w:val="auto"/>
        </w:rPr>
      </w:pPr>
      <w:r>
        <w:rPr>
          <w:rFonts w:ascii="Arial" w:cs="Arial" w:eastAsia="Arial" w:hAnsi="Arial"/>
          <w:sz w:val="18"/>
          <w:szCs w:val="18"/>
          <w:color w:val="auto"/>
        </w:rPr>
        <w:t>have prepaid in full the Ship Aggregate Loans relevant to such Affected Ship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and have cancelled in full the Ship Aggregate Commitments in respect of such Affected Ship under clause 7.3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w:t>
      </w:r>
      <w:r>
        <w:rPr>
          <w:rFonts w:ascii="Arial" w:cs="Arial" w:eastAsia="Arial" w:hAnsi="Arial"/>
          <w:sz w:val="18"/>
          <w:szCs w:val="18"/>
          <w:color w:val="auto"/>
        </w:rPr>
        <w:t>) (but on three (3) Business Day’s notice instead of the period required by such clauses); or</w:t>
      </w:r>
    </w:p>
    <w:p>
      <w:pPr>
        <w:spacing w:after="0" w:line="194" w:lineRule="exact"/>
        <w:rPr>
          <w:rFonts w:ascii="Arial" w:cs="Arial" w:eastAsia="Arial" w:hAnsi="Arial"/>
          <w:sz w:val="18"/>
          <w:szCs w:val="18"/>
          <w:color w:val="auto"/>
        </w:rPr>
      </w:pPr>
    </w:p>
    <w:p>
      <w:pPr>
        <w:ind w:left="1020" w:hanging="491"/>
        <w:spacing w:after="0"/>
        <w:tabs>
          <w:tab w:leader="none" w:pos="10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have either:</w:t>
      </w:r>
    </w:p>
    <w:p>
      <w:pPr>
        <w:spacing w:after="0" w:line="211" w:lineRule="exact"/>
        <w:rPr>
          <w:rFonts w:ascii="Arial" w:cs="Arial" w:eastAsia="Arial" w:hAnsi="Arial"/>
          <w:sz w:val="18"/>
          <w:szCs w:val="18"/>
          <w:color w:val="auto"/>
        </w:rPr>
      </w:pPr>
    </w:p>
    <w:p>
      <w:pPr>
        <w:ind w:left="1540" w:right="20" w:hanging="501"/>
        <w:spacing w:after="0" w:line="246" w:lineRule="auto"/>
        <w:tabs>
          <w:tab w:leader="none" w:pos="1607" w:val="left"/>
        </w:tabs>
        <w:numPr>
          <w:ilvl w:val="2"/>
          <w:numId w:val="290"/>
        </w:numPr>
        <w:rPr>
          <w:rFonts w:ascii="Arial" w:cs="Arial" w:eastAsia="Arial" w:hAnsi="Arial"/>
          <w:sz w:val="18"/>
          <w:szCs w:val="18"/>
          <w:color w:val="auto"/>
        </w:rPr>
      </w:pPr>
      <w:r>
        <w:rPr>
          <w:rFonts w:ascii="Arial" w:cs="Arial" w:eastAsia="Arial" w:hAnsi="Arial"/>
          <w:sz w:val="18"/>
          <w:szCs w:val="18"/>
          <w:color w:val="auto"/>
        </w:rPr>
        <w:t>prepaid such part of the Ship Aggregate Loans relevant to such Affected Ship and cancelled such part of the Ship Aggregate Commitments relevant to such Affected Ship (and otherwise as specified in paragraph (i) above); or</w:t>
      </w:r>
    </w:p>
    <w:p>
      <w:pPr>
        <w:spacing w:after="0" w:line="196" w:lineRule="exact"/>
        <w:rPr>
          <w:rFonts w:ascii="Arial" w:cs="Arial" w:eastAsia="Arial" w:hAnsi="Arial"/>
          <w:sz w:val="18"/>
          <w:szCs w:val="18"/>
          <w:color w:val="auto"/>
        </w:rPr>
      </w:pPr>
    </w:p>
    <w:p>
      <w:pPr>
        <w:ind w:left="1540" w:hanging="501"/>
        <w:spacing w:after="0" w:line="246" w:lineRule="auto"/>
        <w:tabs>
          <w:tab w:leader="none" w:pos="1621" w:val="left"/>
        </w:tabs>
        <w:numPr>
          <w:ilvl w:val="2"/>
          <w:numId w:val="290"/>
        </w:numPr>
        <w:rPr>
          <w:rFonts w:ascii="Arial" w:cs="Arial" w:eastAsia="Arial" w:hAnsi="Arial"/>
          <w:sz w:val="18"/>
          <w:szCs w:val="18"/>
          <w:color w:val="auto"/>
        </w:rPr>
      </w:pPr>
      <w:r>
        <w:rPr>
          <w:rFonts w:ascii="Arial" w:cs="Arial" w:eastAsia="Arial" w:hAnsi="Arial"/>
          <w:sz w:val="18"/>
          <w:szCs w:val="18"/>
          <w:color w:val="auto"/>
        </w:rPr>
        <w:t>provided to the Finance Parties additional security (in agreed form) for the Ship Aggregate Loans relevant to such Affected Ship, over cash in such amount of dollars,</w:t>
      </w:r>
    </w:p>
    <w:p>
      <w:pPr>
        <w:spacing w:after="0" w:line="197" w:lineRule="exact"/>
        <w:rPr>
          <w:sz w:val="20"/>
          <w:szCs w:val="20"/>
          <w:color w:val="auto"/>
        </w:rPr>
      </w:pPr>
    </w:p>
    <w:p>
      <w:pPr>
        <w:jc w:val="both"/>
        <w:ind w:left="1040"/>
        <w:spacing w:after="0" w:line="238" w:lineRule="auto"/>
        <w:rPr>
          <w:sz w:val="20"/>
          <w:szCs w:val="20"/>
          <w:color w:val="auto"/>
        </w:rPr>
      </w:pPr>
      <w:r>
        <w:rPr>
          <w:rFonts w:ascii="Arial" w:cs="Arial" w:eastAsia="Arial" w:hAnsi="Arial"/>
          <w:sz w:val="18"/>
          <w:szCs w:val="18"/>
          <w:color w:val="auto"/>
        </w:rPr>
        <w:t>as would, in either case, result in the aggregate of (1) all Ship Aggregate Loans for such Affected Ship plus (2) any undrawn portion of the Ship Aggregate Commitments for such Affected Ship, being not higher than 50% of the aggregate of the market value of the Affected Ship (as most recently determined pursuant to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plus any such additional security over cash as applicable,</w:t>
      </w:r>
    </w:p>
    <w:p>
      <w:pPr>
        <w:spacing w:after="0" w:line="205"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 xml:space="preserve">and have undertaken that, for as long as any such security over cash remains in place, they will not utilise any part of the undrawn Revolving Loan Ship Commitment for that Ship (except Rollover Loans); </w:t>
      </w:r>
      <w:r>
        <w:rPr>
          <w:rFonts w:ascii="Arial" w:cs="Arial" w:eastAsia="Arial" w:hAnsi="Arial"/>
          <w:sz w:val="18"/>
          <w:szCs w:val="18"/>
          <w:b w:val="1"/>
          <w:bCs w:val="1"/>
          <w:i w:val="1"/>
          <w:iCs w:val="1"/>
          <w:u w:val="single" w:color="auto"/>
          <w:color w:val="auto"/>
        </w:rPr>
        <w:t>or</w:t>
      </w:r>
    </w:p>
    <w:p>
      <w:pPr>
        <w:spacing w:after="0" w:line="175" w:lineRule="exact"/>
        <w:rPr>
          <w:sz w:val="20"/>
          <w:szCs w:val="20"/>
          <w:color w:val="auto"/>
        </w:rPr>
      </w:pPr>
    </w:p>
    <w:p>
      <w:pPr>
        <w:jc w:val="both"/>
        <w:ind w:left="520" w:hanging="512"/>
        <w:spacing w:after="0" w:line="253" w:lineRule="auto"/>
        <w:tabs>
          <w:tab w:leader="none" w:pos="71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relevant Owner has entered into a new charter commitment in respect of the Affected Ship (a </w:t>
      </w:r>
      <w:r>
        <w:rPr>
          <w:rFonts w:ascii="Arial" w:cs="Arial" w:eastAsia="Arial" w:hAnsi="Arial"/>
          <w:sz w:val="18"/>
          <w:szCs w:val="18"/>
          <w:b w:val="1"/>
          <w:bCs w:val="1"/>
          <w:color w:val="auto"/>
        </w:rPr>
        <w:t>Replacement Charter</w:t>
      </w:r>
      <w:r>
        <w:rPr>
          <w:rFonts w:ascii="Arial" w:cs="Arial" w:eastAsia="Arial" w:hAnsi="Arial"/>
          <w:sz w:val="18"/>
          <w:szCs w:val="18"/>
          <w:color w:val="auto"/>
        </w:rPr>
        <w:t>) in accordance with clause 26.7 (</w:t>
      </w:r>
      <w:r>
        <w:rPr>
          <w:rFonts w:ascii="Arial" w:cs="Arial" w:eastAsia="Arial" w:hAnsi="Arial"/>
          <w:sz w:val="18"/>
          <w:szCs w:val="18"/>
          <w:i w:val="1"/>
          <w:iCs w:val="1"/>
          <w:color w:val="auto"/>
        </w:rPr>
        <w:t>Termination Cure</w:t>
      </w:r>
      <w:r>
        <w:rPr>
          <w:rFonts w:ascii="Arial" w:cs="Arial" w:eastAsia="Arial" w:hAnsi="Arial"/>
          <w:sz w:val="18"/>
          <w:szCs w:val="18"/>
          <w:color w:val="auto"/>
        </w:rPr>
        <w:t>) and the Affected Ship has been delivered for service thereunder, and the Borrowers are otherwise in compliance with such clause 26.7 (</w:t>
      </w:r>
      <w:r>
        <w:rPr>
          <w:rFonts w:ascii="Arial" w:cs="Arial" w:eastAsia="Arial" w:hAnsi="Arial"/>
          <w:sz w:val="18"/>
          <w:szCs w:val="18"/>
          <w:i w:val="1"/>
          <w:iCs w:val="1"/>
          <w:color w:val="auto"/>
        </w:rPr>
        <w:t>Termination Cure</w:t>
      </w:r>
      <w:r>
        <w:rPr>
          <w:rFonts w:ascii="Arial" w:cs="Arial" w:eastAsia="Arial" w:hAnsi="Arial"/>
          <w:sz w:val="18"/>
          <w:szCs w:val="18"/>
          <w:color w:val="auto"/>
        </w:rPr>
        <w:t>) in respect of the same and which:</w:t>
      </w:r>
    </w:p>
    <w:p>
      <w:pPr>
        <w:spacing w:after="0" w:line="190" w:lineRule="exact"/>
        <w:rPr>
          <w:rFonts w:ascii="Arial" w:cs="Arial" w:eastAsia="Arial" w:hAnsi="Arial"/>
          <w:sz w:val="18"/>
          <w:szCs w:val="18"/>
          <w:color w:val="auto"/>
        </w:rPr>
      </w:pPr>
    </w:p>
    <w:p>
      <w:pPr>
        <w:ind w:left="1040" w:hanging="511"/>
        <w:spacing w:after="0" w:line="246" w:lineRule="auto"/>
        <w:tabs>
          <w:tab w:leader="none" w:pos="1081"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is with a charterer which is not a Non-Acceptable Charterer and with a credit rating of not less than BBB- or its equivalent by at least one of Standard and Poor’s, Moody’s or Fitch; and</w:t>
      </w:r>
    </w:p>
    <w:p>
      <w:pPr>
        <w:spacing w:after="0" w:line="196" w:lineRule="exact"/>
        <w:rPr>
          <w:rFonts w:ascii="Arial" w:cs="Arial" w:eastAsia="Arial" w:hAnsi="Arial"/>
          <w:sz w:val="18"/>
          <w:szCs w:val="18"/>
          <w:color w:val="auto"/>
        </w:rPr>
      </w:pPr>
    </w:p>
    <w:p>
      <w:pPr>
        <w:ind w:left="1040" w:right="20" w:hanging="511"/>
        <w:spacing w:after="0" w:line="246" w:lineRule="auto"/>
        <w:tabs>
          <w:tab w:leader="none" w:pos="124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provides for a daily charter rate which is at least equal to the daily charter rate for such Ship under the Charter that is being replaced by such Replacement Charter; and</w:t>
      </w:r>
    </w:p>
    <w:p>
      <w:pPr>
        <w:spacing w:after="0" w:line="196" w:lineRule="exact"/>
        <w:rPr>
          <w:rFonts w:ascii="Arial" w:cs="Arial" w:eastAsia="Arial" w:hAnsi="Arial"/>
          <w:sz w:val="18"/>
          <w:szCs w:val="18"/>
          <w:color w:val="auto"/>
        </w:rPr>
      </w:pPr>
    </w:p>
    <w:p>
      <w:pPr>
        <w:ind w:left="1020" w:hanging="491"/>
        <w:spacing w:after="0"/>
        <w:tabs>
          <w:tab w:leader="none" w:pos="10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provides for a fixed charter tenor of no less than 36 months without taking into account any option to extend; and</w:t>
      </w:r>
    </w:p>
    <w:p>
      <w:pPr>
        <w:spacing w:after="0" w:line="211" w:lineRule="exact"/>
        <w:rPr>
          <w:rFonts w:ascii="Arial" w:cs="Arial" w:eastAsia="Arial" w:hAnsi="Arial"/>
          <w:sz w:val="18"/>
          <w:szCs w:val="18"/>
          <w:color w:val="auto"/>
        </w:rPr>
      </w:pPr>
    </w:p>
    <w:p>
      <w:pPr>
        <w:ind w:left="1040" w:hanging="511"/>
        <w:spacing w:after="0" w:line="246" w:lineRule="auto"/>
        <w:tabs>
          <w:tab w:leader="none" w:pos="109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is not a bareboat or demise charter or other charter commitment which passes possession and operational control of the Affected Ship to another person; and</w:t>
      </w:r>
    </w:p>
    <w:p>
      <w:pPr>
        <w:spacing w:after="0" w:line="196" w:lineRule="exact"/>
        <w:rPr>
          <w:rFonts w:ascii="Arial" w:cs="Arial" w:eastAsia="Arial" w:hAnsi="Arial"/>
          <w:sz w:val="18"/>
          <w:szCs w:val="18"/>
          <w:color w:val="auto"/>
        </w:rPr>
      </w:pPr>
    </w:p>
    <w:p>
      <w:pPr>
        <w:ind w:left="1020" w:hanging="491"/>
        <w:spacing w:after="0"/>
        <w:tabs>
          <w:tab w:leader="none" w:pos="102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is otherwise in form and substance reasonably acceptable to the Majority Lenders,</w:t>
      </w:r>
    </w:p>
    <w:p>
      <w:pPr>
        <w:spacing w:after="0" w:line="21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or is otherwise acceptable in form and substance in all respects to the Majority Lenders in their absolute discretion.</w:t>
      </w:r>
    </w:p>
    <w:p>
      <w:pPr>
        <w:spacing w:after="0" w:line="2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29.22 Acceleration</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On and at any time after the occurrence of an Event of Default which is continuing the Agent shall, if so directed by the Majority Lenders, by notice to the Borrowers:</w:t>
      </w:r>
    </w:p>
    <w:p>
      <w:pPr>
        <w:spacing w:after="0" w:line="197" w:lineRule="exact"/>
        <w:rPr>
          <w:sz w:val="20"/>
          <w:szCs w:val="20"/>
          <w:color w:val="auto"/>
        </w:rPr>
      </w:pPr>
    </w:p>
    <w:p>
      <w:pPr>
        <w:ind w:left="1020" w:hanging="512"/>
        <w:spacing w:after="0"/>
        <w:tabs>
          <w:tab w:leader="none" w:pos="10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211" w:lineRule="exact"/>
        <w:rPr>
          <w:rFonts w:ascii="Arial" w:cs="Arial" w:eastAsia="Arial" w:hAnsi="Arial"/>
          <w:sz w:val="18"/>
          <w:szCs w:val="18"/>
          <w:color w:val="auto"/>
        </w:rPr>
      </w:pPr>
    </w:p>
    <w:p>
      <w:pPr>
        <w:ind w:left="1020" w:hanging="512"/>
        <w:spacing w:after="0" w:line="246" w:lineRule="auto"/>
        <w:tabs>
          <w:tab w:leader="none" w:pos="123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at which time they shall become immediately due and payable; and/or</w:t>
      </w:r>
    </w:p>
    <w:p>
      <w:pPr>
        <w:spacing w:after="0" w:line="196" w:lineRule="exact"/>
        <w:rPr>
          <w:rFonts w:ascii="Arial" w:cs="Arial" w:eastAsia="Arial" w:hAnsi="Arial"/>
          <w:sz w:val="18"/>
          <w:szCs w:val="18"/>
          <w:color w:val="auto"/>
        </w:rPr>
      </w:pPr>
    </w:p>
    <w:p>
      <w:pPr>
        <w:ind w:left="1020" w:hanging="512"/>
        <w:spacing w:after="0" w:line="246" w:lineRule="auto"/>
        <w:tabs>
          <w:tab w:leader="none" w:pos="10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at which time they shall immediately become payable on demand by the Agent on the instructions of the Majority Lenders; and/or</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211" w:lineRule="exact"/>
        <w:rPr>
          <w:rFonts w:ascii="Arial" w:cs="Arial" w:eastAsia="Arial" w:hAnsi="Arial"/>
          <w:sz w:val="18"/>
          <w:szCs w:val="18"/>
          <w:color w:val="auto"/>
        </w:rPr>
      </w:pPr>
    </w:p>
    <w:p>
      <w:pPr>
        <w:ind w:left="1020" w:right="20" w:hanging="512"/>
        <w:spacing w:after="0" w:line="246" w:lineRule="auto"/>
        <w:tabs>
          <w:tab w:leader="none" w:pos="112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30</w:t>
        <w:tab/>
        <w:t>Changes to the Lenders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7"/>
          <w:szCs w:val="17"/>
          <w:b w:val="1"/>
          <w:bCs w:val="1"/>
          <w:color w:val="auto"/>
        </w:rPr>
        <w:t>Assignments by the Lenders</w:t>
      </w:r>
    </w:p>
    <w:p>
      <w:pPr>
        <w:spacing w:after="0" w:line="212"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 xml:space="preserve">Subject to this clause 30,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b w:val="1"/>
          <w:bCs w:val="1"/>
          <w:color w:val="auto"/>
        </w:rPr>
        <w:t>Conditions of assignment</w:t>
      </w:r>
    </w:p>
    <w:p>
      <w:pPr>
        <w:spacing w:after="0" w:line="234" w:lineRule="exact"/>
        <w:rPr>
          <w:sz w:val="20"/>
          <w:szCs w:val="20"/>
          <w:color w:val="auto"/>
        </w:rPr>
      </w:pPr>
    </w:p>
    <w:p>
      <w:pPr>
        <w:ind w:left="1020" w:hanging="512"/>
        <w:spacing w:after="0"/>
        <w:tabs>
          <w:tab w:leader="none" w:pos="10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prior written consent of the Borrowers is required for an assignment by a Lender, unless:</w:t>
      </w:r>
    </w:p>
    <w:p>
      <w:pPr>
        <w:spacing w:after="0" w:line="211" w:lineRule="exact"/>
        <w:rPr>
          <w:rFonts w:ascii="Arial" w:cs="Arial" w:eastAsia="Arial" w:hAnsi="Arial"/>
          <w:sz w:val="18"/>
          <w:szCs w:val="18"/>
          <w:color w:val="auto"/>
        </w:rPr>
      </w:pPr>
    </w:p>
    <w:p>
      <w:pPr>
        <w:ind w:left="1540" w:hanging="511"/>
        <w:spacing w:after="0"/>
        <w:tabs>
          <w:tab w:leader="none" w:pos="15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assignment is to another Lender or an Affiliate of a Lender; or</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an Event of Default is continuing; or</w:t>
      </w:r>
    </w:p>
    <w:p>
      <w:pPr>
        <w:spacing w:after="0" w:line="225" w:lineRule="exact"/>
        <w:rPr>
          <w:rFonts w:ascii="Arial" w:cs="Arial" w:eastAsia="Arial" w:hAnsi="Arial"/>
          <w:sz w:val="18"/>
          <w:szCs w:val="18"/>
          <w:color w:val="auto"/>
        </w:rPr>
      </w:pPr>
    </w:p>
    <w:p>
      <w:pPr>
        <w:jc w:val="both"/>
        <w:ind w:left="1540" w:right="20" w:hanging="511"/>
        <w:spacing w:after="0" w:line="248" w:lineRule="auto"/>
        <w:tabs>
          <w:tab w:leader="none" w:pos="170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assignment is made by an Existing Lender who voted not to approve a Change of Control described in clause 41.3(b) (</w:t>
      </w:r>
      <w:r>
        <w:rPr>
          <w:rFonts w:ascii="Arial" w:cs="Arial" w:eastAsia="Arial" w:hAnsi="Arial"/>
          <w:sz w:val="18"/>
          <w:szCs w:val="18"/>
          <w:i w:val="1"/>
          <w:iCs w:val="1"/>
          <w:color w:val="auto"/>
        </w:rPr>
        <w:t>Other exceptions</w:t>
      </w:r>
      <w:r>
        <w:rPr>
          <w:rFonts w:ascii="Arial" w:cs="Arial" w:eastAsia="Arial" w:hAnsi="Arial"/>
          <w:sz w:val="18"/>
          <w:szCs w:val="18"/>
          <w:color w:val="auto"/>
        </w:rPr>
        <w:t>) but such approval was given by operation of such clause, and then only provided that the assignment is to a New Lender who is a person who is a participant in the London interbank market.</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Agent will immediately advise the Borrowers of the assignment.</w:t>
      </w:r>
    </w:p>
    <w:p>
      <w:pPr>
        <w:spacing w:after="0" w:line="212" w:lineRule="exact"/>
        <w:rPr>
          <w:sz w:val="20"/>
          <w:szCs w:val="20"/>
          <w:color w:val="auto"/>
        </w:rPr>
      </w:pPr>
    </w:p>
    <w:p>
      <w:pPr>
        <w:jc w:val="both"/>
        <w:ind w:left="1020" w:hanging="512"/>
        <w:spacing w:after="0"/>
        <w:tabs>
          <w:tab w:leader="none" w:pos="105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Borrowers’ consent may not be unreasonably withheld or delayed and will be deemed to have been given five (5) Business Days after the Lender has requested consent unless consent is expressly refused within that time. Provided however that the Borrowers shall be entitled to withhold consent in their discretion if the assignment is to a trust or fund.</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211" w:lineRule="exact"/>
        <w:rPr>
          <w:rFonts w:ascii="Arial" w:cs="Arial" w:eastAsia="Arial" w:hAnsi="Arial"/>
          <w:sz w:val="18"/>
          <w:szCs w:val="18"/>
          <w:color w:val="auto"/>
        </w:rPr>
      </w:pPr>
    </w:p>
    <w:p>
      <w:pPr>
        <w:jc w:val="both"/>
        <w:ind w:left="1540" w:hanging="511"/>
        <w:spacing w:after="0" w:line="248" w:lineRule="auto"/>
        <w:tabs>
          <w:tab w:leader="none" w:pos="154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Borrowers and the other Finance Parties as it would have been under if it was the Existing Lender;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both"/>
        <w:ind w:left="1540" w:hanging="511"/>
        <w:spacing w:after="0" w:line="248" w:lineRule="auto"/>
        <w:tabs>
          <w:tab w:leader="none" w:pos="166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195" w:lineRule="exact"/>
        <w:rPr>
          <w:rFonts w:ascii="Arial" w:cs="Arial" w:eastAsia="Arial" w:hAnsi="Arial"/>
          <w:sz w:val="18"/>
          <w:szCs w:val="18"/>
          <w:color w:val="auto"/>
        </w:rPr>
      </w:pPr>
    </w:p>
    <w:p>
      <w:pPr>
        <w:jc w:val="both"/>
        <w:ind w:left="1540" w:hanging="511"/>
        <w:spacing w:after="0" w:line="248" w:lineRule="auto"/>
        <w:tabs>
          <w:tab w:leader="none" w:pos="156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w:t>
      </w:r>
    </w:p>
    <w:p>
      <w:pPr>
        <w:spacing w:after="0" w:line="195" w:lineRule="exact"/>
        <w:rPr>
          <w:rFonts w:ascii="Arial" w:cs="Arial" w:eastAsia="Arial" w:hAnsi="Arial"/>
          <w:sz w:val="18"/>
          <w:szCs w:val="18"/>
          <w:color w:val="auto"/>
        </w:rPr>
      </w:pPr>
    </w:p>
    <w:p>
      <w:pPr>
        <w:jc w:val="both"/>
        <w:ind w:left="1540" w:hanging="511"/>
        <w:spacing w:after="0" w:line="248" w:lineRule="auto"/>
        <w:tabs>
          <w:tab w:leader="none" w:pos="156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if an assignment takes effect after there has been a Utilisation, the assignment of an Existing Lender’s participation in the Utilisations (if any) under a Facility shall take effect in respect of the same fraction of each such Utilisation under that Facility;</w:t>
      </w:r>
    </w:p>
    <w:p>
      <w:pPr>
        <w:spacing w:after="0" w:line="195" w:lineRule="exact"/>
        <w:rPr>
          <w:rFonts w:ascii="Arial" w:cs="Arial" w:eastAsia="Arial" w:hAnsi="Arial"/>
          <w:sz w:val="18"/>
          <w:szCs w:val="18"/>
          <w:color w:val="auto"/>
        </w:rPr>
      </w:pPr>
    </w:p>
    <w:p>
      <w:pPr>
        <w:ind w:left="1540" w:hanging="511"/>
        <w:spacing w:after="0" w:line="261" w:lineRule="auto"/>
        <w:tabs>
          <w:tab w:leader="none" w:pos="155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a Facility and each Utilisation (if any) under the same Facility; and</w:t>
      </w:r>
    </w:p>
    <w:p>
      <w:pPr>
        <w:spacing w:after="0" w:line="184" w:lineRule="exact"/>
        <w:rPr>
          <w:rFonts w:ascii="Arial" w:cs="Arial" w:eastAsia="Arial" w:hAnsi="Arial"/>
          <w:sz w:val="18"/>
          <w:szCs w:val="18"/>
          <w:color w:val="auto"/>
        </w:rPr>
      </w:pPr>
    </w:p>
    <w:p>
      <w:pPr>
        <w:jc w:val="both"/>
        <w:ind w:left="1540" w:hanging="511"/>
        <w:spacing w:after="0" w:line="248" w:lineRule="auto"/>
        <w:tabs>
          <w:tab w:leader="none" w:pos="156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if the total amount of participations and Commitments of the Existing Lender being assigned is not less than $10,000,000 (or its entire participations and Commitments if lower than $10,000,000) or, if less, its entire participation and Commitments.</w:t>
      </w:r>
    </w:p>
    <w:p>
      <w:pPr>
        <w:spacing w:after="0" w:line="195" w:lineRule="exact"/>
        <w:rPr>
          <w:rFonts w:ascii="Arial" w:cs="Arial" w:eastAsia="Arial" w:hAnsi="Arial"/>
          <w:sz w:val="18"/>
          <w:szCs w:val="18"/>
          <w:color w:val="auto"/>
        </w:rPr>
      </w:pPr>
    </w:p>
    <w:p>
      <w:pPr>
        <w:jc w:val="both"/>
        <w:ind w:left="1020" w:hanging="512"/>
        <w:spacing w:after="0" w:line="238" w:lineRule="auto"/>
        <w:tabs>
          <w:tab w:leader="none" w:pos="132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w:t>
      </w:r>
    </w:p>
    <w:p>
      <w:pPr>
        <w:spacing w:after="0" w:line="211" w:lineRule="exact"/>
        <w:rPr>
          <w:rFonts w:ascii="Arial" w:cs="Arial" w:eastAsia="Arial" w:hAnsi="Arial"/>
          <w:sz w:val="18"/>
          <w:szCs w:val="18"/>
          <w:color w:val="auto"/>
        </w:rPr>
      </w:pPr>
    </w:p>
    <w:p>
      <w:pPr>
        <w:ind w:left="1540" w:hanging="511"/>
        <w:spacing w:after="0" w:line="261" w:lineRule="auto"/>
        <w:tabs>
          <w:tab w:leader="none" w:pos="156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or assigns any of its rights under the Finance Documents or changes its Facility Office; and</w:t>
      </w:r>
    </w:p>
    <w:p>
      <w:pPr>
        <w:spacing w:after="0" w:line="184" w:lineRule="exact"/>
        <w:rPr>
          <w:rFonts w:ascii="Arial" w:cs="Arial" w:eastAsia="Arial" w:hAnsi="Arial"/>
          <w:sz w:val="18"/>
          <w:szCs w:val="18"/>
          <w:color w:val="auto"/>
        </w:rPr>
      </w:pPr>
    </w:p>
    <w:p>
      <w:pPr>
        <w:jc w:val="both"/>
        <w:ind w:left="1540" w:hanging="511"/>
        <w:spacing w:after="0" w:line="248" w:lineRule="auto"/>
        <w:tabs>
          <w:tab w:leader="none" w:pos="1585"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95"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30.3</w:t>
        <w:tab/>
        <w:t>Fee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New Lender shall, on the date upon which an assignment takes effect, pay to the Agent (for its own account) a fee of $5,000.</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7"/>
          <w:szCs w:val="17"/>
          <w:b w:val="1"/>
          <w:bCs w:val="1"/>
          <w:color w:val="auto"/>
        </w:rPr>
        <w:t>Limitation of responsibility of Existing Lenders</w:t>
      </w:r>
    </w:p>
    <w:p>
      <w:pPr>
        <w:spacing w:after="0" w:line="234" w:lineRule="exact"/>
        <w:rPr>
          <w:sz w:val="20"/>
          <w:szCs w:val="20"/>
          <w:color w:val="auto"/>
        </w:rPr>
      </w:pPr>
    </w:p>
    <w:p>
      <w:pPr>
        <w:ind w:left="1020" w:hanging="512"/>
        <w:spacing w:after="0" w:line="246" w:lineRule="auto"/>
        <w:tabs>
          <w:tab w:leader="none" w:pos="103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ind w:left="1520" w:hanging="491"/>
        <w:spacing w:after="0"/>
        <w:tabs>
          <w:tab w:leader="none" w:pos="15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11" w:lineRule="exact"/>
        <w:rPr>
          <w:rFonts w:ascii="Arial" w:cs="Arial" w:eastAsia="Arial" w:hAnsi="Arial"/>
          <w:sz w:val="18"/>
          <w:szCs w:val="18"/>
          <w:color w:val="auto"/>
        </w:rPr>
      </w:pPr>
    </w:p>
    <w:p>
      <w:pPr>
        <w:ind w:left="1540" w:hanging="511"/>
        <w:spacing w:after="0" w:line="246" w:lineRule="auto"/>
        <w:tabs>
          <w:tab w:leader="none" w:pos="16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96" w:lineRule="exact"/>
        <w:rPr>
          <w:rFonts w:ascii="Arial" w:cs="Arial" w:eastAsia="Arial" w:hAnsi="Arial"/>
          <w:sz w:val="18"/>
          <w:szCs w:val="18"/>
          <w:color w:val="auto"/>
        </w:rPr>
      </w:pPr>
    </w:p>
    <w:p>
      <w:pPr>
        <w:ind w:left="1540" w:right="20" w:hanging="511"/>
        <w:spacing w:after="0" w:line="246" w:lineRule="auto"/>
        <w:tabs>
          <w:tab w:leader="none" w:pos="172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 or</w:t>
      </w:r>
    </w:p>
    <w:p>
      <w:pPr>
        <w:spacing w:after="0" w:line="196" w:lineRule="exact"/>
        <w:rPr>
          <w:rFonts w:ascii="Arial" w:cs="Arial" w:eastAsia="Arial" w:hAnsi="Arial"/>
          <w:sz w:val="18"/>
          <w:szCs w:val="18"/>
          <w:color w:val="auto"/>
        </w:rPr>
      </w:pPr>
    </w:p>
    <w:p>
      <w:pPr>
        <w:ind w:left="1540" w:hanging="511"/>
        <w:spacing w:after="0" w:line="246" w:lineRule="auto"/>
        <w:tabs>
          <w:tab w:leader="none" w:pos="175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212" w:lineRule="exact"/>
        <w:rPr>
          <w:sz w:val="20"/>
          <w:szCs w:val="20"/>
          <w:color w:val="auto"/>
        </w:rPr>
      </w:pPr>
    </w:p>
    <w:p>
      <w:pPr>
        <w:ind w:left="1020" w:hanging="512"/>
        <w:spacing w:after="0"/>
        <w:tabs>
          <w:tab w:leader="none" w:pos="10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211" w:lineRule="exact"/>
        <w:rPr>
          <w:rFonts w:ascii="Arial" w:cs="Arial" w:eastAsia="Arial" w:hAnsi="Arial"/>
          <w:sz w:val="18"/>
          <w:szCs w:val="18"/>
          <w:color w:val="auto"/>
        </w:rPr>
      </w:pPr>
    </w:p>
    <w:p>
      <w:pPr>
        <w:ind w:left="2040" w:right="20" w:hanging="501"/>
        <w:spacing w:after="0" w:line="246" w:lineRule="auto"/>
        <w:tabs>
          <w:tab w:leader="none" w:pos="2094" w:val="left"/>
        </w:tabs>
        <w:numPr>
          <w:ilvl w:val="2"/>
          <w:numId w:val="299"/>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196" w:lineRule="exact"/>
        <w:rPr>
          <w:rFonts w:ascii="Arial" w:cs="Arial" w:eastAsia="Arial" w:hAnsi="Arial"/>
          <w:sz w:val="18"/>
          <w:szCs w:val="18"/>
          <w:color w:val="auto"/>
        </w:rPr>
      </w:pPr>
    </w:p>
    <w:p>
      <w:pPr>
        <w:ind w:left="2040" w:right="20" w:hanging="501"/>
        <w:spacing w:after="0" w:line="246" w:lineRule="auto"/>
        <w:tabs>
          <w:tab w:leader="none" w:pos="2337" w:val="left"/>
        </w:tabs>
        <w:numPr>
          <w:ilvl w:val="2"/>
          <w:numId w:val="299"/>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w:t>
      </w:r>
    </w:p>
    <w:p>
      <w:pPr>
        <w:spacing w:after="0" w:line="197"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97" w:lineRule="exact"/>
        <w:rPr>
          <w:sz w:val="20"/>
          <w:szCs w:val="20"/>
          <w:color w:val="auto"/>
        </w:rPr>
      </w:pPr>
    </w:p>
    <w:p>
      <w:pPr>
        <w:ind w:left="1540" w:hanging="511"/>
        <w:spacing w:after="0" w:line="246" w:lineRule="auto"/>
        <w:tabs>
          <w:tab w:leader="none" w:pos="15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96" w:lineRule="exact"/>
        <w:rPr>
          <w:rFonts w:ascii="Arial" w:cs="Arial" w:eastAsia="Arial" w:hAnsi="Arial"/>
          <w:sz w:val="18"/>
          <w:szCs w:val="18"/>
          <w:color w:val="auto"/>
        </w:rPr>
      </w:pPr>
    </w:p>
    <w:p>
      <w:pPr>
        <w:ind w:left="1540" w:hanging="511"/>
        <w:spacing w:after="0" w:line="246" w:lineRule="auto"/>
        <w:tabs>
          <w:tab w:leader="none" w:pos="162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96" w:lineRule="exact"/>
        <w:rPr>
          <w:rFonts w:ascii="Arial" w:cs="Arial" w:eastAsia="Arial" w:hAnsi="Arial"/>
          <w:sz w:val="18"/>
          <w:szCs w:val="18"/>
          <w:color w:val="auto"/>
        </w:rPr>
      </w:pPr>
    </w:p>
    <w:p>
      <w:pPr>
        <w:ind w:left="1040" w:hanging="532"/>
        <w:spacing w:after="0"/>
        <w:tabs>
          <w:tab w:leader="none" w:pos="10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30; or</w:t>
      </w:r>
    </w:p>
    <w:p>
      <w:pPr>
        <w:spacing w:after="0" w:line="211" w:lineRule="exact"/>
        <w:rPr>
          <w:rFonts w:ascii="Arial" w:cs="Arial" w:eastAsia="Arial" w:hAnsi="Arial"/>
          <w:sz w:val="18"/>
          <w:szCs w:val="18"/>
          <w:color w:val="auto"/>
        </w:rPr>
      </w:pPr>
    </w:p>
    <w:p>
      <w:pPr>
        <w:jc w:val="both"/>
        <w:ind w:left="1540" w:hanging="511"/>
        <w:spacing w:after="0"/>
        <w:tabs>
          <w:tab w:leader="none" w:pos="159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7"/>
          <w:szCs w:val="17"/>
          <w:b w:val="1"/>
          <w:bCs w:val="1"/>
          <w:color w:val="auto"/>
        </w:rPr>
        <w:t>Procedure for assignment</w:t>
      </w:r>
    </w:p>
    <w:p>
      <w:pPr>
        <w:spacing w:after="0" w:line="216" w:lineRule="exact"/>
        <w:rPr>
          <w:sz w:val="20"/>
          <w:szCs w:val="20"/>
          <w:color w:val="auto"/>
        </w:rPr>
      </w:pPr>
    </w:p>
    <w:p>
      <w:pPr>
        <w:jc w:val="both"/>
        <w:ind w:left="1020" w:hanging="512"/>
        <w:spacing w:after="0" w:line="239" w:lineRule="auto"/>
        <w:tabs>
          <w:tab w:leader="none" w:pos="113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Subject to the conditions set out in clause 30.2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an assignment may be effected in accordance with clause 30.5(d) below when (a) the Agent executes an otherwise duly completed Transfer Certificate and (b) the Agent executes any document required under clause 30.2(c) which it may be necessary for it to execute in each case delivered to it by the Existing Lender and the New Lender duly executed by them and, in the case of any such other document, any other relevant person. The Agent shall, subject to clause 30.5(b)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1" w:name="page122"/>
    <w:bookmarkEnd w:id="121"/>
    <w:p>
      <w:pPr>
        <w:ind w:left="920"/>
        <w:spacing w:after="0" w:line="246" w:lineRule="auto"/>
        <w:rPr>
          <w:sz w:val="20"/>
          <w:szCs w:val="20"/>
          <w:color w:val="auto"/>
        </w:rPr>
      </w:pPr>
      <w:r>
        <w:rPr>
          <w:rFonts w:ascii="Arial" w:cs="Arial" w:eastAsia="Arial" w:hAnsi="Arial"/>
          <w:sz w:val="18"/>
          <w:szCs w:val="18"/>
          <w:color w:val="auto"/>
        </w:rPr>
        <w:t>the other Finance Parties irrevocably authorise the Agent to execute any Transfer Certificate on their behalf without any consultation with them.</w:t>
      </w:r>
    </w:p>
    <w:p>
      <w:pPr>
        <w:spacing w:after="0" w:line="197" w:lineRule="exact"/>
        <w:rPr>
          <w:sz w:val="20"/>
          <w:szCs w:val="20"/>
          <w:color w:val="auto"/>
        </w:rPr>
      </w:pPr>
    </w:p>
    <w:p>
      <w:pPr>
        <w:jc w:val="both"/>
        <w:ind w:left="900" w:hanging="512"/>
        <w:spacing w:after="0"/>
        <w:tabs>
          <w:tab w:leader="none" w:pos="89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202" w:lineRule="exact"/>
        <w:rPr>
          <w:rFonts w:ascii="Arial" w:cs="Arial" w:eastAsia="Arial" w:hAnsi="Arial"/>
          <w:sz w:val="18"/>
          <w:szCs w:val="18"/>
          <w:color w:val="auto"/>
        </w:rPr>
      </w:pPr>
    </w:p>
    <w:p>
      <w:pPr>
        <w:ind w:left="900" w:hanging="512"/>
        <w:spacing w:after="0" w:line="246" w:lineRule="auto"/>
        <w:tabs>
          <w:tab w:leader="none" w:pos="103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78" w:lineRule="exact"/>
        <w:rPr>
          <w:rFonts w:ascii="Arial" w:cs="Arial" w:eastAsia="Arial" w:hAnsi="Arial"/>
          <w:sz w:val="18"/>
          <w:szCs w:val="18"/>
          <w:color w:val="auto"/>
        </w:rPr>
      </w:pPr>
    </w:p>
    <w:p>
      <w:pPr>
        <w:ind w:left="900" w:hanging="512"/>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29" w:lineRule="exact"/>
        <w:rPr>
          <w:rFonts w:ascii="Arial" w:cs="Arial" w:eastAsia="Arial" w:hAnsi="Arial"/>
          <w:sz w:val="18"/>
          <w:szCs w:val="18"/>
          <w:color w:val="auto"/>
        </w:rPr>
      </w:pPr>
    </w:p>
    <w:p>
      <w:pPr>
        <w:ind w:left="1420" w:hanging="511"/>
        <w:spacing w:after="0" w:line="246" w:lineRule="auto"/>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96" w:lineRule="exact"/>
        <w:rPr>
          <w:rFonts w:ascii="Arial" w:cs="Arial" w:eastAsia="Arial" w:hAnsi="Arial"/>
          <w:sz w:val="18"/>
          <w:szCs w:val="18"/>
          <w:color w:val="auto"/>
        </w:rPr>
      </w:pPr>
    </w:p>
    <w:p>
      <w:pPr>
        <w:jc w:val="both"/>
        <w:ind w:left="1420" w:hanging="511"/>
        <w:spacing w:after="0"/>
        <w:tabs>
          <w:tab w:leader="none" w:pos="156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and expressed to be the subject of the release in the Transfer Certificate (but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owed by the Obligors under the Finance Documents shall not be released); and</w:t>
      </w:r>
    </w:p>
    <w:p>
      <w:pPr>
        <w:spacing w:after="0" w:line="202" w:lineRule="exact"/>
        <w:rPr>
          <w:rFonts w:ascii="Arial" w:cs="Arial" w:eastAsia="Arial" w:hAnsi="Arial"/>
          <w:sz w:val="18"/>
          <w:szCs w:val="18"/>
          <w:color w:val="auto"/>
        </w:rPr>
      </w:pPr>
    </w:p>
    <w:p>
      <w:pPr>
        <w:ind w:left="1420" w:hanging="511"/>
        <w:spacing w:after="0" w:line="246" w:lineRule="auto"/>
        <w:tabs>
          <w:tab w:leader="none" w:pos="175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78" w:lineRule="exact"/>
        <w:rPr>
          <w:rFonts w:ascii="Arial" w:cs="Arial" w:eastAsia="Arial" w:hAnsi="Arial"/>
          <w:sz w:val="18"/>
          <w:szCs w:val="18"/>
          <w:color w:val="auto"/>
        </w:rPr>
      </w:pPr>
    </w:p>
    <w:p>
      <w:pPr>
        <w:jc w:val="both"/>
        <w:ind w:left="900" w:hanging="512"/>
        <w:spacing w:after="0" w:line="242" w:lineRule="auto"/>
        <w:tabs>
          <w:tab w:leader="none" w:pos="10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Lenders may utilise procedures other than those set out in this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assign their rights under the Finance Documents (but not, without the consent of the relevant Obligor or unless in accordance with clauses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obtain a release by that Obligor from the obligations owed to that Obligor by the Lenders nor the assumption of equivalent obligations by a New Lender) provided that they comply with the conditions set out in clause 30.2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30.6 Copy of Transfer Certificate to Borrowers</w:t>
      </w:r>
    </w:p>
    <w:p>
      <w:pPr>
        <w:spacing w:after="0" w:line="234" w:lineRule="exact"/>
        <w:rPr>
          <w:sz w:val="20"/>
          <w:szCs w:val="20"/>
          <w:color w:val="auto"/>
        </w:rPr>
      </w:pPr>
    </w:p>
    <w:p>
      <w:pPr>
        <w:jc w:val="both"/>
        <w:ind w:left="400"/>
        <w:spacing w:after="0" w:line="246" w:lineRule="auto"/>
        <w:rPr>
          <w:sz w:val="20"/>
          <w:szCs w:val="20"/>
          <w:color w:val="auto"/>
        </w:rPr>
      </w:pPr>
      <w:r>
        <w:rPr>
          <w:rFonts w:ascii="Arial" w:cs="Arial" w:eastAsia="Arial" w:hAnsi="Arial"/>
          <w:sz w:val="18"/>
          <w:szCs w:val="18"/>
          <w:color w:val="auto"/>
        </w:rPr>
        <w:t>The Agent shall, as soon as reasonably practicable after it has executed a Transfer Certificate and any other document required under clause 30.2(c), send a copy of that Transfer Certificate and such other documents to the Borrowers.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30.7 Security over Lenders’ rights</w:t>
      </w:r>
    </w:p>
    <w:p>
      <w:pPr>
        <w:spacing w:after="0" w:line="234" w:lineRule="exact"/>
        <w:rPr>
          <w:sz w:val="20"/>
          <w:szCs w:val="20"/>
          <w:color w:val="auto"/>
        </w:rPr>
      </w:pPr>
    </w:p>
    <w:p>
      <w:pPr>
        <w:jc w:val="both"/>
        <w:ind w:left="400"/>
        <w:spacing w:after="0"/>
        <w:rPr>
          <w:sz w:val="20"/>
          <w:szCs w:val="20"/>
          <w:color w:val="auto"/>
        </w:rPr>
      </w:pPr>
      <w:r>
        <w:rPr>
          <w:rFonts w:ascii="Arial" w:cs="Arial" w:eastAsia="Arial" w:hAnsi="Arial"/>
          <w:sz w:val="18"/>
          <w:szCs w:val="18"/>
          <w:color w:val="auto"/>
        </w:rPr>
        <w:t>In addition to the other rights provided to Lenders under this clause 30.7,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203" w:lineRule="exact"/>
        <w:rPr>
          <w:sz w:val="20"/>
          <w:szCs w:val="20"/>
          <w:color w:val="auto"/>
        </w:rPr>
      </w:pPr>
    </w:p>
    <w:p>
      <w:pPr>
        <w:ind w:left="900" w:hanging="512"/>
        <w:spacing w:after="0"/>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211" w:lineRule="exact"/>
        <w:rPr>
          <w:rFonts w:ascii="Arial" w:cs="Arial" w:eastAsia="Arial" w:hAnsi="Arial"/>
          <w:sz w:val="18"/>
          <w:szCs w:val="18"/>
          <w:color w:val="auto"/>
        </w:rPr>
      </w:pPr>
    </w:p>
    <w:p>
      <w:pPr>
        <w:jc w:val="both"/>
        <w:ind w:left="900" w:hanging="512"/>
        <w:spacing w:after="0"/>
        <w:tabs>
          <w:tab w:leader="none" w:pos="88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20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except that no such charge, assignment or Security Interest shall:</w:t>
      </w:r>
    </w:p>
    <w:p>
      <w:pPr>
        <w:spacing w:after="0" w:line="212" w:lineRule="exact"/>
        <w:rPr>
          <w:sz w:val="20"/>
          <w:szCs w:val="20"/>
          <w:color w:val="auto"/>
        </w:rPr>
      </w:pPr>
    </w:p>
    <w:p>
      <w:pPr>
        <w:ind w:left="1420" w:hanging="511"/>
        <w:spacing w:after="0" w:line="246" w:lineRule="auto"/>
        <w:tabs>
          <w:tab w:leader="none" w:pos="162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64135</wp:posOffset>
            </wp:positionV>
            <wp:extent cx="71532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440" w:top="341" w:right="339" w:bottom="1440" w:gutter="0" w:footer="0" w:header="0"/>
        </w:sectPr>
      </w:pPr>
    </w:p>
    <w:bookmarkStart w:id="122" w:name="page123"/>
    <w:bookmarkEnd w:id="122"/>
    <w:p>
      <w:pPr>
        <w:ind w:left="1540" w:hanging="511"/>
        <w:spacing w:after="0" w:line="246" w:lineRule="auto"/>
        <w:tabs>
          <w:tab w:leader="none" w:pos="170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30.8</w:t>
        <w:tab/>
        <w:t>Pro rata interest settlement</w:t>
      </w:r>
    </w:p>
    <w:p>
      <w:pPr>
        <w:spacing w:after="0" w:line="234" w:lineRule="exact"/>
        <w:rPr>
          <w:sz w:val="20"/>
          <w:szCs w:val="20"/>
          <w:color w:val="auto"/>
        </w:rPr>
      </w:pPr>
    </w:p>
    <w:p>
      <w:pPr>
        <w:jc w:val="both"/>
        <w:ind w:left="1020" w:hanging="512"/>
        <w:spacing w:after="0"/>
        <w:tabs>
          <w:tab w:leader="none" w:pos="112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 pursuant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202" w:lineRule="exact"/>
        <w:rPr>
          <w:rFonts w:ascii="Arial" w:cs="Arial" w:eastAsia="Arial" w:hAnsi="Arial"/>
          <w:sz w:val="18"/>
          <w:szCs w:val="18"/>
          <w:color w:val="auto"/>
        </w:rPr>
      </w:pPr>
    </w:p>
    <w:p>
      <w:pPr>
        <w:jc w:val="both"/>
        <w:ind w:left="1540" w:hanging="511"/>
        <w:spacing w:after="0" w:line="238" w:lineRule="auto"/>
        <w:tabs>
          <w:tab w:leader="none" w:pos="154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 Amounts</w:t>
      </w:r>
      <w:r>
        <w:rPr>
          <w:rFonts w:ascii="Arial" w:cs="Arial" w:eastAsia="Arial" w:hAnsi="Arial"/>
          <w:sz w:val="18"/>
          <w:szCs w:val="18"/>
          <w:color w:val="auto"/>
        </w:rPr>
        <w:t>)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w:t>
      </w:r>
    </w:p>
    <w:p>
      <w:pPr>
        <w:spacing w:after="0" w:line="202" w:lineRule="exact"/>
        <w:rPr>
          <w:rFonts w:ascii="Arial" w:cs="Arial" w:eastAsia="Arial" w:hAnsi="Arial"/>
          <w:sz w:val="18"/>
          <w:szCs w:val="18"/>
          <w:color w:val="auto"/>
        </w:rPr>
      </w:pPr>
    </w:p>
    <w:p>
      <w:pPr>
        <w:ind w:left="1540" w:hanging="511"/>
        <w:spacing w:after="0" w:line="246" w:lineRule="auto"/>
        <w:tabs>
          <w:tab w:leader="none" w:pos="160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rights assigned by the Existing Lender will not include the right to the Accrued Amounts, so that, for the avoidance of doubt:</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211" w:lineRule="exact"/>
        <w:rPr>
          <w:rFonts w:ascii="Arial" w:cs="Arial" w:eastAsia="Arial" w:hAnsi="Arial"/>
          <w:sz w:val="18"/>
          <w:szCs w:val="18"/>
          <w:color w:val="auto"/>
        </w:rPr>
      </w:pPr>
    </w:p>
    <w:p>
      <w:pPr>
        <w:ind w:left="2040" w:hanging="501"/>
        <w:spacing w:after="0" w:line="246" w:lineRule="auto"/>
        <w:tabs>
          <w:tab w:leader="none" w:pos="2121"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30.8, have been payable to it on that date, but after deduction of the Accrued Amounts.</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this clause 30.8 references to Interest Period shall be construed to include a reference to any other period for accrual of fees.</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27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 Existing Lender which retains the right to the Accrued Amounts pursuant to this clause 30.8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tab/>
        <w:t>Changes to the Obligors/Restriction on Debt Purchase Transactions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b w:val="1"/>
          <w:bCs w:val="1"/>
          <w:color w:val="auto"/>
        </w:rPr>
        <w:t>Changes to the Obligors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b w:val="1"/>
          <w:bCs w:val="1"/>
          <w:color w:val="auto"/>
        </w:rPr>
        <w:t>Prohibition on Debt Purchase Transactions by the Group or the MLP Group</w:t>
      </w:r>
    </w:p>
    <w:p>
      <w:pPr>
        <w:spacing w:after="0" w:line="234"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The Obligors shall not, and each Guarantor shall procure that each Group Member and MLP Group Member shall not, enter into any Debt Purchase Transaction or be a Lender or beneficially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3" w:name="page124"/>
    <w:bookmarkEnd w:id="123"/>
    <w:p>
      <w:pPr>
        <w:ind w:left="520" w:right="20"/>
        <w:spacing w:after="0" w:line="246" w:lineRule="auto"/>
        <w:rPr>
          <w:sz w:val="20"/>
          <w:szCs w:val="20"/>
          <w:color w:val="auto"/>
        </w:rPr>
      </w:pPr>
      <w:r>
        <w:rPr>
          <w:rFonts w:ascii="Arial" w:cs="Arial" w:eastAsia="Arial" w:hAnsi="Arial"/>
          <w:sz w:val="18"/>
          <w:szCs w:val="18"/>
          <w:color w:val="auto"/>
        </w:rPr>
        <w:t>own all or any part of the share capital of a company that is or is to be a Lender or a party to a Debt Purchase Transaction of the type referred to in the definition of Debt Purchase Transaction.</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Disenfranchisement of Debt Purchase Transactions entered into by Affiliates</w:t>
      </w:r>
    </w:p>
    <w:p>
      <w:pPr>
        <w:spacing w:after="0" w:line="234" w:lineRule="exact"/>
        <w:rPr>
          <w:sz w:val="20"/>
          <w:szCs w:val="20"/>
          <w:color w:val="auto"/>
        </w:rPr>
      </w:pPr>
    </w:p>
    <w:p>
      <w:pPr>
        <w:jc w:val="both"/>
        <w:ind w:left="1020" w:hanging="512"/>
        <w:spacing w:after="0"/>
        <w:tabs>
          <w:tab w:leader="none" w:pos="135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For so long as a Parent Affiliate (i) beneficially owns a Commitment or (ii) has entered into a sub-participation agreement relating to a Commitment or other agreement or arrangement having a substantially similar economic effect and such agreement or arrangement has not been terminated:</w:t>
      </w:r>
    </w:p>
    <w:p>
      <w:pPr>
        <w:spacing w:after="0" w:line="202" w:lineRule="exact"/>
        <w:rPr>
          <w:rFonts w:ascii="Arial" w:cs="Arial" w:eastAsia="Arial" w:hAnsi="Arial"/>
          <w:sz w:val="18"/>
          <w:szCs w:val="18"/>
          <w:color w:val="auto"/>
        </w:rPr>
      </w:pPr>
    </w:p>
    <w:p>
      <w:pPr>
        <w:jc w:val="both"/>
        <w:ind w:left="1540" w:hanging="511"/>
        <w:spacing w:after="0" w:line="238" w:lineRule="auto"/>
        <w:tabs>
          <w:tab w:leader="none" w:pos="156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in ascertaining the Majority Lenders or whether any given percentage (including, for the avoidance of doubt, unanimity) of the Total Commitments or any agreement of any specified group of Lenders (whether Majority Lenders, all Lenders or otherwise) has been obtained to approve any request for a consent, waiver, amendment or other vote under the Finance Documents, such Commitment shall be deemed to be zero; and</w:t>
      </w:r>
    </w:p>
    <w:p>
      <w:pPr>
        <w:spacing w:after="0" w:line="186" w:lineRule="exact"/>
        <w:rPr>
          <w:rFonts w:ascii="Arial" w:cs="Arial" w:eastAsia="Arial" w:hAnsi="Arial"/>
          <w:sz w:val="18"/>
          <w:szCs w:val="18"/>
          <w:color w:val="auto"/>
        </w:rPr>
      </w:pPr>
    </w:p>
    <w:p>
      <w:pPr>
        <w:jc w:val="both"/>
        <w:ind w:left="1540" w:hanging="511"/>
        <w:spacing w:after="0" w:line="245" w:lineRule="auto"/>
        <w:tabs>
          <w:tab w:leader="none" w:pos="174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for the purposes of clause 41.2 (</w:t>
      </w:r>
      <w:r>
        <w:rPr>
          <w:rFonts w:ascii="Arial" w:cs="Arial" w:eastAsia="Arial" w:hAnsi="Arial"/>
          <w:sz w:val="18"/>
          <w:szCs w:val="18"/>
          <w:i w:val="1"/>
          <w:iCs w:val="1"/>
          <w:color w:val="auto"/>
        </w:rPr>
        <w:t>All Lender matters</w:t>
      </w:r>
      <w:r>
        <w:rPr>
          <w:rFonts w:ascii="Arial" w:cs="Arial" w:eastAsia="Arial" w:hAnsi="Arial"/>
          <w:sz w:val="18"/>
          <w:szCs w:val="18"/>
          <w:color w:val="auto"/>
        </w:rPr>
        <w:t>), such Parent Affiliate or the person with whom it has entered into such sub-participation, other agreement or arrangement shall be deemed not to be a Lender for the purpose of paragraph</w:t>
      </w:r>
    </w:p>
    <w:p>
      <w:pPr>
        <w:ind w:left="1540" w:hanging="1"/>
        <w:spacing w:after="0" w:line="246" w:lineRule="auto"/>
        <w:tabs>
          <w:tab w:leader="none" w:pos="1751" w:val="left"/>
        </w:tabs>
        <w:numPr>
          <w:ilvl w:val="2"/>
          <w:numId w:val="308"/>
        </w:numPr>
        <w:rPr>
          <w:rFonts w:ascii="Arial" w:cs="Arial" w:eastAsia="Arial" w:hAnsi="Arial"/>
          <w:sz w:val="18"/>
          <w:szCs w:val="18"/>
          <w:color w:val="auto"/>
        </w:rPr>
      </w:pPr>
      <w:r>
        <w:rPr>
          <w:rFonts w:ascii="Arial" w:cs="Arial" w:eastAsia="Arial" w:hAnsi="Arial"/>
          <w:sz w:val="18"/>
          <w:szCs w:val="18"/>
          <w:color w:val="auto"/>
        </w:rPr>
        <w:t>above (unless, in the case of a person not being a Parent Affiliate, it is a Lender by virtue otherwise than by beneficially owning the relevant Commitment).</w:t>
      </w:r>
    </w:p>
    <w:p>
      <w:pPr>
        <w:spacing w:after="0" w:line="196" w:lineRule="exact"/>
        <w:rPr>
          <w:rFonts w:ascii="Arial" w:cs="Arial" w:eastAsia="Arial" w:hAnsi="Arial"/>
          <w:sz w:val="18"/>
          <w:szCs w:val="18"/>
          <w:color w:val="auto"/>
        </w:rPr>
      </w:pPr>
    </w:p>
    <w:p>
      <w:pPr>
        <w:jc w:val="both"/>
        <w:ind w:left="1020" w:hanging="512"/>
        <w:spacing w:after="0" w:line="238" w:lineRule="auto"/>
        <w:tabs>
          <w:tab w:leader="none" w:pos="105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Each Lender shall, unless such Debt Purchase Transaction is an assignment or transfer, promptly notify the Agent in writing if it knowingly enters into a Debt Purchase Transaction with a Parent Affiliate (a </w:t>
      </w:r>
      <w:r>
        <w:rPr>
          <w:rFonts w:ascii="Arial" w:cs="Arial" w:eastAsia="Arial" w:hAnsi="Arial"/>
          <w:sz w:val="18"/>
          <w:szCs w:val="18"/>
          <w:b w:val="1"/>
          <w:bCs w:val="1"/>
          <w:color w:val="auto"/>
        </w:rPr>
        <w:t>Notifiable Debt Purchase Transaction</w:t>
      </w:r>
      <w:r>
        <w:rPr>
          <w:rFonts w:ascii="Arial" w:cs="Arial" w:eastAsia="Arial" w:hAnsi="Arial"/>
          <w:sz w:val="18"/>
          <w:szCs w:val="18"/>
          <w:color w:val="auto"/>
        </w:rPr>
        <w:t>), such notification to be substantially in the form set out in Part 1 of Schedule 8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1020" w:hanging="512"/>
        <w:spacing w:after="0" w:line="246" w:lineRule="auto"/>
        <w:tabs>
          <w:tab w:leader="none" w:pos="154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Lender shall knowingly enter into any Notifiable Debt Purchase Transaction unless such Notifiable Debt Purchase Transaction relates to the entirety of its Commitment in all Facilities.</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Lender shall promptly notify the Agent if a Notifiable Debt Purchase Transaction to which it is a party:</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is terminated; or</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ceases to be with a Parent Affiliate,</w:t>
      </w:r>
    </w:p>
    <w:p>
      <w:pPr>
        <w:spacing w:after="0" w:line="194" w:lineRule="exact"/>
        <w:rPr>
          <w:sz w:val="20"/>
          <w:szCs w:val="20"/>
          <w:color w:val="auto"/>
        </w:rPr>
      </w:pPr>
    </w:p>
    <w:p>
      <w:pPr>
        <w:ind w:left="1020"/>
        <w:spacing w:after="0" w:line="267" w:lineRule="auto"/>
        <w:rPr>
          <w:sz w:val="20"/>
          <w:szCs w:val="20"/>
          <w:color w:val="auto"/>
        </w:rPr>
      </w:pPr>
      <w:r>
        <w:rPr>
          <w:rFonts w:ascii="Arial" w:cs="Arial" w:eastAsia="Arial" w:hAnsi="Arial"/>
          <w:sz w:val="18"/>
          <w:szCs w:val="18"/>
          <w:color w:val="auto"/>
        </w:rPr>
        <w:t>such notification to be substantially in the form set out in Schedule 8, Part 2 (</w:t>
      </w:r>
      <w:r>
        <w:rPr>
          <w:rFonts w:ascii="Arial" w:cs="Arial" w:eastAsia="Arial" w:hAnsi="Arial"/>
          <w:sz w:val="18"/>
          <w:szCs w:val="18"/>
          <w:i w:val="1"/>
          <w:iCs w:val="1"/>
          <w:color w:val="auto"/>
        </w:rPr>
        <w:t>Forms of Notifiable Debt Purchase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Notice</w:t>
      </w:r>
      <w:r>
        <w:rPr>
          <w:rFonts w:ascii="Arial" w:cs="Arial" w:eastAsia="Arial" w:hAnsi="Arial"/>
          <w:sz w:val="18"/>
          <w:szCs w:val="18"/>
          <w:color w:val="auto"/>
        </w:rPr>
        <w:t>).</w:t>
      </w:r>
    </w:p>
    <w:p>
      <w:pPr>
        <w:spacing w:after="0" w:line="178" w:lineRule="exact"/>
        <w:rPr>
          <w:sz w:val="20"/>
          <w:szCs w:val="20"/>
          <w:color w:val="auto"/>
        </w:rPr>
      </w:pPr>
    </w:p>
    <w:p>
      <w:pPr>
        <w:ind w:left="1020" w:hanging="512"/>
        <w:spacing w:after="0"/>
        <w:tabs>
          <w:tab w:leader="none" w:pos="10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Parent Affiliate that is a Lender agrees that:</w:t>
      </w:r>
    </w:p>
    <w:p>
      <w:pPr>
        <w:spacing w:after="0" w:line="211" w:lineRule="exact"/>
        <w:rPr>
          <w:rFonts w:ascii="Arial" w:cs="Arial" w:eastAsia="Arial" w:hAnsi="Arial"/>
          <w:sz w:val="18"/>
          <w:szCs w:val="18"/>
          <w:color w:val="auto"/>
        </w:rPr>
      </w:pPr>
    </w:p>
    <w:p>
      <w:pPr>
        <w:jc w:val="both"/>
        <w:ind w:left="1540" w:hanging="511"/>
        <w:spacing w:after="0"/>
        <w:tabs>
          <w:tab w:leader="none" w:pos="158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pacing w:after="0" w:line="202" w:lineRule="exact"/>
        <w:rPr>
          <w:rFonts w:ascii="Arial" w:cs="Arial" w:eastAsia="Arial" w:hAnsi="Arial"/>
          <w:sz w:val="18"/>
          <w:szCs w:val="18"/>
          <w:color w:val="auto"/>
        </w:rPr>
      </w:pPr>
    </w:p>
    <w:p>
      <w:pPr>
        <w:jc w:val="both"/>
        <w:ind w:left="1540" w:hanging="511"/>
        <w:spacing w:after="0" w:line="238" w:lineRule="auto"/>
        <w:tabs>
          <w:tab w:leader="none" w:pos="193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in its capacity as Lender, unless the Agent otherwise agrees, it shall not be entitled to receive any report or other document prepared at the behest of, or on the instructions of or addressed to, the Agent or one or more of the Lenders. For the avoidance of doubt the only information the Lender is entitled to receive are operational notices for that Lender in connection with their Commitment.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7"/>
          <w:szCs w:val="17"/>
          <w:b w:val="1"/>
          <w:bCs w:val="1"/>
          <w:color w:val="auto"/>
        </w:rPr>
        <w:t>Parent Affiliates’ notification to other Lenders of Debt Purchase Transactions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Any Parent Affiliate which is or becomes a Lender and which enters into a Debt Purchase Transaction as a purchaser or a participant shall, by 5.00 pm on the Business Day following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ind w:left="520"/>
        <w:spacing w:after="0" w:line="246" w:lineRule="auto"/>
        <w:rPr>
          <w:sz w:val="20"/>
          <w:szCs w:val="20"/>
          <w:color w:val="auto"/>
        </w:rPr>
      </w:pPr>
      <w:r>
        <w:rPr>
          <w:rFonts w:ascii="Arial" w:cs="Arial" w:eastAsia="Arial" w:hAnsi="Arial"/>
          <w:sz w:val="18"/>
          <w:szCs w:val="18"/>
          <w:color w:val="auto"/>
        </w:rPr>
        <w:t>day on which it entered into the Debt Purchase Transaction, notify the Agent of the extent of the Commitment(s) or amount outstanding to which that Debt Purchase Transaction relates. The Agent shall promptly disclose such information to the Lenders.</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32</w:t>
        <w:tab/>
        <w:t>Roles of Agent, Security Agent and Arrangers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Appointment of the Agent</w:t>
      </w:r>
    </w:p>
    <w:p>
      <w:pPr>
        <w:spacing w:after="0" w:line="234" w:lineRule="exact"/>
        <w:rPr>
          <w:sz w:val="20"/>
          <w:szCs w:val="20"/>
          <w:color w:val="auto"/>
        </w:rPr>
      </w:pPr>
    </w:p>
    <w:p>
      <w:pPr>
        <w:ind w:left="1020" w:hanging="512"/>
        <w:spacing w:after="0" w:line="246" w:lineRule="auto"/>
        <w:tabs>
          <w:tab w:leader="none" w:pos="103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211" w:lineRule="exact"/>
        <w:rPr>
          <w:rFonts w:ascii="Arial" w:cs="Arial" w:eastAsia="Arial" w:hAnsi="Arial"/>
          <w:sz w:val="18"/>
          <w:szCs w:val="18"/>
          <w:color w:val="auto"/>
        </w:rPr>
      </w:pPr>
    </w:p>
    <w:p>
      <w:pPr>
        <w:jc w:val="both"/>
        <w:ind w:left="1540" w:hanging="511"/>
        <w:spacing w:after="0"/>
        <w:tabs>
          <w:tab w:leader="none" w:pos="189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202" w:lineRule="exact"/>
        <w:rPr>
          <w:rFonts w:ascii="Arial" w:cs="Arial" w:eastAsia="Arial" w:hAnsi="Arial"/>
          <w:sz w:val="18"/>
          <w:szCs w:val="18"/>
          <w:color w:val="auto"/>
        </w:rPr>
      </w:pPr>
    </w:p>
    <w:p>
      <w:pPr>
        <w:ind w:left="1540" w:hanging="511"/>
        <w:spacing w:after="0" w:line="246" w:lineRule="auto"/>
        <w:tabs>
          <w:tab w:leader="none" w:pos="1702"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Majority Lenders for execution by it.</w:t>
      </w:r>
    </w:p>
    <w:p>
      <w:pPr>
        <w:spacing w:after="0" w:line="196" w:lineRule="exact"/>
        <w:rPr>
          <w:rFonts w:ascii="Arial" w:cs="Arial" w:eastAsia="Arial" w:hAnsi="Arial"/>
          <w:sz w:val="18"/>
          <w:szCs w:val="18"/>
          <w:color w:val="auto"/>
        </w:rPr>
      </w:pPr>
    </w:p>
    <w:p>
      <w:pPr>
        <w:ind w:left="1020" w:hanging="512"/>
        <w:spacing w:after="0" w:line="246" w:lineRule="auto"/>
        <w:tabs>
          <w:tab w:leader="none" w:pos="130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Agent accepts its appointment under clause 32.1(a) as agent for the Finance Parties (for so long as they are Finance Parties) on and subject to the terms of this clause 32, and any Finance Documents to which it is a Party.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Instructions to Agent</w:t>
      </w:r>
    </w:p>
    <w:p>
      <w:pPr>
        <w:spacing w:after="0" w:line="234" w:lineRule="exact"/>
        <w:rPr>
          <w:sz w:val="20"/>
          <w:szCs w:val="20"/>
          <w:color w:val="auto"/>
        </w:rPr>
      </w:pPr>
    </w:p>
    <w:p>
      <w:pPr>
        <w:ind w:left="1020" w:hanging="512"/>
        <w:spacing w:after="0"/>
        <w:tabs>
          <w:tab w:leader="none" w:pos="10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11" w:lineRule="exact"/>
        <w:rPr>
          <w:rFonts w:ascii="Arial" w:cs="Arial" w:eastAsia="Arial" w:hAnsi="Arial"/>
          <w:sz w:val="18"/>
          <w:szCs w:val="18"/>
          <w:color w:val="auto"/>
        </w:rPr>
      </w:pPr>
    </w:p>
    <w:p>
      <w:pPr>
        <w:ind w:left="1540" w:hanging="511"/>
        <w:spacing w:after="0" w:line="246" w:lineRule="auto"/>
        <w:tabs>
          <w:tab w:leader="none" w:pos="152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96" w:lineRule="exact"/>
        <w:rPr>
          <w:rFonts w:ascii="Arial" w:cs="Arial" w:eastAsia="Arial" w:hAnsi="Arial"/>
          <w:sz w:val="18"/>
          <w:szCs w:val="18"/>
          <w:color w:val="auto"/>
        </w:rPr>
      </w:pPr>
    </w:p>
    <w:p>
      <w:pPr>
        <w:ind w:left="2040" w:hanging="501"/>
        <w:spacing w:after="0" w:line="246" w:lineRule="auto"/>
        <w:tabs>
          <w:tab w:leader="none" w:pos="2202" w:val="left"/>
        </w:tabs>
        <w:numPr>
          <w:ilvl w:val="2"/>
          <w:numId w:val="311"/>
        </w:numPr>
        <w:rPr>
          <w:rFonts w:ascii="Arial" w:cs="Arial" w:eastAsia="Arial" w:hAnsi="Arial"/>
          <w:sz w:val="18"/>
          <w:szCs w:val="18"/>
          <w:color w:val="auto"/>
        </w:rPr>
      </w:pPr>
      <w:r>
        <w:rPr>
          <w:rFonts w:ascii="Arial" w:cs="Arial" w:eastAsia="Arial" w:hAnsi="Arial"/>
          <w:sz w:val="18"/>
          <w:szCs w:val="18"/>
          <w:color w:val="auto"/>
        </w:rPr>
        <w:t>all Lenders or the Majority Lenders (as the case may be) if the relevant Finance Document stipulates the matter requires such decision; and</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32.2(a)(i) above.</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0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may refrain from acting unless and until it receives those instructions or that clarification.</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22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15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5" w:name="page126"/>
    <w:bookmarkEnd w:id="125"/>
    <w:p>
      <w:pPr>
        <w:ind w:left="1020" w:hanging="512"/>
        <w:spacing w:after="0"/>
        <w:tabs>
          <w:tab w:leader="none" w:pos="10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11" w:lineRule="exact"/>
        <w:rPr>
          <w:rFonts w:ascii="Arial" w:cs="Arial" w:eastAsia="Arial" w:hAnsi="Arial"/>
          <w:sz w:val="18"/>
          <w:szCs w:val="18"/>
          <w:color w:val="auto"/>
        </w:rPr>
      </w:pPr>
    </w:p>
    <w:p>
      <w:pPr>
        <w:jc w:val="both"/>
        <w:ind w:left="1020" w:hanging="512"/>
        <w:spacing w:after="0"/>
        <w:tabs>
          <w:tab w:leader="none" w:pos="106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paragraph (f) shall not apply to any legal or arbitration proceeding relating to the perfection, preservation or protection of rights under the Security Documents or enforcement of the Security Documents.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7"/>
          <w:szCs w:val="17"/>
          <w:b w:val="1"/>
          <w:bCs w:val="1"/>
          <w:color w:val="auto"/>
        </w:rPr>
        <w:t>Duties of the Agent</w:t>
      </w:r>
    </w:p>
    <w:p>
      <w:pPr>
        <w:spacing w:after="0" w:line="234" w:lineRule="exact"/>
        <w:rPr>
          <w:sz w:val="20"/>
          <w:szCs w:val="20"/>
          <w:color w:val="auto"/>
        </w:rPr>
      </w:pPr>
    </w:p>
    <w:p>
      <w:pPr>
        <w:ind w:left="1020" w:hanging="512"/>
        <w:spacing w:after="0"/>
        <w:tabs>
          <w:tab w:leader="none" w:pos="10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11"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78" w:lineRule="exact"/>
        <w:rPr>
          <w:rFonts w:ascii="Arial" w:cs="Arial" w:eastAsia="Arial" w:hAnsi="Arial"/>
          <w:sz w:val="18"/>
          <w:szCs w:val="18"/>
          <w:color w:val="auto"/>
        </w:rPr>
      </w:pPr>
    </w:p>
    <w:p>
      <w:pPr>
        <w:ind w:left="1020" w:hanging="512"/>
        <w:spacing w:after="0" w:line="267" w:lineRule="auto"/>
        <w:tabs>
          <w:tab w:leader="none" w:pos="130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Without prejudice to clause 30.6 (</w:t>
      </w:r>
      <w:r>
        <w:rPr>
          <w:rFonts w:ascii="Arial" w:cs="Arial" w:eastAsia="Arial" w:hAnsi="Arial"/>
          <w:sz w:val="18"/>
          <w:szCs w:val="18"/>
          <w:i w:val="1"/>
          <w:iCs w:val="1"/>
          <w:color w:val="auto"/>
        </w:rPr>
        <w:t>Copy of Transfer Certificate to Borrowers</w:t>
      </w:r>
      <w:r>
        <w:rPr>
          <w:rFonts w:ascii="Arial" w:cs="Arial" w:eastAsia="Arial" w:hAnsi="Arial"/>
          <w:sz w:val="18"/>
          <w:szCs w:val="18"/>
          <w:color w:val="auto"/>
        </w:rPr>
        <w:t>), clause 32.3(b) shall not apply to any Transfer Certificate.</w:t>
      </w:r>
    </w:p>
    <w:p>
      <w:pPr>
        <w:spacing w:after="0" w:line="178" w:lineRule="exact"/>
        <w:rPr>
          <w:rFonts w:ascii="Arial" w:cs="Arial" w:eastAsia="Arial" w:hAnsi="Arial"/>
          <w:sz w:val="18"/>
          <w:szCs w:val="18"/>
          <w:color w:val="auto"/>
        </w:rPr>
      </w:pPr>
    </w:p>
    <w:p>
      <w:pPr>
        <w:ind w:left="1020" w:right="20" w:hanging="512"/>
        <w:spacing w:after="0" w:line="246" w:lineRule="auto"/>
        <w:tabs>
          <w:tab w:leader="none" w:pos="116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96" w:lineRule="exact"/>
        <w:rPr>
          <w:rFonts w:ascii="Arial" w:cs="Arial" w:eastAsia="Arial" w:hAnsi="Arial"/>
          <w:sz w:val="18"/>
          <w:szCs w:val="18"/>
          <w:color w:val="auto"/>
        </w:rPr>
      </w:pPr>
    </w:p>
    <w:p>
      <w:pPr>
        <w:ind w:left="1020" w:hanging="512"/>
        <w:spacing w:after="0" w:line="246" w:lineRule="auto"/>
        <w:tabs>
          <w:tab w:leader="none" w:pos="12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96" w:lineRule="exact"/>
        <w:rPr>
          <w:rFonts w:ascii="Arial" w:cs="Arial" w:eastAsia="Arial" w:hAnsi="Arial"/>
          <w:sz w:val="18"/>
          <w:szCs w:val="18"/>
          <w:color w:val="auto"/>
        </w:rPr>
      </w:pPr>
    </w:p>
    <w:p>
      <w:pPr>
        <w:jc w:val="both"/>
        <w:ind w:left="1020" w:hanging="512"/>
        <w:spacing w:after="0"/>
        <w:tabs>
          <w:tab w:leader="none" w:pos="126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p>
      <w:pPr>
        <w:spacing w:after="0" w:line="202" w:lineRule="exact"/>
        <w:rPr>
          <w:rFonts w:ascii="Arial" w:cs="Arial" w:eastAsia="Arial" w:hAnsi="Arial"/>
          <w:sz w:val="18"/>
          <w:szCs w:val="18"/>
          <w:color w:val="auto"/>
        </w:rPr>
      </w:pPr>
    </w:p>
    <w:p>
      <w:pPr>
        <w:ind w:left="1020" w:hanging="512"/>
        <w:spacing w:after="0" w:line="246" w:lineRule="auto"/>
        <w:tabs>
          <w:tab w:leader="none" w:pos="101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b w:val="1"/>
          <w:bCs w:val="1"/>
          <w:color w:val="auto"/>
        </w:rPr>
        <w:t>Role of the Arrangers and Bookrunner</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Except as specifically provided in the Finance Documents, the Arrangers and the Bookrunner have no obligations of any kind to any other Party under or in connection with any Finance Document or the transactions contemplated by the Finance Documents.</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7"/>
          <w:szCs w:val="17"/>
          <w:b w:val="1"/>
          <w:bCs w:val="1"/>
          <w:color w:val="auto"/>
        </w:rPr>
        <w:t>No fiduciary duties</w:t>
      </w:r>
    </w:p>
    <w:p>
      <w:pPr>
        <w:spacing w:after="0" w:line="234" w:lineRule="exact"/>
        <w:rPr>
          <w:sz w:val="20"/>
          <w:szCs w:val="20"/>
          <w:color w:val="auto"/>
        </w:rPr>
      </w:pPr>
    </w:p>
    <w:p>
      <w:pPr>
        <w:ind w:left="1020" w:hanging="512"/>
        <w:spacing w:after="0"/>
        <w:tabs>
          <w:tab w:leader="none" w:pos="10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Nothing in this Agreement constitutes the Agent, the Arrangers and the Bookrunner as a trustee or fiduciary of any other person.</w:t>
      </w:r>
    </w:p>
    <w:p>
      <w:pPr>
        <w:spacing w:after="0" w:line="211" w:lineRule="exact"/>
        <w:rPr>
          <w:rFonts w:ascii="Arial" w:cs="Arial" w:eastAsia="Arial" w:hAnsi="Arial"/>
          <w:sz w:val="18"/>
          <w:szCs w:val="18"/>
          <w:color w:val="auto"/>
        </w:rPr>
      </w:pPr>
    </w:p>
    <w:p>
      <w:pPr>
        <w:jc w:val="both"/>
        <w:ind w:left="1020" w:hanging="512"/>
        <w:spacing w:after="0"/>
        <w:tabs>
          <w:tab w:leader="none" w:pos="107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None of the Agent, the Security Agent, the Arrangers and the Bookrunner shall be bound to account to any Lender for any sum or the profit element of any sum received by it for its own account or have any obligations to the other Finance Parties beyond those expressly stated in the Finance Documents.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6" w:name="page127"/>
    <w:bookmarkEnd w:id="126"/>
    <w:p>
      <w:pPr>
        <w:spacing w:after="0"/>
        <w:tabs>
          <w:tab w:leader="none" w:pos="50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7"/>
          <w:szCs w:val="17"/>
          <w:b w:val="1"/>
          <w:bCs w:val="1"/>
          <w:color w:val="auto"/>
        </w:rPr>
        <w:t>Business with the Group or the MLP Group</w:t>
      </w:r>
    </w:p>
    <w:p>
      <w:pPr>
        <w:spacing w:after="0" w:line="234"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The Agent, the Security Agent, the Arrangers and the Bookrunner may accept deposits from, lend money to and generally engage in any kind of banking or other business with any Obligor or other Group Member or MLP Group Member or their Affiliates and shall not be obliged to account to the other Finance Parties for any profits.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7"/>
          <w:szCs w:val="17"/>
          <w:b w:val="1"/>
          <w:bCs w:val="1"/>
          <w:color w:val="auto"/>
        </w:rPr>
        <w:t>Rights and discretions of the Agent</w:t>
      </w:r>
    </w:p>
    <w:p>
      <w:pPr>
        <w:spacing w:after="0" w:line="234" w:lineRule="exact"/>
        <w:rPr>
          <w:sz w:val="20"/>
          <w:szCs w:val="20"/>
          <w:color w:val="auto"/>
        </w:rPr>
      </w:pPr>
    </w:p>
    <w:p>
      <w:pPr>
        <w:ind w:left="1020" w:hanging="512"/>
        <w:spacing w:after="0"/>
        <w:tabs>
          <w:tab w:leader="none" w:pos="10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11" w:lineRule="exact"/>
        <w:rPr>
          <w:rFonts w:ascii="Arial" w:cs="Arial" w:eastAsia="Arial" w:hAnsi="Arial"/>
          <w:sz w:val="18"/>
          <w:szCs w:val="18"/>
          <w:color w:val="auto"/>
        </w:rPr>
      </w:pPr>
    </w:p>
    <w:p>
      <w:pPr>
        <w:jc w:val="both"/>
        <w:ind w:left="1540" w:hanging="511"/>
        <w:spacing w:after="0" w:line="238" w:lineRule="auto"/>
        <w:tabs>
          <w:tab w:leader="none" w:pos="15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(including, without limitation, any notice given by a Lender pursuant to clauses 31.3(b) and 31.3(d) (</w:t>
      </w:r>
      <w:r>
        <w:rPr>
          <w:rFonts w:ascii="Arial" w:cs="Arial" w:eastAsia="Arial" w:hAnsi="Arial"/>
          <w:sz w:val="18"/>
          <w:szCs w:val="18"/>
          <w:i w:val="1"/>
          <w:iCs w:val="1"/>
          <w:color w:val="auto"/>
        </w:rPr>
        <w:t>Disenfranchisement on Debt Purchase Transactions entered into by Affiliates</w:t>
      </w:r>
      <w:r>
        <w:rPr>
          <w:rFonts w:ascii="Arial" w:cs="Arial" w:eastAsia="Arial" w:hAnsi="Arial"/>
          <w:sz w:val="18"/>
          <w:szCs w:val="18"/>
          <w:color w:val="auto"/>
        </w:rPr>
        <w: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202" w:lineRule="exact"/>
        <w:rPr>
          <w:rFonts w:ascii="Arial" w:cs="Arial" w:eastAsia="Arial" w:hAnsi="Arial"/>
          <w:sz w:val="18"/>
          <w:szCs w:val="18"/>
          <w:color w:val="auto"/>
        </w:rPr>
      </w:pPr>
    </w:p>
    <w:p>
      <w:pPr>
        <w:ind w:left="1520" w:hanging="491"/>
        <w:spacing w:after="0"/>
        <w:tabs>
          <w:tab w:leader="none" w:pos="15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11" w:lineRule="exact"/>
        <w:rPr>
          <w:rFonts w:ascii="Arial" w:cs="Arial" w:eastAsia="Arial" w:hAnsi="Arial"/>
          <w:sz w:val="18"/>
          <w:szCs w:val="18"/>
          <w:color w:val="auto"/>
        </w:rPr>
      </w:pPr>
    </w:p>
    <w:p>
      <w:pPr>
        <w:ind w:left="2040" w:hanging="501"/>
        <w:spacing w:after="0" w:line="246" w:lineRule="auto"/>
        <w:tabs>
          <w:tab w:leader="none" w:pos="2188"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11" w:lineRule="exact"/>
        <w:rPr>
          <w:rFonts w:ascii="Arial" w:cs="Arial" w:eastAsia="Arial" w:hAnsi="Arial"/>
          <w:sz w:val="18"/>
          <w:szCs w:val="18"/>
          <w:color w:val="auto"/>
        </w:rPr>
      </w:pPr>
    </w:p>
    <w:p>
      <w:pPr>
        <w:ind w:left="2040" w:hanging="501"/>
        <w:spacing w:after="0" w:line="246" w:lineRule="auto"/>
        <w:tabs>
          <w:tab w:leader="none" w:pos="2202"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12"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as sufficient evidence that that is the case and, in the case of paragraph (i) above, may assume the truth and accuracy of that certificate.</w:t>
      </w:r>
    </w:p>
    <w:p>
      <w:pPr>
        <w:spacing w:after="0" w:line="197" w:lineRule="exact"/>
        <w:rPr>
          <w:sz w:val="20"/>
          <w:szCs w:val="20"/>
          <w:color w:val="auto"/>
        </w:rPr>
      </w:pPr>
    </w:p>
    <w:p>
      <w:pPr>
        <w:ind w:left="1020" w:hanging="512"/>
        <w:spacing w:after="0"/>
        <w:tabs>
          <w:tab w:leader="none" w:pos="10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193" w:lineRule="exact"/>
        <w:rPr>
          <w:rFonts w:ascii="Arial" w:cs="Arial" w:eastAsia="Arial" w:hAnsi="Arial"/>
          <w:sz w:val="18"/>
          <w:szCs w:val="18"/>
          <w:color w:val="auto"/>
        </w:rPr>
      </w:pPr>
    </w:p>
    <w:p>
      <w:pPr>
        <w:ind w:left="1520" w:hanging="491"/>
        <w:spacing w:after="0"/>
        <w:tabs>
          <w:tab w:leader="none" w:pos="15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29.1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40" w:right="20" w:hanging="511"/>
        <w:spacing w:after="0" w:line="246" w:lineRule="auto"/>
        <w:tabs>
          <w:tab w:leader="none" w:pos="1634"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w:t>
      </w:r>
    </w:p>
    <w:p>
      <w:pPr>
        <w:spacing w:after="0" w:line="196" w:lineRule="exact"/>
        <w:rPr>
          <w:rFonts w:ascii="Arial" w:cs="Arial" w:eastAsia="Arial" w:hAnsi="Arial"/>
          <w:sz w:val="18"/>
          <w:szCs w:val="18"/>
          <w:color w:val="auto"/>
        </w:rPr>
      </w:pPr>
    </w:p>
    <w:p>
      <w:pPr>
        <w:ind w:left="1540" w:hanging="511"/>
        <w:spacing w:after="0" w:line="246" w:lineRule="auto"/>
        <w:tabs>
          <w:tab w:leader="none" w:pos="156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notice or request made by a Borrower (other than a Utilisation Request or Selection Notice) is made on behalf of and with the consent and knowledge of all the Obligors; and</w:t>
      </w:r>
    </w:p>
    <w:p>
      <w:pPr>
        <w:spacing w:after="0" w:line="196" w:lineRule="exact"/>
        <w:rPr>
          <w:rFonts w:ascii="Arial" w:cs="Arial" w:eastAsia="Arial" w:hAnsi="Arial"/>
          <w:sz w:val="18"/>
          <w:szCs w:val="18"/>
          <w:color w:val="auto"/>
        </w:rPr>
      </w:pPr>
    </w:p>
    <w:p>
      <w:pPr>
        <w:ind w:left="1540" w:hanging="511"/>
        <w:spacing w:after="0"/>
        <w:tabs>
          <w:tab w:leader="none" w:pos="15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no Notifiable Debt Purchase Transaction:</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has been entered into;</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has been terminated; or</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has ceased to be with a Parent Affiliate.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ind w:left="1020" w:hanging="512"/>
        <w:spacing w:after="0" w:line="246" w:lineRule="auto"/>
        <w:tabs>
          <w:tab w:leader="none" w:pos="139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96" w:lineRule="exact"/>
        <w:rPr>
          <w:rFonts w:ascii="Arial" w:cs="Arial" w:eastAsia="Arial" w:hAnsi="Arial"/>
          <w:sz w:val="18"/>
          <w:szCs w:val="18"/>
          <w:color w:val="auto"/>
        </w:rPr>
      </w:pPr>
    </w:p>
    <w:p>
      <w:pPr>
        <w:jc w:val="both"/>
        <w:ind w:left="1020" w:hanging="512"/>
        <w:spacing w:after="0"/>
        <w:tabs>
          <w:tab w:leader="none" w:pos="134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Without prejudice to the generality of clause 32.7(c) or clause 32.7(e),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202" w:lineRule="exact"/>
        <w:rPr>
          <w:rFonts w:ascii="Arial" w:cs="Arial" w:eastAsia="Arial" w:hAnsi="Arial"/>
          <w:sz w:val="18"/>
          <w:szCs w:val="18"/>
          <w:color w:val="auto"/>
        </w:rPr>
      </w:pPr>
    </w:p>
    <w:p>
      <w:pPr>
        <w:jc w:val="both"/>
        <w:ind w:left="1020" w:hanging="512"/>
        <w:spacing w:after="0" w:line="237" w:lineRule="auto"/>
        <w:tabs>
          <w:tab w:leader="none" w:pos="140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diminution in value or such liability are directly caused by the gross negligence or wilful misconduct of the Agent acting alone and on its own discretion without instructions from any Lender under the provisions of the Finance Documents.</w:t>
      </w:r>
    </w:p>
    <w:p>
      <w:pPr>
        <w:spacing w:after="0" w:line="204" w:lineRule="exact"/>
        <w:rPr>
          <w:rFonts w:ascii="Arial" w:cs="Arial" w:eastAsia="Arial" w:hAnsi="Arial"/>
          <w:sz w:val="18"/>
          <w:szCs w:val="18"/>
          <w:color w:val="auto"/>
        </w:rPr>
      </w:pPr>
    </w:p>
    <w:p>
      <w:pPr>
        <w:ind w:left="1000" w:hanging="492"/>
        <w:spacing w:after="0"/>
        <w:tabs>
          <w:tab w:leader="none" w:pos="10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211" w:lineRule="exact"/>
        <w:rPr>
          <w:rFonts w:ascii="Arial" w:cs="Arial" w:eastAsia="Arial" w:hAnsi="Arial"/>
          <w:sz w:val="18"/>
          <w:szCs w:val="18"/>
          <w:color w:val="auto"/>
        </w:rPr>
      </w:pPr>
    </w:p>
    <w:p>
      <w:pPr>
        <w:ind w:left="1020" w:hanging="512"/>
        <w:spacing w:after="0" w:line="246" w:lineRule="auto"/>
        <w:tabs>
          <w:tab w:leader="none" w:pos="142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96" w:lineRule="exact"/>
        <w:rPr>
          <w:rFonts w:ascii="Arial" w:cs="Arial" w:eastAsia="Arial" w:hAnsi="Arial"/>
          <w:sz w:val="18"/>
          <w:szCs w:val="18"/>
          <w:color w:val="auto"/>
        </w:rPr>
      </w:pPr>
    </w:p>
    <w:p>
      <w:pPr>
        <w:jc w:val="both"/>
        <w:ind w:left="1020" w:hanging="512"/>
        <w:spacing w:after="0" w:line="238" w:lineRule="auto"/>
        <w:tabs>
          <w:tab w:leader="none" w:pos="111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204" w:lineRule="exact"/>
        <w:rPr>
          <w:rFonts w:ascii="Arial" w:cs="Arial" w:eastAsia="Arial" w:hAnsi="Arial"/>
          <w:sz w:val="18"/>
          <w:szCs w:val="18"/>
          <w:color w:val="auto"/>
        </w:rPr>
      </w:pPr>
    </w:p>
    <w:p>
      <w:pPr>
        <w:jc w:val="both"/>
        <w:ind w:left="1020" w:hanging="512"/>
        <w:spacing w:after="0"/>
        <w:tabs>
          <w:tab w:leader="none" w:pos="12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Without prejudice to the generality of clause 32.7(h), the Agent may (but is not obliged) disclose the identity of a Defaulting Lender to the other Finance Parties and the Borrowers and the Agent shall disclose the same upon the written request of the Majority Lenders</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6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204" w:lineRule="exact"/>
        <w:rPr>
          <w:rFonts w:ascii="Arial" w:cs="Arial" w:eastAsia="Arial" w:hAnsi="Arial"/>
          <w:sz w:val="18"/>
          <w:szCs w:val="18"/>
          <w:color w:val="auto"/>
        </w:rPr>
      </w:pPr>
    </w:p>
    <w:p>
      <w:pPr>
        <w:jc w:val="both"/>
        <w:ind w:left="1020" w:hanging="512"/>
        <w:spacing w:after="0"/>
        <w:tabs>
          <w:tab w:leader="none" w:pos="129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19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unless so required in writing by a Lender, in which case the Agent shall promptly make the appropriate request of the Borrowers if such request would be in accordance with the terms of this Agreement.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7"/>
          <w:szCs w:val="17"/>
          <w:b w:val="1"/>
          <w:bCs w:val="1"/>
          <w:color w:val="auto"/>
        </w:rPr>
        <w:t>Responsibility for documentation and other matters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Neither the Agent nor any Arranger is responsible or liable for:</w:t>
      </w:r>
    </w:p>
    <w:p>
      <w:pPr>
        <w:spacing w:after="0" w:line="212" w:lineRule="exact"/>
        <w:rPr>
          <w:sz w:val="20"/>
          <w:szCs w:val="20"/>
          <w:color w:val="auto"/>
        </w:rPr>
      </w:pPr>
    </w:p>
    <w:p>
      <w:pPr>
        <w:jc w:val="both"/>
        <w:ind w:left="1020" w:hanging="512"/>
        <w:spacing w:after="0" w:line="238" w:lineRule="auto"/>
        <w:tabs>
          <w:tab w:leader="none" w:pos="113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(whether oral or written) supplied by the Agent, any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8" w:name="page129"/>
    <w:bookmarkEnd w:id="128"/>
    <w:p>
      <w:pPr>
        <w:jc w:val="both"/>
        <w:ind w:left="520" w:hanging="512"/>
        <w:spacing w:after="0"/>
        <w:tabs>
          <w:tab w:leader="none" w:pos="70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other agreement, arrangement or document entered into, made or executed in anticipation of, under or in connection with any Finance Document or any Charter Document;</w:t>
      </w:r>
    </w:p>
    <w:p>
      <w:pPr>
        <w:spacing w:after="0" w:line="202" w:lineRule="exact"/>
        <w:rPr>
          <w:rFonts w:ascii="Arial" w:cs="Arial" w:eastAsia="Arial" w:hAnsi="Arial"/>
          <w:sz w:val="18"/>
          <w:szCs w:val="18"/>
          <w:color w:val="auto"/>
        </w:rPr>
      </w:pPr>
    </w:p>
    <w:p>
      <w:pPr>
        <w:ind w:left="520" w:hanging="512"/>
        <w:spacing w:after="0"/>
        <w:tabs>
          <w:tab w:leader="none" w:pos="5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11" w:lineRule="exact"/>
        <w:rPr>
          <w:rFonts w:ascii="Arial" w:cs="Arial" w:eastAsia="Arial" w:hAnsi="Arial"/>
          <w:sz w:val="18"/>
          <w:szCs w:val="18"/>
          <w:color w:val="auto"/>
        </w:rPr>
      </w:pPr>
    </w:p>
    <w:p>
      <w:pPr>
        <w:ind w:left="520" w:hanging="512"/>
        <w:spacing w:after="0" w:line="246" w:lineRule="auto"/>
        <w:tabs>
          <w:tab w:leader="none" w:pos="86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96" w:lineRule="exact"/>
        <w:rPr>
          <w:rFonts w:ascii="Arial" w:cs="Arial" w:eastAsia="Arial" w:hAnsi="Arial"/>
          <w:sz w:val="18"/>
          <w:szCs w:val="18"/>
          <w:color w:val="auto"/>
        </w:rPr>
      </w:pPr>
    </w:p>
    <w:p>
      <w:pPr>
        <w:ind w:left="520" w:hanging="512"/>
        <w:spacing w:after="0"/>
        <w:tabs>
          <w:tab w:leader="none" w:pos="5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211" w:lineRule="exact"/>
        <w:rPr>
          <w:rFonts w:ascii="Arial" w:cs="Arial" w:eastAsia="Arial" w:hAnsi="Arial"/>
          <w:sz w:val="18"/>
          <w:szCs w:val="18"/>
          <w:color w:val="auto"/>
        </w:rPr>
      </w:pPr>
    </w:p>
    <w:p>
      <w:pPr>
        <w:ind w:left="520" w:hanging="512"/>
        <w:spacing w:after="0" w:line="246" w:lineRule="auto"/>
        <w:tabs>
          <w:tab w:leader="none" w:pos="64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any Charter Document or the financial condition of any such person;</w:t>
      </w:r>
    </w:p>
    <w:p>
      <w:pPr>
        <w:spacing w:after="0" w:line="196" w:lineRule="exact"/>
        <w:rPr>
          <w:rFonts w:ascii="Arial" w:cs="Arial" w:eastAsia="Arial" w:hAnsi="Arial"/>
          <w:sz w:val="18"/>
          <w:szCs w:val="18"/>
          <w:color w:val="auto"/>
        </w:rPr>
      </w:pPr>
    </w:p>
    <w:p>
      <w:pPr>
        <w:ind w:left="520" w:hanging="512"/>
        <w:spacing w:after="0" w:line="246" w:lineRule="auto"/>
        <w:tabs>
          <w:tab w:leader="none" w:pos="51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96" w:lineRule="exact"/>
        <w:rPr>
          <w:rFonts w:ascii="Arial" w:cs="Arial" w:eastAsia="Arial" w:hAnsi="Arial"/>
          <w:sz w:val="18"/>
          <w:szCs w:val="18"/>
          <w:color w:val="auto"/>
        </w:rPr>
      </w:pPr>
    </w:p>
    <w:p>
      <w:pPr>
        <w:ind w:left="520" w:hanging="512"/>
        <w:spacing w:after="0" w:line="246" w:lineRule="auto"/>
        <w:tabs>
          <w:tab w:leader="none" w:pos="69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investigating or making any enquiry into the title of any Obligor to any of the Charged Property or any of its other property or assets;</w:t>
      </w:r>
    </w:p>
    <w:p>
      <w:pPr>
        <w:spacing w:after="0" w:line="196" w:lineRule="exact"/>
        <w:rPr>
          <w:rFonts w:ascii="Arial" w:cs="Arial" w:eastAsia="Arial" w:hAnsi="Arial"/>
          <w:sz w:val="18"/>
          <w:szCs w:val="18"/>
          <w:color w:val="auto"/>
        </w:rPr>
      </w:pPr>
    </w:p>
    <w:p>
      <w:pPr>
        <w:ind w:left="520" w:hanging="512"/>
        <w:spacing w:after="0"/>
        <w:tabs>
          <w:tab w:leader="none" w:pos="5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211" w:lineRule="exact"/>
        <w:rPr>
          <w:rFonts w:ascii="Arial" w:cs="Arial" w:eastAsia="Arial" w:hAnsi="Arial"/>
          <w:sz w:val="18"/>
          <w:szCs w:val="18"/>
          <w:color w:val="auto"/>
        </w:rPr>
      </w:pPr>
    </w:p>
    <w:p>
      <w:pPr>
        <w:ind w:left="520" w:hanging="512"/>
        <w:spacing w:after="0" w:line="246" w:lineRule="auto"/>
        <w:tabs>
          <w:tab w:leader="none" w:pos="52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96" w:lineRule="exact"/>
        <w:rPr>
          <w:rFonts w:ascii="Arial" w:cs="Arial" w:eastAsia="Arial" w:hAnsi="Arial"/>
          <w:sz w:val="18"/>
          <w:szCs w:val="18"/>
          <w:color w:val="auto"/>
        </w:rPr>
      </w:pPr>
    </w:p>
    <w:p>
      <w:pPr>
        <w:ind w:left="520" w:hanging="512"/>
        <w:spacing w:after="0" w:line="246" w:lineRule="auto"/>
        <w:tabs>
          <w:tab w:leader="none" w:pos="57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96" w:lineRule="exact"/>
        <w:rPr>
          <w:rFonts w:ascii="Arial" w:cs="Arial" w:eastAsia="Arial" w:hAnsi="Arial"/>
          <w:sz w:val="18"/>
          <w:szCs w:val="18"/>
          <w:color w:val="auto"/>
        </w:rPr>
      </w:pPr>
    </w:p>
    <w:p>
      <w:pPr>
        <w:ind w:left="520" w:right="20" w:hanging="512"/>
        <w:spacing w:after="0" w:line="246" w:lineRule="auto"/>
        <w:tabs>
          <w:tab w:leader="none" w:pos="79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96" w:lineRule="exact"/>
        <w:rPr>
          <w:rFonts w:ascii="Arial" w:cs="Arial" w:eastAsia="Arial" w:hAnsi="Arial"/>
          <w:sz w:val="18"/>
          <w:szCs w:val="18"/>
          <w:color w:val="auto"/>
        </w:rPr>
      </w:pPr>
    </w:p>
    <w:p>
      <w:pPr>
        <w:ind w:left="520" w:hanging="512"/>
        <w:spacing w:after="0" w:line="246" w:lineRule="auto"/>
        <w:tabs>
          <w:tab w:leader="none" w:pos="6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96" w:lineRule="exact"/>
        <w:rPr>
          <w:rFonts w:ascii="Arial" w:cs="Arial" w:eastAsia="Arial" w:hAnsi="Arial"/>
          <w:sz w:val="18"/>
          <w:szCs w:val="18"/>
          <w:color w:val="auto"/>
        </w:rPr>
      </w:pPr>
    </w:p>
    <w:p>
      <w:pPr>
        <w:jc w:val="both"/>
        <w:ind w:left="520" w:hanging="512"/>
        <w:spacing w:after="0"/>
        <w:tabs>
          <w:tab w:leader="none" w:pos="58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202" w:lineRule="exact"/>
        <w:rPr>
          <w:rFonts w:ascii="Arial" w:cs="Arial" w:eastAsia="Arial" w:hAnsi="Arial"/>
          <w:sz w:val="18"/>
          <w:szCs w:val="18"/>
          <w:color w:val="auto"/>
        </w:rPr>
      </w:pPr>
    </w:p>
    <w:p>
      <w:pPr>
        <w:jc w:val="both"/>
        <w:ind w:left="520" w:hanging="512"/>
        <w:spacing w:after="0"/>
        <w:tabs>
          <w:tab w:leader="none" w:pos="6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unsuitability, inadequacy or unfitness of any Charged Property as security for the Loans and shall not be obliged to make any investigation into, and shall be entitled to assume, the suitability, adequacy and fitness of the Charged Property as security for the Loans; or</w:t>
      </w:r>
    </w:p>
    <w:p>
      <w:pPr>
        <w:spacing w:after="0" w:line="202" w:lineRule="exact"/>
        <w:rPr>
          <w:rFonts w:ascii="Arial" w:cs="Arial" w:eastAsia="Arial" w:hAnsi="Arial"/>
          <w:sz w:val="18"/>
          <w:szCs w:val="18"/>
          <w:color w:val="auto"/>
        </w:rPr>
      </w:pPr>
    </w:p>
    <w:p>
      <w:pPr>
        <w:jc w:val="both"/>
        <w:ind w:left="520" w:hanging="512"/>
        <w:spacing w:after="0"/>
        <w:tabs>
          <w:tab w:leader="none" w:pos="54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20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55" w:right="339" w:bottom="1440" w:gutter="0" w:footer="0" w:header="0"/>
        </w:sectPr>
      </w:pPr>
    </w:p>
    <w:bookmarkStart w:id="129" w:name="page130"/>
    <w:bookmarkEnd w:id="129"/>
    <w:p>
      <w:pPr>
        <w:spacing w:after="0"/>
        <w:tabs>
          <w:tab w:leader="none" w:pos="50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7"/>
          <w:szCs w:val="17"/>
          <w:b w:val="1"/>
          <w:bCs w:val="1"/>
          <w:color w:val="auto"/>
        </w:rPr>
        <w:t>No duty to monitor</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not be bound to enquire:</w:t>
      </w:r>
    </w:p>
    <w:p>
      <w:pPr>
        <w:spacing w:after="0" w:line="212" w:lineRule="exact"/>
        <w:rPr>
          <w:sz w:val="20"/>
          <w:szCs w:val="20"/>
          <w:color w:val="auto"/>
        </w:rPr>
      </w:pPr>
    </w:p>
    <w:p>
      <w:pPr>
        <w:ind w:left="1020" w:hanging="512"/>
        <w:spacing w:after="0"/>
        <w:tabs>
          <w:tab w:leader="none" w:pos="10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11" w:lineRule="exact"/>
        <w:rPr>
          <w:rFonts w:ascii="Arial" w:cs="Arial" w:eastAsia="Arial" w:hAnsi="Arial"/>
          <w:sz w:val="18"/>
          <w:szCs w:val="18"/>
          <w:color w:val="auto"/>
        </w:rPr>
      </w:pPr>
    </w:p>
    <w:p>
      <w:pPr>
        <w:ind w:left="1040" w:hanging="532"/>
        <w:spacing w:after="0"/>
        <w:tabs>
          <w:tab w:leader="none" w:pos="10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32.10 Exclusion of liability</w:t>
      </w:r>
    </w:p>
    <w:p>
      <w:pPr>
        <w:spacing w:after="0" w:line="234" w:lineRule="exact"/>
        <w:rPr>
          <w:sz w:val="20"/>
          <w:szCs w:val="20"/>
          <w:color w:val="auto"/>
        </w:rPr>
      </w:pPr>
    </w:p>
    <w:p>
      <w:pPr>
        <w:jc w:val="both"/>
        <w:ind w:left="1020" w:hanging="512"/>
        <w:spacing w:after="0"/>
        <w:tabs>
          <w:tab w:leader="none" w:pos="103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Without limiting clause 32.10(b)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202" w:lineRule="exact"/>
        <w:rPr>
          <w:rFonts w:ascii="Arial" w:cs="Arial" w:eastAsia="Arial" w:hAnsi="Arial"/>
          <w:sz w:val="18"/>
          <w:szCs w:val="18"/>
          <w:color w:val="auto"/>
        </w:rPr>
      </w:pPr>
    </w:p>
    <w:p>
      <w:pPr>
        <w:jc w:val="both"/>
        <w:ind w:left="1540" w:hanging="511"/>
        <w:spacing w:after="0" w:line="237" w:lineRule="auto"/>
        <w:tabs>
          <w:tab w:leader="none" w:pos="177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204" w:lineRule="exact"/>
        <w:rPr>
          <w:rFonts w:ascii="Arial" w:cs="Arial" w:eastAsia="Arial" w:hAnsi="Arial"/>
          <w:sz w:val="18"/>
          <w:szCs w:val="18"/>
          <w:color w:val="auto"/>
        </w:rPr>
      </w:pPr>
    </w:p>
    <w:p>
      <w:pPr>
        <w:jc w:val="both"/>
        <w:ind w:left="1540" w:hanging="511"/>
        <w:spacing w:after="0" w:line="238" w:lineRule="auto"/>
        <w:tabs>
          <w:tab w:leader="none" w:pos="174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 unless directly caused by the gross negligence or wilful default of the Agent and in the course of the exercise or non exercise by it of any right, power, authority or discretion given to it expressly under a Finance Document; or</w:t>
      </w:r>
    </w:p>
    <w:p>
      <w:pPr>
        <w:spacing w:after="0" w:line="202" w:lineRule="exact"/>
        <w:rPr>
          <w:rFonts w:ascii="Arial" w:cs="Arial" w:eastAsia="Arial" w:hAnsi="Arial"/>
          <w:sz w:val="18"/>
          <w:szCs w:val="18"/>
          <w:color w:val="auto"/>
        </w:rPr>
      </w:pPr>
    </w:p>
    <w:p>
      <w:pPr>
        <w:ind w:left="1540" w:right="20" w:hanging="511"/>
        <w:spacing w:after="0" w:line="246" w:lineRule="auto"/>
        <w:tabs>
          <w:tab w:leader="none" w:pos="174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96" w:lineRule="exact"/>
        <w:rPr>
          <w:rFonts w:ascii="Arial" w:cs="Arial" w:eastAsia="Arial" w:hAnsi="Arial"/>
          <w:sz w:val="18"/>
          <w:szCs w:val="18"/>
          <w:color w:val="auto"/>
        </w:rPr>
      </w:pPr>
    </w:p>
    <w:p>
      <w:pPr>
        <w:ind w:left="2040" w:hanging="501"/>
        <w:spacing w:after="0"/>
        <w:tabs>
          <w:tab w:leader="none" w:pos="2040" w:val="left"/>
        </w:tabs>
        <w:numPr>
          <w:ilvl w:val="2"/>
          <w:numId w:val="321"/>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11" w:lineRule="exact"/>
        <w:rPr>
          <w:rFonts w:ascii="Arial" w:cs="Arial" w:eastAsia="Arial" w:hAnsi="Arial"/>
          <w:sz w:val="18"/>
          <w:szCs w:val="18"/>
          <w:color w:val="auto"/>
        </w:rPr>
      </w:pPr>
    </w:p>
    <w:p>
      <w:pPr>
        <w:ind w:left="2040" w:hanging="501"/>
        <w:spacing w:after="0"/>
        <w:tabs>
          <w:tab w:leader="none" w:pos="2040" w:val="left"/>
        </w:tabs>
        <w:numPr>
          <w:ilvl w:val="2"/>
          <w:numId w:val="321"/>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12" w:lineRule="exact"/>
        <w:rPr>
          <w:sz w:val="20"/>
          <w:szCs w:val="20"/>
          <w:color w:val="auto"/>
        </w:rPr>
      </w:pPr>
    </w:p>
    <w:p>
      <w:pPr>
        <w:jc w:val="both"/>
        <w:ind w:left="1540"/>
        <w:spacing w:after="0" w:line="237"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205" w:lineRule="exact"/>
        <w:rPr>
          <w:sz w:val="20"/>
          <w:szCs w:val="20"/>
          <w:color w:val="auto"/>
        </w:rPr>
      </w:pPr>
    </w:p>
    <w:p>
      <w:pPr>
        <w:jc w:val="both"/>
        <w:ind w:left="1020" w:hanging="512"/>
        <w:spacing w:after="0" w:line="238" w:lineRule="auto"/>
        <w:tabs>
          <w:tab w:leader="none" w:pos="104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32.10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xml:space="preserve"> and the provisions of the Third Parties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jc w:val="both"/>
        <w:ind w:left="1020" w:hanging="512"/>
        <w:spacing w:after="0" w:line="238" w:lineRule="auto"/>
        <w:tabs>
          <w:tab w:leader="none" w:pos="108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204" w:lineRule="exact"/>
        <w:rPr>
          <w:rFonts w:ascii="Arial" w:cs="Arial" w:eastAsia="Arial" w:hAnsi="Arial"/>
          <w:sz w:val="18"/>
          <w:szCs w:val="18"/>
          <w:color w:val="auto"/>
        </w:rPr>
      </w:pPr>
    </w:p>
    <w:p>
      <w:pPr>
        <w:ind w:left="1020" w:hanging="512"/>
        <w:spacing w:after="0"/>
        <w:tabs>
          <w:tab w:leader="none" w:pos="10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12"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203" w:lineRule="exact"/>
        <w:rPr>
          <w:sz w:val="20"/>
          <w:szCs w:val="20"/>
          <w:color w:val="auto"/>
        </w:rPr>
      </w:pPr>
    </w:p>
    <w:p>
      <w:pPr>
        <w:jc w:val="both"/>
        <w:ind w:left="1020" w:hanging="512"/>
        <w:spacing w:after="0" w:line="237" w:lineRule="auto"/>
        <w:tabs>
          <w:tab w:leader="none" w:pos="115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32.11 Lenders’ indemnity to the Agent</w:t>
      </w:r>
    </w:p>
    <w:p>
      <w:pPr>
        <w:spacing w:after="0" w:line="234" w:lineRule="exact"/>
        <w:rPr>
          <w:sz w:val="20"/>
          <w:szCs w:val="20"/>
          <w:color w:val="auto"/>
        </w:rPr>
      </w:pPr>
    </w:p>
    <w:p>
      <w:pPr>
        <w:ind w:left="1020" w:right="20" w:hanging="512"/>
        <w:spacing w:after="0" w:line="246" w:lineRule="auto"/>
        <w:tabs>
          <w:tab w:leader="none" w:pos="119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Lender shall (in proportion (if no part of the Loans is then outstanding) to its share of the Total Commitments or (at any other time) to its participation in the Loans) indemnify the Agent, within three Business Days of demand, against:</w:t>
      </w:r>
    </w:p>
    <w:p>
      <w:pPr>
        <w:spacing w:after="0" w:line="196" w:lineRule="exact"/>
        <w:rPr>
          <w:rFonts w:ascii="Arial" w:cs="Arial" w:eastAsia="Arial" w:hAnsi="Arial"/>
          <w:sz w:val="18"/>
          <w:szCs w:val="18"/>
          <w:color w:val="auto"/>
        </w:rPr>
      </w:pPr>
    </w:p>
    <w:p>
      <w:pPr>
        <w:jc w:val="both"/>
        <w:ind w:left="1540" w:hanging="511"/>
        <w:spacing w:after="0" w:line="238" w:lineRule="auto"/>
        <w:tabs>
          <w:tab w:leader="none" w:pos="191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Losses for negligence or any other category of liability whatsoever incurred by the Agent in the circumstances contemplated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204" w:lineRule="exact"/>
        <w:rPr>
          <w:rFonts w:ascii="Arial" w:cs="Arial" w:eastAsia="Arial" w:hAnsi="Arial"/>
          <w:sz w:val="18"/>
          <w:szCs w:val="18"/>
          <w:color w:val="auto"/>
        </w:rPr>
      </w:pPr>
    </w:p>
    <w:p>
      <w:pPr>
        <w:jc w:val="both"/>
        <w:ind w:left="1540" w:hanging="511"/>
        <w:spacing w:after="0"/>
        <w:tabs>
          <w:tab w:leader="none" w:pos="167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203" w:lineRule="exact"/>
        <w:rPr>
          <w:sz w:val="20"/>
          <w:szCs w:val="20"/>
          <w:color w:val="auto"/>
        </w:rPr>
      </w:pPr>
    </w:p>
    <w:p>
      <w:pPr>
        <w:jc w:val="both"/>
        <w:ind w:left="1020"/>
        <w:spacing w:after="0" w:line="238" w:lineRule="auto"/>
        <w:rPr>
          <w:sz w:val="20"/>
          <w:szCs w:val="20"/>
          <w:color w:val="auto"/>
        </w:rPr>
      </w:pPr>
      <w:r>
        <w:rPr>
          <w:rFonts w:ascii="Arial" w:cs="Arial" w:eastAsia="Arial" w:hAnsi="Arial"/>
          <w:sz w:val="18"/>
          <w:szCs w:val="18"/>
          <w:color w:val="auto"/>
        </w:rPr>
        <w:t>in each case incurred by the Agent in acting as such under the Finance Documents (unless the Agent has been reimbursed by an Obligor pursuant to a Finance Document or out of the Trust Property) and this clause 32.11 as applied in favour of the Security Agent 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shall be without prejudice to any right to indemnity by law given to trustees generally and any other indemnity in the Security Agent’s favour in any other Finance Document.</w:t>
      </w:r>
    </w:p>
    <w:p>
      <w:pPr>
        <w:spacing w:after="0" w:line="202"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indemnities contained in this clause 32.11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203" w:lineRule="exact"/>
        <w:rPr>
          <w:sz w:val="20"/>
          <w:szCs w:val="20"/>
          <w:color w:val="auto"/>
        </w:rPr>
      </w:pPr>
    </w:p>
    <w:p>
      <w:pPr>
        <w:ind w:left="1020" w:hanging="512"/>
        <w:spacing w:after="0" w:line="246" w:lineRule="auto"/>
        <w:tabs>
          <w:tab w:leader="none" w:pos="124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Subject to clause 32.11(c), the Borrowers shall immediately on demand reimburse any Lender for any payment that Lender makes to the Agent pursuant to clause 32.11(a).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1" w:name="page132"/>
    <w:bookmarkEnd w:id="131"/>
    <w:p>
      <w:pPr>
        <w:ind w:left="1020" w:hanging="512"/>
        <w:spacing w:after="0" w:line="246" w:lineRule="auto"/>
        <w:tabs>
          <w:tab w:leader="none" w:pos="112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Clause 32.11(b) shall not apply to the extent that the indemnity payment in respect of which the Lender claims reimbursement relates to a liability of the Agent to an Obligor.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32.12 Resignation of the Agent</w:t>
      </w:r>
    </w:p>
    <w:p>
      <w:pPr>
        <w:spacing w:after="0" w:line="234" w:lineRule="exact"/>
        <w:rPr>
          <w:sz w:val="20"/>
          <w:szCs w:val="20"/>
          <w:color w:val="auto"/>
        </w:rPr>
      </w:pPr>
    </w:p>
    <w:p>
      <w:pPr>
        <w:ind w:left="1020" w:hanging="512"/>
        <w:spacing w:after="0" w:line="246" w:lineRule="auto"/>
        <w:tabs>
          <w:tab w:leader="none" w:pos="116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and the Borrowers.</w:t>
      </w:r>
    </w:p>
    <w:p>
      <w:pPr>
        <w:spacing w:after="0" w:line="196" w:lineRule="exact"/>
        <w:rPr>
          <w:rFonts w:ascii="Arial" w:cs="Arial" w:eastAsia="Arial" w:hAnsi="Arial"/>
          <w:sz w:val="18"/>
          <w:szCs w:val="18"/>
          <w:color w:val="auto"/>
        </w:rPr>
      </w:pPr>
    </w:p>
    <w:p>
      <w:pPr>
        <w:jc w:val="both"/>
        <w:ind w:left="1020" w:hanging="512"/>
        <w:spacing w:after="0"/>
        <w:tabs>
          <w:tab w:leader="none" w:pos="105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Alternatively the Agent may without giving any reason therefor resign by giving 30 days’ notice to the other Finance Parties and the Borrowers, in which case the Majority Lenders (after consultation with the Borrowers) may appoint a successor Agent acting through an office in London.</w:t>
      </w:r>
    </w:p>
    <w:p>
      <w:pPr>
        <w:spacing w:after="0" w:line="202" w:lineRule="exact"/>
        <w:rPr>
          <w:rFonts w:ascii="Arial" w:cs="Arial" w:eastAsia="Arial" w:hAnsi="Arial"/>
          <w:sz w:val="18"/>
          <w:szCs w:val="18"/>
          <w:color w:val="auto"/>
        </w:rPr>
      </w:pPr>
    </w:p>
    <w:p>
      <w:pPr>
        <w:ind w:left="1020" w:right="20" w:hanging="512"/>
        <w:spacing w:after="0" w:line="246" w:lineRule="auto"/>
        <w:tabs>
          <w:tab w:leader="none" w:pos="119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clause 32.12(b) above within 30 days after notice of resignation was given, the retiring Agent (after consultation with the Borrowers) may appoint a successor Agent.</w:t>
      </w:r>
    </w:p>
    <w:p>
      <w:pPr>
        <w:spacing w:after="0" w:line="178" w:lineRule="exact"/>
        <w:rPr>
          <w:rFonts w:ascii="Arial" w:cs="Arial" w:eastAsia="Arial" w:hAnsi="Arial"/>
          <w:sz w:val="18"/>
          <w:szCs w:val="18"/>
          <w:color w:val="auto"/>
        </w:rPr>
      </w:pPr>
    </w:p>
    <w:p>
      <w:pPr>
        <w:jc w:val="both"/>
        <w:ind w:left="1020" w:hanging="512"/>
        <w:spacing w:after="0" w:line="241" w:lineRule="auto"/>
        <w:tabs>
          <w:tab w:leader="none" w:pos="107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retiring Agent shall, either at the Lenders’ expense if it has been required to resign pursuant to clause 32.13 (</w:t>
      </w:r>
      <w:r>
        <w:rPr>
          <w:rFonts w:ascii="Arial" w:cs="Arial" w:eastAsia="Arial" w:hAnsi="Arial"/>
          <w:sz w:val="18"/>
          <w:szCs w:val="18"/>
          <w:i w:val="1"/>
          <w:iCs w:val="1"/>
          <w:color w:val="auto"/>
        </w:rPr>
        <w:t>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Agent</w:t>
      </w:r>
      <w:r>
        <w:rPr>
          <w:rFonts w:ascii="Arial" w:cs="Arial" w:eastAsia="Arial" w:hAnsi="Arial"/>
          <w:sz w:val="18"/>
          <w:szCs w:val="18"/>
          <w:color w:val="auto"/>
        </w:rPr>
        <w:t>) or otherwise at its own cost, make available to the successor Agent such documents and records and provide such</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as the successor Agent may reasonably request for the purposes of performing its functions as Agent under the Finance Documents. The Borrowers shall, within three Business Days of demand, reimburse the retiring Agent for the amount of all costs and expenses (including legal fees) properly incurred by it in making available such documents and records and providing such assistance.</w:t>
      </w:r>
    </w:p>
    <w:p>
      <w:pPr>
        <w:spacing w:after="0" w:line="201" w:lineRule="exact"/>
        <w:rPr>
          <w:rFonts w:ascii="Arial" w:cs="Arial" w:eastAsia="Arial" w:hAnsi="Arial"/>
          <w:sz w:val="18"/>
          <w:szCs w:val="18"/>
          <w:color w:val="auto"/>
        </w:rPr>
      </w:pPr>
    </w:p>
    <w:p>
      <w:pPr>
        <w:ind w:left="1020" w:hanging="512"/>
        <w:spacing w:after="0"/>
        <w:tabs>
          <w:tab w:leader="none" w:pos="10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11" w:lineRule="exact"/>
        <w:rPr>
          <w:rFonts w:ascii="Arial" w:cs="Arial" w:eastAsia="Arial" w:hAnsi="Arial"/>
          <w:sz w:val="18"/>
          <w:szCs w:val="18"/>
          <w:color w:val="auto"/>
        </w:rPr>
      </w:pPr>
    </w:p>
    <w:p>
      <w:pPr>
        <w:jc w:val="both"/>
        <w:ind w:left="1020" w:hanging="512"/>
        <w:spacing w:after="0" w:line="237" w:lineRule="auto"/>
        <w:tabs>
          <w:tab w:leader="none" w:pos="119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32.12(d)) but shall remain entitled to the benefit of clause 14.3 (</w:t>
      </w:r>
      <w:r>
        <w:rPr>
          <w:rFonts w:ascii="Arial" w:cs="Arial" w:eastAsia="Arial" w:hAnsi="Arial"/>
          <w:sz w:val="18"/>
          <w:szCs w:val="18"/>
          <w:i w:val="1"/>
          <w:iCs w:val="1"/>
          <w:color w:val="auto"/>
        </w:rPr>
        <w:t>Indemnity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 Security Agent</w:t>
      </w:r>
      <w:r>
        <w:rPr>
          <w:rFonts w:ascii="Arial" w:cs="Arial" w:eastAsia="Arial" w:hAnsi="Arial"/>
          <w:sz w:val="18"/>
          <w:szCs w:val="18"/>
          <w:color w:val="auto"/>
        </w:rPr>
        <w:t>) and this clause 32 (and any agency fees for the account of the retiring Agent shall cease to accrue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shall be payable on) that date). Any successor and each of the other Parties shall have the same rights and obligations amongst themselves as they would have had if such successor had been an original Party.</w:t>
      </w:r>
    </w:p>
    <w:p>
      <w:pPr>
        <w:spacing w:after="0" w:line="204" w:lineRule="exact"/>
        <w:rPr>
          <w:rFonts w:ascii="Arial" w:cs="Arial" w:eastAsia="Arial" w:hAnsi="Arial"/>
          <w:sz w:val="18"/>
          <w:szCs w:val="18"/>
          <w:color w:val="auto"/>
        </w:rPr>
      </w:pPr>
    </w:p>
    <w:p>
      <w:pPr>
        <w:jc w:val="both"/>
        <w:ind w:left="1020" w:hanging="512"/>
        <w:spacing w:after="0"/>
        <w:tabs>
          <w:tab w:leader="none" w:pos="135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32.12(b) above (and, to the extent applicable, shall use reasonable endeavours to appoint a successor Agent pursuant to paragraph 32.12(c) above) if on or after the date which is three months before the earliest FATCA Application Date relating to any payment to the Agent under the Finance Documents, either:</w:t>
      </w:r>
    </w:p>
    <w:p>
      <w:pPr>
        <w:spacing w:after="0" w:line="184" w:lineRule="exact"/>
        <w:rPr>
          <w:rFonts w:ascii="Arial" w:cs="Arial" w:eastAsia="Arial" w:hAnsi="Arial"/>
          <w:sz w:val="18"/>
          <w:szCs w:val="18"/>
          <w:color w:val="auto"/>
        </w:rPr>
      </w:pPr>
    </w:p>
    <w:p>
      <w:pPr>
        <w:jc w:val="both"/>
        <w:ind w:left="1540" w:hanging="511"/>
        <w:spacing w:after="0" w:line="250" w:lineRule="auto"/>
        <w:tabs>
          <w:tab w:leader="none" w:pos="170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and a Borrower or a Lender reasonably believes that the Agent will not be (or will have ceased to be) a FATCA Exempt Party on or after that FATCA Application Date;</w:t>
      </w:r>
    </w:p>
    <w:p>
      <w:pPr>
        <w:spacing w:after="0" w:line="176" w:lineRule="exact"/>
        <w:rPr>
          <w:rFonts w:ascii="Arial" w:cs="Arial" w:eastAsia="Arial" w:hAnsi="Arial"/>
          <w:sz w:val="18"/>
          <w:szCs w:val="18"/>
          <w:color w:val="auto"/>
        </w:rPr>
      </w:pPr>
    </w:p>
    <w:p>
      <w:pPr>
        <w:ind w:left="1540" w:hanging="511"/>
        <w:spacing w:after="0" w:line="267" w:lineRule="auto"/>
        <w:tabs>
          <w:tab w:leader="none" w:pos="1567"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8" w:lineRule="exact"/>
        <w:rPr>
          <w:rFonts w:ascii="Arial" w:cs="Arial" w:eastAsia="Arial" w:hAnsi="Arial"/>
          <w:sz w:val="18"/>
          <w:szCs w:val="18"/>
          <w:color w:val="auto"/>
        </w:rPr>
      </w:pPr>
    </w:p>
    <w:p>
      <w:pPr>
        <w:ind w:left="1540" w:hanging="511"/>
        <w:spacing w:after="0" w:line="246" w:lineRule="auto"/>
        <w:tabs>
          <w:tab w:leader="none" w:pos="16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Agent notifies the Borrowers and the Lenders that the Agent will not be (or will have ceased to be) a FATCA Exempt Party on or after that FATCA Application Date,</w:t>
      </w:r>
    </w:p>
    <w:p>
      <w:pPr>
        <w:spacing w:after="0" w:line="197"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and (in each case) a Borrower or a Lender reasonably believes that a Party will be required to make a FATCA Deduction that would not be required if the Agent were a FATCA Exempt Party, and a Borrower or that Lender, by notice to the Agent, requires it to resign.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2" w:name="page133"/>
    <w:bookmarkEnd w:id="132"/>
    <w:p>
      <w:pPr>
        <w:jc w:val="both"/>
        <w:ind w:left="1020" w:hanging="512"/>
        <w:spacing w:after="0" w:line="237" w:lineRule="auto"/>
        <w:tabs>
          <w:tab w:leader="none" w:pos="119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If the Agent decides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32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32.13 Replacement of the Agent</w:t>
      </w:r>
    </w:p>
    <w:p>
      <w:pPr>
        <w:spacing w:after="0" w:line="234" w:lineRule="exact"/>
        <w:rPr>
          <w:sz w:val="20"/>
          <w:szCs w:val="20"/>
          <w:color w:val="auto"/>
        </w:rPr>
      </w:pPr>
    </w:p>
    <w:p>
      <w:pPr>
        <w:jc w:val="both"/>
        <w:ind w:left="1020" w:hanging="512"/>
        <w:spacing w:after="0"/>
        <w:tabs>
          <w:tab w:leader="none" w:pos="103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After consultation with the Borrowers, the Majority Lenders may, by giving 30 days’ notice to the Agent (or, at any time the Agent is an Impaired Agent, by giving any shorter notice determined by the Majority Lenders) replace the Agent by appointing a successor Agent.</w:t>
      </w:r>
    </w:p>
    <w:p>
      <w:pPr>
        <w:spacing w:after="0" w:line="202" w:lineRule="exact"/>
        <w:rPr>
          <w:rFonts w:ascii="Arial" w:cs="Arial" w:eastAsia="Arial" w:hAnsi="Arial"/>
          <w:sz w:val="18"/>
          <w:szCs w:val="18"/>
          <w:color w:val="auto"/>
        </w:rPr>
      </w:pPr>
    </w:p>
    <w:p>
      <w:pPr>
        <w:jc w:val="both"/>
        <w:ind w:left="1020" w:hanging="512"/>
        <w:spacing w:after="0"/>
        <w:tabs>
          <w:tab w:leader="none" w:pos="101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19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32.13(b)) (and any agency fees for the account of the retiring Agent shall cease to accrue from (and shall be payable on) that date).</w:t>
      </w:r>
    </w:p>
    <w:p>
      <w:pPr>
        <w:spacing w:after="0" w:line="204" w:lineRule="exact"/>
        <w:rPr>
          <w:rFonts w:ascii="Arial" w:cs="Arial" w:eastAsia="Arial" w:hAnsi="Arial"/>
          <w:sz w:val="18"/>
          <w:szCs w:val="18"/>
          <w:color w:val="auto"/>
        </w:rPr>
      </w:pPr>
    </w:p>
    <w:p>
      <w:pPr>
        <w:ind w:left="1020" w:hanging="512"/>
        <w:spacing w:after="0" w:line="246" w:lineRule="auto"/>
        <w:tabs>
          <w:tab w:leader="none" w:pos="123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32.14 Confidentiality</w:t>
      </w:r>
    </w:p>
    <w:p>
      <w:pPr>
        <w:spacing w:after="0" w:line="234" w:lineRule="exact"/>
        <w:rPr>
          <w:sz w:val="20"/>
          <w:szCs w:val="20"/>
          <w:color w:val="auto"/>
        </w:rPr>
      </w:pPr>
    </w:p>
    <w:p>
      <w:pPr>
        <w:jc w:val="both"/>
        <w:ind w:left="1020" w:hanging="512"/>
        <w:spacing w:after="0"/>
        <w:tabs>
          <w:tab w:leader="none" w:pos="101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202" w:lineRule="exact"/>
        <w:rPr>
          <w:rFonts w:ascii="Arial" w:cs="Arial" w:eastAsia="Arial" w:hAnsi="Arial"/>
          <w:sz w:val="18"/>
          <w:szCs w:val="18"/>
          <w:color w:val="auto"/>
        </w:rPr>
      </w:pPr>
    </w:p>
    <w:p>
      <w:pPr>
        <w:ind w:left="1020" w:hanging="512"/>
        <w:spacing w:after="0" w:line="246" w:lineRule="auto"/>
        <w:tabs>
          <w:tab w:leader="none" w:pos="12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96" w:lineRule="exact"/>
        <w:rPr>
          <w:rFonts w:ascii="Arial" w:cs="Arial" w:eastAsia="Arial" w:hAnsi="Arial"/>
          <w:sz w:val="18"/>
          <w:szCs w:val="18"/>
          <w:color w:val="auto"/>
        </w:rPr>
      </w:pPr>
    </w:p>
    <w:p>
      <w:pPr>
        <w:jc w:val="both"/>
        <w:ind w:left="1020" w:hanging="512"/>
        <w:spacing w:after="0"/>
        <w:tabs>
          <w:tab w:leader="none" w:pos="111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32.15 Relationship with the Lenders</w:t>
      </w:r>
    </w:p>
    <w:p>
      <w:pPr>
        <w:spacing w:after="0" w:line="216" w:lineRule="exact"/>
        <w:rPr>
          <w:sz w:val="20"/>
          <w:szCs w:val="20"/>
          <w:color w:val="auto"/>
        </w:rPr>
      </w:pPr>
    </w:p>
    <w:p>
      <w:pPr>
        <w:jc w:val="both"/>
        <w:ind w:left="1020" w:hanging="512"/>
        <w:spacing w:after="0" w:line="250" w:lineRule="auto"/>
        <w:tabs>
          <w:tab w:leader="none" w:pos="1098" w:val="left"/>
        </w:tabs>
        <w:numPr>
          <w:ilvl w:val="0"/>
          <w:numId w:val="332"/>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each Lender at the opening of business (in the place of the Agent’s principal office as notified to the Finance Parties from time to time) as a Lender acting through its Facility Office:</w:t>
      </w:r>
    </w:p>
    <w:p>
      <w:pPr>
        <w:spacing w:after="0" w:line="194" w:lineRule="exact"/>
        <w:rPr>
          <w:rFonts w:ascii="Arial" w:cs="Arial" w:eastAsia="Arial" w:hAnsi="Arial"/>
          <w:sz w:val="18"/>
          <w:szCs w:val="18"/>
          <w:color w:val="auto"/>
        </w:rPr>
      </w:pPr>
    </w:p>
    <w:p>
      <w:pPr>
        <w:ind w:left="1520" w:hanging="491"/>
        <w:spacing w:after="0"/>
        <w:tabs>
          <w:tab w:leader="none" w:pos="15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3" w:name="page134"/>
    <w:bookmarkEnd w:id="133"/>
    <w:p>
      <w:pPr>
        <w:ind w:left="1540" w:hanging="511"/>
        <w:spacing w:after="0" w:line="246" w:lineRule="auto"/>
        <w:tabs>
          <w:tab w:leader="none" w:pos="162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97"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97" w:lineRule="exact"/>
        <w:rPr>
          <w:sz w:val="20"/>
          <w:szCs w:val="20"/>
          <w:color w:val="auto"/>
        </w:rPr>
      </w:pPr>
    </w:p>
    <w:p>
      <w:pPr>
        <w:jc w:val="both"/>
        <w:ind w:left="1020" w:hanging="512"/>
        <w:spacing w:after="0" w:line="236" w:lineRule="auto"/>
        <w:tabs>
          <w:tab w:leader="none" w:pos="115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Lender may by notice to the Agent appoint a person to receive on its behalf all notices, communications, information and documents to be made or despatched to that Lender or (as the case may be) under the Finance Documents. Such notice shall contain the address and (where communication by electronic mail or other electronic means is permitted under clause 37.5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electronic mail address, department and officer by that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and clause 37.5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w:t>
      </w:r>
    </w:p>
    <w:p>
      <w:pPr>
        <w:spacing w:after="0" w:line="206" w:lineRule="exact"/>
        <w:rPr>
          <w:rFonts w:ascii="Arial" w:cs="Arial" w:eastAsia="Arial" w:hAnsi="Arial"/>
          <w:sz w:val="18"/>
          <w:szCs w:val="18"/>
          <w:color w:val="auto"/>
        </w:rPr>
      </w:pPr>
    </w:p>
    <w:p>
      <w:pPr>
        <w:ind w:left="1020" w:right="20" w:hanging="512"/>
        <w:spacing w:after="0" w:line="246" w:lineRule="auto"/>
        <w:tabs>
          <w:tab w:leader="none" w:pos="103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32.16 Credit appraisal by the Lenders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205" w:lineRule="exact"/>
        <w:rPr>
          <w:sz w:val="20"/>
          <w:szCs w:val="20"/>
          <w:color w:val="auto"/>
        </w:rPr>
      </w:pPr>
    </w:p>
    <w:p>
      <w:pPr>
        <w:ind w:left="1020" w:hanging="512"/>
        <w:spacing w:after="0"/>
        <w:tabs>
          <w:tab w:leader="none" w:pos="10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211" w:lineRule="exact"/>
        <w:rPr>
          <w:rFonts w:ascii="Arial" w:cs="Arial" w:eastAsia="Arial" w:hAnsi="Arial"/>
          <w:sz w:val="18"/>
          <w:szCs w:val="18"/>
          <w:color w:val="auto"/>
        </w:rPr>
      </w:pPr>
    </w:p>
    <w:p>
      <w:pPr>
        <w:jc w:val="both"/>
        <w:ind w:left="1020" w:hanging="512"/>
        <w:spacing w:after="0"/>
        <w:tabs>
          <w:tab w:leader="none" w:pos="109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 any Charter Document and any other agreement, arrangement or document entered into, made or executed in anticipation of, under or in connection with any Finance Document or any Charter Document;</w:t>
      </w:r>
    </w:p>
    <w:p>
      <w:pPr>
        <w:spacing w:after="0" w:line="202" w:lineRule="exact"/>
        <w:rPr>
          <w:rFonts w:ascii="Arial" w:cs="Arial" w:eastAsia="Arial" w:hAnsi="Arial"/>
          <w:sz w:val="18"/>
          <w:szCs w:val="18"/>
          <w:color w:val="auto"/>
        </w:rPr>
      </w:pPr>
    </w:p>
    <w:p>
      <w:pPr>
        <w:ind w:left="1040" w:hanging="532"/>
        <w:spacing w:after="0"/>
        <w:tabs>
          <w:tab w:leader="none" w:pos="10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09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any Party or by any other person under or in connection with any Finance Document or any Charter Document, the transactions contemplated by the Finance Documents or any other agreement, arrangement or document entered into, made or executed in anticipation of, under or in connection with any Finance Document or any Charter Document; and</w:t>
      </w:r>
    </w:p>
    <w:p>
      <w:pPr>
        <w:spacing w:after="0" w:line="204" w:lineRule="exact"/>
        <w:rPr>
          <w:rFonts w:ascii="Arial" w:cs="Arial" w:eastAsia="Arial" w:hAnsi="Arial"/>
          <w:sz w:val="18"/>
          <w:szCs w:val="18"/>
          <w:color w:val="auto"/>
        </w:rPr>
      </w:pPr>
    </w:p>
    <w:p>
      <w:pPr>
        <w:ind w:left="1020" w:hanging="512"/>
        <w:spacing w:after="0" w:line="246" w:lineRule="auto"/>
        <w:tabs>
          <w:tab w:leader="none" w:pos="104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32.17 Agent’s management time and additional remuneration</w:t>
      </w:r>
    </w:p>
    <w:p>
      <w:pPr>
        <w:spacing w:after="0" w:line="216" w:lineRule="exact"/>
        <w:rPr>
          <w:sz w:val="20"/>
          <w:szCs w:val="20"/>
          <w:color w:val="auto"/>
        </w:rPr>
      </w:pPr>
    </w:p>
    <w:p>
      <w:pPr>
        <w:jc w:val="both"/>
        <w:ind w:left="1020" w:hanging="512"/>
        <w:spacing w:after="0" w:line="242" w:lineRule="auto"/>
        <w:tabs>
          <w:tab w:leader="none" w:pos="140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amount payable to the Agent under clause 14.3 (</w:t>
      </w:r>
      <w:r>
        <w:rPr>
          <w:rFonts w:ascii="Arial" w:cs="Arial" w:eastAsia="Arial" w:hAnsi="Arial"/>
          <w:sz w:val="18"/>
          <w:szCs w:val="18"/>
          <w:i w:val="1"/>
          <w:iCs w:val="1"/>
          <w:color w:val="auto"/>
        </w:rPr>
        <w:t>Indemnity to the Agent and Security Agent</w:t>
      </w:r>
      <w:r>
        <w:rPr>
          <w:rFonts w:ascii="Arial" w:cs="Arial" w:eastAsia="Arial" w:hAnsi="Arial"/>
          <w:sz w:val="18"/>
          <w:szCs w:val="18"/>
          <w:color w:val="auto"/>
        </w:rPr>
        <w:t>), clause 16 (</w:t>
      </w:r>
      <w:r>
        <w:rPr>
          <w:rFonts w:ascii="Arial" w:cs="Arial" w:eastAsia="Arial" w:hAnsi="Arial"/>
          <w:sz w:val="18"/>
          <w:szCs w:val="18"/>
          <w:i w:val="1"/>
          <w:iCs w:val="1"/>
          <w:color w:val="auto"/>
        </w:rPr>
        <w:t>Costs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and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(and in the case of the Security Agent, as extended to it by virtue</w:t>
      </w:r>
      <w:r>
        <w:rPr>
          <w:rFonts w:ascii="Arial" w:cs="Arial" w:eastAsia="Arial" w:hAnsi="Arial"/>
          <w:sz w:val="18"/>
          <w:szCs w:val="18"/>
          <w:i w:val="1"/>
          <w:iCs w:val="1"/>
          <w:color w:val="auto"/>
        </w:rPr>
        <w:t xml:space="preserve"> </w:t>
      </w:r>
      <w:r>
        <w:rPr>
          <w:rFonts w:ascii="Arial" w:cs="Arial" w:eastAsia="Arial" w:hAnsi="Arial"/>
          <w:sz w:val="18"/>
          <w:szCs w:val="18"/>
          <w:color w:val="auto"/>
        </w:rPr>
        <w:t>of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Borrowers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1020" w:hanging="512"/>
        <w:spacing w:after="0"/>
        <w:tabs>
          <w:tab w:leader="none" w:pos="10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211" w:lineRule="exact"/>
        <w:rPr>
          <w:rFonts w:ascii="Arial" w:cs="Arial" w:eastAsia="Arial" w:hAnsi="Arial"/>
          <w:sz w:val="18"/>
          <w:szCs w:val="18"/>
          <w:color w:val="auto"/>
        </w:rPr>
      </w:pPr>
    </w:p>
    <w:p>
      <w:pPr>
        <w:ind w:left="1560" w:hanging="531"/>
        <w:spacing w:after="0"/>
        <w:tabs>
          <w:tab w:leader="none" w:pos="156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 Default;</w:t>
      </w:r>
    </w:p>
    <w:p>
      <w:pPr>
        <w:spacing w:after="0" w:line="211" w:lineRule="exact"/>
        <w:rPr>
          <w:rFonts w:ascii="Arial" w:cs="Arial" w:eastAsia="Arial" w:hAnsi="Arial"/>
          <w:sz w:val="18"/>
          <w:szCs w:val="18"/>
          <w:color w:val="auto"/>
        </w:rPr>
      </w:pPr>
    </w:p>
    <w:p>
      <w:pPr>
        <w:jc w:val="both"/>
        <w:ind w:left="1540" w:hanging="511"/>
        <w:spacing w:after="0"/>
        <w:tabs>
          <w:tab w:leader="none" w:pos="1621"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Agent being requested by an Obligor or the Majority Lenders to undertake duties which the Agent and the Borrowers agree to be of an exceptional nature or outside the scope of the normal duties of the Agent under the Finance Documents; or</w:t>
      </w:r>
    </w:p>
    <w:p>
      <w:pPr>
        <w:spacing w:after="0" w:line="202" w:lineRule="exact"/>
        <w:rPr>
          <w:rFonts w:ascii="Arial" w:cs="Arial" w:eastAsia="Arial" w:hAnsi="Arial"/>
          <w:sz w:val="18"/>
          <w:szCs w:val="18"/>
          <w:color w:val="auto"/>
        </w:rPr>
      </w:pPr>
    </w:p>
    <w:p>
      <w:pPr>
        <w:ind w:left="1560" w:hanging="531"/>
        <w:spacing w:after="0"/>
        <w:tabs>
          <w:tab w:leader="none" w:pos="156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Agent and the Borrowers agreeing that it is otherwise appropriate in the circumstances,</w:t>
      </w:r>
    </w:p>
    <w:p>
      <w:pPr>
        <w:spacing w:after="0" w:line="212" w:lineRule="exact"/>
        <w:rPr>
          <w:sz w:val="20"/>
          <w:szCs w:val="20"/>
          <w:color w:val="auto"/>
        </w:rPr>
      </w:pPr>
    </w:p>
    <w:p>
      <w:pPr>
        <w:ind w:left="1020"/>
        <w:spacing w:after="0" w:line="246" w:lineRule="auto"/>
        <w:rPr>
          <w:sz w:val="20"/>
          <w:szCs w:val="20"/>
          <w:color w:val="auto"/>
        </w:rPr>
      </w:pPr>
      <w:r>
        <w:rPr>
          <w:rFonts w:ascii="Arial" w:cs="Arial" w:eastAsia="Arial" w:hAnsi="Arial"/>
          <w:sz w:val="18"/>
          <w:szCs w:val="18"/>
          <w:color w:val="auto"/>
        </w:rPr>
        <w:t>the Borrowers shall pay to the Agent any additional remuneration that may be agreed between them or determined pursuant to clause 32.17(c).</w:t>
      </w:r>
    </w:p>
    <w:p>
      <w:pPr>
        <w:spacing w:after="0" w:line="197" w:lineRule="exact"/>
        <w:rPr>
          <w:sz w:val="20"/>
          <w:szCs w:val="20"/>
          <w:color w:val="auto"/>
        </w:rPr>
      </w:pPr>
    </w:p>
    <w:p>
      <w:pPr>
        <w:jc w:val="both"/>
        <w:ind w:left="1020" w:hanging="512"/>
        <w:spacing w:after="0" w:line="237" w:lineRule="auto"/>
        <w:tabs>
          <w:tab w:leader="none" w:pos="122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If the Agent and the Borrowers fail to agree upon the nature of the duties, or upon the additional remuneration referred to in clause 32.17(b) or whether additional remuneration is appropriate in the circumstances, any dispute shall be determined by an investment bank (acting as an expert and not as an arbitrator) selected by the Agent and approved by the Borrowers or, failing approval, nominated (on the application of the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32.18 Deduction from amounts payable by the Agent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32.19 Common parties</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32.20 Security Agent</w:t>
      </w:r>
    </w:p>
    <w:p>
      <w:pPr>
        <w:spacing w:after="0" w:line="234" w:lineRule="exact"/>
        <w:rPr>
          <w:sz w:val="20"/>
          <w:szCs w:val="20"/>
          <w:color w:val="auto"/>
        </w:rPr>
      </w:pPr>
    </w:p>
    <w:p>
      <w:pPr>
        <w:jc w:val="both"/>
        <w:ind w:left="1020" w:hanging="512"/>
        <w:spacing w:after="0" w:line="238" w:lineRule="auto"/>
        <w:tabs>
          <w:tab w:leader="none" w:pos="108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other Finance Party appoints the Security Agent to act as its agent and (to the extent permitted under any applicable law) trustee under and in connection with the Security Documents and confirms that the Security Agent shall have a lien on the Security Documents and the proceeds of the enforcement of those Security Documents for all moneys payable to the beneficiaries of those Security Documents.</w:t>
      </w:r>
    </w:p>
    <w:p>
      <w:pPr>
        <w:spacing w:after="0" w:line="204" w:lineRule="exact"/>
        <w:rPr>
          <w:rFonts w:ascii="Arial" w:cs="Arial" w:eastAsia="Arial" w:hAnsi="Arial"/>
          <w:sz w:val="18"/>
          <w:szCs w:val="18"/>
          <w:color w:val="auto"/>
        </w:rPr>
      </w:pPr>
    </w:p>
    <w:p>
      <w:pPr>
        <w:ind w:left="1020" w:hanging="512"/>
        <w:spacing w:after="0"/>
        <w:tabs>
          <w:tab w:leader="none" w:pos="10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5" w:name="page136"/>
    <w:bookmarkEnd w:id="135"/>
    <w:p>
      <w:pPr>
        <w:jc w:val="both"/>
        <w:ind w:left="1540" w:hanging="511"/>
        <w:spacing w:after="0"/>
        <w:tabs>
          <w:tab w:leader="none" w:pos="189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202" w:lineRule="exact"/>
        <w:rPr>
          <w:rFonts w:ascii="Arial" w:cs="Arial" w:eastAsia="Arial" w:hAnsi="Arial"/>
          <w:sz w:val="18"/>
          <w:szCs w:val="18"/>
          <w:color w:val="auto"/>
        </w:rPr>
      </w:pPr>
    </w:p>
    <w:p>
      <w:pPr>
        <w:ind w:left="1540" w:hanging="511"/>
        <w:spacing w:after="0" w:line="246" w:lineRule="auto"/>
        <w:tabs>
          <w:tab w:leader="none" w:pos="183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179" w:lineRule="exact"/>
        <w:rPr>
          <w:sz w:val="20"/>
          <w:szCs w:val="20"/>
          <w:color w:val="auto"/>
        </w:rPr>
      </w:pPr>
    </w:p>
    <w:p>
      <w:pPr>
        <w:jc w:val="both"/>
        <w:ind w:left="1020" w:hanging="512"/>
        <w:spacing w:after="0" w:line="245" w:lineRule="auto"/>
        <w:tabs>
          <w:tab w:leader="none" w:pos="108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Security Agent accepts its appointment under this clause 32.20 (</w:t>
      </w:r>
      <w:r>
        <w:rPr>
          <w:rFonts w:ascii="Arial" w:cs="Arial" w:eastAsia="Arial" w:hAnsi="Arial"/>
          <w:sz w:val="18"/>
          <w:szCs w:val="18"/>
          <w:i w:val="1"/>
          <w:i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32.20 - 32.32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(inclusive) and the Security Documents to which it is a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32.21 Application of certain clauses to Security Agent</w:t>
      </w:r>
    </w:p>
    <w:p>
      <w:pPr>
        <w:spacing w:after="0" w:line="216" w:lineRule="exact"/>
        <w:rPr>
          <w:sz w:val="20"/>
          <w:szCs w:val="20"/>
          <w:color w:val="auto"/>
        </w:rPr>
      </w:pPr>
    </w:p>
    <w:p>
      <w:pPr>
        <w:jc w:val="both"/>
        <w:ind w:left="1020" w:hanging="512"/>
        <w:spacing w:after="0"/>
        <w:tabs>
          <w:tab w:leader="none" w:pos="10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Clauses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32.8 (</w:t>
      </w:r>
      <w:r>
        <w:rPr>
          <w:rFonts w:ascii="Arial" w:cs="Arial" w:eastAsia="Arial" w:hAnsi="Arial"/>
          <w:sz w:val="18"/>
          <w:szCs w:val="18"/>
          <w:i w:val="1"/>
          <w:iCs w:val="1"/>
          <w:color w:val="auto"/>
        </w:rPr>
        <w:t>Responsibility for documentation and other matters</w:t>
      </w:r>
      <w:r>
        <w:rPr>
          <w:rFonts w:ascii="Arial" w:cs="Arial" w:eastAsia="Arial" w:hAnsi="Arial"/>
          <w:sz w:val="18"/>
          <w:szCs w:val="18"/>
          <w:color w:val="auto"/>
        </w:rPr>
        <w:t xml:space="preserve">), 32.9 </w:t>
      </w:r>
      <w:r>
        <w:rPr>
          <w:rFonts w:ascii="Arial" w:cs="Arial" w:eastAsia="Arial" w:hAnsi="Arial"/>
          <w:sz w:val="18"/>
          <w:szCs w:val="18"/>
          <w:i w:val="1"/>
          <w:iCs w:val="1"/>
          <w:color w:val="auto"/>
        </w:rPr>
        <w:t>(No duty to</w:t>
      </w:r>
      <w:r>
        <w:rPr>
          <w:rFonts w:ascii="Arial" w:cs="Arial" w:eastAsia="Arial" w:hAnsi="Arial"/>
          <w:sz w:val="18"/>
          <w:szCs w:val="18"/>
          <w:color w:val="auto"/>
        </w:rPr>
        <w:t xml:space="preserve"> </w:t>
      </w:r>
      <w:r>
        <w:rPr>
          <w:rFonts w:ascii="Arial" w:cs="Arial" w:eastAsia="Arial" w:hAnsi="Arial"/>
          <w:sz w:val="18"/>
          <w:szCs w:val="18"/>
          <w:i w:val="1"/>
          <w:iCs w:val="1"/>
          <w:color w:val="auto"/>
        </w:rPr>
        <w:t>monitor)</w:t>
      </w:r>
      <w:r>
        <w:rPr>
          <w:rFonts w:ascii="Arial" w:cs="Arial" w:eastAsia="Arial" w:hAnsi="Arial"/>
          <w:sz w:val="18"/>
          <w:szCs w:val="18"/>
          <w:color w:val="auto"/>
        </w:rPr>
        <w:t>,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32.13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Replacement of the Agent</w:t>
      </w:r>
      <w:r>
        <w:rPr>
          <w:rFonts w:ascii="Arial" w:cs="Arial" w:eastAsia="Arial" w:hAnsi="Arial"/>
          <w:sz w:val="18"/>
          <w:szCs w:val="18"/>
          <w:color w:val="auto"/>
        </w:rPr>
        <w:t>), 32.14 (</w:t>
      </w:r>
      <w:r>
        <w:rPr>
          <w:rFonts w:ascii="Arial" w:cs="Arial" w:eastAsia="Arial" w:hAnsi="Arial"/>
          <w:sz w:val="18"/>
          <w:szCs w:val="18"/>
          <w:i w:val="1"/>
          <w:iCs w:val="1"/>
          <w:color w:val="auto"/>
        </w:rPr>
        <w:t>Confidentiality</w:t>
      </w:r>
      <w:r>
        <w:rPr>
          <w:rFonts w:ascii="Arial" w:cs="Arial" w:eastAsia="Arial" w:hAnsi="Arial"/>
          <w:sz w:val="18"/>
          <w:szCs w:val="18"/>
          <w:color w:val="auto"/>
        </w:rPr>
        <w:t>), 32.15 (</w:t>
      </w:r>
      <w:r>
        <w:rPr>
          <w:rFonts w:ascii="Arial" w:cs="Arial" w:eastAsia="Arial" w:hAnsi="Arial"/>
          <w:sz w:val="18"/>
          <w:szCs w:val="18"/>
          <w:i w:val="1"/>
          <w:iCs w:val="1"/>
          <w:color w:val="auto"/>
        </w:rPr>
        <w:t>Relationship with the Lenders</w:t>
      </w:r>
      <w:r>
        <w:rPr>
          <w:rFonts w:ascii="Arial" w:cs="Arial" w:eastAsia="Arial" w:hAnsi="Arial"/>
          <w:sz w:val="18"/>
          <w:szCs w:val="18"/>
          <w:color w:val="auto"/>
        </w:rPr>
        <w:t>), 32.16 (</w:t>
      </w:r>
      <w:r>
        <w:rPr>
          <w:rFonts w:ascii="Arial" w:cs="Arial" w:eastAsia="Arial" w:hAnsi="Arial"/>
          <w:sz w:val="18"/>
          <w:szCs w:val="18"/>
          <w:i w:val="1"/>
          <w:iCs w:val="1"/>
          <w:color w:val="auto"/>
        </w:rPr>
        <w:t>Credit appraisal by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32.17</w:t>
      </w:r>
      <w:r>
        <w:rPr>
          <w:rFonts w:ascii="Arial" w:cs="Arial" w:eastAsia="Arial" w:hAnsi="Arial"/>
          <w:sz w:val="18"/>
          <w:szCs w:val="18"/>
          <w:i w:val="1"/>
          <w:iCs w:val="1"/>
          <w:color w:val="auto"/>
        </w:rPr>
        <w:t xml:space="preserve"> (Agent’s management time and additional remuneration) </w:t>
      </w:r>
      <w:r>
        <w:rPr>
          <w:rFonts w:ascii="Arial" w:cs="Arial" w:eastAsia="Arial" w:hAnsi="Arial"/>
          <w:sz w:val="18"/>
          <w:szCs w:val="18"/>
          <w:color w:val="auto"/>
        </w:rPr>
        <w:t>and 32.18 (</w:t>
      </w:r>
      <w:r>
        <w:rPr>
          <w:rFonts w:ascii="Arial" w:cs="Arial" w:eastAsia="Arial" w:hAnsi="Arial"/>
          <w:sz w:val="18"/>
          <w:szCs w:val="18"/>
          <w:i w:val="1"/>
          <w:iCs w:val="1"/>
          <w:color w:val="auto"/>
        </w:rPr>
        <w:t>Deduction from amounts payable by the Agent</w:t>
      </w:r>
      <w:r>
        <w:rPr>
          <w:rFonts w:ascii="Arial" w:cs="Arial" w:eastAsia="Arial" w:hAnsi="Arial"/>
          <w:sz w:val="18"/>
          <w:szCs w:val="18"/>
          <w:color w:val="auto"/>
        </w:rPr>
        <w:t>) shall each extend so as to apply to the Security Agent in its capacity as such and for that purpose each reference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these clauses shall extend to include in addition a reference to the “Security Agent” in its capacity as such and, in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184" w:lineRule="exact"/>
        <w:rPr>
          <w:rFonts w:ascii="Arial" w:cs="Arial" w:eastAsia="Arial" w:hAnsi="Arial"/>
          <w:sz w:val="18"/>
          <w:szCs w:val="18"/>
          <w:color w:val="auto"/>
        </w:rPr>
      </w:pPr>
    </w:p>
    <w:p>
      <w:pPr>
        <w:ind w:left="1020" w:hanging="512"/>
        <w:spacing w:after="0" w:line="267" w:lineRule="auto"/>
        <w:tabs>
          <w:tab w:leader="none" w:pos="111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 addition,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and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shall, for the purposes of its application to the Security Agent pursuant to clause 32.21(a), have the following additional sub-clause inserted after them:</w:t>
      </w:r>
    </w:p>
    <w:p>
      <w:pPr>
        <w:spacing w:after="0" w:line="178" w:lineRule="exact"/>
        <w:rPr>
          <w:sz w:val="20"/>
          <w:szCs w:val="20"/>
          <w:color w:val="auto"/>
        </w:rPr>
      </w:pPr>
    </w:p>
    <w:p>
      <w:pPr>
        <w:jc w:val="both"/>
        <w:ind w:left="1020"/>
        <w:spacing w:after="0" w:line="237" w:lineRule="auto"/>
        <w:rPr>
          <w:sz w:val="20"/>
          <w:szCs w:val="20"/>
          <w:color w:val="auto"/>
        </w:rPr>
      </w:pPr>
      <w:r>
        <w:rPr>
          <w:rFonts w:ascii="Arial" w:cs="Arial" w:eastAsia="Arial" w:hAnsi="Arial"/>
          <w:sz w:val="18"/>
          <w:szCs w:val="18"/>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 vested in its successor by operation of law. All such acts, deeds and documents shall be done or, as the case may be, executed at the cost of the Borrowers (except where the Security Agent is retiring under clause 32.12(a) as extended to it by clause 32.21(a), in which case such costs shall be borne by the Lenders (in proportion to its share of the Total Commitments or, if the Total Commitments are then zero, to its share of the Total Commitments immediately prior to their reduction to zero)).”.</w:t>
      </w:r>
    </w:p>
    <w:p>
      <w:pPr>
        <w:spacing w:after="0" w:line="203" w:lineRule="exact"/>
        <w:rPr>
          <w:sz w:val="20"/>
          <w:szCs w:val="20"/>
          <w:color w:val="auto"/>
        </w:rPr>
      </w:pPr>
    </w:p>
    <w:p>
      <w:pPr>
        <w:ind w:left="1020" w:hanging="512"/>
        <w:spacing w:after="0"/>
        <w:tabs>
          <w:tab w:leader="none" w:pos="10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Clause 32.7(e) shall, for the purposes of its application to the Security Agent pursuant to clause 32.21(a), read as follows:</w:t>
      </w:r>
    </w:p>
    <w:p>
      <w:pPr>
        <w:spacing w:after="0" w:line="211" w:lineRule="exact"/>
        <w:rPr>
          <w:rFonts w:ascii="Arial" w:cs="Arial" w:eastAsia="Arial" w:hAnsi="Arial"/>
          <w:sz w:val="18"/>
          <w:szCs w:val="18"/>
          <w:color w:val="auto"/>
        </w:rPr>
      </w:pPr>
    </w:p>
    <w:p>
      <w:pPr>
        <w:jc w:val="both"/>
        <w:ind w:left="1020"/>
        <w:spacing w:after="0" w:line="238" w:lineRule="auto"/>
        <w:rPr>
          <w:rFonts w:ascii="Arial" w:cs="Arial" w:eastAsia="Arial" w:hAnsi="Arial"/>
          <w:sz w:val="18"/>
          <w:szCs w:val="18"/>
          <w:color w:val="auto"/>
        </w:rPr>
      </w:pPr>
      <w:r>
        <w:rPr>
          <w:rFonts w:ascii="Arial" w:cs="Arial" w:eastAsia="Arial" w:hAnsi="Arial"/>
          <w:sz w:val="18"/>
          <w:szCs w:val="18"/>
          <w:color w:val="auto"/>
        </w:rPr>
        <w:t>“The Security Agent may, at the cost of the Borrowers, rely on the advice or services of any lawyers, accountants, tax advisers, surveyors or other professional advisers or experts (whether obtained by the Security Agent or by any other Party), whether or not liability thereunder is limited by reference to monetary cap or otherwise, and shall not be liable for any damages, costs or losses to any person, any diminution in value or any liability whatsoever arising as a result of its so relying.”.</w:t>
      </w:r>
    </w:p>
    <w:p>
      <w:pPr>
        <w:spacing w:after="0" w:line="186" w:lineRule="exact"/>
        <w:rPr>
          <w:rFonts w:ascii="Arial" w:cs="Arial" w:eastAsia="Arial" w:hAnsi="Arial"/>
          <w:sz w:val="18"/>
          <w:szCs w:val="18"/>
          <w:color w:val="auto"/>
        </w:rPr>
      </w:pPr>
    </w:p>
    <w:p>
      <w:pPr>
        <w:ind w:left="1020" w:right="20" w:hanging="512"/>
        <w:spacing w:after="0" w:line="267" w:lineRule="auto"/>
        <w:tabs>
          <w:tab w:leader="none" w:pos="113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Clause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xml:space="preserve"> shall, for the purposes of its application to the Security Agent pursuant to clause 32.21(a), include the following after sub clause 32.10(a)(iii)(B):</w:t>
      </w:r>
    </w:p>
    <w:p>
      <w:pPr>
        <w:spacing w:after="0" w:line="178" w:lineRule="exact"/>
        <w:rPr>
          <w:sz w:val="20"/>
          <w:szCs w:val="20"/>
          <w:color w:val="auto"/>
        </w:rPr>
      </w:pPr>
    </w:p>
    <w:p>
      <w:pPr>
        <w:ind w:left="1020"/>
        <w:spacing w:after="0"/>
        <w:tabs>
          <w:tab w:leader="none" w:pos="152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w:t>
      </w:r>
    </w:p>
    <w:p>
      <w:pPr>
        <w:spacing w:after="0" w:line="194" w:lineRule="exact"/>
        <w:rPr>
          <w:sz w:val="20"/>
          <w:szCs w:val="20"/>
          <w:color w:val="auto"/>
        </w:rPr>
      </w:pPr>
    </w:p>
    <w:p>
      <w:pPr>
        <w:ind w:left="1020" w:hanging="512"/>
        <w:spacing w:after="0" w:line="267" w:lineRule="auto"/>
        <w:tabs>
          <w:tab w:leader="none" w:pos="101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Clause 32.14 (</w:t>
      </w:r>
      <w:r>
        <w:rPr>
          <w:rFonts w:ascii="Arial" w:cs="Arial" w:eastAsia="Arial" w:hAnsi="Arial"/>
          <w:sz w:val="18"/>
          <w:szCs w:val="18"/>
          <w:i w:val="1"/>
          <w:iCs w:val="1"/>
          <w:color w:val="auto"/>
        </w:rPr>
        <w:t>Confidentiality</w:t>
      </w:r>
      <w:r>
        <w:rPr>
          <w:rFonts w:ascii="Arial" w:cs="Arial" w:eastAsia="Arial" w:hAnsi="Arial"/>
          <w:sz w:val="18"/>
          <w:szCs w:val="18"/>
          <w:color w:val="auto"/>
        </w:rPr>
        <w:t>) shall, for the purposes of its application to the Security Agent pursuant to clause 32.21(a), be read and construed as to refer to “its agency and trust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p>
      <w:pPr>
        <w:ind w:left="1040"/>
        <w:spacing w:after="0"/>
        <w:rPr>
          <w:sz w:val="20"/>
          <w:szCs w:val="20"/>
          <w:color w:val="auto"/>
        </w:rPr>
      </w:pPr>
      <w:r>
        <w:rPr>
          <w:rFonts w:ascii="Arial" w:cs="Arial" w:eastAsia="Arial" w:hAnsi="Arial"/>
          <w:sz w:val="18"/>
          <w:szCs w:val="18"/>
          <w:color w:val="auto"/>
        </w:rPr>
        <w:t>department” instead of “its department, division or team directly responsible for the management of the Finance Documents”.</w:t>
      </w:r>
    </w:p>
    <w:p>
      <w:pPr>
        <w:spacing w:after="0" w:line="212" w:lineRule="exact"/>
        <w:rPr>
          <w:sz w:val="20"/>
          <w:szCs w:val="20"/>
          <w:color w:val="auto"/>
        </w:rPr>
      </w:pPr>
    </w:p>
    <w:p>
      <w:pPr>
        <w:jc w:val="both"/>
        <w:ind w:left="1020" w:hanging="512"/>
        <w:spacing w:after="0" w:line="237" w:lineRule="auto"/>
        <w:tabs>
          <w:tab w:leader="none" w:pos="130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Without prejudice to the generality of any other provision of this Agreement or any other Security Document,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 any default or omission for which a mortgagee in possession might be liable unless such loss, default or omission is caused by its own gross negligence or wilful default.</w:t>
      </w:r>
    </w:p>
    <w:p>
      <w:pPr>
        <w:spacing w:after="0" w:line="202" w:lineRule="exact"/>
        <w:rPr>
          <w:rFonts w:ascii="Arial" w:cs="Arial" w:eastAsia="Arial" w:hAnsi="Arial"/>
          <w:sz w:val="18"/>
          <w:szCs w:val="18"/>
          <w:color w:val="auto"/>
        </w:rPr>
      </w:pPr>
    </w:p>
    <w:p>
      <w:pPr>
        <w:jc w:val="both"/>
        <w:ind w:left="1020" w:hanging="512"/>
        <w:spacing w:after="0" w:line="237" w:lineRule="auto"/>
        <w:tabs>
          <w:tab w:leader="none" w:pos="127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has happened or to monitor or supervise the observance and performance by the Borrowers,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Borrowers, the agents and the other parties thereto are observing and performing all their respective obligations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32.22 Instructions to Security Agent</w:t>
      </w:r>
    </w:p>
    <w:p>
      <w:pPr>
        <w:spacing w:after="0" w:line="234" w:lineRule="exact"/>
        <w:rPr>
          <w:sz w:val="20"/>
          <w:szCs w:val="20"/>
          <w:color w:val="auto"/>
        </w:rPr>
      </w:pPr>
    </w:p>
    <w:p>
      <w:pPr>
        <w:ind w:left="1020" w:hanging="512"/>
        <w:spacing w:after="0"/>
        <w:tabs>
          <w:tab w:leader="none" w:pos="10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211" w:lineRule="exact"/>
        <w:rPr>
          <w:rFonts w:ascii="Arial" w:cs="Arial" w:eastAsia="Arial" w:hAnsi="Arial"/>
          <w:sz w:val="18"/>
          <w:szCs w:val="18"/>
          <w:color w:val="auto"/>
        </w:rPr>
      </w:pPr>
    </w:p>
    <w:p>
      <w:pPr>
        <w:ind w:left="1540" w:hanging="511"/>
        <w:spacing w:after="0" w:line="274" w:lineRule="auto"/>
        <w:tabs>
          <w:tab w:leader="none" w:pos="1527" w:val="left"/>
        </w:tabs>
        <w:numPr>
          <w:ilvl w:val="1"/>
          <w:numId w:val="345"/>
        </w:numPr>
        <w:rPr>
          <w:rFonts w:ascii="Arial" w:cs="Arial" w:eastAsia="Arial" w:hAnsi="Arial"/>
          <w:sz w:val="17"/>
          <w:szCs w:val="17"/>
          <w:color w:val="auto"/>
        </w:rPr>
      </w:pPr>
      <w:r>
        <w:rPr>
          <w:rFonts w:ascii="Arial" w:cs="Arial" w:eastAsia="Arial" w:hAnsi="Arial"/>
          <w:sz w:val="17"/>
          <w:szCs w:val="17"/>
          <w:color w:val="auto"/>
        </w:rPr>
        <w:t>unless a contrary indication appears in a Finance Document, exercise or refrain from exercising any right, power, authority or discretion vested in it as Security Agent in accordance with any written instructions given to it by the Agent; and</w:t>
      </w:r>
    </w:p>
    <w:p>
      <w:pPr>
        <w:spacing w:after="0" w:line="174" w:lineRule="exact"/>
        <w:rPr>
          <w:rFonts w:ascii="Arial" w:cs="Arial" w:eastAsia="Arial" w:hAnsi="Arial"/>
          <w:sz w:val="17"/>
          <w:szCs w:val="17"/>
          <w:color w:val="auto"/>
        </w:rPr>
      </w:pPr>
    </w:p>
    <w:p>
      <w:pPr>
        <w:ind w:left="1540" w:hanging="511"/>
        <w:spacing w:after="0" w:line="246" w:lineRule="auto"/>
        <w:tabs>
          <w:tab w:leader="none" w:pos="1823" w:val="left"/>
        </w:tabs>
        <w:numPr>
          <w:ilvl w:val="1"/>
          <w:numId w:val="34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196" w:lineRule="exact"/>
        <w:rPr>
          <w:rFonts w:ascii="Arial" w:cs="Arial" w:eastAsia="Arial" w:hAnsi="Arial"/>
          <w:sz w:val="18"/>
          <w:szCs w:val="18"/>
          <w:color w:val="auto"/>
        </w:rPr>
      </w:pPr>
    </w:p>
    <w:p>
      <w:pPr>
        <w:jc w:val="both"/>
        <w:ind w:left="1020" w:hanging="512"/>
        <w:spacing w:after="0"/>
        <w:tabs>
          <w:tab w:leader="none" w:pos="104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202" w:lineRule="exact"/>
        <w:rPr>
          <w:rFonts w:ascii="Arial" w:cs="Arial" w:eastAsia="Arial" w:hAnsi="Arial"/>
          <w:sz w:val="18"/>
          <w:szCs w:val="18"/>
          <w:color w:val="auto"/>
        </w:rPr>
      </w:pPr>
    </w:p>
    <w:p>
      <w:pPr>
        <w:ind w:left="1020" w:hanging="512"/>
        <w:spacing w:after="0" w:line="246" w:lineRule="auto"/>
        <w:tabs>
          <w:tab w:leader="none" w:pos="120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196" w:lineRule="exact"/>
        <w:rPr>
          <w:rFonts w:ascii="Arial" w:cs="Arial" w:eastAsia="Arial" w:hAnsi="Arial"/>
          <w:sz w:val="18"/>
          <w:szCs w:val="18"/>
          <w:color w:val="auto"/>
        </w:rPr>
      </w:pPr>
    </w:p>
    <w:p>
      <w:pPr>
        <w:jc w:val="both"/>
        <w:ind w:left="1020" w:hanging="512"/>
        <w:spacing w:after="0"/>
        <w:tabs>
          <w:tab w:leader="none" w:pos="153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 may require (which may include payment in advance) for any cost, loss or liability (together with any associated VAT or other applicable tax) which it may incur in complying with those instructions.</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16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For the avoidance of doubt, no provision of this Agreement shall require the Security Agent to expend or risk its own funds or otherwise incur any financial liability in the performance 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204" w:lineRule="exact"/>
        <w:rPr>
          <w:rFonts w:ascii="Arial" w:cs="Arial" w:eastAsia="Arial" w:hAnsi="Arial"/>
          <w:sz w:val="18"/>
          <w:szCs w:val="18"/>
          <w:color w:val="auto"/>
        </w:rPr>
      </w:pPr>
    </w:p>
    <w:p>
      <w:pPr>
        <w:ind w:left="1020" w:right="20" w:hanging="512"/>
        <w:spacing w:after="0" w:line="246" w:lineRule="auto"/>
        <w:tabs>
          <w:tab w:leader="none" w:pos="106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In the absence of instructions, the Security Agent may act (or refrain from acting) as it considers to be in the best interest of the Finance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jc w:val="both"/>
        <w:ind w:left="1020" w:hanging="512"/>
        <w:spacing w:after="0" w:line="238" w:lineRule="auto"/>
        <w:tabs>
          <w:tab w:leader="none" w:pos="113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Security Agent is not authorised to act on behalf of a Lender (without first obtaining that Lender’s consent) in any legal or arbitration proceedings relating to any Finance Document. This paragraph (g) shall not apply to any legal or arbitration proceeding relating to the perfection, preservation or protection of rights under the Security Documents or enforcement of the Security Documents.</w:t>
      </w:r>
    </w:p>
    <w:p>
      <w:pPr>
        <w:spacing w:after="0" w:line="204" w:lineRule="exact"/>
        <w:rPr>
          <w:rFonts w:ascii="Arial" w:cs="Arial" w:eastAsia="Arial" w:hAnsi="Arial"/>
          <w:sz w:val="18"/>
          <w:szCs w:val="18"/>
          <w:color w:val="auto"/>
        </w:rPr>
      </w:pPr>
    </w:p>
    <w:p>
      <w:pPr>
        <w:jc w:val="both"/>
        <w:ind w:left="1020" w:hanging="512"/>
        <w:spacing w:after="0"/>
        <w:tabs>
          <w:tab w:leader="none" w:pos="115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Borrowers, the Agent, or any Finance Party as regards any deficiency which might arise because the Security Agent is subject to any Tax in respect of all or any of the Charged Property, the income therefrom or the proceeds thereof.</w:t>
      </w:r>
    </w:p>
    <w:p>
      <w:pPr>
        <w:spacing w:after="0" w:line="184" w:lineRule="exact"/>
        <w:rPr>
          <w:rFonts w:ascii="Arial" w:cs="Arial" w:eastAsia="Arial" w:hAnsi="Arial"/>
          <w:sz w:val="18"/>
          <w:szCs w:val="18"/>
          <w:color w:val="auto"/>
        </w:rPr>
      </w:pPr>
    </w:p>
    <w:p>
      <w:pPr>
        <w:jc w:val="both"/>
        <w:ind w:left="1020" w:hanging="512"/>
        <w:spacing w:after="0" w:line="242" w:lineRule="auto"/>
        <w:tabs>
          <w:tab w:leader="none" w:pos="122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Until the delivery of an enforcement notice pursuant to clause 29.22 (</w:t>
      </w:r>
      <w:r>
        <w:rPr>
          <w:rFonts w:ascii="Arial" w:cs="Arial" w:eastAsia="Arial" w:hAnsi="Arial"/>
          <w:sz w:val="18"/>
          <w:szCs w:val="18"/>
          <w:i w:val="1"/>
          <w:iCs w:val="1"/>
          <w:color w:val="auto"/>
        </w:rPr>
        <w:t>Acceleration</w:t>
      </w:r>
      <w:r>
        <w:rPr>
          <w:rFonts w:ascii="Arial" w:cs="Arial" w:eastAsia="Arial" w:hAnsi="Arial"/>
          <w:sz w:val="18"/>
          <w:szCs w:val="18"/>
          <w:color w:val="auto"/>
        </w:rPr>
        <w:t>), the moneys standing to the credit of any accounts comprised in the Security Documents shall be dealt with in accordance with the provisions of this Agreement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32.23 Security Agent’s actions</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Without prejudice to the provisions of clause 32.22 (</w:t>
      </w:r>
      <w:r>
        <w:rPr>
          <w:rFonts w:ascii="Arial" w:cs="Arial" w:eastAsia="Arial" w:hAnsi="Arial"/>
          <w:sz w:val="18"/>
          <w:szCs w:val="18"/>
          <w:i w:val="1"/>
          <w:iCs w:val="1"/>
          <w:color w:val="auto"/>
        </w:rPr>
        <w:t>Instructions to Security Agent</w:t>
      </w:r>
      <w:r>
        <w:rPr>
          <w:rFonts w:ascii="Arial" w:cs="Arial" w:eastAsia="Arial" w:hAnsi="Arial"/>
          <w:sz w:val="18"/>
          <w:szCs w:val="18"/>
          <w:color w:val="auto"/>
        </w:rPr>
        <w:t>) the Security Agent may (but shall not be obliged to), in the absence of any instructions to the contrary, take such action in the exercise of any of its powers and duties under the Finance Documents as it considers in its discretion to be appropriate and in the best interests of the Finance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32.24 Order of application</w:t>
      </w:r>
    </w:p>
    <w:p>
      <w:pPr>
        <w:spacing w:after="0" w:line="234" w:lineRule="exact"/>
        <w:rPr>
          <w:sz w:val="20"/>
          <w:szCs w:val="20"/>
          <w:color w:val="auto"/>
        </w:rPr>
      </w:pPr>
    </w:p>
    <w:p>
      <w:pPr>
        <w:jc w:val="both"/>
        <w:ind w:left="1020" w:hanging="512"/>
        <w:spacing w:after="0"/>
        <w:tabs>
          <w:tab w:leader="none" w:pos="105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180" w:lineRule="exact"/>
        <w:rPr>
          <w:rFonts w:ascii="Arial" w:cs="Arial" w:eastAsia="Arial" w:hAnsi="Arial"/>
          <w:sz w:val="18"/>
          <w:szCs w:val="18"/>
          <w:color w:val="auto"/>
        </w:rPr>
      </w:pPr>
    </w:p>
    <w:p>
      <w:pPr>
        <w:jc w:val="both"/>
        <w:ind w:left="1540" w:hanging="511"/>
        <w:spacing w:after="0" w:line="244" w:lineRule="auto"/>
        <w:tabs>
          <w:tab w:leader="none" w:pos="1783" w:val="left"/>
        </w:tabs>
        <w:numPr>
          <w:ilvl w:val="1"/>
          <w:numId w:val="347"/>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amounts received by the Security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as extended to the Security Agent 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xml:space="preserve"> for the Agent absolutely;</w:t>
      </w:r>
    </w:p>
    <w:p>
      <w:pPr>
        <w:spacing w:after="0" w:line="176" w:lineRule="exact"/>
        <w:rPr>
          <w:rFonts w:ascii="Arial" w:cs="Arial" w:eastAsia="Arial" w:hAnsi="Arial"/>
          <w:sz w:val="18"/>
          <w:szCs w:val="18"/>
          <w:color w:val="auto"/>
        </w:rPr>
      </w:pPr>
    </w:p>
    <w:p>
      <w:pPr>
        <w:jc w:val="both"/>
        <w:ind w:left="1540" w:hanging="511"/>
        <w:spacing w:after="0" w:line="253" w:lineRule="auto"/>
        <w:tabs>
          <w:tab w:leader="none" w:pos="1688" w:val="left"/>
        </w:tabs>
        <w:numPr>
          <w:ilvl w:val="1"/>
          <w:numId w:val="347"/>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as to a sum equivalent to the aggregate amount then due and owing to the other Finance Parties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for those Finance Parties absolutely for application between them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1540" w:hanging="511"/>
        <w:spacing w:after="0" w:line="247" w:lineRule="auto"/>
        <w:tabs>
          <w:tab w:leader="none" w:pos="1823" w:val="left"/>
        </w:tabs>
        <w:numPr>
          <w:ilvl w:val="1"/>
          <w:numId w:val="347"/>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and unconditionally discharged in full, held by the Security Agent on a suspense account for payment of any further amounts owing to the Finance Parties under the Finance Documents and further application in accordance with this clause 32.24(a) as and when any such amounts later fall due;</w:t>
      </w:r>
    </w:p>
    <w:p>
      <w:pPr>
        <w:spacing w:after="0" w:line="173" w:lineRule="exact"/>
        <w:rPr>
          <w:rFonts w:ascii="Arial" w:cs="Arial" w:eastAsia="Arial" w:hAnsi="Arial"/>
          <w:sz w:val="18"/>
          <w:szCs w:val="18"/>
          <w:color w:val="auto"/>
        </w:rPr>
      </w:pPr>
    </w:p>
    <w:p>
      <w:pPr>
        <w:ind w:left="1520" w:hanging="491"/>
        <w:spacing w:after="0"/>
        <w:tabs>
          <w:tab w:leader="none" w:pos="1520" w:val="left"/>
        </w:tabs>
        <w:numPr>
          <w:ilvl w:val="1"/>
          <w:numId w:val="347"/>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211" w:lineRule="exact"/>
        <w:rPr>
          <w:rFonts w:ascii="Arial" w:cs="Arial" w:eastAsia="Arial" w:hAnsi="Arial"/>
          <w:sz w:val="18"/>
          <w:szCs w:val="18"/>
          <w:color w:val="auto"/>
        </w:rPr>
      </w:pPr>
    </w:p>
    <w:p>
      <w:pPr>
        <w:ind w:left="1540" w:hanging="511"/>
        <w:spacing w:after="0" w:line="271" w:lineRule="auto"/>
        <w:tabs>
          <w:tab w:leader="none" w:pos="1550" w:val="left"/>
        </w:tabs>
        <w:numPr>
          <w:ilvl w:val="1"/>
          <w:numId w:val="347"/>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or recovered or other person entitled to them.</w:t>
      </w:r>
    </w:p>
    <w:p>
      <w:pPr>
        <w:spacing w:after="0" w:line="175" w:lineRule="exact"/>
        <w:rPr>
          <w:rFonts w:ascii="Arial" w:cs="Arial" w:eastAsia="Arial" w:hAnsi="Arial"/>
          <w:sz w:val="18"/>
          <w:szCs w:val="18"/>
          <w:color w:val="auto"/>
        </w:rPr>
      </w:pPr>
    </w:p>
    <w:p>
      <w:pPr>
        <w:ind w:left="1020" w:hanging="512"/>
        <w:spacing w:after="0" w:line="246" w:lineRule="auto"/>
        <w:tabs>
          <w:tab w:leader="none" w:pos="105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8" w:name="page139"/>
    <w:bookmarkEnd w:id="138"/>
    <w:p>
      <w:pPr>
        <w:jc w:val="both"/>
        <w:ind w:left="1040"/>
        <w:spacing w:after="0" w:line="237" w:lineRule="auto"/>
        <w:rPr>
          <w:sz w:val="20"/>
          <w:szCs w:val="20"/>
          <w:color w:val="auto"/>
        </w:rPr>
      </w:pPr>
      <w:r>
        <w:rPr>
          <w:rFonts w:ascii="Arial" w:cs="Arial" w:eastAsia="Arial" w:hAnsi="Arial"/>
          <w:sz w:val="18"/>
          <w:szCs w:val="18"/>
          <w:color w:val="auto"/>
        </w:rPr>
        <w:t>otherwise become available to, it save that (without prejudice to any other provision contained in any of the Security Documents) the Security Agent (acting on the instructions of the Agent), 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Borrowers or any other person liable.</w:t>
      </w:r>
    </w:p>
    <w:p>
      <w:pPr>
        <w:spacing w:after="0" w:line="205" w:lineRule="exact"/>
        <w:rPr>
          <w:sz w:val="20"/>
          <w:szCs w:val="20"/>
          <w:color w:val="auto"/>
        </w:rPr>
      </w:pPr>
    </w:p>
    <w:p>
      <w:pPr>
        <w:jc w:val="both"/>
        <w:ind w:left="1020" w:hanging="512"/>
        <w:spacing w:after="0"/>
        <w:tabs>
          <w:tab w:leader="none" w:pos="1303"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32.24 by paying such amounts to the Agent for distribution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32.25 Powers and duties of the Security Agent as trustee of the security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212" w:lineRule="exact"/>
        <w:rPr>
          <w:sz w:val="20"/>
          <w:szCs w:val="20"/>
          <w:color w:val="auto"/>
        </w:rPr>
      </w:pPr>
    </w:p>
    <w:p>
      <w:pPr>
        <w:jc w:val="both"/>
        <w:ind w:left="1020" w:hanging="512"/>
        <w:spacing w:after="0" w:line="238" w:lineRule="auto"/>
        <w:tabs>
          <w:tab w:leader="none" w:pos="113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184" w:lineRule="exact"/>
        <w:rPr>
          <w:rFonts w:ascii="Arial" w:cs="Arial" w:eastAsia="Arial" w:hAnsi="Arial"/>
          <w:sz w:val="18"/>
          <w:szCs w:val="18"/>
          <w:color w:val="auto"/>
        </w:rPr>
      </w:pPr>
    </w:p>
    <w:p>
      <w:pPr>
        <w:jc w:val="both"/>
        <w:ind w:left="1020" w:hanging="512"/>
        <w:spacing w:after="0" w:line="239" w:lineRule="auto"/>
        <w:tabs>
          <w:tab w:leader="none" w:pos="1273"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shall (subject to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205" w:lineRule="exact"/>
        <w:rPr>
          <w:rFonts w:ascii="Arial" w:cs="Arial" w:eastAsia="Arial" w:hAnsi="Arial"/>
          <w:sz w:val="18"/>
          <w:szCs w:val="18"/>
          <w:color w:val="auto"/>
        </w:rPr>
      </w:pPr>
    </w:p>
    <w:p>
      <w:pPr>
        <w:jc w:val="both"/>
        <w:ind w:left="1020" w:hanging="512"/>
        <w:spacing w:after="0" w:line="236" w:lineRule="auto"/>
        <w:tabs>
          <w:tab w:leader="none" w:pos="110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may, in the conduct of its obligations under and in respect of the Security Documents,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or delegate if the Security Agent shall have exercised reasonable care in the selection of such agent;</w:t>
      </w:r>
    </w:p>
    <w:p>
      <w:pPr>
        <w:spacing w:after="0" w:line="207" w:lineRule="exact"/>
        <w:rPr>
          <w:rFonts w:ascii="Arial" w:cs="Arial" w:eastAsia="Arial" w:hAnsi="Arial"/>
          <w:sz w:val="18"/>
          <w:szCs w:val="18"/>
          <w:color w:val="auto"/>
        </w:rPr>
      </w:pPr>
    </w:p>
    <w:p>
      <w:pPr>
        <w:jc w:val="both"/>
        <w:ind w:left="1020" w:hanging="512"/>
        <w:spacing w:after="0" w:line="237" w:lineRule="auto"/>
        <w:tabs>
          <w:tab w:leader="none" w:pos="103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may place all deeds and other documents relating to the Trust Property which are from time to time deposited with it pursuant to the Security Documents in any safe deposit, safe or receptacle selected by the Security Agent or with any firm of solicitors or company whose business includes undertaking the safe custody of documents selected by the Security Agent and may make any such arrangements as it thinks fit for allowing Obligors access to, 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9" w:name="page140"/>
    <w:bookmarkEnd w:id="139"/>
    <w:p>
      <w:pPr>
        <w:jc w:val="both"/>
        <w:ind w:left="520" w:hanging="512"/>
        <w:spacing w:after="0"/>
        <w:tabs>
          <w:tab w:leader="none" w:pos="71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may, unless and to the extent the express provisions of any Security Document provide otherwise, do any act or thing in the exercise of any of its duties under the Finance Documents which in its absolute discretion (in the absence of any instructions of the Agent as to the doing of such act or thing) it deems advisable for the protection and benefit of all the Finance Parties;</w:t>
      </w:r>
    </w:p>
    <w:p>
      <w:pPr>
        <w:spacing w:after="0" w:line="202" w:lineRule="exact"/>
        <w:rPr>
          <w:rFonts w:ascii="Arial" w:cs="Arial" w:eastAsia="Arial" w:hAnsi="Arial"/>
          <w:sz w:val="18"/>
          <w:szCs w:val="18"/>
          <w:color w:val="auto"/>
        </w:rPr>
      </w:pPr>
    </w:p>
    <w:p>
      <w:pPr>
        <w:jc w:val="both"/>
        <w:ind w:left="520" w:hanging="512"/>
        <w:spacing w:after="0" w:line="238" w:lineRule="auto"/>
        <w:tabs>
          <w:tab w:leader="none" w:pos="81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may, unless the express provisions of any such Security Document provide otherwise, if authorised by the Agent following instructions of all the Lenders or the Majority Lenders (as the case may be), amend or vary the terms of or waive breaches of or defaults under, or otherwise excuse performance of any provision of, or grant consents under any of the Security Documents to which it is a party, any such amendment, variation, waiver or consent so authorised to be binding on all the parties hereto and that Security Agent to be under no liability whatsoever in respect thereof;</w:t>
      </w:r>
    </w:p>
    <w:p>
      <w:pPr>
        <w:spacing w:after="0" w:line="202" w:lineRule="exact"/>
        <w:rPr>
          <w:rFonts w:ascii="Arial" w:cs="Arial" w:eastAsia="Arial" w:hAnsi="Arial"/>
          <w:sz w:val="18"/>
          <w:szCs w:val="18"/>
          <w:color w:val="auto"/>
        </w:rPr>
      </w:pPr>
    </w:p>
    <w:p>
      <w:pPr>
        <w:jc w:val="both"/>
        <w:ind w:left="520" w:right="20" w:hanging="512"/>
        <w:spacing w:after="0"/>
        <w:tabs>
          <w:tab w:leader="none" w:pos="74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shall not be bound to disclose to any other person (including but not limited to any other Finance Party) (i) any Confidential Information or (ii) any other information if disclosure would, or might in its reasonable opinion, constitute a breach of any law or be a breach of fiduciary duty;</w:t>
      </w:r>
    </w:p>
    <w:p>
      <w:pPr>
        <w:spacing w:after="0" w:line="202" w:lineRule="exact"/>
        <w:rPr>
          <w:rFonts w:ascii="Arial" w:cs="Arial" w:eastAsia="Arial" w:hAnsi="Arial"/>
          <w:sz w:val="18"/>
          <w:szCs w:val="18"/>
          <w:color w:val="auto"/>
        </w:rPr>
      </w:pPr>
    </w:p>
    <w:p>
      <w:pPr>
        <w:jc w:val="both"/>
        <w:ind w:left="520" w:hanging="512"/>
        <w:spacing w:after="0"/>
        <w:tabs>
          <w:tab w:leader="none" w:pos="54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shall have no responsibility to make any payment, deduction or withholding of any Tax or governmental charge as a result of the Security Agent (i) holding the Security Interests created by the Finance Documents or (ii) enforcing such Security Interests created by the Finance Documents;</w:t>
      </w:r>
    </w:p>
    <w:p>
      <w:pPr>
        <w:spacing w:after="0" w:line="202" w:lineRule="exact"/>
        <w:rPr>
          <w:rFonts w:ascii="Arial" w:cs="Arial" w:eastAsia="Arial" w:hAnsi="Arial"/>
          <w:sz w:val="18"/>
          <w:szCs w:val="18"/>
          <w:color w:val="auto"/>
        </w:rPr>
      </w:pPr>
    </w:p>
    <w:p>
      <w:pPr>
        <w:ind w:left="520" w:hanging="512"/>
        <w:spacing w:after="0"/>
        <w:tabs>
          <w:tab w:leader="none" w:pos="5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w:t>
      </w:r>
    </w:p>
    <w:p>
      <w:pPr>
        <w:spacing w:after="0" w:line="211" w:lineRule="exact"/>
        <w:rPr>
          <w:rFonts w:ascii="Arial" w:cs="Arial" w:eastAsia="Arial" w:hAnsi="Arial"/>
          <w:sz w:val="18"/>
          <w:szCs w:val="18"/>
          <w:color w:val="auto"/>
        </w:rPr>
      </w:pPr>
    </w:p>
    <w:p>
      <w:pPr>
        <w:jc w:val="both"/>
        <w:ind w:left="520" w:hanging="512"/>
        <w:spacing w:after="0" w:line="238" w:lineRule="auto"/>
        <w:tabs>
          <w:tab w:leader="none" w:pos="94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shall have only those duties, obligations and responsibilities expressly specified in the Finance Documents to which it is expressed to be a party (and no others shall be implied) and the role and functions of the Security Agent under this Agreement shall be purely mechanical and administrative in nature and, subject to the terms of this Agreement, acting on the instructions of the Agent; and</w:t>
      </w:r>
    </w:p>
    <w:p>
      <w:pPr>
        <w:spacing w:after="0" w:line="204" w:lineRule="exact"/>
        <w:rPr>
          <w:rFonts w:ascii="Arial" w:cs="Arial" w:eastAsia="Arial" w:hAnsi="Arial"/>
          <w:sz w:val="18"/>
          <w:szCs w:val="18"/>
          <w:color w:val="auto"/>
        </w:rPr>
      </w:pPr>
    </w:p>
    <w:p>
      <w:pPr>
        <w:ind w:left="520" w:hanging="512"/>
        <w:spacing w:after="0"/>
        <w:tabs>
          <w:tab w:leader="none" w:pos="5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shall not be liable for any failure to:</w:t>
      </w:r>
    </w:p>
    <w:p>
      <w:pPr>
        <w:spacing w:after="0" w:line="211" w:lineRule="exact"/>
        <w:rPr>
          <w:rFonts w:ascii="Arial" w:cs="Arial" w:eastAsia="Arial" w:hAnsi="Arial"/>
          <w:sz w:val="18"/>
          <w:szCs w:val="18"/>
          <w:color w:val="auto"/>
        </w:rPr>
      </w:pPr>
    </w:p>
    <w:p>
      <w:pPr>
        <w:ind w:left="1040" w:right="20" w:hanging="511"/>
        <w:spacing w:after="0" w:line="246" w:lineRule="auto"/>
        <w:tabs>
          <w:tab w:leader="none" w:pos="1067" w:val="left"/>
        </w:tabs>
        <w:numPr>
          <w:ilvl w:val="1"/>
          <w:numId w:val="350"/>
        </w:numPr>
        <w:rPr>
          <w:rFonts w:ascii="Arial" w:cs="Arial" w:eastAsia="Arial" w:hAnsi="Arial"/>
          <w:sz w:val="18"/>
          <w:szCs w:val="18"/>
          <w:color w:val="auto"/>
        </w:rPr>
      </w:pPr>
      <w:r>
        <w:rPr>
          <w:rFonts w:ascii="Arial" w:cs="Arial" w:eastAsia="Arial" w:hAnsi="Arial"/>
          <w:sz w:val="18"/>
          <w:szCs w:val="18"/>
          <w:color w:val="auto"/>
        </w:rPr>
        <w:t>require the deposit with it of any deed or document certifying, representing or constituting the title of any Obligor to any of the Charged Property;</w:t>
      </w:r>
    </w:p>
    <w:p>
      <w:pPr>
        <w:spacing w:after="0" w:line="196" w:lineRule="exact"/>
        <w:rPr>
          <w:rFonts w:ascii="Arial" w:cs="Arial" w:eastAsia="Arial" w:hAnsi="Arial"/>
          <w:sz w:val="18"/>
          <w:szCs w:val="18"/>
          <w:color w:val="auto"/>
        </w:rPr>
      </w:pPr>
    </w:p>
    <w:p>
      <w:pPr>
        <w:ind w:left="1040" w:hanging="511"/>
        <w:spacing w:after="0" w:line="246" w:lineRule="auto"/>
        <w:tabs>
          <w:tab w:leader="none" w:pos="112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obtain any licence, consent or other authority for the execution, delivery, legality, validity, enforceability or admissibility in evidence of any Finance Document or the Security Interests created under the Security Documents;</w:t>
      </w:r>
    </w:p>
    <w:p>
      <w:pPr>
        <w:spacing w:after="0" w:line="196" w:lineRule="exact"/>
        <w:rPr>
          <w:rFonts w:ascii="Arial" w:cs="Arial" w:eastAsia="Arial" w:hAnsi="Arial"/>
          <w:sz w:val="18"/>
          <w:szCs w:val="18"/>
          <w:color w:val="auto"/>
        </w:rPr>
      </w:pPr>
    </w:p>
    <w:p>
      <w:pPr>
        <w:jc w:val="both"/>
        <w:ind w:left="1040" w:hanging="511"/>
        <w:spacing w:after="0"/>
        <w:tabs>
          <w:tab w:leader="none" w:pos="1093" w:val="left"/>
        </w:tabs>
        <w:numPr>
          <w:ilvl w:val="1"/>
          <w:numId w:val="350"/>
        </w:numPr>
        <w:rPr>
          <w:rFonts w:ascii="Arial" w:cs="Arial" w:eastAsia="Arial" w:hAnsi="Arial"/>
          <w:sz w:val="18"/>
          <w:szCs w:val="18"/>
          <w:color w:val="auto"/>
        </w:rPr>
      </w:pPr>
      <w:r>
        <w:rPr>
          <w:rFonts w:ascii="Arial" w:cs="Arial" w:eastAsia="Arial" w:hAnsi="Arial"/>
          <w:sz w:val="18"/>
          <w:szCs w:val="18"/>
          <w:color w:val="auto"/>
        </w:rPr>
        <w:t>register, file or record or otherwise protect any Security Interests created under the Security Documents (or the priority of any such Security Interests) under any law or regulation or to give notice to any person of the execution of any Finance Document;</w:t>
      </w:r>
    </w:p>
    <w:p>
      <w:pPr>
        <w:spacing w:after="0" w:line="202" w:lineRule="exact"/>
        <w:rPr>
          <w:rFonts w:ascii="Arial" w:cs="Arial" w:eastAsia="Arial" w:hAnsi="Arial"/>
          <w:sz w:val="18"/>
          <w:szCs w:val="18"/>
          <w:color w:val="auto"/>
        </w:rPr>
      </w:pPr>
    </w:p>
    <w:p>
      <w:pPr>
        <w:jc w:val="both"/>
        <w:ind w:left="1040" w:hanging="511"/>
        <w:spacing w:after="0"/>
        <w:tabs>
          <w:tab w:leader="none" w:pos="1063"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take, or to require any Obligor to take, any step to perfect its title to any of the Charged Property or to render the Security Interests created under the Security Documents effective or to secure the creation of any ancillary Security Interests under any law or regulation; or</w:t>
      </w:r>
    </w:p>
    <w:p>
      <w:pPr>
        <w:spacing w:after="0" w:line="202" w:lineRule="exact"/>
        <w:rPr>
          <w:rFonts w:ascii="Arial" w:cs="Arial" w:eastAsia="Arial" w:hAnsi="Arial"/>
          <w:sz w:val="18"/>
          <w:szCs w:val="18"/>
          <w:color w:val="auto"/>
        </w:rPr>
      </w:pPr>
    </w:p>
    <w:p>
      <w:pPr>
        <w:ind w:left="1020" w:hanging="491"/>
        <w:spacing w:after="0"/>
        <w:tabs>
          <w:tab w:leader="none" w:pos="10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require any further assurance in relation to any Security Document.</w:t>
      </w:r>
    </w:p>
    <w:p>
      <w:pPr>
        <w:spacing w:after="0" w:line="212"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97"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w:t>
      </w:r>
    </w:p>
    <w:p>
      <w:pPr>
        <w:spacing w:after="0" w:line="20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55" w:right="339" w:bottom="1440" w:gutter="0" w:footer="0" w:header="0"/>
        </w:sectPr>
      </w:pPr>
    </w:p>
    <w:bookmarkStart w:id="140" w:name="page141"/>
    <w:bookmarkEnd w:id="140"/>
    <w:p>
      <w:pPr>
        <w:jc w:val="both"/>
        <w:ind w:left="520"/>
        <w:spacing w:after="0" w:line="246" w:lineRule="auto"/>
        <w:rPr>
          <w:sz w:val="20"/>
          <w:szCs w:val="20"/>
          <w:color w:val="auto"/>
        </w:rPr>
      </w:pPr>
      <w:r>
        <w:rPr>
          <w:rFonts w:ascii="Arial" w:cs="Arial" w:eastAsia="Arial" w:hAnsi="Arial"/>
          <w:sz w:val="18"/>
          <w:szCs w:val="18"/>
          <w:color w:val="auto"/>
        </w:rPr>
        <w:t>this Agreement shall, to the extent allowed by law, prevail and, in the case of any inconsistency with the Trustee Act 2000, the provisions of this Agreement shall constitute a restriction or exclusion for the purposes of that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32.26 Insurance by Security Agent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 unless the Agent shall have requested it to do so in writing and the Security Agent shall have failed to do so within 14 days after receipt of that request. The Security Agent shall have no obligation to, or any liability for any failure to:</w:t>
      </w:r>
    </w:p>
    <w:p>
      <w:pPr>
        <w:spacing w:after="0" w:line="202" w:lineRule="exact"/>
        <w:rPr>
          <w:sz w:val="20"/>
          <w:szCs w:val="20"/>
          <w:color w:val="auto"/>
        </w:rPr>
      </w:pPr>
    </w:p>
    <w:p>
      <w:pPr>
        <w:ind w:left="1020" w:hanging="512"/>
        <w:spacing w:after="0"/>
        <w:tabs>
          <w:tab w:leader="none" w:pos="10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insure any of the Charged Property;</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require any other person to maintain any insurance; or</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verify any obligation to arrange or maintain insurance contained in any Finance Document,</w:t>
      </w:r>
    </w:p>
    <w:p>
      <w:pPr>
        <w:spacing w:after="0" w:line="212"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and the Security Agent shall not be liable for any damages, costs or loss to any person as a result of the lack of, or inadequacy of, any such insurance.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32.27 Custodians and nominees</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32.28 Acceptance of title</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32.29 Refrain from illegality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Notwithstanding anything to the contrary expressed or implied in the Finance Documents,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32.30 All enforcement action through the Security Agent</w:t>
      </w:r>
    </w:p>
    <w:p>
      <w:pPr>
        <w:spacing w:after="0" w:line="234" w:lineRule="exact"/>
        <w:rPr>
          <w:sz w:val="20"/>
          <w:szCs w:val="20"/>
          <w:color w:val="auto"/>
        </w:rPr>
      </w:pPr>
    </w:p>
    <w:p>
      <w:pPr>
        <w:jc w:val="both"/>
        <w:ind w:left="1020" w:hanging="512"/>
        <w:spacing w:after="0" w:line="238" w:lineRule="auto"/>
        <w:tabs>
          <w:tab w:leader="none" w:pos="121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204" w:lineRule="exact"/>
        <w:rPr>
          <w:rFonts w:ascii="Arial" w:cs="Arial" w:eastAsia="Arial" w:hAnsi="Arial"/>
          <w:sz w:val="18"/>
          <w:szCs w:val="18"/>
          <w:color w:val="auto"/>
        </w:rPr>
      </w:pPr>
    </w:p>
    <w:p>
      <w:pPr>
        <w:jc w:val="both"/>
        <w:ind w:left="1020" w:hanging="512"/>
        <w:spacing w:after="0"/>
        <w:tabs>
          <w:tab w:leader="none" w:pos="120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1" w:name="page142"/>
    <w:bookmarkEnd w:id="141"/>
    <w:p>
      <w:pPr>
        <w:jc w:val="both"/>
        <w:ind w:left="1040"/>
        <w:spacing w:after="0" w:line="238" w:lineRule="auto"/>
        <w:rPr>
          <w:sz w:val="20"/>
          <w:szCs w:val="20"/>
          <w:color w:val="auto"/>
        </w:rPr>
      </w:pPr>
      <w:r>
        <w:rPr>
          <w:rFonts w:ascii="Arial" w:cs="Arial" w:eastAsia="Arial" w:hAnsi="Arial"/>
          <w:sz w:val="18"/>
          <w:szCs w:val="18"/>
          <w:color w:val="auto"/>
        </w:rPr>
        <w:t>constituted by such Security Documents except with the prior written consent of the Agent (acting through the Security Agent and on the instructions of the Majority Lenders).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32.31 Co-operation to achieve agreed priorities of application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other Finance Parties shall co-operate with each other and with the Security Agent and any receiver or administrator under the Security Documents in realising the property and assets subject to the Security Documents and in ensuring that the net proceeds realised under the Security Documents after deduction of the expenses of realisation are applied in accordance with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32.32 Indemnity from Trust Property</w:t>
      </w:r>
    </w:p>
    <w:p>
      <w:pPr>
        <w:spacing w:after="0" w:line="234" w:lineRule="exact"/>
        <w:rPr>
          <w:sz w:val="20"/>
          <w:szCs w:val="20"/>
          <w:color w:val="auto"/>
        </w:rPr>
      </w:pPr>
    </w:p>
    <w:p>
      <w:pPr>
        <w:jc w:val="both"/>
        <w:ind w:left="1040" w:hanging="526"/>
        <w:spacing w:after="0" w:line="238" w:lineRule="auto"/>
        <w:tabs>
          <w:tab w:leader="none" w:pos="102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204" w:lineRule="exact"/>
        <w:rPr>
          <w:rFonts w:ascii="Arial" w:cs="Arial" w:eastAsia="Arial" w:hAnsi="Arial"/>
          <w:sz w:val="18"/>
          <w:szCs w:val="18"/>
          <w:color w:val="auto"/>
        </w:rPr>
      </w:pPr>
    </w:p>
    <w:p>
      <w:pPr>
        <w:ind w:left="1540" w:hanging="511"/>
        <w:spacing w:after="0" w:line="246" w:lineRule="auto"/>
        <w:tabs>
          <w:tab w:leader="none" w:pos="1972"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96" w:lineRule="exact"/>
        <w:rPr>
          <w:rFonts w:ascii="Arial" w:cs="Arial" w:eastAsia="Arial" w:hAnsi="Arial"/>
          <w:sz w:val="18"/>
          <w:szCs w:val="18"/>
          <w:color w:val="auto"/>
        </w:rPr>
      </w:pPr>
    </w:p>
    <w:p>
      <w:pPr>
        <w:ind w:left="1520" w:hanging="491"/>
        <w:spacing w:after="0"/>
        <w:tabs>
          <w:tab w:leader="none" w:pos="152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211" w:lineRule="exact"/>
        <w:rPr>
          <w:rFonts w:ascii="Arial" w:cs="Arial" w:eastAsia="Arial" w:hAnsi="Arial"/>
          <w:sz w:val="18"/>
          <w:szCs w:val="18"/>
          <w:color w:val="auto"/>
        </w:rPr>
      </w:pPr>
    </w:p>
    <w:p>
      <w:pPr>
        <w:ind w:left="1540" w:hanging="511"/>
        <w:spacing w:after="0" w:line="246" w:lineRule="auto"/>
        <w:tabs>
          <w:tab w:leader="none" w:pos="1688"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96" w:lineRule="exact"/>
        <w:rPr>
          <w:rFonts w:ascii="Arial" w:cs="Arial" w:eastAsia="Arial" w:hAnsi="Arial"/>
          <w:sz w:val="18"/>
          <w:szCs w:val="18"/>
          <w:color w:val="auto"/>
        </w:rPr>
      </w:pPr>
    </w:p>
    <w:p>
      <w:pPr>
        <w:ind w:left="1540" w:right="20" w:hanging="511"/>
        <w:spacing w:after="0" w:line="246" w:lineRule="auto"/>
        <w:tabs>
          <w:tab w:leader="none" w:pos="1752" w:val="left"/>
        </w:tabs>
        <w:numPr>
          <w:ilvl w:val="1"/>
          <w:numId w:val="353"/>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196" w:lineRule="exact"/>
        <w:rPr>
          <w:rFonts w:ascii="Arial" w:cs="Arial" w:eastAsia="Arial" w:hAnsi="Arial"/>
          <w:sz w:val="18"/>
          <w:szCs w:val="18"/>
          <w:color w:val="auto"/>
        </w:rPr>
      </w:pPr>
    </w:p>
    <w:p>
      <w:pPr>
        <w:jc w:val="both"/>
        <w:ind w:left="1040" w:hanging="526"/>
        <w:spacing w:after="0" w:line="237" w:lineRule="auto"/>
        <w:tabs>
          <w:tab w:leader="none" w:pos="102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rights conferred by this clause 32.32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32.32 shall entitle the Security Agent or any other person to be indemnified in respect of any liabilities, damages, costs, claims, charges or expenses to the extent that the same arise from such person’s own gross negligence or wilful default.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32.33 Finance Parties to provide information</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above and to apply amounts received under, and the proceeds of realisation of, the Security Documents as contemplated by the Security Documents,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and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32.34 No reliance on Security Agent</w:t>
      </w:r>
    </w:p>
    <w:p>
      <w:pPr>
        <w:spacing w:after="0" w:line="23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accordingly, the Security Agent shall not have any liability or responsibility for and each other Finance Party warrants to the Security Agent that it has not relied and will not hereafter rely on the Security Agent:</w:t>
      </w:r>
    </w:p>
    <w:p>
      <w:pPr>
        <w:spacing w:after="0" w:line="205" w:lineRule="exact"/>
        <w:rPr>
          <w:sz w:val="20"/>
          <w:szCs w:val="20"/>
          <w:color w:val="auto"/>
        </w:rPr>
      </w:pPr>
    </w:p>
    <w:p>
      <w:pPr>
        <w:jc w:val="both"/>
        <w:ind w:left="1020" w:hanging="512"/>
        <w:spacing w:after="0"/>
        <w:tabs>
          <w:tab w:leader="none" w:pos="10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 Finance Documents, the Charged Property or the transactions therein contemplated (whether or not such information has been or is hereafter circulated to such Finance Party by the Security Agent);</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communication delivered to it under any of the Finance Documents, the Charged Property, any legal or other opinions, reports, valuations, certificates, appraisals or other documents delivered or made or required to be delivered or made at any time in connection with any of the Finance Documents, the Charged Property, any security to be constituted thereby or any other report or other document, statement or information circulated, delivered or made, whether orally or otherwise and whether before, on or after the date of this Agreement;</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8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check or enquire on its behalf into the due execution, delivery, validity, legality, perfection, adequacy, suitability, performance, enforceability or admissibility in evidence of any of the Finance Documents, the Charged Property or any other document referred to in paragraph (b) above or of any guarantee, indemnity or security given or created thereby or any obligations imposed thereby or assumed thereunder;</w:t>
      </w:r>
    </w:p>
    <w:p>
      <w:pPr>
        <w:spacing w:after="0" w:line="204" w:lineRule="exact"/>
        <w:rPr>
          <w:rFonts w:ascii="Arial" w:cs="Arial" w:eastAsia="Arial" w:hAnsi="Arial"/>
          <w:sz w:val="18"/>
          <w:szCs w:val="18"/>
          <w:color w:val="auto"/>
        </w:rPr>
      </w:pPr>
    </w:p>
    <w:p>
      <w:pPr>
        <w:jc w:val="both"/>
        <w:ind w:left="1020" w:hanging="512"/>
        <w:spacing w:after="0"/>
        <w:tabs>
          <w:tab w:leader="none" w:pos="1111"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 the right or title of any person in or to any property comprised therein or the existence of any encumbrance affecting the same; or</w:t>
      </w:r>
    </w:p>
    <w:p>
      <w:pPr>
        <w:spacing w:after="0" w:line="202" w:lineRule="exact"/>
        <w:rPr>
          <w:rFonts w:ascii="Arial" w:cs="Arial" w:eastAsia="Arial" w:hAnsi="Arial"/>
          <w:sz w:val="18"/>
          <w:szCs w:val="18"/>
          <w:color w:val="auto"/>
        </w:rPr>
      </w:pPr>
    </w:p>
    <w:p>
      <w:pPr>
        <w:ind w:left="1020" w:hanging="512"/>
        <w:spacing w:after="0" w:line="246" w:lineRule="auto"/>
        <w:tabs>
          <w:tab w:leader="none" w:pos="108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32.35 Release to facilitate enforcement and realisation</w:t>
      </w:r>
    </w:p>
    <w:p>
      <w:pPr>
        <w:spacing w:after="0" w:line="234"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(and the Security Agent will notify the Lenders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32.36 Undertaking to pay</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32.37 Additional trustees</w:t>
      </w:r>
    </w:p>
    <w:p>
      <w:pPr>
        <w:spacing w:after="0" w:line="23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Borrowers to appoint any person either to act as separate trustee or as co-trustee jointly with the Security Agent:</w:t>
      </w:r>
    </w:p>
    <w:p>
      <w:pPr>
        <w:spacing w:after="0" w:line="197" w:lineRule="exact"/>
        <w:rPr>
          <w:sz w:val="20"/>
          <w:szCs w:val="20"/>
          <w:color w:val="auto"/>
        </w:rPr>
      </w:pPr>
    </w:p>
    <w:p>
      <w:pPr>
        <w:ind w:left="1020" w:hanging="512"/>
        <w:spacing w:after="0"/>
        <w:tabs>
          <w:tab w:leader="none" w:pos="10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211" w:lineRule="exact"/>
        <w:rPr>
          <w:rFonts w:ascii="Arial" w:cs="Arial" w:eastAsia="Arial" w:hAnsi="Arial"/>
          <w:sz w:val="18"/>
          <w:szCs w:val="18"/>
          <w:color w:val="auto"/>
        </w:rPr>
      </w:pPr>
    </w:p>
    <w:p>
      <w:pPr>
        <w:ind w:left="1020" w:hanging="512"/>
        <w:spacing w:after="0" w:line="246" w:lineRule="auto"/>
        <w:tabs>
          <w:tab w:leader="none" w:pos="107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96" w:lineRule="exact"/>
        <w:rPr>
          <w:rFonts w:ascii="Arial" w:cs="Arial" w:eastAsia="Arial" w:hAnsi="Arial"/>
          <w:sz w:val="18"/>
          <w:szCs w:val="18"/>
          <w:color w:val="auto"/>
        </w:rPr>
      </w:pPr>
    </w:p>
    <w:p>
      <w:pPr>
        <w:ind w:left="1020" w:right="20" w:hanging="512"/>
        <w:spacing w:after="0" w:line="246" w:lineRule="auto"/>
        <w:tabs>
          <w:tab w:leader="none" w:pos="139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97"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32.38 Non-recognition of trust</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is agreed by all the parties to this Agreement that:</w:t>
      </w:r>
    </w:p>
    <w:p>
      <w:pPr>
        <w:spacing w:after="0" w:line="212" w:lineRule="exact"/>
        <w:rPr>
          <w:sz w:val="20"/>
          <w:szCs w:val="20"/>
          <w:color w:val="auto"/>
        </w:rPr>
      </w:pPr>
    </w:p>
    <w:p>
      <w:pPr>
        <w:jc w:val="both"/>
        <w:ind w:left="1020" w:hanging="512"/>
        <w:spacing w:after="0" w:line="238" w:lineRule="auto"/>
        <w:tabs>
          <w:tab w:leader="none" w:pos="112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32,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provisions of this clause 32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32.39 Security Agent’s Ongoing Fees</w:t>
      </w:r>
    </w:p>
    <w:p>
      <w:pPr>
        <w:spacing w:after="0" w:line="216" w:lineRule="exact"/>
        <w:rPr>
          <w:sz w:val="20"/>
          <w:szCs w:val="20"/>
          <w:color w:val="auto"/>
        </w:rPr>
      </w:pPr>
    </w:p>
    <w:p>
      <w:pPr>
        <w:ind w:left="1020" w:hanging="512"/>
        <w:spacing w:after="0"/>
        <w:tabs>
          <w:tab w:leader="none" w:pos="10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Borrowers shall pay to the Agent and the Security Agent certain fees in accordance with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20" w:hanging="512"/>
        <w:spacing w:after="0"/>
        <w:tabs>
          <w:tab w:leader="none" w:pos="10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ind w:left="1520" w:hanging="491"/>
        <w:spacing w:after="0"/>
        <w:tabs>
          <w:tab w:leader="none" w:pos="15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211" w:lineRule="exact"/>
        <w:rPr>
          <w:rFonts w:ascii="Arial" w:cs="Arial" w:eastAsia="Arial" w:hAnsi="Arial"/>
          <w:sz w:val="18"/>
          <w:szCs w:val="18"/>
          <w:color w:val="auto"/>
        </w:rPr>
      </w:pPr>
    </w:p>
    <w:p>
      <w:pPr>
        <w:jc w:val="both"/>
        <w:ind w:left="1540" w:hanging="511"/>
        <w:spacing w:after="0" w:line="238" w:lineRule="auto"/>
        <w:tabs>
          <w:tab w:leader="none" w:pos="1769"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Security Agent considers it expedient and/or necessary or is requested by the Borrowers or any Finance Party or group of Finance Parties to undertake duties which the Security Agent considers to be of an exceptional nature and/or outside the scope of the normal duties of the Security Agent under the Finance Documents (which for the avoidance of doubt shall include any amendments to the Finance Documents and the time incurred in relation thereto),</w:t>
      </w:r>
    </w:p>
    <w:p>
      <w:pPr>
        <w:spacing w:after="0" w:line="205"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Borrowers shall pay to the Security Agent any additional reasonable remuneration (together with any applicable taxes thereon) which shall be calculated by reference to its hourly rates in force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32.40 Interest on Demand</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the Borrowers fail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 prime banks in the London interbank market, deposits in an amount comparable to the unpaid amounts in the currencies of those amounts for such period(s) as the Security Agent may from time to time select.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32.41 Release of Security</w:t>
      </w:r>
    </w:p>
    <w:p>
      <w:pPr>
        <w:spacing w:after="0" w:line="234"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If all of the amounts owing under the Finance Documents and all other obligations the discharge of which is secured by any of the Security Documents have been fully and finally discharged and none of the Finance Parties is under any commitment, obligation or liability (whether actual or contingent) to make advances or provide other financial accommodation to the Borrowers under or pursuant to this Agreement or any other Finance Document, the trusts herein set out shall be wound up and the Security Agent shall, at the request and cost of the Borrowers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32.42 Delegation by the Security Agent</w:t>
      </w:r>
    </w:p>
    <w:p>
      <w:pPr>
        <w:spacing w:after="0" w:line="234" w:lineRule="exact"/>
        <w:rPr>
          <w:sz w:val="20"/>
          <w:szCs w:val="20"/>
          <w:color w:val="auto"/>
        </w:rPr>
      </w:pPr>
    </w:p>
    <w:p>
      <w:pPr>
        <w:ind w:left="1020" w:hanging="512"/>
        <w:spacing w:after="0" w:line="246" w:lineRule="auto"/>
        <w:tabs>
          <w:tab w:leader="none" w:pos="10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196" w:lineRule="exact"/>
        <w:rPr>
          <w:rFonts w:ascii="Arial" w:cs="Arial" w:eastAsia="Arial" w:hAnsi="Arial"/>
          <w:sz w:val="18"/>
          <w:szCs w:val="18"/>
          <w:color w:val="auto"/>
        </w:rPr>
      </w:pPr>
    </w:p>
    <w:p>
      <w:pPr>
        <w:jc w:val="both"/>
        <w:ind w:left="1020" w:hanging="512"/>
        <w:spacing w:after="0"/>
        <w:tabs>
          <w:tab w:leader="none" w:pos="140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Such delegation may be made upon any terms and conditions (including the power to sub-delegate) and subject to any restrictions that the Security Agent, such Receiver or such Delegate (as the case may be) may, in its discretion, think fit in the interests of the Finance Parties.</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26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Neither the Security Agent nor any Receiver or Delegate shall be bound to supervise, or be in any way responsible for any damages, costs or losses incurred by reason of any misconduct, omission or default on the part of, any such delegate or sub-delegate if the Security Agent or such Receiver or Delegate has exercised reasonable care in the selection of such delegate or sub-delegate.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32.43 Acceptance of title</w:t>
      </w:r>
    </w:p>
    <w:p>
      <w:pPr>
        <w:spacing w:after="0" w:line="234" w:lineRule="exact"/>
        <w:rPr>
          <w:sz w:val="20"/>
          <w:szCs w:val="20"/>
          <w:color w:val="auto"/>
        </w:rPr>
      </w:pPr>
    </w:p>
    <w:p>
      <w:pPr>
        <w:jc w:val="both"/>
        <w:ind w:left="520" w:right="20"/>
        <w:spacing w:after="0"/>
        <w:rPr>
          <w:sz w:val="20"/>
          <w:szCs w:val="20"/>
          <w:color w:val="auto"/>
        </w:rPr>
      </w:pPr>
      <w:r>
        <w:rPr>
          <w:rFonts w:ascii="Arial" w:cs="Arial" w:eastAsia="Arial" w:hAnsi="Arial"/>
          <w:sz w:val="18"/>
          <w:szCs w:val="18"/>
          <w:color w:val="auto"/>
        </w:rPr>
        <w:t>The Security Agent shall be entitled to accept without enquiry, and shall not be obliged to investigate, any right and title that any Obligor may have to any of the Charged Property and shall not be liable for, or bound to require any Obligor to remedy, any defect in its right or title.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32.44 Permitted Deductions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Security Agent shall be entitled, in its discretion:</w:t>
      </w:r>
    </w:p>
    <w:p>
      <w:pPr>
        <w:spacing w:after="0" w:line="212" w:lineRule="exact"/>
        <w:rPr>
          <w:sz w:val="20"/>
          <w:szCs w:val="20"/>
          <w:color w:val="auto"/>
        </w:rPr>
      </w:pPr>
    </w:p>
    <w:p>
      <w:pPr>
        <w:jc w:val="both"/>
        <w:ind w:left="1020" w:hanging="512"/>
        <w:spacing w:after="0"/>
        <w:tabs>
          <w:tab w:leader="none" w:pos="104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to 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202" w:lineRule="exact"/>
        <w:rPr>
          <w:rFonts w:ascii="Arial" w:cs="Arial" w:eastAsia="Arial" w:hAnsi="Arial"/>
          <w:sz w:val="18"/>
          <w:szCs w:val="18"/>
          <w:color w:val="auto"/>
        </w:rPr>
      </w:pPr>
    </w:p>
    <w:p>
      <w:pPr>
        <w:jc w:val="both"/>
        <w:ind w:left="1020" w:hanging="512"/>
        <w:spacing w:after="0"/>
        <w:tabs>
          <w:tab w:leader="none" w:pos="101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to pay all Taxes which may be assessed against it in respect of any of the Charged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33  Conduct of business by the Finance Parties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33.1 Finance Parties tax affairs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provision of this Agreement will:</w:t>
      </w:r>
    </w:p>
    <w:p>
      <w:pPr>
        <w:spacing w:after="0" w:line="212" w:lineRule="exact"/>
        <w:rPr>
          <w:sz w:val="20"/>
          <w:szCs w:val="20"/>
          <w:color w:val="auto"/>
        </w:rPr>
      </w:pPr>
    </w:p>
    <w:p>
      <w:pPr>
        <w:ind w:left="1020" w:hanging="512"/>
        <w:spacing w:after="0"/>
        <w:tabs>
          <w:tab w:leader="none" w:pos="102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11" w:lineRule="exact"/>
        <w:rPr>
          <w:rFonts w:ascii="Arial" w:cs="Arial" w:eastAsia="Arial" w:hAnsi="Arial"/>
          <w:sz w:val="18"/>
          <w:szCs w:val="18"/>
          <w:color w:val="auto"/>
        </w:rPr>
      </w:pPr>
    </w:p>
    <w:p>
      <w:pPr>
        <w:ind w:left="1020" w:hanging="512"/>
        <w:spacing w:after="0" w:line="246" w:lineRule="auto"/>
        <w:tabs>
          <w:tab w:leader="none" w:pos="107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96" w:lineRule="exact"/>
        <w:rPr>
          <w:rFonts w:ascii="Arial" w:cs="Arial" w:eastAsia="Arial" w:hAnsi="Arial"/>
          <w:sz w:val="18"/>
          <w:szCs w:val="18"/>
          <w:color w:val="auto"/>
        </w:rPr>
      </w:pPr>
    </w:p>
    <w:p>
      <w:pPr>
        <w:ind w:left="1020" w:hanging="512"/>
        <w:spacing w:after="0" w:line="246" w:lineRule="auto"/>
        <w:tabs>
          <w:tab w:leader="none" w:pos="116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33.2 Finance Parties acting together</w:t>
      </w:r>
    </w:p>
    <w:p>
      <w:pPr>
        <w:spacing w:after="0" w:line="216" w:lineRule="exact"/>
        <w:rPr>
          <w:sz w:val="20"/>
          <w:szCs w:val="20"/>
          <w:color w:val="auto"/>
        </w:rPr>
      </w:pPr>
    </w:p>
    <w:p>
      <w:pPr>
        <w:jc w:val="both"/>
        <w:ind w:left="520"/>
        <w:spacing w:after="0" w:line="242" w:lineRule="auto"/>
        <w:rPr>
          <w:sz w:val="20"/>
          <w:szCs w:val="20"/>
          <w:color w:val="auto"/>
        </w:rPr>
      </w:pPr>
      <w:r>
        <w:rPr>
          <w:rFonts w:ascii="Arial" w:cs="Arial" w:eastAsia="Arial" w:hAnsi="Arial"/>
          <w:sz w:val="18"/>
          <w:szCs w:val="18"/>
          <w:color w:val="auto"/>
        </w:rPr>
        <w:t>Notwithstanding clause 2.3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if the Agent makes a declaration under clause 29.22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Borrowers and any Group Members and generally administer the Facilities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clause shall not override clause 32 (</w:t>
      </w:r>
      <w:r>
        <w:rPr>
          <w:rFonts w:ascii="Arial" w:cs="Arial" w:eastAsia="Arial" w:hAnsi="Arial"/>
          <w:sz w:val="18"/>
          <w:szCs w:val="18"/>
          <w:i w:val="1"/>
          <w:iCs w:val="1"/>
          <w:color w:val="auto"/>
        </w:rPr>
        <w:t>Roles of Agent, Security Agent and Arrangers</w:t>
      </w:r>
      <w:r>
        <w:rPr>
          <w:rFonts w:ascii="Arial" w:cs="Arial" w:eastAsia="Arial" w:hAnsi="Arial"/>
          <w:sz w:val="18"/>
          <w:szCs w:val="18"/>
          <w:color w:val="auto"/>
        </w:rPr>
        <w:t>) as it applies to the Security Agent.</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33.3 Majority Lenders</w:t>
      </w:r>
    </w:p>
    <w:p>
      <w:pPr>
        <w:spacing w:after="0" w:line="234" w:lineRule="exact"/>
        <w:rPr>
          <w:sz w:val="20"/>
          <w:szCs w:val="20"/>
          <w:color w:val="auto"/>
        </w:rPr>
      </w:pPr>
    </w:p>
    <w:p>
      <w:pPr>
        <w:jc w:val="both"/>
        <w:ind w:left="520"/>
        <w:spacing w:after="0" w:line="236" w:lineRule="auto"/>
        <w:rPr>
          <w:sz w:val="20"/>
          <w:szCs w:val="20"/>
          <w:color w:val="auto"/>
        </w:rPr>
      </w:pPr>
      <w:r>
        <w:rPr>
          <w:rFonts w:ascii="Arial" w:cs="Arial" w:eastAsia="Arial" w:hAnsi="Arial"/>
          <w:sz w:val="18"/>
          <w:szCs w:val="18"/>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8"/>
          <w:szCs w:val="18"/>
          <w:b w:val="1"/>
          <w:bCs w:val="1"/>
          <w:color w:val="auto"/>
        </w:rPr>
        <w:t>majority</w:t>
      </w:r>
      <w:r>
        <w:rPr>
          <w:rFonts w:ascii="Arial" w:cs="Arial" w:eastAsia="Arial" w:hAnsi="Arial"/>
          <w:sz w:val="18"/>
          <w:szCs w:val="18"/>
          <w:color w:val="auto"/>
        </w:rPr>
        <w:t xml:space="preserve"> </w:t>
      </w:r>
      <w:r>
        <w:rPr>
          <w:rFonts w:ascii="Arial" w:cs="Arial" w:eastAsia="Arial" w:hAnsi="Arial"/>
          <w:sz w:val="18"/>
          <w:szCs w:val="18"/>
          <w:b w:val="1"/>
          <w:bCs w:val="1"/>
          <w:color w:val="auto"/>
        </w:rPr>
        <w:t>decision</w:t>
      </w:r>
      <w:r>
        <w:rPr>
          <w:rFonts w:ascii="Arial" w:cs="Arial" w:eastAsia="Arial" w:hAnsi="Arial"/>
          <w:sz w:val="18"/>
          <w:szCs w:val="18"/>
          <w:color w:val="auto"/>
        </w:rPr>
        <w:t>), such majority decision shall (as between the Lenders) only be regarded as having been validly given or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33.4 Conflicts</w:t>
      </w:r>
    </w:p>
    <w:p>
      <w:pPr>
        <w:spacing w:after="0" w:line="234" w:lineRule="exact"/>
        <w:rPr>
          <w:sz w:val="20"/>
          <w:szCs w:val="20"/>
          <w:color w:val="auto"/>
        </w:rPr>
      </w:pPr>
    </w:p>
    <w:p>
      <w:pPr>
        <w:jc w:val="both"/>
        <w:ind w:left="1020" w:hanging="512"/>
        <w:spacing w:after="0" w:line="238" w:lineRule="auto"/>
        <w:tabs>
          <w:tab w:leader="none" w:pos="135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Each Borrower acknowledges that any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 the Borrowers may have conflicting interests in respect of the Facilities or otherwise.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jc w:val="both"/>
        <w:ind w:left="1020" w:hanging="512"/>
        <w:spacing w:after="0" w:line="238" w:lineRule="auto"/>
        <w:tabs>
          <w:tab w:leader="none" w:pos="124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No member of an Arranger Group shall use confidential information gained from any Obligor by virtue of the Facilities or its relationships with any Obligor in connection with their performance of services for other persons. This shall not, however, affect any obligations that any member of an Arranger Group has as Agent in respect of the Finance Documents. The Borrowers also acknowledge that no member of an Arranger Group has any obligation to use or furnish to any Obligor information obtained from other persons for their benefit.</w:t>
      </w:r>
    </w:p>
    <w:p>
      <w:pPr>
        <w:spacing w:after="0" w:line="180" w:lineRule="exact"/>
        <w:rPr>
          <w:rFonts w:ascii="Arial" w:cs="Arial" w:eastAsia="Arial" w:hAnsi="Arial"/>
          <w:sz w:val="18"/>
          <w:szCs w:val="18"/>
          <w:color w:val="auto"/>
        </w:rPr>
      </w:pPr>
    </w:p>
    <w:p>
      <w:pPr>
        <w:ind w:left="1020" w:hanging="512"/>
        <w:spacing w:after="0" w:line="271" w:lineRule="auto"/>
        <w:tabs>
          <w:tab w:leader="none" w:pos="115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34</w:t>
        <w:tab/>
        <w:t>Sharing among the Finance Parties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34.1</w:t>
        <w:tab/>
        <w:t>Payments to Finance Parties</w:t>
      </w:r>
    </w:p>
    <w:p>
      <w:pPr>
        <w:spacing w:after="0" w:line="212" w:lineRule="exact"/>
        <w:rPr>
          <w:sz w:val="20"/>
          <w:szCs w:val="20"/>
          <w:color w:val="auto"/>
        </w:rPr>
      </w:pPr>
    </w:p>
    <w:p>
      <w:pPr>
        <w:jc w:val="both"/>
        <w:ind w:left="520" w:right="20"/>
        <w:spacing w:after="0" w:line="253" w:lineRule="auto"/>
        <w:rPr>
          <w:sz w:val="20"/>
          <w:szCs w:val="20"/>
          <w:color w:val="auto"/>
        </w:rPr>
      </w:pPr>
      <w:r>
        <w:rPr>
          <w:rFonts w:ascii="Arial" w:cs="Arial" w:eastAsia="Arial" w:hAnsi="Arial"/>
          <w:sz w:val="18"/>
          <w:szCs w:val="18"/>
          <w:color w:val="auto"/>
        </w:rPr>
        <w:t xml:space="preserve">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xml:space="preserve">)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91" w:lineRule="exact"/>
        <w:rPr>
          <w:sz w:val="20"/>
          <w:szCs w:val="20"/>
          <w:color w:val="auto"/>
        </w:rPr>
      </w:pPr>
    </w:p>
    <w:p>
      <w:pPr>
        <w:ind w:left="1020" w:hanging="512"/>
        <w:spacing w:after="0"/>
        <w:tabs>
          <w:tab w:leader="none" w:pos="10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11"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without taking account of any Tax which would be imposed on the Agent in relation to the receipt, recovery or distribution; and</w:t>
      </w:r>
    </w:p>
    <w:p>
      <w:pPr>
        <w:spacing w:after="0" w:line="204" w:lineRule="exact"/>
        <w:rPr>
          <w:rFonts w:ascii="Arial" w:cs="Arial" w:eastAsia="Arial" w:hAnsi="Arial"/>
          <w:sz w:val="18"/>
          <w:szCs w:val="18"/>
          <w:color w:val="auto"/>
        </w:rPr>
      </w:pPr>
    </w:p>
    <w:p>
      <w:pPr>
        <w:jc w:val="both"/>
        <w:ind w:left="1020" w:hanging="512"/>
        <w:spacing w:after="0"/>
        <w:tabs>
          <w:tab w:leader="none" w:pos="130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Recovering Finance Party as its share of any payment to be made,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7"/>
          <w:szCs w:val="17"/>
          <w:b w:val="1"/>
          <w:bCs w:val="1"/>
          <w:color w:val="auto"/>
        </w:rPr>
        <w:t>Redistribution of payments</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7"/>
          <w:szCs w:val="17"/>
          <w:b w:val="1"/>
          <w:bCs w:val="1"/>
          <w:color w:val="auto"/>
        </w:rPr>
        <w:t>Recovering Finance Party’s rights</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On a distribution by the Agent under clause 34.2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 to that Recovering Finance Party.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34.4 Reversal of redistribution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w:t>
      </w:r>
    </w:p>
    <w:p>
      <w:pPr>
        <w:ind w:left="520"/>
        <w:spacing w:after="0"/>
        <w:rPr>
          <w:sz w:val="20"/>
          <w:szCs w:val="20"/>
          <w:color w:val="auto"/>
        </w:rPr>
      </w:pPr>
      <w:r>
        <w:rPr>
          <w:rFonts w:ascii="Arial" w:cs="Arial" w:eastAsia="Arial" w:hAnsi="Arial"/>
          <w:sz w:val="18"/>
          <w:szCs w:val="18"/>
          <w:color w:val="auto"/>
        </w:rPr>
        <w:t>Recovering Finance Party, then:</w:t>
      </w:r>
    </w:p>
    <w:p>
      <w:pPr>
        <w:spacing w:after="0" w:line="212" w:lineRule="exact"/>
        <w:rPr>
          <w:sz w:val="20"/>
          <w:szCs w:val="20"/>
          <w:color w:val="auto"/>
        </w:rPr>
      </w:pPr>
    </w:p>
    <w:p>
      <w:pPr>
        <w:jc w:val="both"/>
        <w:ind w:left="1020" w:hanging="512"/>
        <w:spacing w:after="0" w:line="238" w:lineRule="auto"/>
        <w:tabs>
          <w:tab w:leader="none" w:pos="105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7" w:name="page148"/>
    <w:bookmarkEnd w:id="147"/>
    <w:p>
      <w:pPr>
        <w:ind w:left="1020" w:hanging="512"/>
        <w:spacing w:after="0" w:line="246" w:lineRule="auto"/>
        <w:tabs>
          <w:tab w:leader="none" w:pos="135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7"/>
          <w:szCs w:val="17"/>
          <w:b w:val="1"/>
          <w:bCs w:val="1"/>
          <w:color w:val="auto"/>
        </w:rPr>
        <w:t>Exceptions</w:t>
      </w:r>
    </w:p>
    <w:p>
      <w:pPr>
        <w:spacing w:after="0" w:line="234" w:lineRule="exact"/>
        <w:rPr>
          <w:sz w:val="20"/>
          <w:szCs w:val="20"/>
          <w:color w:val="auto"/>
        </w:rPr>
      </w:pPr>
    </w:p>
    <w:p>
      <w:pPr>
        <w:ind w:left="1020" w:hanging="512"/>
        <w:spacing w:after="0" w:line="246" w:lineRule="auto"/>
        <w:tabs>
          <w:tab w:leader="none" w:pos="105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This clause 34 shall not apply to the extent that the Recovering Finance Party would not, after making any payment pursuant to this clause, have a valid and enforceable claim against the relevant Obligor.</w:t>
      </w:r>
    </w:p>
    <w:p>
      <w:pPr>
        <w:spacing w:after="0" w:line="196" w:lineRule="exact"/>
        <w:rPr>
          <w:rFonts w:ascii="Arial" w:cs="Arial" w:eastAsia="Arial" w:hAnsi="Arial"/>
          <w:sz w:val="18"/>
          <w:szCs w:val="18"/>
          <w:color w:val="auto"/>
        </w:rPr>
      </w:pPr>
    </w:p>
    <w:p>
      <w:pPr>
        <w:jc w:val="both"/>
        <w:ind w:left="1020" w:hanging="512"/>
        <w:spacing w:after="0"/>
        <w:tabs>
          <w:tab w:leader="none" w:pos="120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202" w:lineRule="exact"/>
        <w:rPr>
          <w:rFonts w:ascii="Arial" w:cs="Arial" w:eastAsia="Arial" w:hAnsi="Arial"/>
          <w:sz w:val="18"/>
          <w:szCs w:val="18"/>
          <w:color w:val="auto"/>
        </w:rPr>
      </w:pPr>
    </w:p>
    <w:p>
      <w:pPr>
        <w:ind w:left="1520" w:hanging="491"/>
        <w:spacing w:after="0"/>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11" w:lineRule="exact"/>
        <w:rPr>
          <w:rFonts w:ascii="Arial" w:cs="Arial" w:eastAsia="Arial" w:hAnsi="Arial"/>
          <w:sz w:val="18"/>
          <w:szCs w:val="18"/>
          <w:color w:val="auto"/>
        </w:rPr>
      </w:pPr>
    </w:p>
    <w:p>
      <w:pPr>
        <w:ind w:left="1540" w:hanging="511"/>
        <w:spacing w:after="0" w:line="246" w:lineRule="auto"/>
        <w:tabs>
          <w:tab w:leader="none" w:pos="170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35</w:t>
        <w:tab/>
        <w:t>Payment mechanics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7"/>
          <w:szCs w:val="17"/>
          <w:b w:val="1"/>
          <w:bCs w:val="1"/>
          <w:color w:val="auto"/>
        </w:rPr>
        <w:t>Payments to the Agent</w:t>
      </w:r>
    </w:p>
    <w:p>
      <w:pPr>
        <w:spacing w:after="0" w:line="234" w:lineRule="exact"/>
        <w:rPr>
          <w:sz w:val="20"/>
          <w:szCs w:val="20"/>
          <w:color w:val="auto"/>
        </w:rPr>
      </w:pPr>
    </w:p>
    <w:p>
      <w:pPr>
        <w:jc w:val="both"/>
        <w:ind w:left="1020" w:hanging="512"/>
        <w:spacing w:after="0" w:line="238" w:lineRule="auto"/>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204" w:lineRule="exact"/>
        <w:rPr>
          <w:rFonts w:ascii="Arial" w:cs="Arial" w:eastAsia="Arial" w:hAnsi="Arial"/>
          <w:sz w:val="18"/>
          <w:szCs w:val="18"/>
          <w:color w:val="auto"/>
        </w:rPr>
      </w:pPr>
    </w:p>
    <w:p>
      <w:pPr>
        <w:jc w:val="both"/>
        <w:ind w:left="1020" w:hanging="512"/>
        <w:spacing w:after="0"/>
        <w:tabs>
          <w:tab w:leader="none" w:pos="108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a Participating Member State or London, as specified by the Agent) and with such bank as the Agent specifies.</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7"/>
          <w:szCs w:val="17"/>
          <w:b w:val="1"/>
          <w:bCs w:val="1"/>
          <w:color w:val="auto"/>
        </w:rPr>
        <w:t>Distributions by the Agent</w:t>
      </w:r>
    </w:p>
    <w:p>
      <w:pPr>
        <w:spacing w:after="0" w:line="216"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35.3 (</w:t>
      </w:r>
      <w:r>
        <w:rPr>
          <w:rFonts w:ascii="Arial" w:cs="Arial" w:eastAsia="Arial" w:hAnsi="Arial"/>
          <w:sz w:val="18"/>
          <w:szCs w:val="18"/>
          <w:i w:val="1"/>
          <w:iCs w:val="1"/>
          <w:color w:val="auto"/>
        </w:rPr>
        <w:t>Distributions to an</w:t>
      </w:r>
      <w:r>
        <w:rPr>
          <w:rFonts w:ascii="Arial" w:cs="Arial" w:eastAsia="Arial" w:hAnsi="Arial"/>
          <w:sz w:val="18"/>
          <w:szCs w:val="18"/>
          <w:color w:val="auto"/>
        </w:rPr>
        <w:t xml:space="preserve"> </w:t>
      </w:r>
      <w:r>
        <w:rPr>
          <w:rFonts w:ascii="Arial" w:cs="Arial" w:eastAsia="Arial" w:hAnsi="Arial"/>
          <w:sz w:val="18"/>
          <w:szCs w:val="18"/>
          <w:i w:val="1"/>
          <w:iCs w:val="1"/>
          <w:color w:val="auto"/>
        </w:rPr>
        <w:t>Obligor</w:t>
      </w:r>
      <w:r>
        <w:rPr>
          <w:rFonts w:ascii="Arial" w:cs="Arial" w:eastAsia="Arial" w:hAnsi="Arial"/>
          <w:sz w:val="18"/>
          <w:szCs w:val="18"/>
          <w:color w:val="auto"/>
        </w:rPr>
        <w:t>) and clause 35.4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 Party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spacing w:after="0"/>
        <w:tabs>
          <w:tab w:leader="none" w:pos="50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7"/>
          <w:szCs w:val="17"/>
          <w:b w:val="1"/>
          <w:bCs w:val="1"/>
          <w:color w:val="auto"/>
        </w:rPr>
        <w:t>Distributions to an Obligor</w:t>
      </w:r>
    </w:p>
    <w:p>
      <w:pPr>
        <w:spacing w:after="0" w:line="216"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color w:val="auto"/>
        </w:rPr>
        <w:t>The Agent may (with the consent of the Obligor or in accordance with clause 36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7"/>
          <w:szCs w:val="17"/>
          <w:b w:val="1"/>
          <w:bCs w:val="1"/>
          <w:color w:val="auto"/>
        </w:rPr>
        <w:t>Clawback and pre-funding</w:t>
      </w:r>
    </w:p>
    <w:p>
      <w:pPr>
        <w:spacing w:after="0" w:line="234" w:lineRule="exact"/>
        <w:rPr>
          <w:sz w:val="20"/>
          <w:szCs w:val="20"/>
          <w:color w:val="auto"/>
        </w:rPr>
      </w:pPr>
    </w:p>
    <w:p>
      <w:pPr>
        <w:jc w:val="both"/>
        <w:ind w:left="1020" w:hanging="512"/>
        <w:spacing w:after="0"/>
        <w:tabs>
          <w:tab w:leader="none" w:pos="101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5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Unless clause 35.4(c)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204" w:lineRule="exact"/>
        <w:rPr>
          <w:rFonts w:ascii="Arial" w:cs="Arial" w:eastAsia="Arial" w:hAnsi="Arial"/>
          <w:sz w:val="18"/>
          <w:szCs w:val="18"/>
          <w:color w:val="auto"/>
        </w:rPr>
      </w:pPr>
    </w:p>
    <w:p>
      <w:pPr>
        <w:jc w:val="both"/>
        <w:ind w:left="1020" w:hanging="512"/>
        <w:spacing w:after="0" w:line="238" w:lineRule="auto"/>
        <w:tabs>
          <w:tab w:leader="none" w:pos="123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the Agent has notified the Lenders that, pursuant to the Borrowers’ request, it is willing to make available amounts for the account of a Borrower before receiving funds from the Lenders, and such Lenders and the Borrowers agree, then if and to the extent that the Agent does so but it proves to be the case that it does not then receive funds from a Lender in respect of a sum which it paid to a Borrower:</w:t>
      </w:r>
    </w:p>
    <w:p>
      <w:pPr>
        <w:spacing w:after="0" w:line="204" w:lineRule="exact"/>
        <w:rPr>
          <w:rFonts w:ascii="Arial" w:cs="Arial" w:eastAsia="Arial" w:hAnsi="Arial"/>
          <w:sz w:val="18"/>
          <w:szCs w:val="18"/>
          <w:color w:val="auto"/>
        </w:rPr>
      </w:pPr>
    </w:p>
    <w:p>
      <w:pPr>
        <w:ind w:left="1520" w:hanging="491"/>
        <w:spacing w:after="0"/>
        <w:tabs>
          <w:tab w:leader="none" w:pos="15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11" w:lineRule="exact"/>
        <w:rPr>
          <w:rFonts w:ascii="Arial" w:cs="Arial" w:eastAsia="Arial" w:hAnsi="Arial"/>
          <w:sz w:val="18"/>
          <w:szCs w:val="18"/>
          <w:color w:val="auto"/>
        </w:rPr>
      </w:pPr>
    </w:p>
    <w:p>
      <w:pPr>
        <w:jc w:val="both"/>
        <w:ind w:left="1540" w:hanging="511"/>
        <w:spacing w:after="0"/>
        <w:tabs>
          <w:tab w:leader="none" w:pos="1526"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Borrowers, shall on demand pay to the Agent the amount (as certified by the Agent) which will indemnify the Agent against any funding cost incurred by it as a result of paying out that sum before receiving those funds from that Lender.</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7"/>
          <w:szCs w:val="17"/>
          <w:b w:val="1"/>
          <w:bCs w:val="1"/>
          <w:color w:val="auto"/>
        </w:rPr>
        <w:t>Partial payments</w:t>
      </w:r>
    </w:p>
    <w:p>
      <w:pPr>
        <w:spacing w:after="0" w:line="234" w:lineRule="exact"/>
        <w:rPr>
          <w:sz w:val="20"/>
          <w:szCs w:val="20"/>
          <w:color w:val="auto"/>
        </w:rPr>
      </w:pPr>
    </w:p>
    <w:p>
      <w:pPr>
        <w:jc w:val="both"/>
        <w:ind w:left="1020" w:hanging="512"/>
        <w:spacing w:after="0"/>
        <w:tabs>
          <w:tab w:leader="none" w:pos="127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180" w:lineRule="exact"/>
        <w:rPr>
          <w:rFonts w:ascii="Arial" w:cs="Arial" w:eastAsia="Arial" w:hAnsi="Arial"/>
          <w:sz w:val="18"/>
          <w:szCs w:val="18"/>
          <w:color w:val="auto"/>
        </w:rPr>
      </w:pPr>
    </w:p>
    <w:p>
      <w:pPr>
        <w:ind w:left="1540" w:hanging="511"/>
        <w:spacing w:after="0" w:line="271" w:lineRule="auto"/>
        <w:tabs>
          <w:tab w:leader="none" w:pos="1567" w:val="left"/>
        </w:tabs>
        <w:numPr>
          <w:ilvl w:val="1"/>
          <w:numId w:val="370"/>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those Finance Documents;</w:t>
      </w:r>
    </w:p>
    <w:p>
      <w:pPr>
        <w:spacing w:after="0" w:line="153" w:lineRule="exact"/>
        <w:rPr>
          <w:rFonts w:ascii="Arial" w:cs="Arial" w:eastAsia="Arial" w:hAnsi="Arial"/>
          <w:sz w:val="18"/>
          <w:szCs w:val="18"/>
          <w:color w:val="auto"/>
        </w:rPr>
      </w:pPr>
    </w:p>
    <w:p>
      <w:pPr>
        <w:jc w:val="both"/>
        <w:ind w:left="1540" w:hanging="511"/>
        <w:spacing w:after="0" w:line="253" w:lineRule="auto"/>
        <w:tabs>
          <w:tab w:leader="none" w:pos="1891" w:val="left"/>
        </w:tabs>
        <w:numPr>
          <w:ilvl w:val="1"/>
          <w:numId w:val="370"/>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32.11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including any amount resulting from the indemnity to the Security Agent under clause 32.21(a)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1540" w:hanging="511"/>
        <w:spacing w:after="0" w:line="271" w:lineRule="auto"/>
        <w:tabs>
          <w:tab w:leader="none" w:pos="1634" w:val="left"/>
        </w:tabs>
        <w:numPr>
          <w:ilvl w:val="1"/>
          <w:numId w:val="370"/>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to the Lenders pro rata of any accrued interest, fee or commission due but unpaid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those Finance Documents;</w:t>
      </w:r>
    </w:p>
    <w:p>
      <w:pPr>
        <w:spacing w:after="0" w:line="153" w:lineRule="exact"/>
        <w:rPr>
          <w:rFonts w:ascii="Arial" w:cs="Arial" w:eastAsia="Arial" w:hAnsi="Arial"/>
          <w:sz w:val="18"/>
          <w:szCs w:val="18"/>
          <w:color w:val="auto"/>
        </w:rPr>
      </w:pPr>
    </w:p>
    <w:p>
      <w:pPr>
        <w:ind w:left="1540" w:right="20" w:hanging="511"/>
        <w:spacing w:after="0" w:line="271" w:lineRule="auto"/>
        <w:tabs>
          <w:tab w:leader="none" w:pos="1806" w:val="left"/>
        </w:tabs>
        <w:numPr>
          <w:ilvl w:val="1"/>
          <w:numId w:val="370"/>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to the Lenders pro rata of any principal due but unpaid to the Lenders under those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and</w:t>
      </w:r>
    </w:p>
    <w:p>
      <w:pPr>
        <w:spacing w:after="0" w:line="153" w:lineRule="exact"/>
        <w:rPr>
          <w:rFonts w:ascii="Arial" w:cs="Arial" w:eastAsia="Arial" w:hAnsi="Arial"/>
          <w:sz w:val="18"/>
          <w:szCs w:val="18"/>
          <w:color w:val="auto"/>
        </w:rPr>
      </w:pPr>
    </w:p>
    <w:p>
      <w:pPr>
        <w:ind w:left="1540" w:hanging="511"/>
        <w:spacing w:after="0" w:line="271" w:lineRule="auto"/>
        <w:tabs>
          <w:tab w:leader="none" w:pos="1901" w:val="left"/>
        </w:tabs>
        <w:numPr>
          <w:ilvl w:val="1"/>
          <w:numId w:val="370"/>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 pro rata of any other sum due but unpaid to the Finance Parties under the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ind w:left="1020" w:hanging="512"/>
        <w:spacing w:after="0"/>
        <w:tabs>
          <w:tab w:leader="none" w:pos="10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vary the order set out in paragraphs (iii) to (v) of clause 35.5(a).</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Clauses 35.5(a) and 35.5(b) above will override any appropriation made by an Obligor.</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35.6</w:t>
      </w:r>
      <w:r>
        <w:rPr>
          <w:sz w:val="20"/>
          <w:szCs w:val="20"/>
          <w:color w:val="auto"/>
        </w:rPr>
        <w:tab/>
      </w:r>
      <w:r>
        <w:rPr>
          <w:rFonts w:ascii="Arial" w:cs="Arial" w:eastAsia="Arial" w:hAnsi="Arial"/>
          <w:sz w:val="17"/>
          <w:szCs w:val="17"/>
          <w:b w:val="1"/>
          <w:bCs w:val="1"/>
          <w:color w:val="auto"/>
        </w:rPr>
        <w:t>No set-off by Obligors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35.7</w:t>
      </w:r>
      <w:r>
        <w:rPr>
          <w:sz w:val="20"/>
          <w:szCs w:val="20"/>
          <w:color w:val="auto"/>
        </w:rPr>
        <w:tab/>
      </w:r>
      <w:r>
        <w:rPr>
          <w:rFonts w:ascii="Arial" w:cs="Arial" w:eastAsia="Arial" w:hAnsi="Arial"/>
          <w:sz w:val="17"/>
          <w:szCs w:val="17"/>
          <w:b w:val="1"/>
          <w:bCs w:val="1"/>
          <w:color w:val="auto"/>
        </w:rPr>
        <w:t>Business Days</w:t>
      </w:r>
    </w:p>
    <w:p>
      <w:pPr>
        <w:spacing w:after="0" w:line="234" w:lineRule="exact"/>
        <w:rPr>
          <w:sz w:val="20"/>
          <w:szCs w:val="20"/>
          <w:color w:val="auto"/>
        </w:rPr>
      </w:pPr>
    </w:p>
    <w:p>
      <w:pPr>
        <w:ind w:left="1020" w:hanging="512"/>
        <w:spacing w:after="0" w:line="246" w:lineRule="auto"/>
        <w:tabs>
          <w:tab w:leader="none" w:pos="104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96" w:lineRule="exact"/>
        <w:rPr>
          <w:rFonts w:ascii="Arial" w:cs="Arial" w:eastAsia="Arial" w:hAnsi="Arial"/>
          <w:sz w:val="18"/>
          <w:szCs w:val="18"/>
          <w:color w:val="auto"/>
        </w:rPr>
      </w:pPr>
    </w:p>
    <w:p>
      <w:pPr>
        <w:ind w:left="1020" w:hanging="512"/>
        <w:spacing w:after="0" w:line="246" w:lineRule="auto"/>
        <w:tabs>
          <w:tab w:leader="none" w:pos="112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35.8 Payments on demand</w:t>
      </w:r>
    </w:p>
    <w:p>
      <w:pPr>
        <w:spacing w:after="0" w:line="216" w:lineRule="exact"/>
        <w:rPr>
          <w:sz w:val="20"/>
          <w:szCs w:val="20"/>
          <w:color w:val="auto"/>
        </w:rPr>
      </w:pPr>
    </w:p>
    <w:p>
      <w:pPr>
        <w:ind w:left="520"/>
        <w:spacing w:after="0" w:line="267" w:lineRule="auto"/>
        <w:rPr>
          <w:sz w:val="20"/>
          <w:szCs w:val="20"/>
          <w:color w:val="auto"/>
        </w:rPr>
      </w:pPr>
      <w:r>
        <w:rPr>
          <w:rFonts w:ascii="Arial" w:cs="Arial" w:eastAsia="Arial" w:hAnsi="Arial"/>
          <w:sz w:val="18"/>
          <w:szCs w:val="18"/>
          <w:color w:val="auto"/>
        </w:rPr>
        <w:t>For the purposes of clause 29.1 (</w:t>
      </w:r>
      <w:r>
        <w:rPr>
          <w:rFonts w:ascii="Arial" w:cs="Arial" w:eastAsia="Arial" w:hAnsi="Arial"/>
          <w:sz w:val="18"/>
          <w:szCs w:val="18"/>
          <w:i w:val="1"/>
          <w:i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5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35.9</w:t>
      </w:r>
      <w:r>
        <w:rPr>
          <w:sz w:val="20"/>
          <w:szCs w:val="20"/>
          <w:color w:val="auto"/>
        </w:rPr>
        <w:tab/>
      </w:r>
      <w:r>
        <w:rPr>
          <w:rFonts w:ascii="Arial" w:cs="Arial" w:eastAsia="Arial" w:hAnsi="Arial"/>
          <w:sz w:val="17"/>
          <w:szCs w:val="17"/>
          <w:b w:val="1"/>
          <w:bCs w:val="1"/>
          <w:color w:val="auto"/>
        </w:rPr>
        <w:t>Currency of account</w:t>
      </w:r>
    </w:p>
    <w:p>
      <w:pPr>
        <w:spacing w:after="0" w:line="234" w:lineRule="exact"/>
        <w:rPr>
          <w:sz w:val="20"/>
          <w:szCs w:val="20"/>
          <w:color w:val="auto"/>
        </w:rPr>
      </w:pPr>
    </w:p>
    <w:p>
      <w:pPr>
        <w:ind w:left="1020" w:hanging="512"/>
        <w:spacing w:after="0" w:line="246" w:lineRule="auto"/>
        <w:tabs>
          <w:tab w:leader="none" w:pos="101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Subject to clauses 35.9(b) to 35.9(c), dollars is the currency of account and payment for any sum due from an Obligor under any Finance Document.</w:t>
      </w:r>
    </w:p>
    <w:p>
      <w:pPr>
        <w:spacing w:after="0" w:line="196" w:lineRule="exact"/>
        <w:rPr>
          <w:rFonts w:ascii="Arial" w:cs="Arial" w:eastAsia="Arial" w:hAnsi="Arial"/>
          <w:sz w:val="18"/>
          <w:szCs w:val="18"/>
          <w:color w:val="auto"/>
        </w:rPr>
      </w:pPr>
    </w:p>
    <w:p>
      <w:pPr>
        <w:ind w:left="1020" w:hanging="512"/>
        <w:spacing w:after="0"/>
        <w:tabs>
          <w:tab w:leader="none" w:pos="10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211" w:lineRule="exact"/>
        <w:rPr>
          <w:rFonts w:ascii="Arial" w:cs="Arial" w:eastAsia="Arial" w:hAnsi="Arial"/>
          <w:sz w:val="18"/>
          <w:szCs w:val="18"/>
          <w:color w:val="auto"/>
        </w:rPr>
      </w:pPr>
    </w:p>
    <w:p>
      <w:pPr>
        <w:jc w:val="both"/>
        <w:ind w:left="1020" w:hanging="512"/>
        <w:spacing w:after="0"/>
        <w:tabs>
          <w:tab w:leader="none" w:pos="118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7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35.10 Change of currency</w:t>
      </w:r>
    </w:p>
    <w:p>
      <w:pPr>
        <w:spacing w:after="0" w:line="234" w:lineRule="exact"/>
        <w:rPr>
          <w:sz w:val="20"/>
          <w:szCs w:val="20"/>
          <w:color w:val="auto"/>
        </w:rPr>
      </w:pPr>
    </w:p>
    <w:p>
      <w:pPr>
        <w:ind w:left="1020" w:hanging="512"/>
        <w:spacing w:after="0" w:line="246" w:lineRule="auto"/>
        <w:tabs>
          <w:tab w:leader="none" w:pos="115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96" w:lineRule="exact"/>
        <w:rPr>
          <w:rFonts w:ascii="Arial" w:cs="Arial" w:eastAsia="Arial" w:hAnsi="Arial"/>
          <w:sz w:val="18"/>
          <w:szCs w:val="18"/>
          <w:color w:val="auto"/>
        </w:rPr>
      </w:pPr>
    </w:p>
    <w:p>
      <w:pPr>
        <w:jc w:val="both"/>
        <w:ind w:left="1540" w:hanging="511"/>
        <w:spacing w:after="0"/>
        <w:tabs>
          <w:tab w:leader="none" w:pos="1581"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202" w:lineRule="exact"/>
        <w:rPr>
          <w:rFonts w:ascii="Arial" w:cs="Arial" w:eastAsia="Arial" w:hAnsi="Arial"/>
          <w:sz w:val="18"/>
          <w:szCs w:val="18"/>
          <w:color w:val="auto"/>
        </w:rPr>
      </w:pPr>
    </w:p>
    <w:p>
      <w:pPr>
        <w:jc w:val="both"/>
        <w:ind w:left="1540" w:hanging="511"/>
        <w:spacing w:after="0"/>
        <w:tabs>
          <w:tab w:leader="none" w:pos="1675"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0" w:name="page151"/>
    <w:bookmarkEnd w:id="150"/>
    <w:p>
      <w:pPr>
        <w:jc w:val="both"/>
        <w:ind w:left="1020" w:hanging="512"/>
        <w:spacing w:after="0"/>
        <w:tabs>
          <w:tab w:leader="none" w:pos="134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Interbank Market and otherwise to reflect the change in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35.11 Disruption to Payment Systems etc.</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If either the Agent determines (in its discretion) that a Payment Disruption Event has occurred or the Agent is notified by the Borrowers that a Payment Disruption Event has occurred:</w:t>
      </w:r>
    </w:p>
    <w:p>
      <w:pPr>
        <w:spacing w:after="0" w:line="197" w:lineRule="exact"/>
        <w:rPr>
          <w:sz w:val="20"/>
          <w:szCs w:val="20"/>
          <w:color w:val="auto"/>
        </w:rPr>
      </w:pPr>
    </w:p>
    <w:p>
      <w:pPr>
        <w:jc w:val="both"/>
        <w:ind w:left="1020" w:hanging="512"/>
        <w:spacing w:after="0"/>
        <w:tabs>
          <w:tab w:leader="none" w:pos="120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Agent may, and shall if requested to do so by the Borrowers, consult with the Borrowers with a view to agreeing with the Borrowers such changes to the operation or administration of the Facilities as the Agent may deem necessary in the circumstances;</w:t>
      </w:r>
    </w:p>
    <w:p>
      <w:pPr>
        <w:spacing w:after="0" w:line="202" w:lineRule="exact"/>
        <w:rPr>
          <w:rFonts w:ascii="Arial" w:cs="Arial" w:eastAsia="Arial" w:hAnsi="Arial"/>
          <w:sz w:val="18"/>
          <w:szCs w:val="18"/>
          <w:color w:val="auto"/>
        </w:rPr>
      </w:pPr>
    </w:p>
    <w:p>
      <w:pPr>
        <w:ind w:left="1020" w:right="20" w:hanging="512"/>
        <w:spacing w:after="0" w:line="246" w:lineRule="auto"/>
        <w:tabs>
          <w:tab w:leader="none" w:pos="100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96" w:lineRule="exact"/>
        <w:rPr>
          <w:rFonts w:ascii="Arial" w:cs="Arial" w:eastAsia="Arial" w:hAnsi="Arial"/>
          <w:sz w:val="18"/>
          <w:szCs w:val="18"/>
          <w:color w:val="auto"/>
        </w:rPr>
      </w:pPr>
    </w:p>
    <w:p>
      <w:pPr>
        <w:ind w:left="1020" w:hanging="512"/>
        <w:spacing w:after="0" w:line="246" w:lineRule="auto"/>
        <w:tabs>
          <w:tab w:leader="none" w:pos="116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96" w:lineRule="exact"/>
        <w:rPr>
          <w:rFonts w:ascii="Arial" w:cs="Arial" w:eastAsia="Arial" w:hAnsi="Arial"/>
          <w:sz w:val="18"/>
          <w:szCs w:val="18"/>
          <w:color w:val="auto"/>
        </w:rPr>
      </w:pPr>
    </w:p>
    <w:p>
      <w:pPr>
        <w:jc w:val="both"/>
        <w:ind w:left="1020" w:hanging="512"/>
        <w:spacing w:after="0"/>
        <w:tabs>
          <w:tab w:leader="none" w:pos="120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Borrowers shall (whether or not it is finally determined that a Payment Disruption Event has occurred) be binding upon the Parties as an amendment to (or, as the case may be, waiver of) the terms of the Finance Documents notwithstanding the provisions of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8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35.11; and</w:t>
      </w:r>
    </w:p>
    <w:p>
      <w:pPr>
        <w:spacing w:after="0" w:line="204" w:lineRule="exact"/>
        <w:rPr>
          <w:rFonts w:ascii="Arial" w:cs="Arial" w:eastAsia="Arial" w:hAnsi="Arial"/>
          <w:sz w:val="18"/>
          <w:szCs w:val="18"/>
          <w:color w:val="auto"/>
        </w:rPr>
      </w:pPr>
    </w:p>
    <w:p>
      <w:pPr>
        <w:ind w:left="1000" w:hanging="492"/>
        <w:spacing w:after="0"/>
        <w:tabs>
          <w:tab w:leader="none" w:pos="10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35.12 Impaired Agent</w:t>
      </w:r>
    </w:p>
    <w:p>
      <w:pPr>
        <w:spacing w:after="0" w:line="234" w:lineRule="exact"/>
        <w:rPr>
          <w:sz w:val="20"/>
          <w:szCs w:val="20"/>
          <w:color w:val="auto"/>
        </w:rPr>
      </w:pPr>
    </w:p>
    <w:p>
      <w:pPr>
        <w:jc w:val="both"/>
        <w:ind w:left="1020" w:hanging="512"/>
        <w:spacing w:after="0" w:line="237" w:lineRule="auto"/>
        <w:tabs>
          <w:tab w:leader="none" w:pos="113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xml:space="preserve">) may instead either pay that amount direct to the required recipient or pay that amount to an interest-bearing account held with an Acceptable Bank within the meaning of paragraph (a) of the definition of </w:t>
      </w:r>
      <w:r>
        <w:rPr>
          <w:rFonts w:ascii="Arial" w:cs="Arial" w:eastAsia="Arial" w:hAnsi="Arial"/>
          <w:sz w:val="18"/>
          <w:szCs w:val="18"/>
          <w:b w:val="1"/>
          <w:bCs w:val="1"/>
          <w:color w:val="auto"/>
        </w:rPr>
        <w:t>Acceptable Bank</w:t>
      </w:r>
      <w:r>
        <w:rPr>
          <w:rFonts w:ascii="Arial" w:cs="Arial" w:eastAsia="Arial" w:hAnsi="Arial"/>
          <w:sz w:val="18"/>
          <w:szCs w:val="18"/>
          <w:color w:val="auto"/>
        </w:rPr>
        <w:t xml:space="preserve">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202" w:lineRule="exact"/>
        <w:rPr>
          <w:rFonts w:ascii="Arial" w:cs="Arial" w:eastAsia="Arial" w:hAnsi="Arial"/>
          <w:sz w:val="18"/>
          <w:szCs w:val="18"/>
          <w:color w:val="auto"/>
        </w:rPr>
      </w:pPr>
    </w:p>
    <w:p>
      <w:pPr>
        <w:ind w:left="1020" w:hanging="512"/>
        <w:spacing w:after="0" w:line="246" w:lineRule="auto"/>
        <w:tabs>
          <w:tab w:leader="none" w:pos="112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178" w:lineRule="exact"/>
        <w:rPr>
          <w:rFonts w:ascii="Arial" w:cs="Arial" w:eastAsia="Arial" w:hAnsi="Arial"/>
          <w:sz w:val="18"/>
          <w:szCs w:val="18"/>
          <w:color w:val="auto"/>
        </w:rPr>
      </w:pPr>
    </w:p>
    <w:p>
      <w:pPr>
        <w:jc w:val="both"/>
        <w:ind w:left="1020" w:hanging="512"/>
        <w:spacing w:after="0" w:line="250" w:lineRule="auto"/>
        <w:tabs>
          <w:tab w:leader="none" w:pos="104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be discharged of the relevant payment obligation under the Finance Documents and shall not take any credit risk with respect to the amounts standing to the credit of the trust account.</w:t>
      </w:r>
    </w:p>
    <w:p>
      <w:pPr>
        <w:spacing w:after="0" w:line="176" w:lineRule="exact"/>
        <w:rPr>
          <w:rFonts w:ascii="Arial" w:cs="Arial" w:eastAsia="Arial" w:hAnsi="Arial"/>
          <w:sz w:val="18"/>
          <w:szCs w:val="18"/>
          <w:color w:val="auto"/>
        </w:rPr>
      </w:pPr>
    </w:p>
    <w:p>
      <w:pPr>
        <w:ind w:left="1020" w:hanging="512"/>
        <w:spacing w:after="0" w:line="267" w:lineRule="auto"/>
        <w:tabs>
          <w:tab w:leader="none" w:pos="109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Party which has made a payment to a trust account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1" w:name="page152"/>
    <w:bookmarkEnd w:id="151"/>
    <w:p>
      <w:pPr>
        <w:jc w:val="both"/>
        <w:ind w:left="1040"/>
        <w:spacing w:after="0" w:line="250" w:lineRule="auto"/>
        <w:rPr>
          <w:sz w:val="20"/>
          <w:szCs w:val="20"/>
          <w:color w:val="auto"/>
        </w:rPr>
      </w:pPr>
      <w:r>
        <w:rPr>
          <w:rFonts w:ascii="Arial" w:cs="Arial" w:eastAsia="Arial" w:hAnsi="Arial"/>
          <w:sz w:val="18"/>
          <w:szCs w:val="18"/>
          <w:color w:val="auto"/>
        </w:rPr>
        <w:t>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give all requisite instructions to the bank with whom the trust account is held to transfer the amount (together with any accrued interest) to the successor Agent for distribution in accordance with clause 35.2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35.13 Contractual recognition of bail-in</w:t>
      </w:r>
    </w:p>
    <w:p>
      <w:pPr>
        <w:spacing w:after="0" w:line="234" w:lineRule="exact"/>
        <w:rPr>
          <w:sz w:val="20"/>
          <w:szCs w:val="20"/>
          <w:color w:val="auto"/>
        </w:rPr>
      </w:pPr>
    </w:p>
    <w:p>
      <w:pPr>
        <w:jc w:val="both"/>
        <w:ind w:left="520" w:hanging="9"/>
        <w:spacing w:after="0" w:line="238" w:lineRule="auto"/>
        <w:rPr>
          <w:sz w:val="20"/>
          <w:szCs w:val="20"/>
          <w:color w:val="auto"/>
        </w:rPr>
      </w:pPr>
      <w:r>
        <w:rPr>
          <w:rFonts w:ascii="Arial" w:cs="Arial" w:eastAsia="Arial" w:hAnsi="Arial"/>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205" w:lineRule="exact"/>
        <w:rPr>
          <w:sz w:val="20"/>
          <w:szCs w:val="20"/>
          <w:color w:val="auto"/>
        </w:rPr>
      </w:pPr>
    </w:p>
    <w:p>
      <w:pPr>
        <w:ind w:left="1020" w:hanging="512"/>
        <w:spacing w:after="0"/>
        <w:tabs>
          <w:tab w:leader="none" w:pos="10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11" w:lineRule="exact"/>
        <w:rPr>
          <w:rFonts w:ascii="Arial" w:cs="Arial" w:eastAsia="Arial" w:hAnsi="Arial"/>
          <w:sz w:val="18"/>
          <w:szCs w:val="18"/>
          <w:color w:val="auto"/>
        </w:rPr>
      </w:pPr>
    </w:p>
    <w:p>
      <w:pPr>
        <w:ind w:left="1540" w:hanging="511"/>
        <w:spacing w:after="0" w:line="246" w:lineRule="auto"/>
        <w:tabs>
          <w:tab w:leader="none" w:pos="1891"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96" w:lineRule="exact"/>
        <w:rPr>
          <w:rFonts w:ascii="Arial" w:cs="Arial" w:eastAsia="Arial" w:hAnsi="Arial"/>
          <w:sz w:val="18"/>
          <w:szCs w:val="18"/>
          <w:color w:val="auto"/>
        </w:rPr>
      </w:pPr>
    </w:p>
    <w:p>
      <w:pPr>
        <w:ind w:left="1540" w:right="20" w:hanging="511"/>
        <w:spacing w:after="0" w:line="246" w:lineRule="auto"/>
        <w:tabs>
          <w:tab w:leader="none" w:pos="170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96" w:lineRule="exact"/>
        <w:rPr>
          <w:rFonts w:ascii="Arial" w:cs="Arial" w:eastAsia="Arial" w:hAnsi="Arial"/>
          <w:sz w:val="18"/>
          <w:szCs w:val="18"/>
          <w:color w:val="auto"/>
        </w:rPr>
      </w:pPr>
    </w:p>
    <w:p>
      <w:pPr>
        <w:ind w:left="1520" w:hanging="491"/>
        <w:spacing w:after="0"/>
        <w:tabs>
          <w:tab w:leader="none" w:pos="15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11" w:lineRule="exact"/>
        <w:rPr>
          <w:rFonts w:ascii="Arial" w:cs="Arial" w:eastAsia="Arial" w:hAnsi="Arial"/>
          <w:sz w:val="18"/>
          <w:szCs w:val="18"/>
          <w:color w:val="auto"/>
        </w:rPr>
      </w:pPr>
    </w:p>
    <w:p>
      <w:pPr>
        <w:ind w:left="1020" w:right="20" w:hanging="512"/>
        <w:spacing w:after="0" w:line="246" w:lineRule="auto"/>
        <w:tabs>
          <w:tab w:leader="none" w:pos="116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the purposes of this clause 35.13 the following words shall have the following meanings:</w:t>
      </w:r>
    </w:p>
    <w:p>
      <w:pPr>
        <w:spacing w:after="0" w:line="190" w:lineRule="exact"/>
        <w:rPr>
          <w:sz w:val="20"/>
          <w:szCs w:val="20"/>
          <w:color w:val="auto"/>
        </w:rPr>
      </w:pPr>
    </w:p>
    <w:p>
      <w:pPr>
        <w:ind w:left="1020" w:right="20"/>
        <w:spacing w:after="0" w:line="271" w:lineRule="auto"/>
        <w:rPr>
          <w:sz w:val="20"/>
          <w:szCs w:val="20"/>
          <w:color w:val="auto"/>
        </w:rPr>
      </w:pPr>
      <w:r>
        <w:rPr>
          <w:rFonts w:ascii="Arial" w:cs="Arial" w:eastAsia="Arial" w:hAnsi="Arial"/>
          <w:sz w:val="18"/>
          <w:szCs w:val="18"/>
          <w:b w:val="1"/>
          <w:bCs w:val="1"/>
          <w:color w:val="auto"/>
        </w:rPr>
        <w:t xml:space="preserve">Article 55 BRRD </w:t>
      </w:r>
      <w:r>
        <w:rPr>
          <w:rFonts w:ascii="Arial" w:cs="Arial" w:eastAsia="Arial" w:hAnsi="Arial"/>
          <w:sz w:val="18"/>
          <w:szCs w:val="18"/>
          <w:color w:val="auto"/>
        </w:rPr>
        <w:t>means Article 55 of Directive 2014/59/EU establishing a framework for the recovery and resolution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and investment firms.</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34" w:lineRule="exact"/>
        <w:rPr>
          <w:sz w:val="20"/>
          <w:szCs w:val="20"/>
          <w:color w:val="auto"/>
        </w:rPr>
      </w:pPr>
    </w:p>
    <w:p>
      <w:pPr>
        <w:ind w:left="1540" w:hanging="511"/>
        <w:spacing w:after="0" w:line="246" w:lineRule="auto"/>
        <w:tabs>
          <w:tab w:leader="none" w:pos="169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196" w:lineRule="exact"/>
        <w:rPr>
          <w:rFonts w:ascii="Arial" w:cs="Arial" w:eastAsia="Arial" w:hAnsi="Arial"/>
          <w:sz w:val="18"/>
          <w:szCs w:val="18"/>
          <w:color w:val="auto"/>
        </w:rPr>
      </w:pPr>
    </w:p>
    <w:p>
      <w:pPr>
        <w:jc w:val="both"/>
        <w:ind w:left="1540" w:hanging="511"/>
        <w:spacing w:after="0"/>
        <w:tabs>
          <w:tab w:leader="none" w:pos="158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12" w:lineRule="exact"/>
        <w:rPr>
          <w:sz w:val="20"/>
          <w:szCs w:val="20"/>
          <w:color w:val="auto"/>
        </w:rPr>
      </w:pPr>
    </w:p>
    <w:p>
      <w:pPr>
        <w:jc w:val="both"/>
        <w:ind w:left="1020" w:right="20"/>
        <w:spacing w:after="0" w:line="271"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person) from time to time.</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12"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b w:val="1"/>
          <w:bCs w:val="1"/>
          <w:color w:val="auto"/>
        </w:rPr>
        <w:t xml:space="preserve">UK Bail-In Legislation </w:t>
      </w:r>
      <w:r>
        <w:rPr>
          <w:rFonts w:ascii="Arial" w:cs="Arial" w:eastAsia="Arial" w:hAnsi="Arial"/>
          <w:sz w:val="18"/>
          <w:szCs w:val="18"/>
          <w:color w:val="auto"/>
        </w:rPr>
        <w:t>means (to the extent that the United Kingdom is not an EEA Member Country which has implemented,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or implements, Article 55 BRRD) Part I of the United Kingdom Banking Act 2009 and any other law or regulation applicable in the United Kingdom relating to the resolution of unsound or failing banks, investment firms or other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2" w:name="page153"/>
    <w:bookmarkEnd w:id="152"/>
    <w:p>
      <w:pPr>
        <w:ind w:left="1020"/>
        <w:spacing w:after="0"/>
        <w:rPr>
          <w:sz w:val="20"/>
          <w:szCs w:val="20"/>
          <w:color w:val="auto"/>
        </w:rPr>
      </w:pPr>
      <w:r>
        <w:rPr>
          <w:rFonts w:ascii="Arial" w:cs="Arial" w:eastAsia="Arial" w:hAnsi="Arial"/>
          <w:sz w:val="18"/>
          <w:szCs w:val="18"/>
          <w:color w:val="auto"/>
        </w:rPr>
        <w:t>financial institutions or their affiliates (otherwise than through liquidation, administration or other insolvency proceedings).</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Write-down </w:t>
      </w:r>
      <w:r>
        <w:rPr>
          <w:rFonts w:ascii="Arial" w:cs="Arial" w:eastAsia="Arial" w:hAnsi="Arial"/>
          <w:sz w:val="18"/>
          <w:szCs w:val="18"/>
          <w:color w:val="auto"/>
        </w:rPr>
        <w:t>and Conversion Powers means:</w:t>
      </w:r>
    </w:p>
    <w:p>
      <w:pPr>
        <w:spacing w:after="0" w:line="234" w:lineRule="exact"/>
        <w:rPr>
          <w:sz w:val="20"/>
          <w:szCs w:val="20"/>
          <w:color w:val="auto"/>
        </w:rPr>
      </w:pPr>
    </w:p>
    <w:p>
      <w:pPr>
        <w:ind w:left="1540" w:hanging="511"/>
        <w:spacing w:after="0" w:line="246" w:lineRule="auto"/>
        <w:tabs>
          <w:tab w:leader="none" w:pos="188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96" w:lineRule="exact"/>
        <w:rPr>
          <w:rFonts w:ascii="Arial" w:cs="Arial" w:eastAsia="Arial" w:hAnsi="Arial"/>
          <w:sz w:val="18"/>
          <w:szCs w:val="18"/>
          <w:color w:val="auto"/>
        </w:rPr>
      </w:pPr>
    </w:p>
    <w:p>
      <w:pPr>
        <w:ind w:left="1520" w:hanging="491"/>
        <w:spacing w:after="0"/>
        <w:tabs>
          <w:tab w:leader="none" w:pos="15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11" w:lineRule="exact"/>
        <w:rPr>
          <w:rFonts w:ascii="Arial" w:cs="Arial" w:eastAsia="Arial" w:hAnsi="Arial"/>
          <w:sz w:val="18"/>
          <w:szCs w:val="18"/>
          <w:color w:val="auto"/>
        </w:rPr>
      </w:pPr>
    </w:p>
    <w:p>
      <w:pPr>
        <w:jc w:val="both"/>
        <w:ind w:left="2040" w:hanging="501"/>
        <w:spacing w:after="0" w:line="237" w:lineRule="auto"/>
        <w:tabs>
          <w:tab w:leader="none" w:pos="2189"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202" w:lineRule="exact"/>
        <w:rPr>
          <w:rFonts w:ascii="Arial" w:cs="Arial" w:eastAsia="Arial" w:hAnsi="Arial"/>
          <w:sz w:val="18"/>
          <w:szCs w:val="18"/>
          <w:color w:val="auto"/>
        </w:rPr>
      </w:pPr>
    </w:p>
    <w:p>
      <w:pPr>
        <w:ind w:left="2040" w:hanging="501"/>
        <w:spacing w:after="0"/>
        <w:tabs>
          <w:tab w:leader="none" w:pos="20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211" w:lineRule="exact"/>
        <w:rPr>
          <w:rFonts w:ascii="Arial" w:cs="Arial" w:eastAsia="Arial" w:hAnsi="Arial"/>
          <w:sz w:val="18"/>
          <w:szCs w:val="18"/>
          <w:color w:val="auto"/>
        </w:rPr>
      </w:pPr>
    </w:p>
    <w:p>
      <w:pPr>
        <w:ind w:left="1520" w:hanging="491"/>
        <w:spacing w:after="0"/>
        <w:tabs>
          <w:tab w:leader="none" w:pos="15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211" w:lineRule="exact"/>
        <w:rPr>
          <w:rFonts w:ascii="Arial" w:cs="Arial" w:eastAsia="Arial" w:hAnsi="Arial"/>
          <w:sz w:val="18"/>
          <w:szCs w:val="18"/>
          <w:color w:val="auto"/>
        </w:rPr>
      </w:pPr>
    </w:p>
    <w:p>
      <w:pPr>
        <w:jc w:val="both"/>
        <w:ind w:left="2040" w:hanging="501"/>
        <w:spacing w:after="0" w:line="237" w:lineRule="auto"/>
        <w:tabs>
          <w:tab w:leader="none" w:pos="202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202" w:lineRule="exact"/>
        <w:rPr>
          <w:rFonts w:ascii="Arial" w:cs="Arial" w:eastAsia="Arial" w:hAnsi="Arial"/>
          <w:sz w:val="18"/>
          <w:szCs w:val="18"/>
          <w:color w:val="auto"/>
        </w:rPr>
      </w:pPr>
    </w:p>
    <w:p>
      <w:pPr>
        <w:ind w:left="2040" w:hanging="501"/>
        <w:spacing w:after="0"/>
        <w:tabs>
          <w:tab w:leader="none" w:pos="20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36</w:t>
        <w:tab/>
        <w:t>Set-off</w:t>
      </w:r>
    </w:p>
    <w:p>
      <w:pPr>
        <w:spacing w:after="0" w:line="238" w:lineRule="exact"/>
        <w:rPr>
          <w:sz w:val="20"/>
          <w:szCs w:val="20"/>
          <w:color w:val="auto"/>
        </w:rPr>
      </w:pPr>
    </w:p>
    <w:p>
      <w:pPr>
        <w:jc w:val="both"/>
        <w:ind w:left="520"/>
        <w:spacing w:after="0" w:line="237" w:lineRule="auto"/>
        <w:rPr>
          <w:sz w:val="20"/>
          <w:szCs w:val="20"/>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37</w:t>
        <w:tab/>
        <w:t>Notices</w:t>
      </w:r>
    </w:p>
    <w:p>
      <w:pPr>
        <w:spacing w:after="0" w:line="2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7"/>
          <w:szCs w:val="17"/>
          <w:b w:val="1"/>
          <w:bCs w:val="1"/>
          <w:color w:val="auto"/>
        </w:rPr>
        <w:t>Communications in writing</w:t>
      </w:r>
    </w:p>
    <w:p>
      <w:pPr>
        <w:spacing w:after="0" w:line="234" w:lineRule="exact"/>
        <w:rPr>
          <w:sz w:val="20"/>
          <w:szCs w:val="20"/>
          <w:color w:val="auto"/>
        </w:rPr>
      </w:pPr>
    </w:p>
    <w:p>
      <w:pPr>
        <w:ind w:left="1020" w:hanging="512"/>
        <w:spacing w:after="0" w:line="246" w:lineRule="auto"/>
        <w:tabs>
          <w:tab w:leader="none" w:pos="135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3" w:name="page154"/>
    <w:bookmarkEnd w:id="153"/>
    <w:p>
      <w:pPr>
        <w:ind w:left="1020" w:hanging="512"/>
        <w:spacing w:after="0" w:line="246" w:lineRule="auto"/>
        <w:tabs>
          <w:tab w:leader="none" w:pos="107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Finance Party may rely on any representation, communication, notice or document received from or made by any Obligor believed by it to be genuine, correct and appropriately authorised.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b w:val="1"/>
          <w:bCs w:val="1"/>
          <w:color w:val="auto"/>
        </w:rPr>
        <w:t>Addresses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Obligor or Finance Party for any communication or document to be made or delivered under or in connection with the Finance Documents is:</w:t>
      </w:r>
    </w:p>
    <w:p>
      <w:pPr>
        <w:spacing w:after="0" w:line="197" w:lineRule="exact"/>
        <w:rPr>
          <w:sz w:val="20"/>
          <w:szCs w:val="20"/>
          <w:color w:val="auto"/>
        </w:rPr>
      </w:pPr>
    </w:p>
    <w:p>
      <w:pPr>
        <w:ind w:left="1020" w:hanging="512"/>
        <w:spacing w:after="0"/>
        <w:tabs>
          <w:tab w:leader="none" w:pos="10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(The original parties);</w:t>
      </w:r>
    </w:p>
    <w:p>
      <w:pPr>
        <w:spacing w:after="0" w:line="211" w:lineRule="exact"/>
        <w:rPr>
          <w:rFonts w:ascii="Arial" w:cs="Arial" w:eastAsia="Arial" w:hAnsi="Arial"/>
          <w:sz w:val="18"/>
          <w:szCs w:val="18"/>
          <w:color w:val="auto"/>
        </w:rPr>
      </w:pPr>
    </w:p>
    <w:p>
      <w:pPr>
        <w:ind w:left="1020" w:hanging="512"/>
        <w:spacing w:after="0"/>
        <w:tabs>
          <w:tab w:leader="none" w:pos="10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211" w:lineRule="exact"/>
        <w:rPr>
          <w:rFonts w:ascii="Arial" w:cs="Arial" w:eastAsia="Arial" w:hAnsi="Arial"/>
          <w:sz w:val="18"/>
          <w:szCs w:val="18"/>
          <w:color w:val="auto"/>
        </w:rPr>
      </w:pPr>
    </w:p>
    <w:p>
      <w:pPr>
        <w:ind w:left="1020" w:hanging="512"/>
        <w:spacing w:after="0" w:line="246" w:lineRule="auto"/>
        <w:tabs>
          <w:tab w:leader="none" w:pos="102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(The original parties); and</w:t>
      </w:r>
    </w:p>
    <w:p>
      <w:pPr>
        <w:spacing w:after="0" w:line="196" w:lineRule="exact"/>
        <w:rPr>
          <w:rFonts w:ascii="Arial" w:cs="Arial" w:eastAsia="Arial" w:hAnsi="Arial"/>
          <w:sz w:val="18"/>
          <w:szCs w:val="18"/>
          <w:color w:val="auto"/>
        </w:rPr>
      </w:pPr>
    </w:p>
    <w:p>
      <w:pPr>
        <w:ind w:left="1020" w:hanging="512"/>
        <w:spacing w:after="0" w:line="246" w:lineRule="auto"/>
        <w:tabs>
          <w:tab w:leader="none" w:pos="100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97"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or, in each case, any substitute address, or department or officer as an Obligor or Finance Party may notify to the Agent (or the Agent may notify to the other Parties, if a change is made by the Agent) by not less than five Business Days’ notice.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7"/>
          <w:szCs w:val="17"/>
          <w:b w:val="1"/>
          <w:bCs w:val="1"/>
          <w:color w:val="auto"/>
        </w:rPr>
        <w:t>Delivery</w:t>
      </w:r>
    </w:p>
    <w:p>
      <w:pPr>
        <w:spacing w:after="0" w:line="234" w:lineRule="exact"/>
        <w:rPr>
          <w:sz w:val="20"/>
          <w:szCs w:val="20"/>
          <w:color w:val="auto"/>
        </w:rPr>
      </w:pPr>
    </w:p>
    <w:p>
      <w:pPr>
        <w:jc w:val="both"/>
        <w:ind w:left="1020" w:hanging="512"/>
        <w:spacing w:after="0" w:line="238" w:lineRule="auto"/>
        <w:tabs>
          <w:tab w:leader="none" w:pos="148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37.2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202" w:lineRule="exact"/>
        <w:rPr>
          <w:rFonts w:ascii="Arial" w:cs="Arial" w:eastAsia="Arial" w:hAnsi="Arial"/>
          <w:sz w:val="18"/>
          <w:szCs w:val="18"/>
          <w:color w:val="auto"/>
        </w:rPr>
      </w:pPr>
    </w:p>
    <w:p>
      <w:pPr>
        <w:jc w:val="both"/>
        <w:ind w:left="1020" w:hanging="512"/>
        <w:spacing w:after="0" w:line="238" w:lineRule="auto"/>
        <w:tabs>
          <w:tab w:leader="none" w:pos="105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(or any substitute department or officer as the Agent or the Security Agent shall specify for this purpose).</w:t>
      </w:r>
    </w:p>
    <w:p>
      <w:pPr>
        <w:spacing w:after="0" w:line="204" w:lineRule="exact"/>
        <w:rPr>
          <w:rFonts w:ascii="Arial" w:cs="Arial" w:eastAsia="Arial" w:hAnsi="Arial"/>
          <w:sz w:val="18"/>
          <w:szCs w:val="18"/>
          <w:color w:val="auto"/>
        </w:rPr>
      </w:pPr>
    </w:p>
    <w:p>
      <w:pPr>
        <w:ind w:left="1020" w:hanging="512"/>
        <w:spacing w:after="0"/>
        <w:tabs>
          <w:tab w:leader="none" w:pos="10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11" w:lineRule="exact"/>
        <w:rPr>
          <w:rFonts w:ascii="Arial" w:cs="Arial" w:eastAsia="Arial" w:hAnsi="Arial"/>
          <w:sz w:val="18"/>
          <w:szCs w:val="18"/>
          <w:color w:val="auto"/>
        </w:rPr>
      </w:pPr>
    </w:p>
    <w:p>
      <w:pPr>
        <w:ind w:left="1020" w:right="20" w:hanging="512"/>
        <w:spacing w:after="0" w:line="246" w:lineRule="auto"/>
        <w:tabs>
          <w:tab w:leader="none" w:pos="121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Borrowers in accordance with this clause will be deemed to have been made or delivered to each of the Obligors.</w:t>
      </w:r>
    </w:p>
    <w:p>
      <w:pPr>
        <w:spacing w:after="0" w:line="196" w:lineRule="exact"/>
        <w:rPr>
          <w:rFonts w:ascii="Arial" w:cs="Arial" w:eastAsia="Arial" w:hAnsi="Arial"/>
          <w:sz w:val="18"/>
          <w:szCs w:val="18"/>
          <w:color w:val="auto"/>
        </w:rPr>
      </w:pPr>
    </w:p>
    <w:p>
      <w:pPr>
        <w:ind w:left="1020" w:hanging="512"/>
        <w:spacing w:after="0" w:line="246" w:lineRule="auto"/>
        <w:tabs>
          <w:tab w:leader="none" w:pos="104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37.3(a) to 37.3(d) above, after 5:00pm in the place of receipt shall be deemed only to become effective on the following day.</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7"/>
          <w:szCs w:val="17"/>
          <w:b w:val="1"/>
          <w:bCs w:val="1"/>
          <w:color w:val="auto"/>
        </w:rPr>
        <w:t>Notification of address</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Agent shall notify the other Parties on changing its address. All other Parties should notify promptly upon change of their address pursuant to clause 37.2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7"/>
          <w:szCs w:val="17"/>
          <w:b w:val="1"/>
          <w:bCs w:val="1"/>
          <w:color w:val="auto"/>
        </w:rPr>
        <w:t>Electronic communication</w:t>
      </w:r>
    </w:p>
    <w:p>
      <w:pPr>
        <w:spacing w:after="0" w:line="234" w:lineRule="exact"/>
        <w:rPr>
          <w:sz w:val="20"/>
          <w:szCs w:val="20"/>
          <w:color w:val="auto"/>
        </w:rPr>
      </w:pPr>
    </w:p>
    <w:p>
      <w:pPr>
        <w:ind w:left="1020" w:hanging="512"/>
        <w:spacing w:after="0" w:line="246" w:lineRule="auto"/>
        <w:tabs>
          <w:tab w:leader="none" w:pos="108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4" w:name="page155"/>
    <w:bookmarkEnd w:id="154"/>
    <w:p>
      <w:pPr>
        <w:ind w:left="1040"/>
        <w:spacing w:after="0" w:line="246" w:lineRule="auto"/>
        <w:rPr>
          <w:sz w:val="20"/>
          <w:szCs w:val="20"/>
          <w:color w:val="auto"/>
        </w:rPr>
      </w:pPr>
      <w:r>
        <w:rPr>
          <w:rFonts w:ascii="Arial" w:cs="Arial" w:eastAsia="Arial" w:hAnsi="Arial"/>
          <w:sz w:val="18"/>
          <w:szCs w:val="18"/>
          <w:color w:val="auto"/>
        </w:rPr>
        <w:t>that those two Parties agree that, unless and until notified to the contrary, this is to be an accepted form of communication and if those two Parties:</w:t>
      </w:r>
    </w:p>
    <w:p>
      <w:pPr>
        <w:spacing w:after="0" w:line="183" w:lineRule="exact"/>
        <w:rPr>
          <w:sz w:val="20"/>
          <w:szCs w:val="20"/>
          <w:color w:val="auto"/>
        </w:rPr>
      </w:pPr>
    </w:p>
    <w:p>
      <w:pPr>
        <w:ind w:left="1540" w:hanging="511"/>
        <w:spacing w:after="0" w:line="246" w:lineRule="auto"/>
        <w:tabs>
          <w:tab w:leader="none" w:pos="163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83" w:lineRule="exact"/>
        <w:rPr>
          <w:rFonts w:ascii="Arial" w:cs="Arial" w:eastAsia="Arial" w:hAnsi="Arial"/>
          <w:sz w:val="18"/>
          <w:szCs w:val="18"/>
          <w:color w:val="auto"/>
        </w:rPr>
      </w:pPr>
    </w:p>
    <w:p>
      <w:pPr>
        <w:ind w:left="1540" w:hanging="511"/>
        <w:spacing w:after="0" w:line="246" w:lineRule="auto"/>
        <w:tabs>
          <w:tab w:leader="none" w:pos="163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83" w:lineRule="exact"/>
        <w:rPr>
          <w:rFonts w:ascii="Arial" w:cs="Arial" w:eastAsia="Arial" w:hAnsi="Arial"/>
          <w:sz w:val="18"/>
          <w:szCs w:val="18"/>
          <w:color w:val="auto"/>
        </w:rPr>
      </w:pPr>
    </w:p>
    <w:p>
      <w:pPr>
        <w:jc w:val="both"/>
        <w:ind w:left="1020" w:hanging="512"/>
        <w:spacing w:after="0"/>
        <w:tabs>
          <w:tab w:leader="none" w:pos="108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189" w:lineRule="exact"/>
        <w:rPr>
          <w:rFonts w:ascii="Arial" w:cs="Arial" w:eastAsia="Arial" w:hAnsi="Arial"/>
          <w:sz w:val="18"/>
          <w:szCs w:val="18"/>
          <w:color w:val="auto"/>
        </w:rPr>
      </w:pPr>
    </w:p>
    <w:p>
      <w:pPr>
        <w:ind w:left="1020" w:hanging="512"/>
        <w:spacing w:after="0" w:line="246" w:lineRule="auto"/>
        <w:tabs>
          <w:tab w:leader="none" w:pos="10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37.5(b) above, after 5:00 p.m. in the place of receipt shall be deemed only to become effective on the following day.</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198" w:lineRule="exact"/>
        <w:rPr>
          <w:rFonts w:ascii="Arial" w:cs="Arial" w:eastAsia="Arial" w:hAnsi="Arial"/>
          <w:sz w:val="18"/>
          <w:szCs w:val="18"/>
          <w:color w:val="auto"/>
        </w:rPr>
      </w:pPr>
    </w:p>
    <w:p>
      <w:pPr>
        <w:ind w:left="1540" w:right="20" w:hanging="511"/>
        <w:spacing w:after="0" w:line="246" w:lineRule="auto"/>
        <w:tabs>
          <w:tab w:leader="none" w:pos="1583"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722"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exchange of information can be delayed or disrupted due to transmission errors, technical faults, disruptions, malfunctions, illegal interventions, network overload, the malicious blocking of electronic access by third parties, or other shortcomings on the part of the network provider. In certain situations, time-critical orders and instructions might not be processed on time; and</w:t>
      </w:r>
    </w:p>
    <w:p>
      <w:pPr>
        <w:spacing w:after="0" w:line="191" w:lineRule="exact"/>
        <w:rPr>
          <w:rFonts w:ascii="Arial" w:cs="Arial" w:eastAsia="Arial" w:hAnsi="Arial"/>
          <w:sz w:val="18"/>
          <w:szCs w:val="18"/>
          <w:color w:val="auto"/>
        </w:rPr>
      </w:pPr>
    </w:p>
    <w:p>
      <w:pPr>
        <w:jc w:val="both"/>
        <w:ind w:left="1540" w:hanging="511"/>
        <w:spacing w:after="0"/>
        <w:tabs>
          <w:tab w:leader="none" w:pos="1679"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Finance Parties assume no liability for any loss incurred as a result of manipulation of the electronic address or content nor is it liable for any loss incurred by the Borrowers or any other Obligor due to interruptions and delays in transmission caused by technical problems.</w:t>
      </w:r>
    </w:p>
    <w:p>
      <w:pPr>
        <w:spacing w:after="0" w:line="189" w:lineRule="exact"/>
        <w:rPr>
          <w:rFonts w:ascii="Arial" w:cs="Arial" w:eastAsia="Arial" w:hAnsi="Arial"/>
          <w:sz w:val="18"/>
          <w:szCs w:val="18"/>
          <w:color w:val="auto"/>
        </w:rPr>
      </w:pPr>
    </w:p>
    <w:p>
      <w:pPr>
        <w:jc w:val="both"/>
        <w:ind w:left="1020" w:hanging="512"/>
        <w:spacing w:after="0" w:line="238" w:lineRule="auto"/>
        <w:tabs>
          <w:tab w:leader="none" w:pos="107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Borrowers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7"/>
          <w:szCs w:val="17"/>
          <w:b w:val="1"/>
          <w:bCs w:val="1"/>
          <w:color w:val="auto"/>
        </w:rPr>
        <w:t>English language</w:t>
      </w:r>
    </w:p>
    <w:p>
      <w:pPr>
        <w:spacing w:after="0" w:line="220" w:lineRule="exact"/>
        <w:rPr>
          <w:sz w:val="20"/>
          <w:szCs w:val="20"/>
          <w:color w:val="auto"/>
        </w:rPr>
      </w:pPr>
    </w:p>
    <w:p>
      <w:pPr>
        <w:ind w:left="1020" w:hanging="512"/>
        <w:spacing w:after="0"/>
        <w:tabs>
          <w:tab w:leader="none" w:pos="10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198" w:lineRule="exact"/>
        <w:rPr>
          <w:rFonts w:ascii="Arial" w:cs="Arial" w:eastAsia="Arial" w:hAnsi="Arial"/>
          <w:sz w:val="18"/>
          <w:szCs w:val="18"/>
          <w:color w:val="auto"/>
        </w:rPr>
      </w:pPr>
    </w:p>
    <w:p>
      <w:pPr>
        <w:ind w:left="1020" w:hanging="512"/>
        <w:spacing w:after="0"/>
        <w:tabs>
          <w:tab w:leader="none" w:pos="10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5" w:name="page156"/>
    <w:bookmarkEnd w:id="155"/>
    <w:p>
      <w:pPr>
        <w:ind w:left="1540" w:hanging="511"/>
        <w:spacing w:after="0" w:line="246" w:lineRule="auto"/>
        <w:tabs>
          <w:tab w:leader="none" w:pos="163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7"/>
          <w:szCs w:val="17"/>
          <w:b w:val="1"/>
          <w:bCs w:val="1"/>
          <w:color w:val="auto"/>
        </w:rPr>
        <w:t>Communication with Agent when Agent is Impaired Agent</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38</w:t>
        <w:tab/>
        <w:t>Calculations and certificates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7"/>
          <w:szCs w:val="17"/>
          <w:b w:val="1"/>
          <w:bCs w:val="1"/>
          <w:color w:val="auto"/>
        </w:rPr>
        <w:t>Accounts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7"/>
          <w:szCs w:val="17"/>
          <w:b w:val="1"/>
          <w:bCs w:val="1"/>
          <w:color w:val="auto"/>
        </w:rPr>
        <w:t>Certificates and determinations</w:t>
      </w:r>
    </w:p>
    <w:p>
      <w:pPr>
        <w:spacing w:after="0" w:line="220"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7"/>
          <w:szCs w:val="17"/>
          <w:b w:val="1"/>
          <w:bCs w:val="1"/>
          <w:color w:val="auto"/>
        </w:rPr>
        <w:t>Day count convention</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39</w:t>
        <w:tab/>
        <w:t>Partial invalidity</w:t>
      </w:r>
    </w:p>
    <w:p>
      <w:pPr>
        <w:spacing w:after="0" w:line="22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40</w:t>
        <w:tab/>
        <w:t>Remedies and waivers</w:t>
      </w:r>
    </w:p>
    <w:p>
      <w:pPr>
        <w:spacing w:after="0" w:line="224"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41</w:t>
        <w:tab/>
        <w:t>Amendments and grant of waivers</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b w:val="1"/>
          <w:bCs w:val="1"/>
          <w:color w:val="auto"/>
        </w:rPr>
        <w:t>Required consents</w:t>
      </w:r>
    </w:p>
    <w:p>
      <w:pPr>
        <w:spacing w:after="0" w:line="202" w:lineRule="exact"/>
        <w:rPr>
          <w:sz w:val="20"/>
          <w:szCs w:val="20"/>
          <w:color w:val="auto"/>
        </w:rPr>
      </w:pPr>
    </w:p>
    <w:p>
      <w:pPr>
        <w:jc w:val="both"/>
        <w:ind w:left="1020" w:hanging="512"/>
        <w:spacing w:after="0" w:line="250" w:lineRule="auto"/>
        <w:tabs>
          <w:tab w:leader="none" w:pos="102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Subject to clauses 41.2 (</w:t>
      </w:r>
      <w:r>
        <w:rPr>
          <w:rFonts w:ascii="Arial" w:cs="Arial" w:eastAsia="Arial" w:hAnsi="Arial"/>
          <w:sz w:val="18"/>
          <w:szCs w:val="18"/>
          <w:i w:val="1"/>
          <w:iCs w:val="1"/>
          <w:color w:val="auto"/>
        </w:rPr>
        <w:t>All Lender matters</w:t>
      </w:r>
      <w:r>
        <w:rPr>
          <w:rFonts w:ascii="Arial" w:cs="Arial" w:eastAsia="Arial" w:hAnsi="Arial"/>
          <w:sz w:val="18"/>
          <w:szCs w:val="18"/>
          <w:color w:val="auto"/>
        </w:rPr>
        <w:t>) and 41.3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any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6" w:name="page157"/>
    <w:bookmarkEnd w:id="156"/>
    <w:p>
      <w:pPr>
        <w:ind w:left="1040"/>
        <w:spacing w:after="0"/>
        <w:rPr>
          <w:sz w:val="20"/>
          <w:szCs w:val="20"/>
          <w:color w:val="auto"/>
        </w:rPr>
      </w:pPr>
      <w:r>
        <w:rPr>
          <w:rFonts w:ascii="Arial" w:cs="Arial" w:eastAsia="Arial" w:hAnsi="Arial"/>
          <w:sz w:val="18"/>
          <w:szCs w:val="18"/>
          <w:color w:val="auto"/>
        </w:rPr>
        <w:t>amendment or waiver agreed or given by the Agent will be binding on all the Finance Parties.</w:t>
      </w:r>
    </w:p>
    <w:p>
      <w:pPr>
        <w:spacing w:after="0" w:line="198" w:lineRule="exact"/>
        <w:rPr>
          <w:sz w:val="20"/>
          <w:szCs w:val="20"/>
          <w:color w:val="auto"/>
        </w:rPr>
      </w:pPr>
    </w:p>
    <w:p>
      <w:pPr>
        <w:ind w:left="1020" w:right="20" w:hanging="512"/>
        <w:spacing w:after="0" w:line="246" w:lineRule="auto"/>
        <w:tabs>
          <w:tab w:leader="none" w:pos="103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41.</w:t>
      </w:r>
    </w:p>
    <w:p>
      <w:pPr>
        <w:spacing w:after="0" w:line="165" w:lineRule="exact"/>
        <w:rPr>
          <w:rFonts w:ascii="Arial" w:cs="Arial" w:eastAsia="Arial" w:hAnsi="Arial"/>
          <w:sz w:val="18"/>
          <w:szCs w:val="18"/>
          <w:color w:val="auto"/>
        </w:rPr>
      </w:pPr>
    </w:p>
    <w:p>
      <w:pPr>
        <w:jc w:val="both"/>
        <w:ind w:left="1020" w:hanging="512"/>
        <w:spacing w:after="0" w:line="250" w:lineRule="auto"/>
        <w:tabs>
          <w:tab w:leader="none" w:pos="1131"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32.7(c), 32.7(d) and 32.7(e) of clause 32.7 </w:t>
      </w:r>
      <w:r>
        <w:rPr>
          <w:rFonts w:ascii="Arial" w:cs="Arial" w:eastAsia="Arial" w:hAnsi="Arial"/>
          <w:sz w:val="18"/>
          <w:szCs w:val="18"/>
          <w:i w:val="1"/>
          <w:iCs w:val="1"/>
          <w:color w:val="auto"/>
        </w:rPr>
        <w:t>(Rights and discretions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the Agent may engage, pay for and rely on the services of lawyers in determining the consent level required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effecting any amendment, waiver or consent under this Agreement.</w:t>
      </w:r>
    </w:p>
    <w:p>
      <w:pPr>
        <w:spacing w:after="0" w:line="181" w:lineRule="exact"/>
        <w:rPr>
          <w:rFonts w:ascii="Arial" w:cs="Arial" w:eastAsia="Arial" w:hAnsi="Arial"/>
          <w:sz w:val="18"/>
          <w:szCs w:val="18"/>
          <w:color w:val="auto"/>
        </w:rPr>
      </w:pPr>
    </w:p>
    <w:p>
      <w:pPr>
        <w:ind w:left="1020" w:right="20" w:hanging="512"/>
        <w:spacing w:after="0" w:line="246" w:lineRule="auto"/>
        <w:tabs>
          <w:tab w:leader="none" w:pos="10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41 which is agreed to by the Borrowers. This includes any amendment or waiver which would, but for this clause 41.1(d), require the consent of the Parent.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7"/>
          <w:szCs w:val="17"/>
          <w:b w:val="1"/>
          <w:bCs w:val="1"/>
          <w:color w:val="auto"/>
        </w:rPr>
        <w:t>All Lender matters</w:t>
      </w:r>
    </w:p>
    <w:p>
      <w:pPr>
        <w:spacing w:after="0" w:line="220" w:lineRule="exact"/>
        <w:rPr>
          <w:sz w:val="20"/>
          <w:szCs w:val="20"/>
          <w:color w:val="auto"/>
        </w:rPr>
      </w:pPr>
    </w:p>
    <w:p>
      <w:pPr>
        <w:ind w:left="1020" w:hanging="512"/>
        <w:spacing w:after="0" w:line="246" w:lineRule="auto"/>
        <w:tabs>
          <w:tab w:leader="none" w:pos="101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65"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520" w:hanging="491"/>
        <w:spacing w:after="0"/>
        <w:tabs>
          <w:tab w:leader="none" w:pos="15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198" w:lineRule="exact"/>
        <w:rPr>
          <w:rFonts w:ascii="Arial" w:cs="Arial" w:eastAsia="Arial" w:hAnsi="Arial"/>
          <w:sz w:val="18"/>
          <w:szCs w:val="18"/>
          <w:color w:val="auto"/>
        </w:rPr>
      </w:pPr>
    </w:p>
    <w:p>
      <w:pPr>
        <w:ind w:left="1540" w:hanging="511"/>
        <w:spacing w:after="0" w:line="246" w:lineRule="auto"/>
        <w:tabs>
          <w:tab w:leader="none" w:pos="1539"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 or the rate at which they are calculated;</w:t>
      </w:r>
    </w:p>
    <w:p>
      <w:pPr>
        <w:spacing w:after="0" w:line="183" w:lineRule="exact"/>
        <w:rPr>
          <w:rFonts w:ascii="Arial" w:cs="Arial" w:eastAsia="Arial" w:hAnsi="Arial"/>
          <w:sz w:val="18"/>
          <w:szCs w:val="18"/>
          <w:color w:val="auto"/>
        </w:rPr>
      </w:pPr>
    </w:p>
    <w:p>
      <w:pPr>
        <w:jc w:val="both"/>
        <w:ind w:left="1540" w:hanging="511"/>
        <w:spacing w:after="0" w:line="238" w:lineRule="auto"/>
        <w:tabs>
          <w:tab w:leader="none" w:pos="1563"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 increase in, or extension of, any Commitment, Revolving Loan Commitment, Term Loan Commitment, Term Loan Ship Commitments, Revolving Loan Ship Commitments or the Total Commitments, an extension of any period within which a Facility is available for Utilisation or any requirement that a cancellation of Commitments reduces the Commitments of the Lenders pro rata and/or the Term Loan Commitments of the Lenders pro rata and/or the Revolving Loan Commitments of the Lenders pro rata;</w:t>
      </w:r>
    </w:p>
    <w:p>
      <w:pPr>
        <w:spacing w:after="0" w:line="188" w:lineRule="exact"/>
        <w:rPr>
          <w:rFonts w:ascii="Arial" w:cs="Arial" w:eastAsia="Arial" w:hAnsi="Arial"/>
          <w:sz w:val="18"/>
          <w:szCs w:val="18"/>
          <w:color w:val="auto"/>
        </w:rPr>
      </w:pPr>
    </w:p>
    <w:p>
      <w:pPr>
        <w:ind w:left="1560" w:hanging="531"/>
        <w:spacing w:after="0"/>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change to any Borrower or any other Obligor;</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180" w:lineRule="exact"/>
        <w:rPr>
          <w:rFonts w:ascii="Arial" w:cs="Arial" w:eastAsia="Arial" w:hAnsi="Arial"/>
          <w:sz w:val="18"/>
          <w:szCs w:val="18"/>
          <w:color w:val="auto"/>
        </w:rPr>
      </w:pPr>
    </w:p>
    <w:p>
      <w:pPr>
        <w:jc w:val="both"/>
        <w:ind w:left="1540" w:hanging="511"/>
        <w:spacing w:after="0" w:line="245" w:lineRule="auto"/>
        <w:tabs>
          <w:tab w:leader="none" w:pos="165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clause 2.3 (Finance Parties’ rights and obligations), clause 7.9 (</w:t>
      </w:r>
      <w:r>
        <w:rPr>
          <w:rFonts w:ascii="Arial" w:cs="Arial" w:eastAsia="Arial" w:hAnsi="Arial"/>
          <w:sz w:val="18"/>
          <w:szCs w:val="18"/>
          <w:i w:val="1"/>
          <w:iCs w:val="1"/>
          <w:color w:val="auto"/>
        </w:rPr>
        <w:t>Mandatory prepayment and cancellation following non-compliance with Sanctions</w:t>
      </w:r>
      <w:r>
        <w:rPr>
          <w:rFonts w:ascii="Arial" w:cs="Arial" w:eastAsia="Arial" w:hAnsi="Arial"/>
          <w:sz w:val="18"/>
          <w:szCs w:val="18"/>
          <w:color w:val="auto"/>
        </w:rPr>
        <w:t>), clause 18.32 (</w:t>
      </w:r>
      <w:r>
        <w:rPr>
          <w:rFonts w:ascii="Arial" w:cs="Arial" w:eastAsia="Arial" w:hAnsi="Arial"/>
          <w:sz w:val="18"/>
          <w:szCs w:val="18"/>
          <w:i w:val="1"/>
          <w:iCs w:val="1"/>
          <w:color w:val="auto"/>
        </w:rPr>
        <w:t>Sanctions</w:t>
      </w:r>
      <w:r>
        <w:rPr>
          <w:rFonts w:ascii="Arial" w:cs="Arial" w:eastAsia="Arial" w:hAnsi="Arial"/>
          <w:sz w:val="18"/>
          <w:szCs w:val="18"/>
          <w:color w:val="auto"/>
        </w:rPr>
        <w:t>), clause 21.11 (</w:t>
      </w:r>
      <w:r>
        <w:rPr>
          <w:rFonts w:ascii="Arial" w:cs="Arial" w:eastAsia="Arial" w:hAnsi="Arial"/>
          <w:sz w:val="18"/>
          <w:szCs w:val="18"/>
          <w:i w:val="1"/>
          <w:iCs w:val="1"/>
          <w:color w:val="auto"/>
        </w:rPr>
        <w:t>Sanctions</w:t>
      </w:r>
      <w:r>
        <w:rPr>
          <w:rFonts w:ascii="Arial" w:cs="Arial" w:eastAsia="Arial" w:hAnsi="Arial"/>
          <w:sz w:val="18"/>
          <w:szCs w:val="18"/>
          <w:color w:val="auto"/>
        </w:rPr>
        <w:t>),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34.1 (</w:t>
      </w:r>
      <w:r>
        <w:rPr>
          <w:rFonts w:ascii="Arial" w:cs="Arial" w:eastAsia="Arial" w:hAnsi="Arial"/>
          <w:sz w:val="18"/>
          <w:szCs w:val="18"/>
          <w:i w:val="1"/>
          <w:iCs w:val="1"/>
          <w:color w:val="auto"/>
        </w:rPr>
        <w:t>Payments to Finance Parties</w:t>
      </w:r>
      <w:r>
        <w:rPr>
          <w:rFonts w:ascii="Arial" w:cs="Arial" w:eastAsia="Arial" w:hAnsi="Arial"/>
          <w:sz w:val="18"/>
          <w:szCs w:val="18"/>
          <w:color w:val="auto"/>
        </w:rPr>
        <w:t>), this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 clause 44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45.1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1540" w:hanging="511"/>
        <w:spacing w:after="0"/>
        <w:tabs>
          <w:tab w:leader="none" w:pos="154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order of distribution under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order of distribution under clause 32.24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560" w:hanging="531"/>
        <w:spacing w:after="0"/>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198" w:lineRule="exact"/>
        <w:rPr>
          <w:rFonts w:ascii="Arial" w:cs="Arial" w:eastAsia="Arial" w:hAnsi="Arial"/>
          <w:sz w:val="18"/>
          <w:szCs w:val="18"/>
          <w:color w:val="auto"/>
        </w:rPr>
      </w:pPr>
    </w:p>
    <w:p>
      <w:pPr>
        <w:ind w:left="1540" w:hanging="511"/>
        <w:spacing w:after="0" w:line="246" w:lineRule="auto"/>
        <w:tabs>
          <w:tab w:leader="none" w:pos="1689"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nature or scope of the Charged Property or the manner in which the proceeds of enforcement of the Security Documents are distributed;</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nature or scope of the Guarantee;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7" w:name="page158"/>
    <w:bookmarkEnd w:id="157"/>
    <w:p>
      <w:pPr>
        <w:jc w:val="both"/>
        <w:ind w:left="1540" w:hanging="511"/>
        <w:spacing w:after="0"/>
        <w:tabs>
          <w:tab w:leader="none" w:pos="208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release of any security constituted by the Security Documents or the Guarantee (other than as expressly contemplated or permitted by the provisions of this Agreement), or circumstances in which the security constituted by the Security Documents or the Guarantee are permitted or required to be released under any of the Finance Documents; or</w:t>
      </w:r>
    </w:p>
    <w:p>
      <w:pPr>
        <w:spacing w:after="0" w:line="171" w:lineRule="exact"/>
        <w:rPr>
          <w:rFonts w:ascii="Arial" w:cs="Arial" w:eastAsia="Arial" w:hAnsi="Arial"/>
          <w:sz w:val="18"/>
          <w:szCs w:val="18"/>
          <w:color w:val="auto"/>
        </w:rPr>
      </w:pPr>
    </w:p>
    <w:p>
      <w:pPr>
        <w:ind w:left="1540" w:hanging="511"/>
        <w:spacing w:after="0"/>
        <w:tabs>
          <w:tab w:leader="none" w:pos="15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approval of a Dropdown under clause 21.5 (</w:t>
      </w:r>
      <w:r>
        <w:rPr>
          <w:rFonts w:ascii="Arial" w:cs="Arial" w:eastAsia="Arial" w:hAnsi="Arial"/>
          <w:sz w:val="18"/>
          <w:szCs w:val="18"/>
          <w:i w:val="1"/>
          <w:iCs w:val="1"/>
          <w:color w:val="auto"/>
        </w:rPr>
        <w:t>Change of business or ownership</w:t>
      </w:r>
      <w:r>
        <w:rPr>
          <w:rFonts w:ascii="Arial" w:cs="Arial" w:eastAsia="Arial" w:hAnsi="Arial"/>
          <w:sz w:val="18"/>
          <w:szCs w:val="18"/>
          <w:color w:val="auto"/>
        </w:rPr>
        <w: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shall not be made, or given, without the prior consent of all the Lenders and must be in writing.</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41.3</w:t>
        <w:tab/>
        <w:t>Other exceptions</w:t>
      </w:r>
    </w:p>
    <w:p>
      <w:pPr>
        <w:spacing w:after="0" w:line="220" w:lineRule="exact"/>
        <w:rPr>
          <w:sz w:val="20"/>
          <w:szCs w:val="20"/>
          <w:color w:val="auto"/>
        </w:rPr>
      </w:pPr>
    </w:p>
    <w:p>
      <w:pPr>
        <w:jc w:val="both"/>
        <w:ind w:left="1020" w:hanging="512"/>
        <w:spacing w:after="0"/>
        <w:tabs>
          <w:tab w:leader="none" w:pos="111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Security Agent or the Arrangers in their respective capacities as such (and not just as a Lender) may not be effected without the consent of the Agent, the Security Agent or the Arrangers (as the case may be).</w:t>
      </w:r>
    </w:p>
    <w:p>
      <w:pPr>
        <w:spacing w:after="0" w:line="171" w:lineRule="exact"/>
        <w:rPr>
          <w:rFonts w:ascii="Arial" w:cs="Arial" w:eastAsia="Arial" w:hAnsi="Arial"/>
          <w:sz w:val="18"/>
          <w:szCs w:val="18"/>
          <w:color w:val="auto"/>
        </w:rPr>
      </w:pPr>
    </w:p>
    <w:p>
      <w:pPr>
        <w:jc w:val="both"/>
        <w:ind w:left="1020" w:hanging="512"/>
        <w:spacing w:after="0" w:line="242" w:lineRule="auto"/>
        <w:tabs>
          <w:tab w:leader="none" w:pos="107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respect of any amendment, waiver, release or consent relating to clause 7.2(a) (</w:t>
      </w:r>
      <w:r>
        <w:rPr>
          <w:rFonts w:ascii="Arial" w:cs="Arial" w:eastAsia="Arial" w:hAnsi="Arial"/>
          <w:sz w:val="18"/>
          <w:szCs w:val="18"/>
          <w:i w:val="1"/>
          <w:iCs w:val="1"/>
          <w:color w:val="auto"/>
        </w:rPr>
        <w:t>Change of Control; de- listing</w:t>
      </w:r>
      <w:r>
        <w:rPr>
          <w:rFonts w:ascii="Arial" w:cs="Arial" w:eastAsia="Arial" w:hAnsi="Arial"/>
          <w:sz w:val="18"/>
          <w:szCs w:val="18"/>
          <w:color w:val="auto"/>
        </w:rPr>
        <w:t>), insofar as it results from or relates to a Change of Control in respect of a Borrower and/or GasLog Carriers and/or GPHL (but not any other person), and which would require the written approval of the Majority Lenders, such amendment, waiver, release or consent shall be deemed granted unless the same has been declined in writing within 40 Business Days of a written request of the Borrowers to this effect by such number of Lenders as would in effect rule out Majority Lenders’ approval of the same.</w:t>
      </w:r>
    </w:p>
    <w:p>
      <w:pPr>
        <w:spacing w:after="0" w:line="189" w:lineRule="exact"/>
        <w:rPr>
          <w:rFonts w:ascii="Arial" w:cs="Arial" w:eastAsia="Arial" w:hAnsi="Arial"/>
          <w:sz w:val="18"/>
          <w:szCs w:val="18"/>
          <w:color w:val="auto"/>
        </w:rPr>
      </w:pPr>
    </w:p>
    <w:p>
      <w:pPr>
        <w:ind w:left="1000" w:hanging="492"/>
        <w:spacing w:after="0"/>
        <w:tabs>
          <w:tab w:leader="none" w:pos="10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180" w:lineRule="exact"/>
        <w:rPr>
          <w:rFonts w:ascii="Arial" w:cs="Arial" w:eastAsia="Arial" w:hAnsi="Arial"/>
          <w:sz w:val="18"/>
          <w:szCs w:val="18"/>
          <w:color w:val="auto"/>
        </w:rPr>
      </w:pPr>
    </w:p>
    <w:p>
      <w:pPr>
        <w:jc w:val="both"/>
        <w:ind w:left="1020" w:hanging="512"/>
        <w:spacing w:after="0" w:line="245" w:lineRule="auto"/>
        <w:tabs>
          <w:tab w:leader="none" w:pos="104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Notwithstanding clauses 41.1 (</w:t>
      </w:r>
      <w:r>
        <w:rPr>
          <w:rFonts w:ascii="Arial" w:cs="Arial" w:eastAsia="Arial" w:hAnsi="Arial"/>
          <w:sz w:val="18"/>
          <w:szCs w:val="18"/>
          <w:i w:val="1"/>
          <w:iCs w:val="1"/>
          <w:color w:val="auto"/>
        </w:rPr>
        <w:t>Required consents</w:t>
      </w:r>
      <w:r>
        <w:rPr>
          <w:rFonts w:ascii="Arial" w:cs="Arial" w:eastAsia="Arial" w:hAnsi="Arial"/>
          <w:sz w:val="18"/>
          <w:szCs w:val="18"/>
          <w:color w:val="auto"/>
        </w:rPr>
        <w:t>), 41.2(a) (</w:t>
      </w:r>
      <w:r>
        <w:rPr>
          <w:rFonts w:ascii="Arial" w:cs="Arial" w:eastAsia="Arial" w:hAnsi="Arial"/>
          <w:sz w:val="18"/>
          <w:szCs w:val="18"/>
          <w:i w:val="1"/>
          <w:iCs w:val="1"/>
          <w:color w:val="auto"/>
        </w:rPr>
        <w:t>All Lender matters</w:t>
      </w:r>
      <w:r>
        <w:rPr>
          <w:rFonts w:ascii="Arial" w:cs="Arial" w:eastAsia="Arial" w:hAnsi="Arial"/>
          <w:sz w:val="18"/>
          <w:szCs w:val="18"/>
          <w:color w:val="auto"/>
        </w:rPr>
        <w:t>) and paragraphs (a) to (c) above (inclusive),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7"/>
          <w:szCs w:val="17"/>
          <w:b w:val="1"/>
          <w:bCs w:val="1"/>
          <w:color w:val="auto"/>
        </w:rPr>
        <w:t>Disenfranchisement of Defaulting Lenders</w:t>
      </w:r>
    </w:p>
    <w:p>
      <w:pPr>
        <w:spacing w:after="0" w:line="220" w:lineRule="exact"/>
        <w:rPr>
          <w:sz w:val="20"/>
          <w:szCs w:val="20"/>
          <w:color w:val="auto"/>
        </w:rPr>
      </w:pPr>
    </w:p>
    <w:p>
      <w:pPr>
        <w:jc w:val="both"/>
        <w:ind w:left="1020" w:hanging="512"/>
        <w:spacing w:after="0" w:line="237" w:lineRule="auto"/>
        <w:tabs>
          <w:tab w:leader="none" w:pos="115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For so long as a Defaulting Lender has any Commitment, in ascertaining (i) the Majority Lenders or (ii) whether any given percentage (including, for the avoidance of doubt, unanimity) of the Total Commitments under the Facilities, or the agreement of any specified group of Lenders (whether Majority Lenders, all Lenders or otherwise), has been obtained to approve any request for a consent, waiver, amendment or other vote under the Finance Documents, that Defaulting Lender’s Commitment will be reduced by the amount of its Commitment and, to the extent that the reduction results in that Defaulting Lender’s Commitments being zero and it has no participation in the Loans, that Defaulting Lender shall be deemed not to be a Lender for the purposes paragraphs (i) and (ii) above.</w:t>
      </w:r>
    </w:p>
    <w:p>
      <w:pPr>
        <w:spacing w:after="0" w:line="189" w:lineRule="exact"/>
        <w:rPr>
          <w:rFonts w:ascii="Arial" w:cs="Arial" w:eastAsia="Arial" w:hAnsi="Arial"/>
          <w:sz w:val="18"/>
          <w:szCs w:val="18"/>
          <w:color w:val="auto"/>
        </w:rPr>
      </w:pPr>
    </w:p>
    <w:p>
      <w:pPr>
        <w:ind w:left="1020" w:hanging="512"/>
        <w:spacing w:after="0"/>
        <w:tabs>
          <w:tab w:leader="none" w:pos="10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For the purposes of this clause 41.4, the Agent may assume that the following Lenders are Defaulting Lenders: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193" w:lineRule="exact"/>
        <w:rPr>
          <w:rFonts w:ascii="Arial" w:cs="Arial" w:eastAsia="Arial" w:hAnsi="Arial"/>
          <w:sz w:val="18"/>
          <w:szCs w:val="18"/>
          <w:color w:val="auto"/>
        </w:rPr>
      </w:pPr>
    </w:p>
    <w:p>
      <w:pPr>
        <w:ind w:left="1620" w:hanging="591"/>
        <w:spacing w:after="0"/>
        <w:tabs>
          <w:tab w:leader="none" w:pos="16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Lender in relation to which it is aware that any of the events or circumstances referred to in paragraphs (a), (b) or</w:t>
      </w:r>
    </w:p>
    <w:p>
      <w:pPr>
        <w:jc w:val="both"/>
        <w:ind w:left="1540" w:hanging="1"/>
        <w:spacing w:after="0"/>
        <w:tabs>
          <w:tab w:leader="none" w:pos="1824" w:val="left"/>
        </w:tabs>
        <w:numPr>
          <w:ilvl w:val="2"/>
          <w:numId w:val="395"/>
        </w:numPr>
        <w:rPr>
          <w:rFonts w:ascii="Arial" w:cs="Arial" w:eastAsia="Arial" w:hAnsi="Arial"/>
          <w:sz w:val="18"/>
          <w:szCs w:val="18"/>
          <w:color w:val="auto"/>
        </w:rPr>
      </w:pPr>
      <w:r>
        <w:rPr>
          <w:rFonts w:ascii="Arial" w:cs="Arial" w:eastAsia="Arial" w:hAnsi="Arial"/>
          <w:sz w:val="18"/>
          <w:szCs w:val="18"/>
          <w:color w:val="auto"/>
        </w:rPr>
        <w:t xml:space="preserve">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8" w:name="page159"/>
    <w:bookmarkEnd w:id="158"/>
    <w:p>
      <w:pPr>
        <w:spacing w:after="0"/>
        <w:tabs>
          <w:tab w:leader="none" w:pos="5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7"/>
          <w:szCs w:val="17"/>
          <w:b w:val="1"/>
          <w:bCs w:val="1"/>
          <w:color w:val="auto"/>
        </w:rPr>
        <w:t>Replacement of a Defaulting Lender</w:t>
      </w:r>
    </w:p>
    <w:p>
      <w:pPr>
        <w:spacing w:after="0" w:line="220" w:lineRule="exact"/>
        <w:rPr>
          <w:sz w:val="20"/>
          <w:szCs w:val="20"/>
          <w:color w:val="auto"/>
        </w:rPr>
      </w:pPr>
    </w:p>
    <w:p>
      <w:pPr>
        <w:jc w:val="both"/>
        <w:ind w:left="1020" w:hanging="512"/>
        <w:spacing w:after="0" w:line="236" w:lineRule="auto"/>
        <w:tabs>
          <w:tab w:leader="none" w:pos="108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Borrowers may, at any time a Lender has become and continues to be a Defaulting Lender, by giving 10 Business Days’ prior written notice to the Agent and such Lender replace such Lender by requiring such Lender to (and, to the extent permitted by law such Lender shall) transfer pursuant to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xml:space="preserve">) all (and not part only) of its rights and obligations under this Agreement to a Lender or other bank, financial institution, trust, fund or other entity (a </w:t>
      </w:r>
      <w:r>
        <w:rPr>
          <w:rFonts w:ascii="Arial" w:cs="Arial" w:eastAsia="Arial" w:hAnsi="Arial"/>
          <w:sz w:val="18"/>
          <w:szCs w:val="18"/>
          <w:b w:val="1"/>
          <w:bCs w:val="1"/>
          <w:color w:val="auto"/>
        </w:rPr>
        <w:t>Replacement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selected by the Borrowers, and which (unless the Agent is an Impaired Agent) is acceptable to the Agent (acting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 (or at any other purchase price approved by all of the other Lenders who are not Defaulting Lenders at the time).</w:t>
      </w:r>
    </w:p>
    <w:p>
      <w:pPr>
        <w:spacing w:after="0" w:line="191" w:lineRule="exact"/>
        <w:rPr>
          <w:rFonts w:ascii="Arial" w:cs="Arial" w:eastAsia="Arial" w:hAnsi="Arial"/>
          <w:sz w:val="18"/>
          <w:szCs w:val="18"/>
          <w:color w:val="auto"/>
        </w:rPr>
      </w:pPr>
    </w:p>
    <w:p>
      <w:pPr>
        <w:ind w:left="1020" w:hanging="512"/>
        <w:spacing w:after="0"/>
        <w:tabs>
          <w:tab w:leader="none" w:pos="10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 or the Security Agent;</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Borrowers to find a Replacement Lender;</w:t>
      </w:r>
    </w:p>
    <w:p>
      <w:pPr>
        <w:spacing w:after="0" w:line="198" w:lineRule="exact"/>
        <w:rPr>
          <w:rFonts w:ascii="Arial" w:cs="Arial" w:eastAsia="Arial" w:hAnsi="Arial"/>
          <w:sz w:val="18"/>
          <w:szCs w:val="18"/>
          <w:color w:val="auto"/>
        </w:rPr>
      </w:pPr>
    </w:p>
    <w:p>
      <w:pPr>
        <w:ind w:left="1540" w:hanging="511"/>
        <w:spacing w:after="0" w:line="246" w:lineRule="auto"/>
        <w:tabs>
          <w:tab w:leader="none" w:pos="1522"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transfer must take place no later than 14 days after the notice referred to in clause 41.5(a) above (or such other longer period as agreed by the Majority Lenders); and</w:t>
      </w:r>
    </w:p>
    <w:p>
      <w:pPr>
        <w:spacing w:after="0" w:line="183" w:lineRule="exact"/>
        <w:rPr>
          <w:rFonts w:ascii="Arial" w:cs="Arial" w:eastAsia="Arial" w:hAnsi="Arial"/>
          <w:sz w:val="18"/>
          <w:szCs w:val="18"/>
          <w:color w:val="auto"/>
        </w:rPr>
      </w:pPr>
    </w:p>
    <w:p>
      <w:pPr>
        <w:ind w:left="1540" w:right="20" w:hanging="511"/>
        <w:spacing w:after="0" w:line="246" w:lineRule="auto"/>
        <w:tabs>
          <w:tab w:leader="none" w:pos="1659" w:val="left"/>
        </w:tabs>
        <w:numPr>
          <w:ilvl w:val="1"/>
          <w:numId w:val="396"/>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7"/>
          <w:szCs w:val="17"/>
          <w:b w:val="1"/>
          <w:bCs w:val="1"/>
          <w:color w:val="auto"/>
        </w:rPr>
        <w:t>Excluded Commitments; “Snooze you lose”</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thirty (30) Business Days of that request being made (unless the Borrowers and the Agent agree to a longer time period in relation to any request):</w:t>
      </w:r>
    </w:p>
    <w:p>
      <w:pPr>
        <w:spacing w:after="0" w:line="189" w:lineRule="exact"/>
        <w:rPr>
          <w:sz w:val="20"/>
          <w:szCs w:val="20"/>
          <w:color w:val="auto"/>
        </w:rPr>
      </w:pPr>
    </w:p>
    <w:p>
      <w:pPr>
        <w:jc w:val="both"/>
        <w:ind w:left="1020" w:hanging="512"/>
        <w:spacing w:after="0"/>
        <w:tabs>
          <w:tab w:leader="none" w:pos="1073"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its Commitments or its participation in the Loans shall not be included for the purpose of calculating the Total Commitments or the amount of the Loans when ascertaining whether any relevant percentage (including, for the avoidance of doubt, unanimity) of Total Commitments or the amount of the Loans has been obtained to approve that request; and</w:t>
      </w:r>
    </w:p>
    <w:p>
      <w:pPr>
        <w:spacing w:after="0" w:line="189" w:lineRule="exact"/>
        <w:rPr>
          <w:rFonts w:ascii="Arial" w:cs="Arial" w:eastAsia="Arial" w:hAnsi="Arial"/>
          <w:sz w:val="18"/>
          <w:szCs w:val="18"/>
          <w:color w:val="auto"/>
        </w:rPr>
      </w:pPr>
    </w:p>
    <w:p>
      <w:pPr>
        <w:ind w:left="1020" w:hanging="512"/>
        <w:spacing w:after="0" w:line="246" w:lineRule="auto"/>
        <w:tabs>
          <w:tab w:leader="none" w:pos="111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7"/>
          <w:szCs w:val="17"/>
          <w:b w:val="1"/>
          <w:bCs w:val="1"/>
          <w:color w:val="auto"/>
        </w:rPr>
        <w:t>Releases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the approval of all the Lenders or for a release which is expressly permitted or required by the Finance Documents, the</w:t>
      </w:r>
    </w:p>
    <w:p>
      <w:pPr>
        <w:ind w:left="520"/>
        <w:spacing w:after="0"/>
        <w:rPr>
          <w:sz w:val="20"/>
          <w:szCs w:val="20"/>
          <w:color w:val="auto"/>
        </w:rPr>
      </w:pPr>
      <w:r>
        <w:rPr>
          <w:rFonts w:ascii="Arial" w:cs="Arial" w:eastAsia="Arial" w:hAnsi="Arial"/>
          <w:sz w:val="18"/>
          <w:szCs w:val="18"/>
          <w:color w:val="auto"/>
        </w:rPr>
        <w:t>Agent shall not have authority to authorise the Security Agent to release:</w:t>
      </w:r>
    </w:p>
    <w:p>
      <w:pPr>
        <w:spacing w:after="0" w:line="198" w:lineRule="exact"/>
        <w:rPr>
          <w:sz w:val="20"/>
          <w:szCs w:val="20"/>
          <w:color w:val="auto"/>
        </w:rPr>
      </w:pPr>
    </w:p>
    <w:p>
      <w:pPr>
        <w:ind w:left="1020" w:hanging="512"/>
        <w:spacing w:after="0"/>
        <w:tabs>
          <w:tab w:leader="none" w:pos="102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198" w:lineRule="exact"/>
        <w:rPr>
          <w:rFonts w:ascii="Arial" w:cs="Arial" w:eastAsia="Arial" w:hAnsi="Arial"/>
          <w:sz w:val="18"/>
          <w:szCs w:val="18"/>
          <w:color w:val="auto"/>
        </w:rPr>
      </w:pPr>
    </w:p>
    <w:p>
      <w:pPr>
        <w:ind w:left="5480" w:right="3220" w:hanging="4972"/>
        <w:spacing w:after="0" w:line="481" w:lineRule="auto"/>
        <w:tabs>
          <w:tab w:leader="none" w:pos="103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532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9" w:name="page160"/>
    <w:bookmarkEnd w:id="159"/>
    <w:p>
      <w:pPr>
        <w:spacing w:after="0"/>
        <w:tabs>
          <w:tab w:leader="none" w:pos="500" w:val="left"/>
        </w:tabs>
        <w:rPr>
          <w:sz w:val="20"/>
          <w:szCs w:val="20"/>
          <w:color w:val="auto"/>
        </w:rPr>
      </w:pPr>
      <w:r>
        <w:rPr>
          <w:rFonts w:ascii="Arial" w:cs="Arial" w:eastAsia="Arial" w:hAnsi="Arial"/>
          <w:sz w:val="18"/>
          <w:szCs w:val="18"/>
          <w:b w:val="1"/>
          <w:bCs w:val="1"/>
          <w:color w:val="auto"/>
        </w:rPr>
        <w:t>41.8</w:t>
        <w:tab/>
        <w:t>Replacement of Screen Rate</w:t>
      </w:r>
    </w:p>
    <w:p>
      <w:pPr>
        <w:spacing w:after="0" w:line="202" w:lineRule="exact"/>
        <w:rPr>
          <w:sz w:val="20"/>
          <w:szCs w:val="20"/>
          <w:color w:val="auto"/>
        </w:rPr>
      </w:pPr>
    </w:p>
    <w:p>
      <w:pPr>
        <w:ind w:left="1020" w:hanging="512"/>
        <w:spacing w:after="0" w:line="267" w:lineRule="auto"/>
        <w:tabs>
          <w:tab w:leader="none" w:pos="1028" w:val="left"/>
        </w:tabs>
        <w:numPr>
          <w:ilvl w:val="0"/>
          <w:numId w:val="399"/>
        </w:numPr>
        <w:rPr>
          <w:rFonts w:ascii="Arial" w:cs="Arial" w:eastAsia="Arial" w:hAnsi="Arial"/>
          <w:sz w:val="18"/>
          <w:szCs w:val="18"/>
          <w:color w:val="auto"/>
        </w:rPr>
      </w:pPr>
      <w:r>
        <w:rPr>
          <w:rFonts w:ascii="Arial" w:cs="Arial" w:eastAsia="Arial" w:hAnsi="Arial"/>
          <w:sz w:val="18"/>
          <w:szCs w:val="18"/>
          <w:color w:val="auto"/>
        </w:rPr>
        <w:t>Subject to clause 41.3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the Screen Rate, any amendment or waiver which relates to providing for the use of a Replacement Benchmark; and</w:t>
      </w:r>
    </w:p>
    <w:p>
      <w:pPr>
        <w:spacing w:after="0" w:line="164" w:lineRule="exact"/>
        <w:rPr>
          <w:rFonts w:ascii="Arial" w:cs="Arial" w:eastAsia="Arial" w:hAnsi="Arial"/>
          <w:sz w:val="18"/>
          <w:szCs w:val="18"/>
          <w:color w:val="auto"/>
        </w:rPr>
      </w:pPr>
    </w:p>
    <w:p>
      <w:pPr>
        <w:ind w:left="1540" w:hanging="511"/>
        <w:spacing w:after="0"/>
        <w:tabs>
          <w:tab w:leader="none" w:pos="154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198" w:lineRule="exact"/>
        <w:rPr>
          <w:rFonts w:ascii="Arial" w:cs="Arial" w:eastAsia="Arial" w:hAnsi="Arial"/>
          <w:sz w:val="18"/>
          <w:szCs w:val="18"/>
          <w:color w:val="auto"/>
        </w:rPr>
      </w:pPr>
    </w:p>
    <w:p>
      <w:pPr>
        <w:jc w:val="both"/>
        <w:ind w:left="1540" w:hanging="511"/>
        <w:spacing w:after="0"/>
        <w:tabs>
          <w:tab w:leader="none" w:pos="157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89" w:lineRule="exact"/>
        <w:rPr>
          <w:rFonts w:ascii="Arial" w:cs="Arial" w:eastAsia="Arial" w:hAnsi="Arial"/>
          <w:sz w:val="18"/>
          <w:szCs w:val="18"/>
          <w:color w:val="auto"/>
        </w:rPr>
      </w:pPr>
    </w:p>
    <w:p>
      <w:pPr>
        <w:ind w:left="1520" w:hanging="491"/>
        <w:spacing w:after="0"/>
        <w:tabs>
          <w:tab w:leader="none" w:pos="152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198" w:lineRule="exact"/>
        <w:rPr>
          <w:rFonts w:ascii="Arial" w:cs="Arial" w:eastAsia="Arial" w:hAnsi="Arial"/>
          <w:sz w:val="18"/>
          <w:szCs w:val="18"/>
          <w:color w:val="auto"/>
        </w:rPr>
      </w:pPr>
    </w:p>
    <w:p>
      <w:pPr>
        <w:jc w:val="both"/>
        <w:ind w:left="1540" w:hanging="511"/>
        <w:spacing w:after="0" w:line="238" w:lineRule="auto"/>
        <w:tabs>
          <w:tab w:leader="none" w:pos="1553"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or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9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Borrowers.</w:t>
      </w:r>
    </w:p>
    <w:p>
      <w:pPr>
        <w:spacing w:after="0" w:line="198" w:lineRule="exact"/>
        <w:rPr>
          <w:sz w:val="20"/>
          <w:szCs w:val="20"/>
          <w:color w:val="auto"/>
        </w:rPr>
      </w:pPr>
    </w:p>
    <w:p>
      <w:pPr>
        <w:ind w:left="1020" w:hanging="512"/>
        <w:spacing w:after="0"/>
        <w:tabs>
          <w:tab w:leader="none" w:pos="10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For the purposes of this clause 41.8, the following definitions shall have the following meanings:</w:t>
      </w:r>
    </w:p>
    <w:p>
      <w:pPr>
        <w:spacing w:after="0" w:line="176" w:lineRule="exact"/>
        <w:rPr>
          <w:rFonts w:ascii="Arial" w:cs="Arial" w:eastAsia="Arial" w:hAnsi="Arial"/>
          <w:sz w:val="18"/>
          <w:szCs w:val="18"/>
          <w:color w:val="auto"/>
        </w:rPr>
      </w:pPr>
    </w:p>
    <w:p>
      <w:pPr>
        <w:jc w:val="both"/>
        <w:ind w:left="102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 xml:space="preserve">Relevant Nominating Body </w:t>
      </w:r>
      <w:r>
        <w:rPr>
          <w:rFonts w:ascii="Arial" w:cs="Arial" w:eastAsia="Arial" w:hAnsi="Arial"/>
          <w:sz w:val="18"/>
          <w:szCs w:val="18"/>
          <w:color w:val="auto"/>
        </w:rPr>
        <w:t>means any applicable central bank, regulator or other supervisory authority or a group of them, or</w:t>
      </w:r>
      <w:r>
        <w:rPr>
          <w:rFonts w:ascii="Arial" w:cs="Arial" w:eastAsia="Arial" w:hAnsi="Arial"/>
          <w:sz w:val="18"/>
          <w:szCs w:val="18"/>
          <w:b w:val="1"/>
          <w:bCs w:val="1"/>
          <w:color w:val="auto"/>
        </w:rPr>
        <w:t xml:space="preserve"> </w:t>
      </w:r>
      <w:r>
        <w:rPr>
          <w:rFonts w:ascii="Arial" w:cs="Arial" w:eastAsia="Arial" w:hAnsi="Arial"/>
          <w:sz w:val="18"/>
          <w:szCs w:val="18"/>
          <w:color w:val="auto"/>
        </w:rPr>
        <w:t>any working group or committee sponsored or chaired by, or constituted at the request of, any of them or the Financial Stability Board.</w:t>
      </w:r>
    </w:p>
    <w:p>
      <w:pPr>
        <w:spacing w:after="0" w:line="15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Replacement Benchmark </w:t>
      </w:r>
      <w:r>
        <w:rPr>
          <w:rFonts w:ascii="Arial" w:cs="Arial" w:eastAsia="Arial" w:hAnsi="Arial"/>
          <w:sz w:val="18"/>
          <w:szCs w:val="18"/>
          <w:color w:val="auto"/>
        </w:rPr>
        <w:t>means a benchmark rate which is:</w:t>
      </w:r>
    </w:p>
    <w:p>
      <w:pPr>
        <w:spacing w:after="0" w:line="220" w:lineRule="exact"/>
        <w:rPr>
          <w:rFonts w:ascii="Arial" w:cs="Arial" w:eastAsia="Arial" w:hAnsi="Arial"/>
          <w:sz w:val="18"/>
          <w:szCs w:val="18"/>
          <w:color w:val="auto"/>
        </w:rPr>
      </w:pPr>
    </w:p>
    <w:p>
      <w:pPr>
        <w:ind w:left="1540" w:hanging="511"/>
        <w:spacing w:after="0"/>
        <w:tabs>
          <w:tab w:leader="none" w:pos="154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w:t>
      </w:r>
    </w:p>
    <w:p>
      <w:pPr>
        <w:spacing w:after="0" w:line="198" w:lineRule="exact"/>
        <w:rPr>
          <w:rFonts w:ascii="Arial" w:cs="Arial" w:eastAsia="Arial" w:hAnsi="Arial"/>
          <w:sz w:val="18"/>
          <w:szCs w:val="18"/>
          <w:color w:val="auto"/>
        </w:rPr>
      </w:pPr>
    </w:p>
    <w:p>
      <w:pPr>
        <w:ind w:left="2040" w:hanging="501"/>
        <w:spacing w:after="0"/>
        <w:tabs>
          <w:tab w:leader="none" w:pos="204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198" w:lineRule="exact"/>
        <w:rPr>
          <w:rFonts w:ascii="Arial" w:cs="Arial" w:eastAsia="Arial" w:hAnsi="Arial"/>
          <w:sz w:val="18"/>
          <w:szCs w:val="18"/>
          <w:color w:val="auto"/>
        </w:rPr>
      </w:pPr>
    </w:p>
    <w:p>
      <w:pPr>
        <w:ind w:left="2040" w:hanging="501"/>
        <w:spacing w:after="0"/>
        <w:tabs>
          <w:tab w:leader="none" w:pos="204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198" w:lineRule="exact"/>
        <w:rPr>
          <w:sz w:val="20"/>
          <w:szCs w:val="20"/>
          <w:color w:val="auto"/>
        </w:rPr>
      </w:pPr>
    </w:p>
    <w:p>
      <w:pPr>
        <w:ind w:left="1540"/>
        <w:spacing w:after="0" w:line="246"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 above;</w:t>
      </w:r>
    </w:p>
    <w:p>
      <w:pPr>
        <w:spacing w:after="0" w:line="183" w:lineRule="exact"/>
        <w:rPr>
          <w:sz w:val="20"/>
          <w:szCs w:val="20"/>
          <w:color w:val="auto"/>
        </w:rPr>
      </w:pPr>
    </w:p>
    <w:p>
      <w:pPr>
        <w:ind w:left="1540" w:right="20" w:hanging="511"/>
        <w:spacing w:after="0" w:line="246" w:lineRule="auto"/>
        <w:tabs>
          <w:tab w:leader="none" w:pos="156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generally accepted in the international or any relevant domestic syndicated loan markets as the appropriate successor to the Screen Rate; or</w:t>
      </w:r>
    </w:p>
    <w:p>
      <w:pPr>
        <w:spacing w:after="0" w:line="183" w:lineRule="exact"/>
        <w:rPr>
          <w:rFonts w:ascii="Arial" w:cs="Arial" w:eastAsia="Arial" w:hAnsi="Arial"/>
          <w:sz w:val="18"/>
          <w:szCs w:val="18"/>
          <w:color w:val="auto"/>
        </w:rPr>
      </w:pPr>
    </w:p>
    <w:p>
      <w:pPr>
        <w:ind w:left="1540" w:hanging="511"/>
        <w:spacing w:after="0"/>
        <w:tabs>
          <w:tab w:leader="none" w:pos="15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an appropriate successor to the Screen Rate.</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Screen Rate Replacement Event </w:t>
      </w:r>
      <w:r>
        <w:rPr>
          <w:rFonts w:ascii="Arial" w:cs="Arial" w:eastAsia="Arial" w:hAnsi="Arial"/>
          <w:sz w:val="18"/>
          <w:szCs w:val="18"/>
          <w:color w:val="auto"/>
        </w:rPr>
        <w:t>means, in relation to the Screen Rate: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0" w:name="page161"/>
    <w:bookmarkEnd w:id="160"/>
    <w:p>
      <w:pPr>
        <w:ind w:left="1540" w:hanging="511"/>
        <w:spacing w:after="0" w:line="246" w:lineRule="auto"/>
        <w:tabs>
          <w:tab w:leader="none" w:pos="156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Borrowers, materially changed; or</w:t>
      </w:r>
    </w:p>
    <w:p>
      <w:pPr>
        <w:spacing w:after="0" w:line="18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w:t>
      </w:r>
    </w:p>
    <w:p>
      <w:pPr>
        <w:spacing w:after="0" w:line="198" w:lineRule="exact"/>
        <w:rPr>
          <w:sz w:val="20"/>
          <w:szCs w:val="20"/>
          <w:color w:val="auto"/>
        </w:rPr>
      </w:pPr>
    </w:p>
    <w:p>
      <w:pPr>
        <w:ind w:left="2560" w:hanging="511"/>
        <w:spacing w:after="0" w:line="246" w:lineRule="auto"/>
        <w:tabs>
          <w:tab w:leader="none" w:pos="281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183" w:lineRule="exact"/>
        <w:rPr>
          <w:rFonts w:ascii="Arial" w:cs="Arial" w:eastAsia="Arial" w:hAnsi="Arial"/>
          <w:sz w:val="18"/>
          <w:szCs w:val="18"/>
          <w:color w:val="auto"/>
        </w:rPr>
      </w:pPr>
    </w:p>
    <w:p>
      <w:pPr>
        <w:jc w:val="both"/>
        <w:ind w:left="2560" w:hanging="511"/>
        <w:spacing w:after="0"/>
        <w:tabs>
          <w:tab w:leader="none" w:pos="265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89" w:lineRule="exact"/>
        <w:rPr>
          <w:sz w:val="20"/>
          <w:szCs w:val="20"/>
          <w:color w:val="auto"/>
        </w:rPr>
      </w:pPr>
    </w:p>
    <w:p>
      <w:pPr>
        <w:ind w:left="2040"/>
        <w:spacing w:after="0" w:line="246" w:lineRule="auto"/>
        <w:rPr>
          <w:sz w:val="20"/>
          <w:szCs w:val="20"/>
          <w:color w:val="auto"/>
        </w:rPr>
      </w:pPr>
      <w:r>
        <w:rPr>
          <w:rFonts w:ascii="Arial" w:cs="Arial" w:eastAsia="Arial" w:hAnsi="Arial"/>
          <w:sz w:val="18"/>
          <w:szCs w:val="18"/>
          <w:color w:val="auto"/>
        </w:rPr>
        <w:t>provided that, in each case, at that time, there is no successor administrator to continue to provide that Screen Rate; or</w:t>
      </w:r>
    </w:p>
    <w:p>
      <w:pPr>
        <w:spacing w:after="0" w:line="183" w:lineRule="exact"/>
        <w:rPr>
          <w:sz w:val="20"/>
          <w:szCs w:val="20"/>
          <w:color w:val="auto"/>
        </w:rPr>
      </w:pPr>
    </w:p>
    <w:p>
      <w:pPr>
        <w:jc w:val="both"/>
        <w:ind w:left="2040" w:hanging="501"/>
        <w:spacing w:after="0"/>
        <w:tabs>
          <w:tab w:leader="none" w:pos="210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spacing w:after="0" w:line="189" w:lineRule="exact"/>
        <w:rPr>
          <w:rFonts w:ascii="Arial" w:cs="Arial" w:eastAsia="Arial" w:hAnsi="Arial"/>
          <w:sz w:val="18"/>
          <w:szCs w:val="18"/>
          <w:color w:val="auto"/>
        </w:rPr>
      </w:pPr>
    </w:p>
    <w:p>
      <w:pPr>
        <w:ind w:left="2040" w:hanging="501"/>
        <w:spacing w:after="0" w:line="246" w:lineRule="auto"/>
        <w:tabs>
          <w:tab w:leader="none" w:pos="2031"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the Screen Rate has been or will be permanently or indefinitely discontinued; or</w:t>
      </w:r>
    </w:p>
    <w:p>
      <w:pPr>
        <w:spacing w:after="0" w:line="183" w:lineRule="exact"/>
        <w:rPr>
          <w:rFonts w:ascii="Arial" w:cs="Arial" w:eastAsia="Arial" w:hAnsi="Arial"/>
          <w:sz w:val="18"/>
          <w:szCs w:val="18"/>
          <w:color w:val="auto"/>
        </w:rPr>
      </w:pPr>
    </w:p>
    <w:p>
      <w:pPr>
        <w:ind w:left="2040" w:hanging="501"/>
        <w:spacing w:after="0"/>
        <w:tabs>
          <w:tab w:leader="none" w:pos="204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198" w:lineRule="exact"/>
        <w:rPr>
          <w:rFonts w:ascii="Arial" w:cs="Arial" w:eastAsia="Arial" w:hAnsi="Arial"/>
          <w:sz w:val="18"/>
          <w:szCs w:val="18"/>
          <w:color w:val="auto"/>
        </w:rPr>
      </w:pPr>
    </w:p>
    <w:p>
      <w:pPr>
        <w:ind w:left="1540" w:hanging="511"/>
        <w:spacing w:after="0" w:line="246" w:lineRule="auto"/>
        <w:tabs>
          <w:tab w:leader="none" w:pos="1539"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administrator of the Screen Rate determines that the Screen Rate should be calculated in accordance with its reduced submissions or other contingency or fallback policies or arrangements and either:</w:t>
      </w:r>
    </w:p>
    <w:p>
      <w:pPr>
        <w:spacing w:after="0" w:line="183" w:lineRule="exact"/>
        <w:rPr>
          <w:rFonts w:ascii="Arial" w:cs="Arial" w:eastAsia="Arial" w:hAnsi="Arial"/>
          <w:sz w:val="18"/>
          <w:szCs w:val="18"/>
          <w:color w:val="auto"/>
        </w:rPr>
      </w:pPr>
    </w:p>
    <w:p>
      <w:pPr>
        <w:ind w:left="2040" w:hanging="501"/>
        <w:spacing w:after="0" w:line="246" w:lineRule="auto"/>
        <w:tabs>
          <w:tab w:leader="none" w:pos="2122"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Borrowers) temporary; or</w:t>
      </w:r>
    </w:p>
    <w:p>
      <w:pPr>
        <w:spacing w:after="0" w:line="183" w:lineRule="exact"/>
        <w:rPr>
          <w:rFonts w:ascii="Arial" w:cs="Arial" w:eastAsia="Arial" w:hAnsi="Arial"/>
          <w:sz w:val="18"/>
          <w:szCs w:val="18"/>
          <w:color w:val="auto"/>
        </w:rPr>
      </w:pPr>
    </w:p>
    <w:p>
      <w:pPr>
        <w:ind w:left="2040" w:hanging="501"/>
        <w:spacing w:after="0" w:line="246" w:lineRule="auto"/>
        <w:tabs>
          <w:tab w:leader="none" w:pos="2143" w:val="left"/>
        </w:tabs>
        <w:numPr>
          <w:ilvl w:val="1"/>
          <w:numId w:val="405"/>
        </w:numPr>
        <w:rPr>
          <w:rFonts w:ascii="Arial" w:cs="Arial" w:eastAsia="Arial" w:hAnsi="Arial"/>
          <w:sz w:val="18"/>
          <w:szCs w:val="18"/>
          <w:color w:val="auto"/>
        </w:rPr>
      </w:pPr>
      <w:r>
        <w:rPr>
          <w:rFonts w:ascii="Arial" w:cs="Arial" w:eastAsia="Arial" w:hAnsi="Arial"/>
          <w:sz w:val="18"/>
          <w:szCs w:val="18"/>
          <w:color w:val="auto"/>
        </w:rPr>
        <w:t>that Screen Rate is calculated in accordance with any such policy or arrangement for a period no less than 15 Business Days; or</w:t>
      </w:r>
    </w:p>
    <w:p>
      <w:pPr>
        <w:spacing w:after="0" w:line="183" w:lineRule="exact"/>
        <w:rPr>
          <w:rFonts w:ascii="Arial" w:cs="Arial" w:eastAsia="Arial" w:hAnsi="Arial"/>
          <w:sz w:val="18"/>
          <w:szCs w:val="18"/>
          <w:color w:val="auto"/>
        </w:rPr>
      </w:pPr>
    </w:p>
    <w:p>
      <w:pPr>
        <w:ind w:left="1540" w:hanging="511"/>
        <w:spacing w:after="0" w:line="246" w:lineRule="auto"/>
        <w:tabs>
          <w:tab w:leader="none" w:pos="1669"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the Screen Rate is otherwise no longer appropriate for the purposes of calculating interest under this Agreement.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41.9</w:t>
      </w:r>
      <w:r>
        <w:rPr>
          <w:sz w:val="20"/>
          <w:szCs w:val="20"/>
          <w:color w:val="auto"/>
        </w:rPr>
        <w:tab/>
      </w:r>
      <w:r>
        <w:rPr>
          <w:rFonts w:ascii="Arial" w:cs="Arial" w:eastAsia="Arial" w:hAnsi="Arial"/>
          <w:sz w:val="17"/>
          <w:szCs w:val="17"/>
          <w:b w:val="1"/>
          <w:bCs w:val="1"/>
          <w:color w:val="auto"/>
        </w:rPr>
        <w:t>Modification and/or discontinuation of certain benchmarks</w:t>
      </w:r>
    </w:p>
    <w:p>
      <w:pPr>
        <w:spacing w:after="0" w:line="202" w:lineRule="exact"/>
        <w:rPr>
          <w:sz w:val="20"/>
          <w:szCs w:val="20"/>
          <w:color w:val="auto"/>
        </w:rPr>
      </w:pPr>
    </w:p>
    <w:p>
      <w:pPr>
        <w:jc w:val="both"/>
        <w:ind w:left="1020" w:hanging="512"/>
        <w:spacing w:after="0" w:line="250" w:lineRule="auto"/>
        <w:tabs>
          <w:tab w:leader="none" w:pos="1129" w:val="left"/>
        </w:tabs>
        <w:numPr>
          <w:ilvl w:val="0"/>
          <w:numId w:val="406"/>
        </w:numPr>
        <w:rPr>
          <w:rFonts w:ascii="Arial" w:cs="Arial" w:eastAsia="Arial" w:hAnsi="Arial"/>
          <w:sz w:val="18"/>
          <w:szCs w:val="18"/>
          <w:color w:val="auto"/>
        </w:rPr>
      </w:pPr>
      <w:r>
        <w:rPr>
          <w:rFonts w:ascii="Arial" w:cs="Arial" w:eastAsia="Arial" w:hAnsi="Arial"/>
          <w:sz w:val="18"/>
          <w:szCs w:val="18"/>
          <w:color w:val="auto"/>
        </w:rPr>
        <w:t>Without prejudice to any other provisions of this Agreement (including in particular clause 10 (</w:t>
      </w:r>
      <w:r>
        <w:rPr>
          <w:rFonts w:ascii="Arial" w:cs="Arial" w:eastAsia="Arial" w:hAnsi="Arial"/>
          <w:sz w:val="18"/>
          <w:szCs w:val="18"/>
          <w:i w:val="1"/>
          <w:iCs w:val="1"/>
          <w:color w:val="auto"/>
        </w:rPr>
        <w:t>Changes to the calculation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color w:val="auto"/>
        </w:rPr>
        <w:t>) and clause 41.8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 each Party acknowledges and agrees to the benefit of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that:</w:t>
      </w:r>
    </w:p>
    <w:p>
      <w:pPr>
        <w:spacing w:after="0" w:line="181" w:lineRule="exact"/>
        <w:rPr>
          <w:rFonts w:ascii="Arial" w:cs="Arial" w:eastAsia="Arial" w:hAnsi="Arial"/>
          <w:sz w:val="18"/>
          <w:szCs w:val="18"/>
          <w:color w:val="auto"/>
        </w:rPr>
      </w:pPr>
    </w:p>
    <w:p>
      <w:pPr>
        <w:jc w:val="both"/>
        <w:ind w:left="1540" w:hanging="511"/>
        <w:spacing w:after="0"/>
        <w:tabs>
          <w:tab w:leader="none" w:pos="1539" w:val="left"/>
        </w:tabs>
        <w:numPr>
          <w:ilvl w:val="1"/>
          <w:numId w:val="406"/>
        </w:numPr>
        <w:rPr>
          <w:rFonts w:ascii="Arial" w:cs="Arial" w:eastAsia="Arial" w:hAnsi="Arial"/>
          <w:sz w:val="18"/>
          <w:szCs w:val="18"/>
          <w:color w:val="auto"/>
        </w:rPr>
      </w:pPr>
      <w:r>
        <w:rPr>
          <w:rFonts w:ascii="Arial" w:cs="Arial" w:eastAsia="Arial" w:hAnsi="Arial"/>
          <w:sz w:val="18"/>
          <w:szCs w:val="18"/>
          <w:color w:val="auto"/>
        </w:rPr>
        <w:t>LIBOR benchmarks and other benchmarks used in this Agreement (1) may be subject to methodological or other changes which could affect their value, (2) may not comply with applicable laws and regulations and/or (3) may be permanently discontinued (in particular LIBOR which may be phased out after 2021); and</w:t>
      </w:r>
    </w:p>
    <w:p>
      <w:pPr>
        <w:spacing w:after="0" w:line="189" w:lineRule="exact"/>
        <w:rPr>
          <w:rFonts w:ascii="Arial" w:cs="Arial" w:eastAsia="Arial" w:hAnsi="Arial"/>
          <w:sz w:val="18"/>
          <w:szCs w:val="18"/>
          <w:color w:val="auto"/>
        </w:rPr>
      </w:pPr>
    </w:p>
    <w:p>
      <w:pPr>
        <w:jc w:val="both"/>
        <w:ind w:left="1540" w:hanging="511"/>
        <w:spacing w:after="0"/>
        <w:tabs>
          <w:tab w:leader="none" w:pos="171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occurrence of any of the aforementioned events and/or a Screen Rate Replacement Event may have adverse consequences which may materially impact the economics of the financing transaction contemplated under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1" w:name="page162"/>
    <w:bookmarkEnd w:id="161"/>
    <w:p>
      <w:pPr>
        <w:jc w:val="both"/>
        <w:ind w:left="1020" w:hanging="512"/>
        <w:spacing w:after="0" w:line="237" w:lineRule="auto"/>
        <w:tabs>
          <w:tab w:leader="none" w:pos="103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Parties further acknowledge that if any of the aforementioned events and/or a Screen Rate Replacement Event (as defined in clause 41.8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 is forthcoming, they shall enter into negotiations with a view to agreeing the necessary changes to this Agreement in order to preserve the economics of the financing transaction contemplated therein and, in particular, the Margin initially agreed between the Parties. Such negotiations shall be carried out by each Party in good faith and in consideration of the then prevailing market practice (without prejudice to the particularities, as the case may be, of the transaction).</w:t>
      </w:r>
    </w:p>
    <w:p>
      <w:pPr>
        <w:spacing w:after="0" w:line="159"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1"/>
          <w:szCs w:val="21"/>
          <w:b w:val="1"/>
          <w:bCs w:val="1"/>
          <w:color w:val="auto"/>
        </w:rPr>
        <w:t>Counterparts</w:t>
      </w:r>
    </w:p>
    <w:p>
      <w:pPr>
        <w:spacing w:after="0" w:line="224"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52"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1"/>
          <w:szCs w:val="21"/>
          <w:b w:val="1"/>
          <w:bCs w:val="1"/>
          <w:color w:val="auto"/>
        </w:rPr>
        <w:t>Confidentiality</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Confidential Information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43.2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43.3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 To the extent that Confidential Information comprises personal information of any officer, director or employee of an Obligor, each Finance Party agrees to hold that personal information in accordance with applicable privacy laws.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Disclosure of Confidential Information</w:t>
      </w:r>
    </w:p>
    <w:p>
      <w:pPr>
        <w:spacing w:after="0" w:line="220" w:lineRule="exact"/>
        <w:rPr>
          <w:sz w:val="20"/>
          <w:szCs w:val="20"/>
          <w:color w:val="auto"/>
        </w:rPr>
      </w:pPr>
    </w:p>
    <w:p>
      <w:pPr>
        <w:jc w:val="both"/>
        <w:ind w:left="1020" w:hanging="512"/>
        <w:spacing w:after="0" w:line="236" w:lineRule="auto"/>
        <w:tabs>
          <w:tab w:leader="none" w:pos="101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Finance Party and any of that Finance Party’s Affiliates may disclose to any of its Affiliates and Related Funds and any of its or their officers, directors, employees, professional and other advisers, auditors, partners and Representatives and to any of their insurers, reinsurers, insurance brokers and their own officers, partners, employees, Affiliates, professional or other advisers or Representatives (irrespective of whether such party is located in the jurisdiction where a Finance Party is located)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93" w:lineRule="exact"/>
        <w:rPr>
          <w:rFonts w:ascii="Arial" w:cs="Arial" w:eastAsia="Arial" w:hAnsi="Arial"/>
          <w:sz w:val="18"/>
          <w:szCs w:val="18"/>
          <w:color w:val="auto"/>
        </w:rPr>
      </w:pPr>
    </w:p>
    <w:p>
      <w:pPr>
        <w:ind w:left="1020" w:hanging="512"/>
        <w:spacing w:after="0"/>
        <w:tabs>
          <w:tab w:leader="none" w:pos="10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Finance Party and any of that Finance Party’s Affiliates may disclose to any person:</w:t>
      </w:r>
    </w:p>
    <w:p>
      <w:pPr>
        <w:spacing w:after="0" w:line="198" w:lineRule="exact"/>
        <w:rPr>
          <w:rFonts w:ascii="Arial" w:cs="Arial" w:eastAsia="Arial" w:hAnsi="Arial"/>
          <w:sz w:val="18"/>
          <w:szCs w:val="18"/>
          <w:color w:val="auto"/>
        </w:rPr>
      </w:pPr>
    </w:p>
    <w:p>
      <w:pPr>
        <w:jc w:val="both"/>
        <w:ind w:left="1540" w:hanging="511"/>
        <w:spacing w:after="0"/>
        <w:tabs>
          <w:tab w:leader="none" w:pos="156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or Security Agent, and, in each case, to any of that person’s Affiliates, Related Funds, Representatives and professional advisers;</w:t>
      </w:r>
    </w:p>
    <w:p>
      <w:pPr>
        <w:spacing w:after="0" w:line="189" w:lineRule="exact"/>
        <w:rPr>
          <w:rFonts w:ascii="Arial" w:cs="Arial" w:eastAsia="Arial" w:hAnsi="Arial"/>
          <w:sz w:val="18"/>
          <w:szCs w:val="18"/>
          <w:color w:val="auto"/>
        </w:rPr>
      </w:pPr>
    </w:p>
    <w:p>
      <w:pPr>
        <w:jc w:val="both"/>
        <w:ind w:left="1540" w:hanging="511"/>
        <w:spacing w:after="0" w:line="238" w:lineRule="auto"/>
        <w:tabs>
          <w:tab w:leader="none" w:pos="157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(including derivative market participants) and/or one or more Obligors and to any of that person’s Affiliates, Related Funds, Representatives, professional advisers and actual or potential credit protection providers;</w:t>
      </w:r>
    </w:p>
    <w:p>
      <w:pPr>
        <w:spacing w:after="0" w:line="186" w:lineRule="exact"/>
        <w:rPr>
          <w:rFonts w:ascii="Arial" w:cs="Arial" w:eastAsia="Arial" w:hAnsi="Arial"/>
          <w:sz w:val="18"/>
          <w:szCs w:val="18"/>
          <w:color w:val="auto"/>
        </w:rPr>
      </w:pPr>
    </w:p>
    <w:p>
      <w:pPr>
        <w:ind w:left="1580" w:hanging="551"/>
        <w:spacing w:after="0"/>
        <w:tabs>
          <w:tab w:leader="none" w:pos="15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appointed by any Finance Party or any of that Finance Party’s Affiliates or by a person to whom paragraphs (b)(i) or (b)</w:t>
      </w:r>
    </w:p>
    <w:p>
      <w:pPr>
        <w:ind w:left="1540" w:hanging="1"/>
        <w:spacing w:after="0" w:line="246" w:lineRule="auto"/>
        <w:tabs>
          <w:tab w:leader="none" w:pos="1835" w:val="left"/>
        </w:tabs>
        <w:numPr>
          <w:ilvl w:val="2"/>
          <w:numId w:val="408"/>
        </w:numPr>
        <w:rPr>
          <w:rFonts w:ascii="Arial" w:cs="Arial" w:eastAsia="Arial" w:hAnsi="Arial"/>
          <w:sz w:val="18"/>
          <w:szCs w:val="18"/>
          <w:color w:val="auto"/>
        </w:rPr>
      </w:pPr>
      <w:r>
        <w:rPr>
          <w:rFonts w:ascii="Arial" w:cs="Arial" w:eastAsia="Arial" w:hAnsi="Arial"/>
          <w:sz w:val="18"/>
          <w:szCs w:val="18"/>
          <w:color w:val="auto"/>
        </w:rPr>
        <w:t>above applies to receive communications, notices, information or documents delivered pursuant to the Finance Documents 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2" w:name="page163"/>
    <w:bookmarkEnd w:id="162"/>
    <w:p>
      <w:pPr>
        <w:ind w:left="1040"/>
        <w:spacing w:after="0" w:line="267" w:lineRule="auto"/>
        <w:rPr>
          <w:sz w:val="20"/>
          <w:szCs w:val="20"/>
          <w:color w:val="auto"/>
        </w:rPr>
      </w:pPr>
      <w:r>
        <w:rPr>
          <w:rFonts w:ascii="Arial" w:cs="Arial" w:eastAsia="Arial" w:hAnsi="Arial"/>
          <w:sz w:val="18"/>
          <w:szCs w:val="18"/>
          <w:color w:val="auto"/>
        </w:rPr>
        <w:t>its behalf (including, without limitation, any person appointed under paragraph (c) of clause 32.15 (</w:t>
      </w:r>
      <w:r>
        <w:rPr>
          <w:rFonts w:ascii="Arial" w:cs="Arial" w:eastAsia="Arial" w:hAnsi="Arial"/>
          <w:sz w:val="18"/>
          <w:szCs w:val="18"/>
          <w:i w:val="1"/>
          <w:iCs w:val="1"/>
          <w:color w:val="auto"/>
        </w:rPr>
        <w:t>Relationship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65" w:lineRule="exact"/>
        <w:rPr>
          <w:sz w:val="20"/>
          <w:szCs w:val="20"/>
          <w:color w:val="auto"/>
        </w:rPr>
      </w:pPr>
    </w:p>
    <w:p>
      <w:pPr>
        <w:ind w:left="1040" w:hanging="511"/>
        <w:spacing w:after="0" w:line="246" w:lineRule="auto"/>
        <w:tabs>
          <w:tab w:leader="none" w:pos="108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appointed by any Finance Party or any of that Finance Party’s Affiliates or by a person to whom paragraph (b)(ii) above applies to act as a verification agent in respect of any transaction referred to in paragraph (b)(ii) above;</w:t>
      </w:r>
    </w:p>
    <w:p>
      <w:pPr>
        <w:spacing w:after="0" w:line="183" w:lineRule="exact"/>
        <w:rPr>
          <w:rFonts w:ascii="Arial" w:cs="Arial" w:eastAsia="Arial" w:hAnsi="Arial"/>
          <w:sz w:val="18"/>
          <w:szCs w:val="18"/>
          <w:color w:val="auto"/>
        </w:rPr>
      </w:pPr>
    </w:p>
    <w:p>
      <w:pPr>
        <w:ind w:left="1040" w:hanging="511"/>
        <w:spacing w:after="0" w:line="246" w:lineRule="auto"/>
        <w:tabs>
          <w:tab w:leader="none" w:pos="126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paragraphs (b)(i) or (b)(ii) above;</w:t>
      </w:r>
    </w:p>
    <w:p>
      <w:pPr>
        <w:spacing w:after="0" w:line="183" w:lineRule="exact"/>
        <w:rPr>
          <w:rFonts w:ascii="Arial" w:cs="Arial" w:eastAsia="Arial" w:hAnsi="Arial"/>
          <w:sz w:val="18"/>
          <w:szCs w:val="18"/>
          <w:color w:val="auto"/>
        </w:rPr>
      </w:pPr>
    </w:p>
    <w:p>
      <w:pPr>
        <w:jc w:val="both"/>
        <w:ind w:left="1040" w:hanging="511"/>
        <w:spacing w:after="0"/>
        <w:tabs>
          <w:tab w:leader="none" w:pos="105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tribunal or any governmental, banking, taxation or other regulatory authority or similar body, the rules of any relevant stock exchange or pursuant to any applicable law or regulation;</w:t>
      </w:r>
    </w:p>
    <w:p>
      <w:pPr>
        <w:spacing w:after="0" w:line="189" w:lineRule="exact"/>
        <w:rPr>
          <w:rFonts w:ascii="Arial" w:cs="Arial" w:eastAsia="Arial" w:hAnsi="Arial"/>
          <w:sz w:val="18"/>
          <w:szCs w:val="18"/>
          <w:color w:val="auto"/>
        </w:rPr>
      </w:pPr>
    </w:p>
    <w:p>
      <w:pPr>
        <w:ind w:left="1040" w:right="20" w:hanging="511"/>
        <w:spacing w:after="0" w:line="246" w:lineRule="auto"/>
        <w:tabs>
          <w:tab w:leader="none" w:pos="11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83" w:lineRule="exact"/>
        <w:rPr>
          <w:rFonts w:ascii="Arial" w:cs="Arial" w:eastAsia="Arial" w:hAnsi="Arial"/>
          <w:sz w:val="18"/>
          <w:szCs w:val="18"/>
          <w:color w:val="auto"/>
        </w:rPr>
      </w:pPr>
    </w:p>
    <w:p>
      <w:pPr>
        <w:ind w:left="1040" w:hanging="511"/>
        <w:spacing w:after="0" w:line="246" w:lineRule="auto"/>
        <w:tabs>
          <w:tab w:leader="none" w:pos="108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30.7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20" w:hanging="491"/>
        <w:spacing w:after="0"/>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198" w:lineRule="exact"/>
        <w:rPr>
          <w:rFonts w:ascii="Arial" w:cs="Arial" w:eastAsia="Arial" w:hAnsi="Arial"/>
          <w:sz w:val="18"/>
          <w:szCs w:val="18"/>
          <w:color w:val="auto"/>
        </w:rPr>
      </w:pPr>
    </w:p>
    <w:p>
      <w:pPr>
        <w:ind w:left="1040" w:hanging="511"/>
        <w:spacing w:after="0"/>
        <w:tabs>
          <w:tab w:leader="none" w:pos="10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with the consent of the Borrowers,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98" w:lineRule="exact"/>
        <w:rPr>
          <w:sz w:val="20"/>
          <w:szCs w:val="20"/>
          <w:color w:val="auto"/>
        </w:rPr>
      </w:pPr>
    </w:p>
    <w:p>
      <w:pPr>
        <w:jc w:val="both"/>
        <w:ind w:left="1540" w:hanging="501"/>
        <w:spacing w:after="0" w:line="238" w:lineRule="auto"/>
        <w:tabs>
          <w:tab w:leader="none" w:pos="1619"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in relation to paragraphs (b)(i), (b)(ii), (b)(iii) and (b)(iv)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91" w:lineRule="exact"/>
        <w:rPr>
          <w:rFonts w:ascii="Arial" w:cs="Arial" w:eastAsia="Arial" w:hAnsi="Arial"/>
          <w:sz w:val="18"/>
          <w:szCs w:val="18"/>
          <w:color w:val="auto"/>
        </w:rPr>
      </w:pPr>
    </w:p>
    <w:p>
      <w:pPr>
        <w:jc w:val="both"/>
        <w:ind w:left="1540" w:hanging="501"/>
        <w:spacing w:after="0" w:line="238" w:lineRule="auto"/>
        <w:tabs>
          <w:tab w:leader="none" w:pos="163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in relation to paragraph (b)(v)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and</w:t>
      </w:r>
    </w:p>
    <w:p>
      <w:pPr>
        <w:spacing w:after="0" w:line="191" w:lineRule="exact"/>
        <w:rPr>
          <w:rFonts w:ascii="Arial" w:cs="Arial" w:eastAsia="Arial" w:hAnsi="Arial"/>
          <w:sz w:val="18"/>
          <w:szCs w:val="18"/>
          <w:color w:val="auto"/>
        </w:rPr>
      </w:pPr>
    </w:p>
    <w:p>
      <w:pPr>
        <w:jc w:val="both"/>
        <w:ind w:left="1540" w:hanging="501"/>
        <w:spacing w:after="0" w:line="238" w:lineRule="auto"/>
        <w:tabs>
          <w:tab w:leader="none" w:pos="1586"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in relation to paragraphs (b)(vi), (b)(vii) and (b)(viii)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91" w:lineRule="exact"/>
        <w:rPr>
          <w:rFonts w:ascii="Arial" w:cs="Arial" w:eastAsia="Arial" w:hAnsi="Arial"/>
          <w:sz w:val="18"/>
          <w:szCs w:val="18"/>
          <w:color w:val="auto"/>
        </w:rPr>
      </w:pPr>
    </w:p>
    <w:p>
      <w:pPr>
        <w:jc w:val="both"/>
        <w:ind w:left="520" w:hanging="512"/>
        <w:spacing w:after="0" w:line="237" w:lineRule="auto"/>
        <w:tabs>
          <w:tab w:leader="none" w:pos="51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Any Finance Party and any of that Finance Party’s Affiliates may disclose to any person appointed by that Finance Party or by a person to whom paragraphs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23" w:right="339" w:bottom="1440" w:gutter="0" w:footer="0" w:header="0"/>
        </w:sectPr>
      </w:pPr>
    </w:p>
    <w:bookmarkStart w:id="163" w:name="page164"/>
    <w:bookmarkEnd w:id="163"/>
    <w:p>
      <w:pPr>
        <w:ind w:left="1040"/>
        <w:spacing w:after="0"/>
        <w:rPr>
          <w:sz w:val="20"/>
          <w:szCs w:val="20"/>
          <w:color w:val="auto"/>
        </w:rPr>
      </w:pPr>
      <w:r>
        <w:rPr>
          <w:rFonts w:ascii="Arial" w:cs="Arial" w:eastAsia="Arial" w:hAnsi="Arial"/>
          <w:sz w:val="18"/>
          <w:szCs w:val="18"/>
          <w:color w:val="auto"/>
        </w:rPr>
        <w:t>such other form of confidentiality undertaking agreed between the Borrowers and the relevant Finance Party.</w:t>
      </w:r>
    </w:p>
    <w:p>
      <w:pPr>
        <w:spacing w:after="0" w:line="198" w:lineRule="exact"/>
        <w:rPr>
          <w:sz w:val="20"/>
          <w:szCs w:val="20"/>
          <w:color w:val="auto"/>
        </w:rPr>
      </w:pPr>
    </w:p>
    <w:p>
      <w:pPr>
        <w:jc w:val="both"/>
        <w:ind w:left="1020" w:hanging="512"/>
        <w:spacing w:after="0" w:line="238" w:lineRule="auto"/>
        <w:tabs>
          <w:tab w:leader="none" w:pos="117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Any Finance Party and any of that Finance Party’s Affiliates may disclose 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Disclosure to numbering service providers</w:t>
      </w:r>
    </w:p>
    <w:p>
      <w:pPr>
        <w:spacing w:after="0" w:line="220" w:lineRule="exact"/>
        <w:rPr>
          <w:sz w:val="20"/>
          <w:szCs w:val="20"/>
          <w:color w:val="auto"/>
        </w:rPr>
      </w:pPr>
    </w:p>
    <w:p>
      <w:pPr>
        <w:jc w:val="both"/>
        <w:ind w:left="1020" w:hanging="512"/>
        <w:spacing w:after="0"/>
        <w:tabs>
          <w:tab w:leader="none" w:pos="105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spacing w:after="0" w:line="189" w:lineRule="exact"/>
        <w:rPr>
          <w:rFonts w:ascii="Arial" w:cs="Arial" w:eastAsia="Arial" w:hAnsi="Arial"/>
          <w:sz w:val="18"/>
          <w:szCs w:val="18"/>
          <w:color w:val="auto"/>
        </w:rPr>
      </w:pPr>
    </w:p>
    <w:p>
      <w:pPr>
        <w:ind w:left="1540" w:hanging="511"/>
        <w:spacing w:after="0"/>
        <w:tabs>
          <w:tab w:leader="none" w:pos="15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180" w:lineRule="exact"/>
        <w:rPr>
          <w:rFonts w:ascii="Arial" w:cs="Arial" w:eastAsia="Arial" w:hAnsi="Arial"/>
          <w:sz w:val="18"/>
          <w:szCs w:val="18"/>
          <w:color w:val="auto"/>
        </w:rPr>
      </w:pPr>
    </w:p>
    <w:p>
      <w:pPr>
        <w:ind w:left="1540" w:hanging="511"/>
        <w:spacing w:after="0"/>
        <w:tabs>
          <w:tab w:leader="none" w:pos="15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clause 44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198" w:lineRule="exact"/>
        <w:rPr>
          <w:rFonts w:ascii="Arial" w:cs="Arial" w:eastAsia="Arial" w:hAnsi="Arial"/>
          <w:sz w:val="18"/>
          <w:szCs w:val="18"/>
          <w:color w:val="auto"/>
        </w:rPr>
      </w:pPr>
    </w:p>
    <w:p>
      <w:pPr>
        <w:ind w:left="1580" w:hanging="551"/>
        <w:spacing w:after="0"/>
        <w:tabs>
          <w:tab w:leader="none" w:pos="158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currency of the Facilities;</w:t>
      </w:r>
    </w:p>
    <w:p>
      <w:pPr>
        <w:spacing w:after="0" w:line="198" w:lineRule="exact"/>
        <w:rPr>
          <w:rFonts w:ascii="Arial" w:cs="Arial" w:eastAsia="Arial" w:hAnsi="Arial"/>
          <w:sz w:val="18"/>
          <w:szCs w:val="18"/>
          <w:color w:val="auto"/>
        </w:rPr>
      </w:pPr>
    </w:p>
    <w:p>
      <w:pPr>
        <w:ind w:left="1540" w:hanging="511"/>
        <w:spacing w:after="0"/>
        <w:tabs>
          <w:tab w:leader="none" w:pos="15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type of the Facilities;</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ranking of the Facilities;</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term of the Facilities;</w:t>
      </w:r>
    </w:p>
    <w:p>
      <w:pPr>
        <w:spacing w:after="0" w:line="198" w:lineRule="exact"/>
        <w:rPr>
          <w:rFonts w:ascii="Arial" w:cs="Arial" w:eastAsia="Arial" w:hAnsi="Arial"/>
          <w:sz w:val="18"/>
          <w:szCs w:val="18"/>
          <w:color w:val="auto"/>
        </w:rPr>
      </w:pPr>
    </w:p>
    <w:p>
      <w:pPr>
        <w:ind w:left="1560" w:hanging="531"/>
        <w:spacing w:after="0"/>
        <w:tabs>
          <w:tab w:leader="none" w:pos="156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43.3(a)(i) to 43.3(a)(xii) above; and</w:t>
      </w:r>
    </w:p>
    <w:p>
      <w:pPr>
        <w:spacing w:after="0" w:line="198" w:lineRule="exact"/>
        <w:rPr>
          <w:rFonts w:ascii="Arial" w:cs="Arial" w:eastAsia="Arial" w:hAnsi="Arial"/>
          <w:sz w:val="18"/>
          <w:szCs w:val="18"/>
          <w:color w:val="auto"/>
        </w:rPr>
      </w:pPr>
    </w:p>
    <w:p>
      <w:pPr>
        <w:ind w:left="1520" w:hanging="491"/>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198" w:lineRule="exact"/>
        <w:rPr>
          <w:sz w:val="20"/>
          <w:szCs w:val="20"/>
          <w:color w:val="auto"/>
        </w:rPr>
      </w:pPr>
    </w:p>
    <w:p>
      <w:pPr>
        <w:jc w:val="both"/>
        <w:ind w:left="1020" w:hanging="512"/>
        <w:spacing w:after="0"/>
        <w:tabs>
          <w:tab w:leader="none" w:pos="111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9" w:lineRule="exact"/>
        <w:rPr>
          <w:rFonts w:ascii="Arial" w:cs="Arial" w:eastAsia="Arial" w:hAnsi="Arial"/>
          <w:sz w:val="18"/>
          <w:szCs w:val="18"/>
          <w:color w:val="auto"/>
        </w:rPr>
      </w:pPr>
    </w:p>
    <w:p>
      <w:pPr>
        <w:ind w:left="1020" w:hanging="512"/>
        <w:spacing w:after="0" w:line="246" w:lineRule="auto"/>
        <w:tabs>
          <w:tab w:leader="none" w:pos="100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clauses 43.3(a)(i) to 43.3(a)(xiii) above is, nor will at any time be, unpublished price-sensitive information.</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Agent shall notify the Borrowers and the other Finance Parties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4" w:name="page165"/>
    <w:bookmarkEnd w:id="164"/>
    <w:p>
      <w:pPr>
        <w:ind w:left="1540" w:hanging="511"/>
        <w:spacing w:after="0" w:line="246" w:lineRule="auto"/>
        <w:tabs>
          <w:tab w:leader="none" w:pos="1634"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Facilities and/or one or more Obligors; and</w:t>
      </w:r>
    </w:p>
    <w:p>
      <w:pPr>
        <w:spacing w:after="0" w:line="183" w:lineRule="exact"/>
        <w:rPr>
          <w:rFonts w:ascii="Arial" w:cs="Arial" w:eastAsia="Arial" w:hAnsi="Arial"/>
          <w:sz w:val="18"/>
          <w:szCs w:val="18"/>
          <w:color w:val="auto"/>
        </w:rPr>
      </w:pPr>
    </w:p>
    <w:p>
      <w:pPr>
        <w:ind w:left="1540" w:hanging="511"/>
        <w:spacing w:after="0" w:line="246" w:lineRule="auto"/>
        <w:tabs>
          <w:tab w:leader="none" w:pos="1592"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Facilities and/or one or more Obligors by such numbering service provider.</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43.4</w:t>
        <w:tab/>
        <w:t>Entire agreement</w:t>
      </w:r>
    </w:p>
    <w:p>
      <w:pPr>
        <w:spacing w:after="0" w:line="220"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This clause 43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Inside information</w:t>
      </w:r>
    </w:p>
    <w:p>
      <w:pPr>
        <w:spacing w:after="0" w:line="22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43.6</w:t>
        <w:tab/>
        <w:t>Banking secrecy laws</w:t>
      </w:r>
    </w:p>
    <w:p>
      <w:pPr>
        <w:spacing w:after="0" w:line="220" w:lineRule="exact"/>
        <w:rPr>
          <w:sz w:val="20"/>
          <w:szCs w:val="20"/>
          <w:color w:val="auto"/>
        </w:rPr>
      </w:pPr>
    </w:p>
    <w:p>
      <w:pPr>
        <w:jc w:val="both"/>
        <w:ind w:left="1020" w:hanging="512"/>
        <w:spacing w:after="0" w:line="238" w:lineRule="auto"/>
        <w:tabs>
          <w:tab w:leader="none" w:pos="102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8"/>
          <w:szCs w:val="18"/>
          <w:b w:val="1"/>
          <w:bCs w:val="1"/>
          <w:color w:val="auto"/>
        </w:rPr>
        <w:t>Disclosing Party</w:t>
      </w:r>
      <w:r>
        <w:rPr>
          <w:rFonts w:ascii="Arial" w:cs="Arial" w:eastAsia="Arial" w:hAnsi="Arial"/>
          <w:sz w:val="18"/>
          <w:szCs w:val="18"/>
          <w:color w:val="auto"/>
        </w:rPr>
        <w:t>) from any confidentiality obligations or confidentiality restrictions arising from any applicable banking secrecy and data protection legislation which would prevent a Disclosing Party from disclosing any Confidential Information in accordance with this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1020" w:hanging="512"/>
        <w:spacing w:after="0" w:line="238" w:lineRule="auto"/>
        <w:tabs>
          <w:tab w:leader="none" w:pos="1051"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Continuing obligations</w:t>
      </w:r>
    </w:p>
    <w:p>
      <w:pPr>
        <w:spacing w:after="0" w:line="220"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obligations in this clause 43 are continuing and, in particular, shall survive and remain binding on each Finance Party for a period of twelve months from the earlier of:</w:t>
      </w:r>
    </w:p>
    <w:p>
      <w:pPr>
        <w:spacing w:after="0" w:line="183" w:lineRule="exact"/>
        <w:rPr>
          <w:sz w:val="20"/>
          <w:szCs w:val="20"/>
          <w:color w:val="auto"/>
        </w:rPr>
      </w:pPr>
    </w:p>
    <w:p>
      <w:pPr>
        <w:ind w:left="1020" w:hanging="512"/>
        <w:spacing w:after="0" w:line="246" w:lineRule="auto"/>
        <w:tabs>
          <w:tab w:leader="none" w:pos="1039"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83" w:lineRule="exact"/>
        <w:rPr>
          <w:rFonts w:ascii="Arial" w:cs="Arial" w:eastAsia="Arial" w:hAnsi="Arial"/>
          <w:sz w:val="18"/>
          <w:szCs w:val="18"/>
          <w:color w:val="auto"/>
        </w:rPr>
      </w:pPr>
    </w:p>
    <w:p>
      <w:pPr>
        <w:ind w:left="1020" w:hanging="512"/>
        <w:spacing w:after="0"/>
        <w:tabs>
          <w:tab w:leader="none" w:pos="10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Confidentiality of Funding Rates</w:t>
      </w:r>
    </w:p>
    <w:p>
      <w:pPr>
        <w:spacing w:after="0" w:line="220" w:lineRule="exact"/>
        <w:rPr>
          <w:sz w:val="20"/>
          <w:szCs w:val="20"/>
          <w:color w:val="auto"/>
        </w:rPr>
      </w:pPr>
    </w:p>
    <w:p>
      <w:pPr>
        <w:ind w:left="1020" w:hanging="512"/>
        <w:spacing w:after="0"/>
        <w:tabs>
          <w:tab w:leader="none" w:pos="10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Confidentiality and disclosure</w:t>
      </w:r>
    </w:p>
    <w:p>
      <w:pPr>
        <w:spacing w:after="0" w:line="198" w:lineRule="exact"/>
        <w:rPr>
          <w:rFonts w:ascii="Arial" w:cs="Arial" w:eastAsia="Arial" w:hAnsi="Arial"/>
          <w:sz w:val="18"/>
          <w:szCs w:val="18"/>
          <w:color w:val="auto"/>
        </w:rPr>
      </w:pPr>
    </w:p>
    <w:p>
      <w:pPr>
        <w:ind w:left="1540" w:hanging="511"/>
        <w:spacing w:after="0" w:line="246" w:lineRule="auto"/>
        <w:tabs>
          <w:tab w:leader="none" w:pos="160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Agent and each Obligor agree to keep each Funding Rate confidential and not to disclose it to anyone, save to the extent permitted by paragraphs (ii) and (iii) below.</w:t>
      </w:r>
    </w:p>
    <w:p>
      <w:pPr>
        <w:spacing w:after="0" w:line="183" w:lineRule="exact"/>
        <w:rPr>
          <w:rFonts w:ascii="Arial" w:cs="Arial" w:eastAsia="Arial" w:hAnsi="Arial"/>
          <w:sz w:val="18"/>
          <w:szCs w:val="18"/>
          <w:color w:val="auto"/>
        </w:rPr>
      </w:pPr>
    </w:p>
    <w:p>
      <w:pPr>
        <w:ind w:left="1520" w:hanging="491"/>
        <w:spacing w:after="0"/>
        <w:tabs>
          <w:tab w:leader="none" w:pos="152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180" w:lineRule="exact"/>
        <w:rPr>
          <w:sz w:val="20"/>
          <w:szCs w:val="20"/>
          <w:color w:val="auto"/>
        </w:rPr>
      </w:pPr>
    </w:p>
    <w:p>
      <w:pPr>
        <w:ind w:left="5480" w:right="1600" w:hanging="3941"/>
        <w:spacing w:after="0" w:line="501" w:lineRule="auto"/>
        <w:tabs>
          <w:tab w:leader="none" w:pos="208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Funding Rate to the Borrowers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5" w:name="page166"/>
    <w:bookmarkEnd w:id="165"/>
    <w:p>
      <w:pPr>
        <w:jc w:val="both"/>
        <w:ind w:left="1540" w:hanging="501"/>
        <w:spacing w:after="0" w:line="238" w:lineRule="auto"/>
        <w:tabs>
          <w:tab w:leader="none" w:pos="1594" w:val="left"/>
        </w:tabs>
        <w:numPr>
          <w:ilvl w:val="2"/>
          <w:numId w:val="420"/>
        </w:numPr>
        <w:rPr>
          <w:rFonts w:ascii="Arial" w:cs="Arial" w:eastAsia="Arial" w:hAnsi="Arial"/>
          <w:sz w:val="18"/>
          <w:szCs w:val="18"/>
          <w:color w:val="auto"/>
        </w:rPr>
      </w:pPr>
      <w:r>
        <w:rPr>
          <w:rFonts w:ascii="Arial" w:cs="Arial" w:eastAsia="Arial" w:hAnsi="Arial"/>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agreed between the Borrowers and the relevant Finance Party.</w:t>
      </w:r>
    </w:p>
    <w:p>
      <w:pPr>
        <w:spacing w:after="0" w:line="191" w:lineRule="exact"/>
        <w:rPr>
          <w:rFonts w:ascii="Arial" w:cs="Arial" w:eastAsia="Arial" w:hAnsi="Arial"/>
          <w:sz w:val="18"/>
          <w:szCs w:val="18"/>
          <w:color w:val="auto"/>
        </w:rPr>
      </w:pPr>
    </w:p>
    <w:p>
      <w:pPr>
        <w:ind w:left="1020" w:hanging="491"/>
        <w:spacing w:after="0"/>
        <w:tabs>
          <w:tab w:leader="none" w:pos="10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Agent may disclose any Funding Rate, and each Obligor may disclose any Funding Rate, to:</w:t>
      </w:r>
    </w:p>
    <w:p>
      <w:pPr>
        <w:spacing w:after="0" w:line="198" w:lineRule="exact"/>
        <w:rPr>
          <w:rFonts w:ascii="Arial" w:cs="Arial" w:eastAsia="Arial" w:hAnsi="Arial"/>
          <w:sz w:val="18"/>
          <w:szCs w:val="18"/>
          <w:color w:val="auto"/>
        </w:rPr>
      </w:pPr>
    </w:p>
    <w:p>
      <w:pPr>
        <w:jc w:val="both"/>
        <w:ind w:left="1540" w:hanging="501"/>
        <w:spacing w:after="0" w:line="238" w:lineRule="auto"/>
        <w:tabs>
          <w:tab w:leader="none" w:pos="1651" w:val="left"/>
        </w:tabs>
        <w:numPr>
          <w:ilvl w:val="2"/>
          <w:numId w:val="421"/>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88" w:lineRule="exact"/>
        <w:rPr>
          <w:rFonts w:ascii="Arial" w:cs="Arial" w:eastAsia="Arial" w:hAnsi="Arial"/>
          <w:sz w:val="18"/>
          <w:szCs w:val="18"/>
          <w:color w:val="auto"/>
        </w:rPr>
      </w:pPr>
    </w:p>
    <w:p>
      <w:pPr>
        <w:jc w:val="both"/>
        <w:ind w:left="1540" w:hanging="501"/>
        <w:spacing w:after="0" w:line="237" w:lineRule="auto"/>
        <w:tabs>
          <w:tab w:leader="none" w:pos="1610" w:val="left"/>
        </w:tabs>
        <w:numPr>
          <w:ilvl w:val="2"/>
          <w:numId w:val="421"/>
        </w:numPr>
        <w:rPr>
          <w:rFonts w:ascii="Arial" w:cs="Arial" w:eastAsia="Arial" w:hAnsi="Arial"/>
          <w:sz w:val="18"/>
          <w:szCs w:val="18"/>
          <w:color w:val="auto"/>
        </w:rPr>
      </w:pPr>
      <w:r>
        <w:rPr>
          <w:rFonts w:ascii="Arial" w:cs="Arial" w:eastAsia="Arial" w:hAnsi="Arial"/>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91" w:lineRule="exact"/>
        <w:rPr>
          <w:rFonts w:ascii="Arial" w:cs="Arial" w:eastAsia="Arial" w:hAnsi="Arial"/>
          <w:sz w:val="18"/>
          <w:szCs w:val="18"/>
          <w:color w:val="auto"/>
        </w:rPr>
      </w:pPr>
    </w:p>
    <w:p>
      <w:pPr>
        <w:jc w:val="both"/>
        <w:ind w:left="1540" w:hanging="501"/>
        <w:spacing w:after="0" w:line="238" w:lineRule="auto"/>
        <w:tabs>
          <w:tab w:leader="none" w:pos="1735" w:val="left"/>
        </w:tabs>
        <w:numPr>
          <w:ilvl w:val="2"/>
          <w:numId w:val="421"/>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188" w:lineRule="exact"/>
        <w:rPr>
          <w:rFonts w:ascii="Arial" w:cs="Arial" w:eastAsia="Arial" w:hAnsi="Arial"/>
          <w:sz w:val="18"/>
          <w:szCs w:val="18"/>
          <w:color w:val="auto"/>
        </w:rPr>
      </w:pPr>
    </w:p>
    <w:p>
      <w:pPr>
        <w:ind w:left="1580" w:hanging="541"/>
        <w:spacing w:after="0"/>
        <w:tabs>
          <w:tab w:leader="none" w:pos="1580" w:val="left"/>
        </w:tabs>
        <w:numPr>
          <w:ilvl w:val="2"/>
          <w:numId w:val="421"/>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Related obligations</w:t>
      </w:r>
    </w:p>
    <w:p>
      <w:pPr>
        <w:spacing w:after="0" w:line="198" w:lineRule="exact"/>
        <w:rPr>
          <w:rFonts w:ascii="Arial" w:cs="Arial" w:eastAsia="Arial" w:hAnsi="Arial"/>
          <w:sz w:val="18"/>
          <w:szCs w:val="18"/>
          <w:color w:val="auto"/>
        </w:rPr>
      </w:pPr>
    </w:p>
    <w:p>
      <w:pPr>
        <w:jc w:val="both"/>
        <w:ind w:left="1040" w:hanging="511"/>
        <w:spacing w:after="0"/>
        <w:tabs>
          <w:tab w:leader="none" w:pos="1127" w:val="left"/>
        </w:tabs>
        <w:numPr>
          <w:ilvl w:val="1"/>
          <w:numId w:val="422"/>
        </w:numPr>
        <w:rPr>
          <w:rFonts w:ascii="Arial" w:cs="Arial" w:eastAsia="Arial" w:hAnsi="Arial"/>
          <w:sz w:val="18"/>
          <w:szCs w:val="18"/>
          <w:color w:val="auto"/>
        </w:rPr>
      </w:pPr>
      <w:r>
        <w:rPr>
          <w:rFonts w:ascii="Arial" w:cs="Arial" w:eastAsia="Arial" w:hAnsi="Arial"/>
          <w:sz w:val="18"/>
          <w:szCs w:val="18"/>
          <w:color w:val="auto"/>
        </w:rPr>
        <w:t>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spacing w:after="0" w:line="189" w:lineRule="exact"/>
        <w:rPr>
          <w:sz w:val="20"/>
          <w:szCs w:val="20"/>
          <w:color w:val="auto"/>
        </w:rPr>
      </w:pPr>
    </w:p>
    <w:p>
      <w:pPr>
        <w:ind w:left="1020" w:hanging="491"/>
        <w:spacing w:after="0"/>
        <w:tabs>
          <w:tab w:leader="none" w:pos="102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Agent and each Obligor agree (to the extent permitted by law and regulation) to inform the relevant Lender:</w:t>
      </w:r>
    </w:p>
    <w:p>
      <w:pPr>
        <w:spacing w:after="0" w:line="180" w:lineRule="exact"/>
        <w:rPr>
          <w:rFonts w:ascii="Arial" w:cs="Arial" w:eastAsia="Arial" w:hAnsi="Arial"/>
          <w:sz w:val="18"/>
          <w:szCs w:val="18"/>
          <w:color w:val="auto"/>
        </w:rPr>
      </w:pPr>
    </w:p>
    <w:p>
      <w:pPr>
        <w:jc w:val="both"/>
        <w:ind w:left="1540" w:hanging="501"/>
        <w:spacing w:after="0" w:line="250" w:lineRule="auto"/>
        <w:tabs>
          <w:tab w:leader="none" w:pos="1651" w:val="left"/>
        </w:tabs>
        <w:numPr>
          <w:ilvl w:val="2"/>
          <w:numId w:val="423"/>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clause 43.8(a)(iii)(B) (</w:t>
      </w:r>
      <w:r>
        <w:rPr>
          <w:rFonts w:ascii="Arial" w:cs="Arial" w:eastAsia="Arial" w:hAnsi="Arial"/>
          <w:sz w:val="18"/>
          <w:szCs w:val="18"/>
          <w:i w:val="1"/>
          <w:iCs w:val="1"/>
          <w:color w:val="auto"/>
        </w:rPr>
        <w:t>Confidentiality of Funding Rates</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181" w:lineRule="exact"/>
        <w:rPr>
          <w:rFonts w:ascii="Arial" w:cs="Arial" w:eastAsia="Arial" w:hAnsi="Arial"/>
          <w:sz w:val="18"/>
          <w:szCs w:val="18"/>
          <w:color w:val="auto"/>
        </w:rPr>
      </w:pPr>
    </w:p>
    <w:p>
      <w:pPr>
        <w:ind w:left="1580" w:hanging="541"/>
        <w:spacing w:after="0"/>
        <w:tabs>
          <w:tab w:leader="none" w:pos="158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43.8.</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 Event of Default</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1532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166" w:name="page167"/>
    <w:bookmarkEnd w:id="166"/>
    <w:p>
      <w:pPr>
        <w:ind w:left="1020"/>
        <w:spacing w:after="0" w:line="267" w:lineRule="auto"/>
        <w:rPr>
          <w:sz w:val="20"/>
          <w:szCs w:val="20"/>
          <w:color w:val="auto"/>
        </w:rPr>
      </w:pPr>
      <w:r>
        <w:rPr>
          <w:rFonts w:ascii="Arial" w:cs="Arial" w:eastAsia="Arial" w:hAnsi="Arial"/>
          <w:sz w:val="18"/>
          <w:szCs w:val="18"/>
          <w:color w:val="auto"/>
        </w:rPr>
        <w:t>No Event of Default will occur under clause 29.5 (</w:t>
      </w:r>
      <w:r>
        <w:rPr>
          <w:rFonts w:ascii="Arial" w:cs="Arial" w:eastAsia="Arial" w:hAnsi="Arial"/>
          <w:sz w:val="18"/>
          <w:szCs w:val="18"/>
          <w:i w:val="1"/>
          <w:iCs w:val="1"/>
          <w:color w:val="auto"/>
        </w:rPr>
        <w:t>Other obligations</w:t>
      </w:r>
      <w:r>
        <w:rPr>
          <w:rFonts w:ascii="Arial" w:cs="Arial" w:eastAsia="Arial" w:hAnsi="Arial"/>
          <w:sz w:val="18"/>
          <w:szCs w:val="18"/>
          <w:color w:val="auto"/>
        </w:rPr>
        <w:t>) by reason only of an Obligor’s failure to comply with this clause 43.8.</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Personal Data Protection Act</w:t>
      </w:r>
    </w:p>
    <w:p>
      <w:pPr>
        <w:spacing w:after="0" w:line="220" w:lineRule="exact"/>
        <w:rPr>
          <w:sz w:val="20"/>
          <w:szCs w:val="20"/>
          <w:color w:val="auto"/>
        </w:rPr>
      </w:pPr>
    </w:p>
    <w:p>
      <w:pPr>
        <w:jc w:val="both"/>
        <w:ind w:left="1020" w:hanging="512"/>
        <w:spacing w:after="0" w:line="236" w:lineRule="auto"/>
        <w:tabs>
          <w:tab w:leader="none" w:pos="103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Without prejudice to any Data Protection Agreement (whether existing at the date of this Agreement or entered into from time to time) (as defined below), each Obligor represents and warrants that, to the extent required by applicable law and regulations (including, without limitation, the Personal Data Protection Act 2012 of Singapore (the </w:t>
      </w:r>
      <w:r>
        <w:rPr>
          <w:rFonts w:ascii="Arial" w:cs="Arial" w:eastAsia="Arial" w:hAnsi="Arial"/>
          <w:sz w:val="18"/>
          <w:szCs w:val="18"/>
          <w:b w:val="1"/>
          <w:bCs w:val="1"/>
          <w:color w:val="auto"/>
        </w:rPr>
        <w:t>PDPA</w:t>
      </w:r>
      <w:r>
        <w:rPr>
          <w:rFonts w:ascii="Arial" w:cs="Arial" w:eastAsia="Arial" w:hAnsi="Arial"/>
          <w:sz w:val="18"/>
          <w:szCs w:val="18"/>
          <w:color w:val="auto"/>
        </w:rPr>
        <w:t>)), prior to the disclosure of any Personal Data to a Finance Party, it has provided notice to and obtained the necessary consents from the relevant individuals whose Personal Data is being disclosed to a Finance Party to allow that Finance Party to collect, use and/or disclose their Personal Data for or in connection with the Purposes (as defined below). Each Obligor further represents and warrants that it will, should it become aware that any individual whose Personal Data was previously disclosed to a Finance Party has subsequently withdrawn such consent or whose Personal Data is no longer accurate, notify that Finance Party thereof and promptly provide to that Finance Party with the updated Personal Data. Any consent given pursuant to this Agreement in relation to Personal Data shall, subject to all applicable laws and regulations, survive death, incapacity, bankruptcy or insolvency of any such individual and the termination or expiration of this Agreement.</w:t>
      </w:r>
    </w:p>
    <w:p>
      <w:pPr>
        <w:spacing w:after="0" w:line="191" w:lineRule="exact"/>
        <w:rPr>
          <w:rFonts w:ascii="Arial" w:cs="Arial" w:eastAsia="Arial" w:hAnsi="Arial"/>
          <w:sz w:val="18"/>
          <w:szCs w:val="18"/>
          <w:color w:val="auto"/>
        </w:rPr>
      </w:pPr>
    </w:p>
    <w:p>
      <w:pPr>
        <w:ind w:left="1020" w:hanging="512"/>
        <w:spacing w:after="0"/>
        <w:tabs>
          <w:tab w:leader="none" w:pos="10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For the purposes of this clause 43.9:</w:t>
      </w:r>
    </w:p>
    <w:p>
      <w:pPr>
        <w:spacing w:after="0" w:line="176" w:lineRule="exact"/>
        <w:rPr>
          <w:rFonts w:ascii="Arial" w:cs="Arial" w:eastAsia="Arial" w:hAnsi="Arial"/>
          <w:sz w:val="18"/>
          <w:szCs w:val="18"/>
          <w:color w:val="auto"/>
        </w:rPr>
      </w:pPr>
    </w:p>
    <w:p>
      <w:pPr>
        <w:jc w:val="both"/>
        <w:ind w:left="102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 xml:space="preserve">Data Protection Agreement </w:t>
      </w:r>
      <w:r>
        <w:rPr>
          <w:rFonts w:ascii="Arial" w:cs="Arial" w:eastAsia="Arial" w:hAnsi="Arial"/>
          <w:sz w:val="18"/>
          <w:szCs w:val="18"/>
          <w:color w:val="auto"/>
        </w:rPr>
        <w:t>means any document relating to the agreement and consent from an individual in relation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use, collection and/or disclosure of his/ her Personal Data in connection with the purposes set out in that document entered or to be entered into between any Obligor and any Finance Party;</w:t>
      </w:r>
    </w:p>
    <w:p>
      <w:pPr>
        <w:spacing w:after="0" w:line="155" w:lineRule="exact"/>
        <w:rPr>
          <w:rFonts w:ascii="Arial" w:cs="Arial" w:eastAsia="Arial" w:hAnsi="Arial"/>
          <w:sz w:val="18"/>
          <w:szCs w:val="18"/>
          <w:color w:val="auto"/>
        </w:rPr>
      </w:pPr>
    </w:p>
    <w:p>
      <w:pPr>
        <w:jc w:val="both"/>
        <w:ind w:left="1020" w:right="5220"/>
        <w:spacing w:after="0" w:line="510" w:lineRule="auto"/>
        <w:rPr>
          <w:rFonts w:ascii="Arial" w:cs="Arial" w:eastAsia="Arial" w:hAnsi="Arial"/>
          <w:sz w:val="18"/>
          <w:szCs w:val="18"/>
          <w:color w:val="auto"/>
        </w:rPr>
      </w:pPr>
      <w:r>
        <w:rPr>
          <w:rFonts w:ascii="Arial" w:cs="Arial" w:eastAsia="Arial" w:hAnsi="Arial"/>
          <w:sz w:val="17"/>
          <w:szCs w:val="17"/>
          <w:b w:val="1"/>
          <w:bCs w:val="1"/>
          <w:color w:val="auto"/>
        </w:rPr>
        <w:t xml:space="preserve">Personal Data </w:t>
      </w:r>
      <w:r>
        <w:rPr>
          <w:rFonts w:ascii="Arial" w:cs="Arial" w:eastAsia="Arial" w:hAnsi="Arial"/>
          <w:sz w:val="17"/>
          <w:szCs w:val="17"/>
          <w:color w:val="auto"/>
        </w:rPr>
        <w:t>shall have the meaning given to it in the PDPA;</w:t>
      </w:r>
      <w:r>
        <w:rPr>
          <w:rFonts w:ascii="Arial" w:cs="Arial" w:eastAsia="Arial" w:hAnsi="Arial"/>
          <w:sz w:val="17"/>
          <w:szCs w:val="17"/>
          <w:b w:val="1"/>
          <w:bCs w:val="1"/>
          <w:color w:val="auto"/>
        </w:rPr>
        <w:t xml:space="preserve"> Purposes </w:t>
      </w:r>
      <w:r>
        <w:rPr>
          <w:rFonts w:ascii="Arial" w:cs="Arial" w:eastAsia="Arial" w:hAnsi="Arial"/>
          <w:sz w:val="17"/>
          <w:szCs w:val="17"/>
          <w:color w:val="auto"/>
        </w:rPr>
        <w:t>shall refer to one or more of the following purposes:</w:t>
      </w:r>
    </w:p>
    <w:p>
      <w:pPr>
        <w:spacing w:after="0" w:line="1" w:lineRule="exact"/>
        <w:rPr>
          <w:rFonts w:ascii="Arial" w:cs="Arial" w:eastAsia="Arial" w:hAnsi="Arial"/>
          <w:sz w:val="18"/>
          <w:szCs w:val="18"/>
          <w:color w:val="auto"/>
        </w:rPr>
      </w:pPr>
    </w:p>
    <w:p>
      <w:pPr>
        <w:ind w:left="1540" w:hanging="511"/>
        <w:spacing w:after="0" w:line="246" w:lineRule="auto"/>
        <w:tabs>
          <w:tab w:leader="none" w:pos="1601" w:val="left"/>
        </w:tabs>
        <w:numPr>
          <w:ilvl w:val="1"/>
          <w:numId w:val="425"/>
        </w:numPr>
        <w:rPr>
          <w:rFonts w:ascii="Arial" w:cs="Arial" w:eastAsia="Arial" w:hAnsi="Arial"/>
          <w:sz w:val="18"/>
          <w:szCs w:val="18"/>
          <w:color w:val="auto"/>
        </w:rPr>
      </w:pPr>
      <w:r>
        <w:rPr>
          <w:rFonts w:ascii="Arial" w:cs="Arial" w:eastAsia="Arial" w:hAnsi="Arial"/>
          <w:sz w:val="18"/>
          <w:szCs w:val="18"/>
          <w:color w:val="auto"/>
        </w:rPr>
        <w:t>collecting, using, disclosing, sharing, storing and processing (through authorised service providers, relevant third parties or otherwise) the individuals’ Personal Data for or in connection with the Transaction;</w:t>
      </w:r>
    </w:p>
    <w:p>
      <w:pPr>
        <w:spacing w:after="0" w:line="183" w:lineRule="exact"/>
        <w:rPr>
          <w:rFonts w:ascii="Arial" w:cs="Arial" w:eastAsia="Arial" w:hAnsi="Arial"/>
          <w:sz w:val="18"/>
          <w:szCs w:val="18"/>
          <w:color w:val="auto"/>
        </w:rPr>
      </w:pPr>
    </w:p>
    <w:p>
      <w:pPr>
        <w:jc w:val="both"/>
        <w:ind w:left="1540" w:hanging="511"/>
        <w:spacing w:after="0" w:line="234" w:lineRule="auto"/>
        <w:tabs>
          <w:tab w:leader="none" w:pos="166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administering and/or managing the Transaction and dealing in all matters relating to the Transaction including (A) the carrying out of due diligence or other screening activities (including background checks) in accordance with legal or regulatory obligations or internal risk management procedures (including but not limited to those designed to combat financial crime, “know-your customer”, anti-money laundering, counter-terrorist financing or anti-bribery), (B) credit checks and assessments, (C) prevention and investigation of crime, fraud, misconduct, any unlawful action or omission and</w:t>
      </w:r>
    </w:p>
    <w:p>
      <w:pPr>
        <w:spacing w:after="0" w:line="3" w:lineRule="exact"/>
        <w:rPr>
          <w:rFonts w:ascii="Arial" w:cs="Arial" w:eastAsia="Arial" w:hAnsi="Arial"/>
          <w:sz w:val="18"/>
          <w:szCs w:val="18"/>
          <w:color w:val="auto"/>
        </w:rPr>
      </w:pPr>
    </w:p>
    <w:p>
      <w:pPr>
        <w:ind w:left="1540" w:hanging="1"/>
        <w:spacing w:after="0" w:line="246" w:lineRule="auto"/>
        <w:tabs>
          <w:tab w:leader="none" w:pos="1873" w:val="left"/>
        </w:tabs>
        <w:numPr>
          <w:ilvl w:val="2"/>
          <w:numId w:val="425"/>
        </w:numPr>
        <w:rPr>
          <w:rFonts w:ascii="Arial" w:cs="Arial" w:eastAsia="Arial" w:hAnsi="Arial"/>
          <w:sz w:val="18"/>
          <w:szCs w:val="18"/>
          <w:color w:val="auto"/>
        </w:rPr>
      </w:pPr>
      <w:r>
        <w:rPr>
          <w:rFonts w:ascii="Arial" w:cs="Arial" w:eastAsia="Arial" w:hAnsi="Arial"/>
          <w:sz w:val="18"/>
          <w:szCs w:val="18"/>
          <w:color w:val="auto"/>
        </w:rPr>
        <w:t>complying with policies and procedures that may be required by law, applicable regulation, guidelines or notices and/or that may have been put in place by the Finance Parties applying to the Transaction; and</w:t>
      </w:r>
    </w:p>
    <w:p>
      <w:pPr>
        <w:spacing w:after="0" w:line="183" w:lineRule="exact"/>
        <w:rPr>
          <w:rFonts w:ascii="Arial" w:cs="Arial" w:eastAsia="Arial" w:hAnsi="Arial"/>
          <w:sz w:val="18"/>
          <w:szCs w:val="18"/>
          <w:color w:val="auto"/>
        </w:rPr>
      </w:pPr>
    </w:p>
    <w:p>
      <w:pPr>
        <w:ind w:left="1540" w:hanging="511"/>
        <w:spacing w:after="0" w:line="246" w:lineRule="auto"/>
        <w:tabs>
          <w:tab w:leader="none" w:pos="1545" w:val="left"/>
        </w:tabs>
        <w:numPr>
          <w:ilvl w:val="1"/>
          <w:numId w:val="425"/>
        </w:numPr>
        <w:rPr>
          <w:rFonts w:ascii="Arial" w:cs="Arial" w:eastAsia="Arial" w:hAnsi="Arial"/>
          <w:sz w:val="18"/>
          <w:szCs w:val="18"/>
          <w:color w:val="auto"/>
        </w:rPr>
      </w:pPr>
      <w:r>
        <w:rPr>
          <w:rFonts w:ascii="Arial" w:cs="Arial" w:eastAsia="Arial" w:hAnsi="Arial"/>
          <w:sz w:val="18"/>
          <w:szCs w:val="18"/>
          <w:color w:val="auto"/>
        </w:rPr>
        <w:t>such other purposes as set out in the Finance Party’s data privacy statement (a copy of which has been extended to each Obligor); and</w:t>
      </w:r>
    </w:p>
    <w:p>
      <w:pPr>
        <w:spacing w:after="0" w:line="161"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means the execution of the Agreement and the other Finance Documents and the performance of all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by the Finance Parties, including the exercise of all rights, remedies and powers of or by the Finance Parties, as contemplated under the Agreement and the other Finance Documents.</w:t>
      </w:r>
    </w:p>
    <w:p>
      <w:pPr>
        <w:spacing w:after="0" w:line="146"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1"/>
          <w:szCs w:val="21"/>
          <w:b w:val="1"/>
          <w:bCs w:val="1"/>
          <w:color w:val="auto"/>
        </w:rPr>
        <w:t>Governing law</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Agreement and any non-contractual obligations connected with it are governed by English law.</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67" w:name="page168"/>
    <w:bookmarkEnd w:id="167"/>
    <w:p>
      <w:pPr>
        <w:ind w:left="100"/>
        <w:spacing w:after="0"/>
        <w:tabs>
          <w:tab w:leader="none" w:pos="50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1"/>
          <w:szCs w:val="21"/>
          <w:b w:val="1"/>
          <w:bCs w:val="1"/>
          <w:color w:val="auto"/>
        </w:rPr>
        <w:t>Enforcement</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45.1</w:t>
      </w:r>
      <w:r>
        <w:rPr>
          <w:sz w:val="20"/>
          <w:szCs w:val="20"/>
          <w:color w:val="auto"/>
        </w:rPr>
        <w:tab/>
      </w:r>
      <w:r>
        <w:rPr>
          <w:rFonts w:ascii="Arial" w:cs="Arial" w:eastAsia="Arial" w:hAnsi="Arial"/>
          <w:sz w:val="17"/>
          <w:szCs w:val="17"/>
          <w:b w:val="1"/>
          <w:bCs w:val="1"/>
          <w:color w:val="auto"/>
        </w:rPr>
        <w:t>Jurisdiction of English courts</w:t>
      </w:r>
    </w:p>
    <w:p>
      <w:pPr>
        <w:spacing w:after="0" w:line="220" w:lineRule="exact"/>
        <w:rPr>
          <w:sz w:val="20"/>
          <w:szCs w:val="20"/>
          <w:color w:val="auto"/>
        </w:rPr>
      </w:pPr>
    </w:p>
    <w:p>
      <w:pPr>
        <w:jc w:val="both"/>
        <w:ind w:left="1020" w:hanging="512"/>
        <w:spacing w:after="0"/>
        <w:tabs>
          <w:tab w:leader="none" w:pos="103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020" w:hanging="512"/>
        <w:spacing w:after="0" w:line="246" w:lineRule="auto"/>
        <w:tabs>
          <w:tab w:leader="none" w:pos="104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83" w:lineRule="exact"/>
        <w:rPr>
          <w:rFonts w:ascii="Arial" w:cs="Arial" w:eastAsia="Arial" w:hAnsi="Arial"/>
          <w:sz w:val="18"/>
          <w:szCs w:val="18"/>
          <w:color w:val="auto"/>
        </w:rPr>
      </w:pPr>
    </w:p>
    <w:p>
      <w:pPr>
        <w:jc w:val="both"/>
        <w:ind w:left="1020" w:hanging="512"/>
        <w:spacing w:after="0"/>
        <w:tabs>
          <w:tab w:leader="none" w:pos="112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This clause 45.1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7"/>
          <w:szCs w:val="17"/>
          <w:b w:val="1"/>
          <w:bCs w:val="1"/>
          <w:color w:val="auto"/>
        </w:rPr>
        <w:t>Service of process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180" w:lineRule="exact"/>
        <w:rPr>
          <w:sz w:val="20"/>
          <w:szCs w:val="20"/>
          <w:color w:val="auto"/>
        </w:rPr>
      </w:pPr>
    </w:p>
    <w:p>
      <w:pPr>
        <w:ind w:left="1020" w:hanging="512"/>
        <w:spacing w:after="0" w:line="267" w:lineRule="auto"/>
        <w:tabs>
          <w:tab w:leader="none" w:pos="1049"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that Obligor’s English process agent as its agent for service of process in relation to any proceedings before the English courts in connection with any Finance Document;</w:t>
      </w:r>
    </w:p>
    <w:p>
      <w:pPr>
        <w:spacing w:after="0" w:line="164" w:lineRule="exact"/>
        <w:rPr>
          <w:rFonts w:ascii="Arial" w:cs="Arial" w:eastAsia="Arial" w:hAnsi="Arial"/>
          <w:sz w:val="18"/>
          <w:szCs w:val="18"/>
          <w:color w:val="auto"/>
        </w:rPr>
      </w:pPr>
    </w:p>
    <w:p>
      <w:pPr>
        <w:ind w:left="1020" w:right="20" w:hanging="512"/>
        <w:spacing w:after="0" w:line="246" w:lineRule="auto"/>
        <w:tabs>
          <w:tab w:leader="none" w:pos="102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relevant Obligor of the process will not invalidate the proceedings concerned; and</w:t>
      </w:r>
    </w:p>
    <w:p>
      <w:pPr>
        <w:spacing w:after="0" w:line="183" w:lineRule="exact"/>
        <w:rPr>
          <w:rFonts w:ascii="Arial" w:cs="Arial" w:eastAsia="Arial" w:hAnsi="Arial"/>
          <w:sz w:val="18"/>
          <w:szCs w:val="18"/>
          <w:color w:val="auto"/>
        </w:rPr>
      </w:pPr>
    </w:p>
    <w:p>
      <w:pPr>
        <w:jc w:val="both"/>
        <w:ind w:left="1020" w:hanging="512"/>
        <w:spacing w:after="0"/>
        <w:tabs>
          <w:tab w:leader="none" w:pos="109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8" w:name="page169"/>
    <w:bookmarkEnd w:id="168"/>
    <w:tbl>
      <w:tblPr>
        <w:tblLayout w:type="fixed"/>
        <w:tblInd w:w="1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80" w:type="dxa"/>
            <w:vAlign w:val="bottom"/>
          </w:tcPr>
          <w:p>
            <w:pPr>
              <w:jc w:val="center"/>
              <w:ind w:right="3670"/>
              <w:spacing w:after="0"/>
              <w:rPr>
                <w:sz w:val="20"/>
                <w:szCs w:val="20"/>
                <w:color w:val="auto"/>
              </w:rPr>
            </w:pPr>
            <w:r>
              <w:rPr>
                <w:rFonts w:ascii="Arial" w:cs="Arial" w:eastAsia="Arial" w:hAnsi="Arial"/>
                <w:sz w:val="18"/>
                <w:szCs w:val="18"/>
                <w:b w:val="1"/>
                <w:bCs w:val="1"/>
                <w:color w:val="auto"/>
              </w:rPr>
              <w:t>Schedule 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80" w:type="dxa"/>
            <w:vAlign w:val="bottom"/>
          </w:tcPr>
          <w:p>
            <w:pPr>
              <w:jc w:val="center"/>
              <w:ind w:right="3650"/>
              <w:spacing w:after="0"/>
              <w:rPr>
                <w:sz w:val="20"/>
                <w:szCs w:val="20"/>
                <w:color w:val="auto"/>
              </w:rPr>
            </w:pPr>
            <w:r>
              <w:rPr>
                <w:rFonts w:ascii="Arial" w:cs="Arial" w:eastAsia="Arial" w:hAnsi="Arial"/>
                <w:sz w:val="18"/>
                <w:szCs w:val="18"/>
                <w:b w:val="1"/>
                <w:bCs w:val="1"/>
                <w:color w:val="auto"/>
                <w:w w:val="99"/>
              </w:rPr>
              <w:t>The original parties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80" w:type="dxa"/>
            <w:vAlign w:val="bottom"/>
          </w:tcPr>
          <w:p>
            <w:pPr>
              <w:jc w:val="center"/>
              <w:ind w:right="3650"/>
              <w:spacing w:after="0"/>
              <w:rPr>
                <w:sz w:val="20"/>
                <w:szCs w:val="20"/>
                <w:color w:val="auto"/>
              </w:rPr>
            </w:pPr>
            <w:r>
              <w:rPr>
                <w:rFonts w:ascii="Arial" w:cs="Arial" w:eastAsia="Arial" w:hAnsi="Arial"/>
                <w:sz w:val="18"/>
                <w:szCs w:val="18"/>
                <w:b w:val="1"/>
                <w:bCs w:val="1"/>
                <w:color w:val="auto"/>
                <w:w w:val="99"/>
              </w:rPr>
              <w:t>Borrowers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shd w:val="clear" w:color="auto" w:fill="C0C0C0"/>
          </w:tcPr>
          <w:p>
            <w:pPr>
              <w:spacing w:after="0"/>
              <w:rPr>
                <w:sz w:val="24"/>
                <w:szCs w:val="24"/>
                <w:color w:val="auto"/>
              </w:rPr>
            </w:pPr>
          </w:p>
        </w:tc>
        <w:tc>
          <w:tcPr>
            <w:tcW w:w="4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right w:val="single" w:sz="8" w:color="C0C0C0"/>
            </w:tcBorders>
            <w:shd w:val="clear" w:color="auto" w:fill="C0C0C0"/>
          </w:tcPr>
          <w:p>
            <w:pPr>
              <w:spacing w:after="0"/>
              <w:rPr>
                <w:sz w:val="24"/>
                <w:szCs w:val="24"/>
                <w:color w:val="auto"/>
              </w:rPr>
            </w:pPr>
          </w:p>
        </w:tc>
        <w:tc>
          <w:tcPr>
            <w:tcW w:w="7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GAS-one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8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2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7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40" w:type="dxa"/>
            <w:vAlign w:val="bottom"/>
            <w:tcBorders>
              <w:top w:val="single" w:sz="8" w:color="auto"/>
            </w:tcBorders>
            <w:gridSpan w:val="3"/>
            <w:shd w:val="clear" w:color="auto" w:fill="C0C0C0"/>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00" w:type="dxa"/>
            <w:vAlign w:val="bottom"/>
            <w:tcBorders>
              <w:top w:val="single" w:sz="8" w:color="auto"/>
              <w:right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41494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60" w:type="dxa"/>
            <w:vAlign w:val="bottom"/>
            <w:tcBorders>
              <w:bottom w:val="single" w:sz="8" w:color="C0C0C0"/>
            </w:tcBorders>
            <w:shd w:val="clear" w:color="auto" w:fill="C0C0C0"/>
          </w:tcPr>
          <w:p>
            <w:pPr>
              <w:spacing w:after="0"/>
              <w:rPr>
                <w:sz w:val="11"/>
                <w:szCs w:val="11"/>
                <w:color w:val="auto"/>
              </w:rPr>
            </w:pPr>
          </w:p>
        </w:tc>
        <w:tc>
          <w:tcPr>
            <w:tcW w:w="42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6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20" w:type="dxa"/>
            <w:vAlign w:val="bottom"/>
            <w:tcBorders>
              <w:top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60" w:type="dxa"/>
            <w:vAlign w:val="bottom"/>
            <w:tcBorders>
              <w:top w:val="single" w:sz="8" w:color="auto"/>
              <w:right w:val="single" w:sz="8" w:color="C0C0C0"/>
            </w:tcBorders>
            <w:gridSpan w:val="2"/>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8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2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2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0" w:type="dxa"/>
            <w:vAlign w:val="bottom"/>
            <w:tcBorders>
              <w:top w:val="single" w:sz="8" w:color="auto"/>
              <w:bottom w:val="single" w:sz="8" w:color="C0C0C0"/>
            </w:tcBorders>
            <w:shd w:val="clear" w:color="auto" w:fill="C0C0C0"/>
          </w:tcPr>
          <w:p>
            <w:pPr>
              <w:spacing w:after="0"/>
              <w:rPr>
                <w:sz w:val="24"/>
                <w:szCs w:val="24"/>
                <w:color w:val="auto"/>
              </w:rPr>
            </w:pPr>
          </w:p>
        </w:tc>
        <w:tc>
          <w:tcPr>
            <w:tcW w:w="42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7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2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auto"/>
              <w:right w:val="single" w:sz="8" w:color="C0C0C0"/>
            </w:tcBorders>
            <w:shd w:val="clear" w:color="auto" w:fill="C0C0C0"/>
          </w:tcPr>
          <w:p>
            <w:pPr>
              <w:spacing w:after="0"/>
              <w:rPr>
                <w:sz w:val="20"/>
                <w:szCs w:val="20"/>
                <w:color w:val="auto"/>
              </w:rPr>
            </w:pPr>
          </w:p>
        </w:tc>
        <w:tc>
          <w:tcPr>
            <w:tcW w:w="7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right w:val="single" w:sz="8" w:color="C0C0C0"/>
            </w:tcBorders>
            <w:shd w:val="clear" w:color="auto" w:fill="C0C0C0"/>
          </w:tcPr>
          <w:p>
            <w:pPr>
              <w:spacing w:after="0"/>
              <w:rPr>
                <w:sz w:val="21"/>
                <w:szCs w:val="21"/>
                <w:color w:val="auto"/>
              </w:rPr>
            </w:pPr>
          </w:p>
        </w:tc>
        <w:tc>
          <w:tcPr>
            <w:tcW w:w="7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4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shd w:val="clear" w:color="auto" w:fill="C0C0C0"/>
          </w:tcPr>
          <w:p>
            <w:pPr>
              <w:spacing w:after="0"/>
              <w:rPr>
                <w:sz w:val="24"/>
                <w:szCs w:val="24"/>
                <w:color w:val="auto"/>
              </w:rPr>
            </w:pPr>
          </w:p>
        </w:tc>
        <w:tc>
          <w:tcPr>
            <w:tcW w:w="4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right w:val="single" w:sz="8" w:color="C0C0C0"/>
            </w:tcBorders>
            <w:shd w:val="clear" w:color="auto" w:fill="C0C0C0"/>
          </w:tcPr>
          <w:p>
            <w:pPr>
              <w:spacing w:after="0"/>
              <w:rPr>
                <w:sz w:val="24"/>
                <w:szCs w:val="24"/>
                <w:color w:val="auto"/>
              </w:rPr>
            </w:pPr>
          </w:p>
        </w:tc>
        <w:tc>
          <w:tcPr>
            <w:tcW w:w="7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GAS-two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8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2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7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40" w:type="dxa"/>
            <w:vAlign w:val="bottom"/>
            <w:tcBorders>
              <w:top w:val="single" w:sz="8" w:color="auto"/>
            </w:tcBorders>
            <w:gridSpan w:val="3"/>
            <w:shd w:val="clear" w:color="auto" w:fill="C0C0C0"/>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00" w:type="dxa"/>
            <w:vAlign w:val="bottom"/>
            <w:tcBorders>
              <w:top w:val="single" w:sz="8" w:color="auto"/>
              <w:right w:val="single" w:sz="8" w:color="C0C0C0"/>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41495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60" w:type="dxa"/>
            <w:vAlign w:val="bottom"/>
            <w:tcBorders>
              <w:bottom w:val="single" w:sz="8" w:color="C0C0C0"/>
            </w:tcBorders>
            <w:shd w:val="clear" w:color="auto" w:fill="C0C0C0"/>
          </w:tcPr>
          <w:p>
            <w:pPr>
              <w:spacing w:after="0"/>
              <w:rPr>
                <w:sz w:val="11"/>
                <w:szCs w:val="11"/>
                <w:color w:val="auto"/>
              </w:rPr>
            </w:pPr>
          </w:p>
        </w:tc>
        <w:tc>
          <w:tcPr>
            <w:tcW w:w="42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6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20" w:type="dxa"/>
            <w:vAlign w:val="bottom"/>
            <w:tcBorders>
              <w:top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60" w:type="dxa"/>
            <w:vAlign w:val="bottom"/>
            <w:tcBorders>
              <w:top w:val="single" w:sz="8" w:color="auto"/>
              <w:right w:val="single" w:sz="8" w:color="C0C0C0"/>
            </w:tcBorders>
            <w:gridSpan w:val="2"/>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8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2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2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C0C0C0"/>
            </w:tcBorders>
            <w:shd w:val="clear" w:color="auto" w:fill="C0C0C0"/>
          </w:tcPr>
          <w:p>
            <w:pPr>
              <w:spacing w:after="0"/>
              <w:rPr>
                <w:sz w:val="11"/>
                <w:szCs w:val="11"/>
                <w:color w:val="auto"/>
              </w:rPr>
            </w:pPr>
          </w:p>
        </w:tc>
        <w:tc>
          <w:tcPr>
            <w:tcW w:w="748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0" w:type="dxa"/>
            <w:vAlign w:val="bottom"/>
            <w:tcBorders>
              <w:top w:val="single" w:sz="8" w:color="auto"/>
              <w:bottom w:val="single" w:sz="8" w:color="C0C0C0"/>
            </w:tcBorders>
            <w:shd w:val="clear" w:color="auto" w:fill="C0C0C0"/>
          </w:tcPr>
          <w:p>
            <w:pPr>
              <w:spacing w:after="0"/>
              <w:rPr>
                <w:sz w:val="24"/>
                <w:szCs w:val="24"/>
                <w:color w:val="auto"/>
              </w:rPr>
            </w:pPr>
          </w:p>
        </w:tc>
        <w:tc>
          <w:tcPr>
            <w:tcW w:w="42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7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2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auto"/>
              <w:right w:val="single" w:sz="8" w:color="C0C0C0"/>
            </w:tcBorders>
            <w:shd w:val="clear" w:color="auto" w:fill="C0C0C0"/>
          </w:tcPr>
          <w:p>
            <w:pPr>
              <w:spacing w:after="0"/>
              <w:rPr>
                <w:sz w:val="20"/>
                <w:szCs w:val="20"/>
                <w:color w:val="auto"/>
              </w:rPr>
            </w:pPr>
          </w:p>
        </w:tc>
        <w:tc>
          <w:tcPr>
            <w:tcW w:w="7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right w:val="single" w:sz="8" w:color="C0C0C0"/>
            </w:tcBorders>
            <w:shd w:val="clear" w:color="auto" w:fill="C0C0C0"/>
          </w:tcPr>
          <w:p>
            <w:pPr>
              <w:spacing w:after="0"/>
              <w:rPr>
                <w:sz w:val="21"/>
                <w:szCs w:val="21"/>
                <w:color w:val="auto"/>
              </w:rPr>
            </w:pPr>
          </w:p>
        </w:tc>
        <w:tc>
          <w:tcPr>
            <w:tcW w:w="7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4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shd w:val="clear" w:color="auto" w:fill="C0C0C0"/>
          </w:tcPr>
          <w:p>
            <w:pPr>
              <w:spacing w:after="0"/>
              <w:rPr>
                <w:sz w:val="24"/>
                <w:szCs w:val="24"/>
                <w:color w:val="auto"/>
              </w:rPr>
            </w:pPr>
          </w:p>
        </w:tc>
        <w:tc>
          <w:tcPr>
            <w:tcW w:w="4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right w:val="single" w:sz="8" w:color="auto"/>
            </w:tcBorders>
            <w:shd w:val="clear" w:color="auto" w:fill="C0C0C0"/>
          </w:tcPr>
          <w:p>
            <w:pPr>
              <w:spacing w:after="0"/>
              <w:rPr>
                <w:sz w:val="24"/>
                <w:szCs w:val="24"/>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GAS-six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8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2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40" w:type="dxa"/>
            <w:vAlign w:val="bottom"/>
            <w:tcBorders>
              <w:top w:val="single" w:sz="8" w:color="auto"/>
            </w:tcBorders>
            <w:gridSpan w:val="3"/>
            <w:shd w:val="clear" w:color="auto" w:fill="C0C0C0"/>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0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45105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60" w:type="dxa"/>
            <w:vAlign w:val="bottom"/>
            <w:tcBorders>
              <w:bottom w:val="single" w:sz="8" w:color="C0C0C0"/>
            </w:tcBorders>
            <w:shd w:val="clear" w:color="auto" w:fill="C0C0C0"/>
          </w:tcPr>
          <w:p>
            <w:pPr>
              <w:spacing w:after="0"/>
              <w:rPr>
                <w:sz w:val="11"/>
                <w:szCs w:val="11"/>
                <w:color w:val="auto"/>
              </w:rPr>
            </w:pPr>
          </w:p>
        </w:tc>
        <w:tc>
          <w:tcPr>
            <w:tcW w:w="42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6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20" w:type="dxa"/>
            <w:vAlign w:val="bottom"/>
            <w:tcBorders>
              <w:top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60" w:type="dxa"/>
            <w:vAlign w:val="bottom"/>
            <w:tcBorders>
              <w:top w:val="single" w:sz="8" w:color="auto"/>
              <w:right w:val="single" w:sz="8" w:color="auto"/>
            </w:tcBorders>
            <w:gridSpan w:val="2"/>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8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2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2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0" w:type="dxa"/>
            <w:vAlign w:val="bottom"/>
            <w:tcBorders>
              <w:top w:val="single" w:sz="8" w:color="auto"/>
              <w:bottom w:val="single" w:sz="8" w:color="C0C0C0"/>
            </w:tcBorders>
            <w:shd w:val="clear" w:color="auto" w:fill="C0C0C0"/>
          </w:tcPr>
          <w:p>
            <w:pPr>
              <w:spacing w:after="0"/>
              <w:rPr>
                <w:sz w:val="24"/>
                <w:szCs w:val="24"/>
                <w:color w:val="auto"/>
              </w:rPr>
            </w:pPr>
          </w:p>
        </w:tc>
        <w:tc>
          <w:tcPr>
            <w:tcW w:w="42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2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80" w:type="dxa"/>
            <w:vAlign w:val="bottom"/>
            <w:tcBorders>
              <w:top w:val="single" w:sz="8" w:color="auto"/>
            </w:tcBorders>
          </w:tcPr>
          <w:p>
            <w:pPr>
              <w:jc w:val="center"/>
              <w:ind w:right="3650"/>
              <w:spacing w:after="0"/>
              <w:rPr>
                <w:sz w:val="20"/>
                <w:szCs w:val="20"/>
                <w:color w:val="auto"/>
              </w:rPr>
            </w:pPr>
            <w:r>
              <w:rPr>
                <w:rFonts w:ascii="Arial" w:cs="Arial" w:eastAsia="Arial" w:hAnsi="Arial"/>
                <w:sz w:val="18"/>
                <w:szCs w:val="18"/>
                <w:color w:val="auto"/>
                <w:w w:val="99"/>
              </w:rPr>
              <w:t>162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5" w:right="299" w:bottom="1440" w:gutter="0" w:footer="0" w:header="0"/>
        </w:sectPr>
      </w:pPr>
    </w:p>
    <w:bookmarkStart w:id="169" w:name="page170"/>
    <w:bookmarkEnd w:id="169"/>
    <w:tbl>
      <w:tblPr>
        <w:tblLayout w:type="fixed"/>
        <w:tblInd w:w="10" w:type="dxa"/>
        <w:tblCellMar>
          <w:top w:w="0" w:type="dxa"/>
          <w:left w:w="0" w:type="dxa"/>
          <w:bottom w:w="0" w:type="dxa"/>
          <w:right w:w="0" w:type="dxa"/>
        </w:tblCellMar>
      </w:tblPr>
      <w:tr>
        <w:trPr>
          <w:trHeight w:val="297"/>
        </w:trPr>
        <w:tc>
          <w:tcPr>
            <w:tcW w:w="920" w:type="dxa"/>
            <w:vAlign w:val="bottom"/>
            <w:tcBorders>
              <w:top w:val="single" w:sz="8" w:color="auto"/>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top w:val="single" w:sz="8" w:color="auto"/>
              <w:bottom w:val="single" w:sz="8" w:color="C0C0C0"/>
            </w:tcBorders>
            <w:shd w:val="clear" w:color="auto" w:fill="C0C0C0"/>
          </w:tcPr>
          <w:p>
            <w:pPr>
              <w:spacing w:after="0"/>
              <w:rPr>
                <w:sz w:val="24"/>
                <w:szCs w:val="24"/>
                <w:color w:val="auto"/>
              </w:rPr>
            </w:pPr>
          </w:p>
        </w:tc>
        <w:tc>
          <w:tcPr>
            <w:tcW w:w="780" w:type="dxa"/>
            <w:vAlign w:val="bottom"/>
            <w:tcBorders>
              <w:top w:val="single" w:sz="8" w:color="auto"/>
              <w:bottom w:val="single" w:sz="8" w:color="C0C0C0"/>
            </w:tcBorders>
            <w:shd w:val="clear" w:color="auto" w:fill="C0C0C0"/>
          </w:tcPr>
          <w:p>
            <w:pPr>
              <w:spacing w:after="0"/>
              <w:rPr>
                <w:sz w:val="24"/>
                <w:szCs w:val="24"/>
                <w:color w:val="auto"/>
              </w:rPr>
            </w:pP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GAS-nine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40" w:type="dxa"/>
            <w:vAlign w:val="bottom"/>
            <w:tcBorders>
              <w:top w:val="single" w:sz="8" w:color="auto"/>
            </w:tcBorders>
            <w:gridSpan w:val="3"/>
            <w:shd w:val="clear" w:color="auto" w:fill="C0C0C0"/>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00" w:type="dxa"/>
            <w:vAlign w:val="bottom"/>
            <w:tcBorders>
              <w:top w:val="single" w:sz="8" w:color="auto"/>
              <w:right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45502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8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80" w:type="dxa"/>
            <w:vAlign w:val="bottom"/>
            <w:tcBorders>
              <w:bottom w:val="single" w:sz="8" w:color="C0C0C0"/>
            </w:tcBorders>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8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00" w:type="dxa"/>
            <w:vAlign w:val="bottom"/>
            <w:tcBorders>
              <w:top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60" w:type="dxa"/>
            <w:vAlign w:val="bottom"/>
            <w:tcBorders>
              <w:top w:val="single" w:sz="8" w:color="auto"/>
              <w:right w:val="single" w:sz="8" w:color="auto"/>
            </w:tcBorders>
            <w:gridSpan w:val="2"/>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80" w:type="dxa"/>
            <w:vAlign w:val="bottom"/>
            <w:tcBorders>
              <w:top w:val="single" w:sz="8" w:color="auto"/>
              <w:bottom w:val="single" w:sz="8" w:color="C0C0C0"/>
            </w:tcBorders>
            <w:shd w:val="clear" w:color="auto" w:fill="C0C0C0"/>
          </w:tcPr>
          <w:p>
            <w:pPr>
              <w:spacing w:after="0"/>
              <w:rPr>
                <w:sz w:val="24"/>
                <w:szCs w:val="24"/>
                <w:color w:val="auto"/>
              </w:rPr>
            </w:pP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0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0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4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8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right w:val="single" w:sz="8" w:color="auto"/>
            </w:tcBorders>
            <w:shd w:val="clear" w:color="auto" w:fill="C0C0C0"/>
          </w:tcPr>
          <w:p>
            <w:pPr>
              <w:spacing w:after="0"/>
              <w:rPr>
                <w:sz w:val="24"/>
                <w:szCs w:val="24"/>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GAS-ten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40" w:type="dxa"/>
            <w:vAlign w:val="bottom"/>
            <w:tcBorders>
              <w:top w:val="single" w:sz="8" w:color="auto"/>
            </w:tcBorders>
            <w:gridSpan w:val="3"/>
            <w:shd w:val="clear" w:color="auto" w:fill="C0C0C0"/>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00" w:type="dxa"/>
            <w:vAlign w:val="bottom"/>
            <w:tcBorders>
              <w:top w:val="single" w:sz="8" w:color="auto"/>
              <w:right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45503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8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80" w:type="dxa"/>
            <w:vAlign w:val="bottom"/>
            <w:tcBorders>
              <w:bottom w:val="single" w:sz="8" w:color="C0C0C0"/>
            </w:tcBorders>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8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00" w:type="dxa"/>
            <w:vAlign w:val="bottom"/>
            <w:tcBorders>
              <w:top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60" w:type="dxa"/>
            <w:vAlign w:val="bottom"/>
            <w:tcBorders>
              <w:top w:val="single" w:sz="8" w:color="auto"/>
              <w:right w:val="single" w:sz="8" w:color="auto"/>
            </w:tcBorders>
            <w:gridSpan w:val="2"/>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80" w:type="dxa"/>
            <w:vAlign w:val="bottom"/>
            <w:tcBorders>
              <w:top w:val="single" w:sz="8" w:color="auto"/>
              <w:bottom w:val="single" w:sz="8" w:color="C0C0C0"/>
            </w:tcBorders>
            <w:shd w:val="clear" w:color="auto" w:fill="C0C0C0"/>
          </w:tcPr>
          <w:p>
            <w:pPr>
              <w:spacing w:after="0"/>
              <w:rPr>
                <w:sz w:val="24"/>
                <w:szCs w:val="24"/>
                <w:color w:val="auto"/>
              </w:rPr>
            </w:pP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0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0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4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8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00" w:type="dxa"/>
            <w:vAlign w:val="bottom"/>
            <w:tcBorders>
              <w:bottom w:val="single" w:sz="8" w:color="C0C0C0"/>
              <w:right w:val="single" w:sz="8" w:color="auto"/>
            </w:tcBorders>
            <w:shd w:val="clear" w:color="auto" w:fill="C0C0C0"/>
          </w:tcPr>
          <w:p>
            <w:pPr>
              <w:spacing w:after="0"/>
              <w:rPr>
                <w:sz w:val="24"/>
                <w:szCs w:val="24"/>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GAS-eighteen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0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40" w:type="dxa"/>
            <w:vAlign w:val="bottom"/>
            <w:tcBorders>
              <w:top w:val="single" w:sz="8" w:color="auto"/>
            </w:tcBorders>
            <w:gridSpan w:val="3"/>
            <w:shd w:val="clear" w:color="auto" w:fill="C0C0C0"/>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00" w:type="dxa"/>
            <w:vAlign w:val="bottom"/>
            <w:tcBorders>
              <w:top w:val="single" w:sz="8" w:color="auto"/>
              <w:right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48623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8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80" w:type="dxa"/>
            <w:vAlign w:val="bottom"/>
            <w:tcBorders>
              <w:bottom w:val="single" w:sz="8" w:color="C0C0C0"/>
            </w:tcBorders>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8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00" w:type="dxa"/>
            <w:vAlign w:val="bottom"/>
            <w:tcBorders>
              <w:top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60" w:type="dxa"/>
            <w:vAlign w:val="bottom"/>
            <w:tcBorders>
              <w:top w:val="single" w:sz="8" w:color="auto"/>
              <w:right w:val="single" w:sz="8" w:color="auto"/>
            </w:tcBorders>
            <w:gridSpan w:val="2"/>
            <w:shd w:val="clear" w:color="auto" w:fill="C0C0C0"/>
          </w:tcPr>
          <w:p>
            <w:pPr>
              <w:jc w:val="right"/>
              <w:ind w:right="3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80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0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0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80" w:type="dxa"/>
            <w:vAlign w:val="bottom"/>
            <w:tcBorders>
              <w:top w:val="single" w:sz="8" w:color="auto"/>
              <w:bottom w:val="single" w:sz="8" w:color="C0C0C0"/>
            </w:tcBorders>
            <w:shd w:val="clear" w:color="auto" w:fill="C0C0C0"/>
          </w:tcPr>
          <w:p>
            <w:pPr>
              <w:spacing w:after="0"/>
              <w:rPr>
                <w:sz w:val="24"/>
                <w:szCs w:val="24"/>
                <w:color w:val="auto"/>
              </w:rPr>
            </w:pP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0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0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80" w:type="dxa"/>
            <w:vAlign w:val="bottom"/>
            <w:tcBorders>
              <w:top w:val="single" w:sz="8" w:color="auto"/>
            </w:tcBorders>
          </w:tcPr>
          <w:p>
            <w:pPr>
              <w:jc w:val="right"/>
              <w:ind w:right="537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70" w:name="page171"/>
    <w:bookmarkEnd w:id="170"/>
    <w:tbl>
      <w:tblPr>
        <w:tblLayout w:type="fixed"/>
        <w:tblInd w:w="1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80" w:type="dxa"/>
            <w:vAlign w:val="bottom"/>
          </w:tcPr>
          <w:p>
            <w:pPr>
              <w:jc w:val="center"/>
              <w:ind w:right="3670"/>
              <w:spacing w:after="0"/>
              <w:rPr>
                <w:sz w:val="20"/>
                <w:szCs w:val="20"/>
                <w:color w:val="auto"/>
              </w:rPr>
            </w:pPr>
            <w:r>
              <w:rPr>
                <w:rFonts w:ascii="Arial" w:cs="Arial" w:eastAsia="Arial" w:hAnsi="Arial"/>
                <w:sz w:val="18"/>
                <w:szCs w:val="18"/>
                <w:b w:val="1"/>
                <w:bCs w:val="1"/>
                <w:color w:val="auto"/>
                <w:w w:val="98"/>
              </w:rPr>
              <w:t>Guarantors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Pr>
          <w:p>
            <w:pPr>
              <w:jc w:val="center"/>
              <w:ind w:right="3670"/>
              <w:spacing w:after="0"/>
              <w:rPr>
                <w:sz w:val="20"/>
                <w:szCs w:val="20"/>
                <w:color w:val="auto"/>
              </w:rPr>
            </w:pPr>
            <w:r>
              <w:rPr>
                <w:rFonts w:ascii="Arial" w:cs="Arial" w:eastAsia="Arial" w:hAnsi="Arial"/>
                <w:sz w:val="18"/>
                <w:szCs w:val="18"/>
                <w:b w:val="1"/>
                <w:bCs w:val="1"/>
                <w:color w:val="auto"/>
                <w:w w:val="99"/>
              </w:rPr>
              <w:t>Parent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right w:val="single" w:sz="8" w:color="auto"/>
            </w:tcBorders>
            <w:shd w:val="clear" w:color="auto" w:fill="C0C0C0"/>
          </w:tcPr>
          <w:p>
            <w:pPr>
              <w:spacing w:after="0"/>
              <w:rPr>
                <w:sz w:val="24"/>
                <w:szCs w:val="24"/>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GasLog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8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20" w:type="dxa"/>
            <w:vAlign w:val="bottom"/>
            <w:tcBorders>
              <w:top w:val="single" w:sz="8" w:color="auto"/>
            </w:tcBorders>
            <w:gridSpan w:val="3"/>
            <w:shd w:val="clear" w:color="auto" w:fill="C0C0C0"/>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2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33928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60" w:type="dxa"/>
            <w:vAlign w:val="bottom"/>
            <w:tcBorders>
              <w:bottom w:val="single" w:sz="8" w:color="C0C0C0"/>
            </w:tcBorders>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2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6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00" w:type="dxa"/>
            <w:vAlign w:val="bottom"/>
            <w:tcBorders>
              <w:top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80" w:type="dxa"/>
            <w:vAlign w:val="bottom"/>
            <w:tcBorders>
              <w:top w:val="single" w:sz="8" w:color="auto"/>
              <w:right w:val="single" w:sz="8" w:color="auto"/>
            </w:tcBorders>
            <w:gridSpan w:val="2"/>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right w:val="single" w:sz="8" w:color="auto"/>
            </w:tcBorders>
            <w:vMerge w:val="restart"/>
          </w:tcPr>
          <w:p>
            <w:pPr>
              <w:ind w:left="1060"/>
              <w:spacing w:after="0"/>
              <w:rPr>
                <w:sz w:val="20"/>
                <w:szCs w:val="20"/>
                <w:color w:val="auto"/>
              </w:rPr>
            </w:pPr>
            <w:r>
              <w:rPr>
                <w:rFonts w:ascii="Arial" w:cs="Arial" w:eastAsia="Arial" w:hAnsi="Arial"/>
                <w:sz w:val="18"/>
                <w:szCs w:val="18"/>
                <w:color w:val="auto"/>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8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2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0" w:type="dxa"/>
            <w:vAlign w:val="bottom"/>
            <w:tcBorders>
              <w:top w:val="single" w:sz="8" w:color="auto"/>
              <w:bottom w:val="single" w:sz="8" w:color="C0C0C0"/>
            </w:tcBorders>
            <w:shd w:val="clear" w:color="auto" w:fill="C0C0C0"/>
          </w:tcPr>
          <w:p>
            <w:pPr>
              <w:spacing w:after="0"/>
              <w:rPr>
                <w:sz w:val="24"/>
                <w:szCs w:val="24"/>
                <w:color w:val="auto"/>
              </w:rPr>
            </w:pP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0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2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2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80" w:type="dxa"/>
            <w:vAlign w:val="bottom"/>
            <w:tcBorders>
              <w:top w:val="single" w:sz="8" w:color="auto"/>
            </w:tcBorders>
          </w:tcPr>
          <w:p>
            <w:pPr>
              <w:jc w:val="center"/>
              <w:ind w:right="3670"/>
              <w:spacing w:after="0"/>
              <w:rPr>
                <w:sz w:val="20"/>
                <w:szCs w:val="20"/>
                <w:color w:val="auto"/>
              </w:rPr>
            </w:pPr>
            <w:r>
              <w:rPr>
                <w:rFonts w:ascii="Arial" w:cs="Arial" w:eastAsia="Arial" w:hAnsi="Arial"/>
                <w:sz w:val="18"/>
                <w:szCs w:val="18"/>
                <w:b w:val="1"/>
                <w:bCs w:val="1"/>
                <w:color w:val="auto"/>
                <w:w w:val="99"/>
              </w:rPr>
              <w:t>GasLog Carriers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right w:val="single" w:sz="8" w:color="auto"/>
            </w:tcBorders>
            <w:shd w:val="clear" w:color="auto" w:fill="C0C0C0"/>
          </w:tcPr>
          <w:p>
            <w:pPr>
              <w:spacing w:after="0"/>
              <w:rPr>
                <w:sz w:val="24"/>
                <w:szCs w:val="24"/>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GasLog Carriers Ltd.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8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20" w:type="dxa"/>
            <w:vAlign w:val="bottom"/>
            <w:tcBorders>
              <w:top w:val="single" w:sz="8" w:color="auto"/>
            </w:tcBorders>
            <w:gridSpan w:val="3"/>
            <w:shd w:val="clear" w:color="auto" w:fill="C0C0C0"/>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2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41493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60" w:type="dxa"/>
            <w:vAlign w:val="bottom"/>
            <w:tcBorders>
              <w:bottom w:val="single" w:sz="8" w:color="C0C0C0"/>
            </w:tcBorders>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2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6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00" w:type="dxa"/>
            <w:vAlign w:val="bottom"/>
            <w:tcBorders>
              <w:top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80" w:type="dxa"/>
            <w:vAlign w:val="bottom"/>
            <w:tcBorders>
              <w:top w:val="single" w:sz="8" w:color="auto"/>
              <w:right w:val="single" w:sz="8" w:color="auto"/>
            </w:tcBorders>
            <w:gridSpan w:val="2"/>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right w:val="single" w:sz="8" w:color="auto"/>
            </w:tcBorders>
            <w:vMerge w:val="restart"/>
          </w:tcPr>
          <w:p>
            <w:pPr>
              <w:ind w:left="1060"/>
              <w:spacing w:after="0"/>
              <w:rPr>
                <w:sz w:val="20"/>
                <w:szCs w:val="20"/>
                <w:color w:val="auto"/>
              </w:rPr>
            </w:pPr>
            <w:r>
              <w:rPr>
                <w:rFonts w:ascii="Arial" w:cs="Arial" w:eastAsia="Arial" w:hAnsi="Arial"/>
                <w:sz w:val="18"/>
                <w:szCs w:val="18"/>
                <w:color w:val="auto"/>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8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2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20" w:type="dxa"/>
            <w:vAlign w:val="bottom"/>
            <w:tcBorders>
              <w:top w:val="single" w:sz="8" w:color="auto"/>
              <w:left w:val="single" w:sz="8" w:color="auto"/>
              <w:bottom w:val="single" w:sz="8" w:color="C0C0C0"/>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0" w:type="dxa"/>
            <w:vAlign w:val="bottom"/>
            <w:tcBorders>
              <w:top w:val="single" w:sz="8" w:color="auto"/>
              <w:bottom w:val="single" w:sz="8" w:color="C0C0C0"/>
            </w:tcBorders>
            <w:shd w:val="clear" w:color="auto" w:fill="C0C0C0"/>
          </w:tcPr>
          <w:p>
            <w:pPr>
              <w:spacing w:after="0"/>
              <w:rPr>
                <w:sz w:val="24"/>
                <w:szCs w:val="24"/>
                <w:color w:val="auto"/>
              </w:rPr>
            </w:pP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Clarendon House, 2 Church Street, Hamilton HM 11, Bermuda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0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2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2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80" w:type="dxa"/>
            <w:vAlign w:val="bottom"/>
            <w:tcBorders>
              <w:top w:val="single" w:sz="8" w:color="auto"/>
            </w:tcBorders>
          </w:tcPr>
          <w:p>
            <w:pPr>
              <w:jc w:val="center"/>
              <w:ind w:right="3650"/>
              <w:spacing w:after="0"/>
              <w:rPr>
                <w:sz w:val="20"/>
                <w:szCs w:val="20"/>
                <w:color w:val="auto"/>
              </w:rPr>
            </w:pPr>
            <w:r>
              <w:rPr>
                <w:rFonts w:ascii="Arial" w:cs="Arial" w:eastAsia="Arial" w:hAnsi="Arial"/>
                <w:sz w:val="18"/>
                <w:szCs w:val="18"/>
                <w:b w:val="1"/>
                <w:bCs w:val="1"/>
                <w:color w:val="auto"/>
                <w:w w:val="99"/>
              </w:rPr>
              <w:t>MLP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0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shd w:val="clear" w:color="auto" w:fill="C0C0C0"/>
          </w:tcPr>
          <w:p>
            <w:pPr>
              <w:spacing w:after="0"/>
              <w:rPr>
                <w:sz w:val="24"/>
                <w:szCs w:val="24"/>
                <w:color w:val="auto"/>
              </w:rPr>
            </w:pPr>
          </w:p>
        </w:tc>
        <w:tc>
          <w:tcPr>
            <w:tcW w:w="40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right w:val="single" w:sz="8" w:color="auto"/>
            </w:tcBorders>
            <w:shd w:val="clear" w:color="auto" w:fill="C0C0C0"/>
          </w:tcPr>
          <w:p>
            <w:pPr>
              <w:spacing w:after="0"/>
              <w:rPr>
                <w:sz w:val="24"/>
                <w:szCs w:val="24"/>
                <w:color w:val="auto"/>
              </w:rPr>
            </w:pPr>
          </w:p>
        </w:tc>
        <w:tc>
          <w:tcPr>
            <w:tcW w:w="74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GasLog Partners LP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8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400" w:type="dxa"/>
            <w:vAlign w:val="bottom"/>
            <w:tcBorders>
              <w:top w:val="single" w:sz="8" w:color="auto"/>
              <w:bottom w:val="single" w:sz="8" w:color="C0C0C0"/>
            </w:tcBorders>
            <w:shd w:val="clear" w:color="auto" w:fill="C0C0C0"/>
          </w:tcPr>
          <w:p>
            <w:pPr>
              <w:spacing w:after="0"/>
              <w:rPr>
                <w:sz w:val="24"/>
                <w:szCs w:val="24"/>
                <w:color w:val="auto"/>
              </w:rPr>
            </w:pPr>
          </w:p>
        </w:tc>
        <w:tc>
          <w:tcPr>
            <w:tcW w:w="260" w:type="dxa"/>
            <w:vAlign w:val="bottom"/>
            <w:tcBorders>
              <w:top w:val="single" w:sz="8" w:color="auto"/>
              <w:bottom w:val="single" w:sz="8" w:color="C0C0C0"/>
            </w:tcBorders>
            <w:shd w:val="clear" w:color="auto" w:fill="C0C0C0"/>
          </w:tcPr>
          <w:p>
            <w:pPr>
              <w:spacing w:after="0"/>
              <w:rPr>
                <w:sz w:val="24"/>
                <w:szCs w:val="24"/>
                <w:color w:val="auto"/>
              </w:rPr>
            </w:pPr>
          </w:p>
        </w:tc>
        <w:tc>
          <w:tcPr>
            <w:tcW w:w="3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7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420" w:type="dxa"/>
            <w:vAlign w:val="bottom"/>
            <w:tcBorders>
              <w:top w:val="single" w:sz="8" w:color="auto"/>
            </w:tcBorders>
            <w:gridSpan w:val="3"/>
            <w:shd w:val="clear" w:color="auto" w:fill="C0C0C0"/>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w:t>
            </w:r>
          </w:p>
        </w:tc>
        <w:tc>
          <w:tcPr>
            <w:tcW w:w="32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if</w:t>
            </w:r>
          </w:p>
        </w:tc>
        <w:tc>
          <w:tcPr>
            <w:tcW w:w="7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950063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100" w:type="dxa"/>
            <w:vAlign w:val="bottom"/>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100" w:type="dxa"/>
            <w:vAlign w:val="bottom"/>
            <w:tcBorders>
              <w:bottom w:val="single" w:sz="8" w:color="C0C0C0"/>
            </w:tcBorders>
            <w:shd w:val="clear" w:color="auto" w:fill="C0C0C0"/>
          </w:tcPr>
          <w:p>
            <w:pPr>
              <w:spacing w:after="0"/>
              <w:rPr>
                <w:sz w:val="11"/>
                <w:szCs w:val="11"/>
                <w:color w:val="auto"/>
              </w:rPr>
            </w:pPr>
          </w:p>
        </w:tc>
        <w:tc>
          <w:tcPr>
            <w:tcW w:w="760" w:type="dxa"/>
            <w:vAlign w:val="bottom"/>
            <w:tcBorders>
              <w:bottom w:val="single" w:sz="8" w:color="C0C0C0"/>
            </w:tcBorders>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2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w:t>
            </w:r>
          </w:p>
        </w:tc>
        <w:tc>
          <w:tcPr>
            <w:tcW w:w="1100" w:type="dxa"/>
            <w:vAlign w:val="bottom"/>
            <w:tcBorders>
              <w:top w:val="single" w:sz="8" w:color="auto"/>
            </w:tcBorders>
            <w:shd w:val="clear" w:color="auto" w:fill="C0C0C0"/>
          </w:tcPr>
          <w:p>
            <w:pPr>
              <w:ind w:left="160"/>
              <w:spacing w:after="0"/>
              <w:rPr>
                <w:sz w:val="20"/>
                <w:szCs w:val="20"/>
                <w:color w:val="auto"/>
              </w:rPr>
            </w:pPr>
            <w:r>
              <w:rPr>
                <w:rFonts w:ascii="Arial" w:cs="Arial" w:eastAsia="Arial" w:hAnsi="Arial"/>
                <w:sz w:val="18"/>
                <w:szCs w:val="18"/>
                <w:b w:val="1"/>
                <w:bCs w:val="1"/>
                <w:color w:val="auto"/>
              </w:rPr>
              <w:t>process</w:t>
            </w:r>
          </w:p>
        </w:tc>
        <w:tc>
          <w:tcPr>
            <w:tcW w:w="760" w:type="dxa"/>
            <w:vAlign w:val="bottom"/>
            <w:tcBorders>
              <w:top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agent</w:t>
            </w:r>
          </w:p>
        </w:tc>
        <w:tc>
          <w:tcPr>
            <w:tcW w:w="400" w:type="dxa"/>
            <w:vAlign w:val="bottom"/>
            <w:tcBorders>
              <w:top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w:t>
            </w:r>
          </w:p>
        </w:tc>
        <w:tc>
          <w:tcPr>
            <w:tcW w:w="580" w:type="dxa"/>
            <w:vAlign w:val="bottom"/>
            <w:tcBorders>
              <w:top w:val="single" w:sz="8" w:color="auto"/>
              <w:right w:val="single" w:sz="8" w:color="auto"/>
            </w:tcBorders>
            <w:gridSpan w:val="2"/>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not</w:t>
            </w:r>
          </w:p>
        </w:tc>
        <w:tc>
          <w:tcPr>
            <w:tcW w:w="74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80" w:type="dxa"/>
            <w:vAlign w:val="bottom"/>
            <w:tcBorders>
              <w:left w:val="single" w:sz="8" w:color="auto"/>
            </w:tcBorders>
            <w:gridSpan w:val="3"/>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400" w:type="dxa"/>
            <w:vAlign w:val="bottom"/>
            <w:shd w:val="clear" w:color="auto" w:fill="C0C0C0"/>
          </w:tcPr>
          <w:p>
            <w:pPr>
              <w:spacing w:after="0"/>
              <w:rPr>
                <w:sz w:val="11"/>
                <w:szCs w:val="11"/>
                <w:color w:val="auto"/>
              </w:rPr>
            </w:pPr>
          </w:p>
        </w:tc>
        <w:tc>
          <w:tcPr>
            <w:tcW w:w="26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auto"/>
              <w:bottom w:val="single" w:sz="8" w:color="C0C0C0"/>
            </w:tcBorders>
            <w:gridSpan w:val="3"/>
            <w:vMerge w:val="continue"/>
            <w:shd w:val="clear" w:color="auto" w:fill="C0C0C0"/>
          </w:tcPr>
          <w:p>
            <w:pPr>
              <w:spacing w:after="0"/>
              <w:rPr>
                <w:sz w:val="11"/>
                <w:szCs w:val="11"/>
                <w:color w:val="auto"/>
              </w:rPr>
            </w:pPr>
          </w:p>
        </w:tc>
        <w:tc>
          <w:tcPr>
            <w:tcW w:w="400" w:type="dxa"/>
            <w:vAlign w:val="bottom"/>
            <w:tcBorders>
              <w:bottom w:val="single" w:sz="8" w:color="C0C0C0"/>
            </w:tcBorders>
            <w:shd w:val="clear" w:color="auto" w:fill="C0C0C0"/>
          </w:tcPr>
          <w:p>
            <w:pPr>
              <w:spacing w:after="0"/>
              <w:rPr>
                <w:sz w:val="11"/>
                <w:szCs w:val="11"/>
                <w:color w:val="auto"/>
              </w:rPr>
            </w:pPr>
          </w:p>
        </w:tc>
        <w:tc>
          <w:tcPr>
            <w:tcW w:w="260" w:type="dxa"/>
            <w:vAlign w:val="bottom"/>
            <w:tcBorders>
              <w:bottom w:val="single" w:sz="8" w:color="C0C0C0"/>
            </w:tcBorders>
            <w:shd w:val="clear" w:color="auto" w:fill="C0C0C0"/>
          </w:tcPr>
          <w:p>
            <w:pPr>
              <w:spacing w:after="0"/>
              <w:rPr>
                <w:sz w:val="11"/>
                <w:szCs w:val="11"/>
                <w:color w:val="auto"/>
              </w:rPr>
            </w:pPr>
          </w:p>
        </w:tc>
        <w:tc>
          <w:tcPr>
            <w:tcW w:w="320" w:type="dxa"/>
            <w:vAlign w:val="bottom"/>
            <w:tcBorders>
              <w:bottom w:val="single" w:sz="8" w:color="C0C0C0"/>
              <w:right w:val="single" w:sz="8" w:color="auto"/>
            </w:tcBorders>
            <w:shd w:val="clear" w:color="auto" w:fill="C0C0C0"/>
          </w:tcPr>
          <w:p>
            <w:pPr>
              <w:spacing w:after="0"/>
              <w:rPr>
                <w:sz w:val="11"/>
                <w:szCs w:val="11"/>
                <w:color w:val="auto"/>
              </w:rPr>
            </w:pPr>
          </w:p>
        </w:tc>
        <w:tc>
          <w:tcPr>
            <w:tcW w:w="74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20" w:type="dxa"/>
            <w:vAlign w:val="bottom"/>
            <w:tcBorders>
              <w:top w:val="single" w:sz="8" w:color="auto"/>
              <w:lef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760" w:type="dxa"/>
            <w:vAlign w:val="bottom"/>
            <w:tcBorders>
              <w:top w:val="single" w:sz="8" w:color="auto"/>
            </w:tcBorders>
            <w:shd w:val="clear" w:color="auto" w:fill="C0C0C0"/>
          </w:tcPr>
          <w:p>
            <w:pPr>
              <w:spacing w:after="0"/>
              <w:rPr>
                <w:sz w:val="20"/>
                <w:szCs w:val="20"/>
                <w:color w:val="auto"/>
              </w:rPr>
            </w:pPr>
          </w:p>
        </w:tc>
        <w:tc>
          <w:tcPr>
            <w:tcW w:w="40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2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Trust  Company  Complex,  Ajeltake  Road,  Ajeltake  Island,  Majuro,  Marshall  Islands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2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MH96960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8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40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spacing w:after="0"/>
              <w:rPr>
                <w:sz w:val="20"/>
                <w:szCs w:val="20"/>
                <w:color w:val="auto"/>
              </w:rPr>
            </w:pPr>
          </w:p>
        </w:tc>
        <w:tc>
          <w:tcPr>
            <w:tcW w:w="320" w:type="dxa"/>
            <w:vAlign w:val="bottom"/>
            <w:tcBorders>
              <w:top w:val="single" w:sz="8" w:color="auto"/>
              <w:right w:val="single" w:sz="8" w:color="auto"/>
            </w:tcBorders>
            <w:shd w:val="clear" w:color="auto" w:fill="C0C0C0"/>
          </w:tcPr>
          <w:p>
            <w:pPr>
              <w:spacing w:after="0"/>
              <w:rPr>
                <w:sz w:val="20"/>
                <w:szCs w:val="20"/>
                <w:color w:val="auto"/>
              </w:rPr>
            </w:pPr>
          </w:p>
        </w:tc>
        <w:tc>
          <w:tcPr>
            <w:tcW w:w="7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bottom w:val="single" w:sz="8" w:color="C0C0C0"/>
            </w:tcBorders>
            <w:shd w:val="clear" w:color="auto" w:fill="C0C0C0"/>
          </w:tcPr>
          <w:p>
            <w:pPr>
              <w:spacing w:after="0"/>
              <w:rPr>
                <w:sz w:val="21"/>
                <w:szCs w:val="21"/>
                <w:color w:val="auto"/>
              </w:rPr>
            </w:pPr>
          </w:p>
        </w:tc>
        <w:tc>
          <w:tcPr>
            <w:tcW w:w="110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20" w:type="dxa"/>
            <w:vAlign w:val="bottom"/>
            <w:tcBorders>
              <w:bottom w:val="single" w:sz="8" w:color="C0C0C0"/>
              <w:right w:val="single" w:sz="8" w:color="auto"/>
            </w:tcBorders>
            <w:shd w:val="clear" w:color="auto" w:fill="C0C0C0"/>
          </w:tcPr>
          <w:p>
            <w:pPr>
              <w:spacing w:after="0"/>
              <w:rPr>
                <w:sz w:val="21"/>
                <w:szCs w:val="21"/>
                <w:color w:val="auto"/>
              </w:rPr>
            </w:pPr>
          </w:p>
        </w:tc>
        <w:tc>
          <w:tcPr>
            <w:tcW w:w="7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37, Greece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80" w:type="dxa"/>
            <w:vAlign w:val="bottom"/>
            <w:tcBorders>
              <w:top w:val="single" w:sz="8" w:color="auto"/>
            </w:tcBorders>
          </w:tcPr>
          <w:p>
            <w:pPr>
              <w:jc w:val="center"/>
              <w:ind w:right="3650"/>
              <w:spacing w:after="0"/>
              <w:rPr>
                <w:sz w:val="20"/>
                <w:szCs w:val="20"/>
                <w:color w:val="auto"/>
              </w:rPr>
            </w:pPr>
            <w:r>
              <w:rPr>
                <w:rFonts w:ascii="Arial" w:cs="Arial" w:eastAsia="Arial" w:hAnsi="Arial"/>
                <w:sz w:val="18"/>
                <w:szCs w:val="18"/>
                <w:color w:val="auto"/>
                <w:w w:val="99"/>
              </w:rPr>
              <w:t>164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171" w:name="page172"/>
    <w:bookmarkEnd w:id="171"/>
    <w:tbl>
      <w:tblPr>
        <w:tblLayout w:type="fixed"/>
        <w:tblInd w:w="1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60" w:type="dxa"/>
            <w:vAlign w:val="bottom"/>
          </w:tcPr>
          <w:p>
            <w:pPr>
              <w:jc w:val="center"/>
              <w:ind w:right="5170"/>
              <w:spacing w:after="0"/>
              <w:rPr>
                <w:sz w:val="20"/>
                <w:szCs w:val="20"/>
                <w:color w:val="auto"/>
              </w:rPr>
            </w:pPr>
            <w:r>
              <w:rPr>
                <w:rFonts w:ascii="Arial" w:cs="Arial" w:eastAsia="Arial" w:hAnsi="Arial"/>
                <w:sz w:val="18"/>
                <w:szCs w:val="18"/>
                <w:b w:val="1"/>
                <w:bCs w:val="1"/>
                <w:color w:val="auto"/>
                <w:w w:val="99"/>
              </w:rPr>
              <w:t>GPHL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740" w:type="dxa"/>
            <w:vAlign w:val="bottom"/>
            <w:tcBorders>
              <w:bottom w:val="single" w:sz="8" w:color="C0C0C0"/>
              <w:right w:val="single" w:sz="8" w:color="auto"/>
            </w:tcBorders>
            <w:shd w:val="clear" w:color="auto" w:fill="C0C0C0"/>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GasLog Partners Holdings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760" w:type="dxa"/>
            <w:vAlign w:val="bottom"/>
            <w:tcBorders>
              <w:top w:val="single" w:sz="8" w:color="auto"/>
              <w:left w:val="single" w:sz="8" w:color="auto"/>
              <w:bottom w:val="single" w:sz="8" w:color="C0C0C0"/>
              <w:righ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Jurisdiction of incorporation</w:t>
            </w:r>
          </w:p>
        </w:tc>
        <w:tc>
          <w:tcPr>
            <w:tcW w:w="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Marshall Islands</w:t>
            </w:r>
          </w:p>
        </w:tc>
        <w:tc>
          <w:tcPr>
            <w:tcW w:w="596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Registration number</w:t>
            </w:r>
          </w:p>
        </w:tc>
        <w:tc>
          <w:tcPr>
            <w:tcW w:w="174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  equivalent,  if</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960" w:type="dxa"/>
            <w:vAlign w:val="bottom"/>
            <w:tcBorders>
              <w:top w:val="single" w:sz="8" w:color="auto"/>
              <w:right w:val="single" w:sz="8" w:color="auto"/>
            </w:tcBorders>
            <w:vMerge w:val="restart"/>
          </w:tcPr>
          <w:p>
            <w:pPr>
              <w:ind w:left="1900"/>
              <w:spacing w:after="0"/>
              <w:rPr>
                <w:sz w:val="20"/>
                <w:szCs w:val="20"/>
                <w:color w:val="auto"/>
              </w:rPr>
            </w:pPr>
            <w:r>
              <w:rPr>
                <w:rFonts w:ascii="Arial" w:cs="Arial" w:eastAsia="Arial" w:hAnsi="Arial"/>
                <w:sz w:val="18"/>
                <w:szCs w:val="18"/>
                <w:color w:val="auto"/>
              </w:rPr>
              <w:t>962930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20" w:type="dxa"/>
            <w:vAlign w:val="bottom"/>
            <w:tcBorders>
              <w:left w:val="single" w:sz="8" w:color="auto"/>
            </w:tcBorders>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any</w:t>
            </w:r>
            <w:r>
              <w:rPr>
                <w:rFonts w:ascii="Arial" w:cs="Arial" w:eastAsia="Arial" w:hAnsi="Arial"/>
                <w:sz w:val="18"/>
                <w:szCs w:val="18"/>
                <w:color w:val="auto"/>
              </w:rPr>
              <w:t>)</w:t>
            </w:r>
          </w:p>
        </w:tc>
        <w:tc>
          <w:tcPr>
            <w:tcW w:w="1740" w:type="dxa"/>
            <w:vAlign w:val="bottom"/>
            <w:tcBorders>
              <w:right w:val="single" w:sz="8" w:color="auto"/>
            </w:tcBorders>
            <w:shd w:val="clear" w:color="auto" w:fill="C0C0C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9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tcBorders>
              <w:left w:val="single" w:sz="8" w:color="auto"/>
              <w:bottom w:val="single" w:sz="8" w:color="C0C0C0"/>
            </w:tcBorders>
            <w:vMerge w:val="continue"/>
            <w:shd w:val="clear" w:color="auto" w:fill="C0C0C0"/>
          </w:tcPr>
          <w:p>
            <w:pPr>
              <w:spacing w:after="0"/>
              <w:rPr>
                <w:sz w:val="11"/>
                <w:szCs w:val="11"/>
                <w:color w:val="auto"/>
              </w:rPr>
            </w:pPr>
          </w:p>
        </w:tc>
        <w:tc>
          <w:tcPr>
            <w:tcW w:w="1740" w:type="dxa"/>
            <w:vAlign w:val="bottom"/>
            <w:tcBorders>
              <w:bottom w:val="single" w:sz="8" w:color="C0C0C0"/>
              <w:right w:val="single" w:sz="8" w:color="auto"/>
            </w:tcBorders>
            <w:shd w:val="clear" w:color="auto" w:fill="C0C0C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English   process</w:t>
            </w:r>
          </w:p>
        </w:tc>
        <w:tc>
          <w:tcPr>
            <w:tcW w:w="1740" w:type="dxa"/>
            <w:vAlign w:val="bottom"/>
            <w:tcBorders>
              <w:top w:val="single" w:sz="8" w:color="auto"/>
              <w:right w:val="single" w:sz="8" w:color="auto"/>
            </w:tcBorders>
            <w:shd w:val="clear" w:color="auto" w:fill="C0C0C0"/>
          </w:tcPr>
          <w:p>
            <w:pPr>
              <w:jc w:val="right"/>
              <w:ind w:right="50"/>
              <w:spacing w:after="0"/>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80" w:type="dxa"/>
            <w:vAlign w:val="bottom"/>
            <w:tcBorders>
              <w:top w:val="single" w:sz="8" w:color="auto"/>
            </w:tcBorders>
          </w:tcPr>
          <w:p>
            <w:pPr>
              <w:spacing w:after="0"/>
              <w:rPr>
                <w:sz w:val="18"/>
                <w:szCs w:val="18"/>
                <w:color w:val="auto"/>
              </w:rPr>
            </w:pPr>
          </w:p>
        </w:tc>
        <w:tc>
          <w:tcPr>
            <w:tcW w:w="7400" w:type="dxa"/>
            <w:vAlign w:val="bottom"/>
            <w:tcBorders>
              <w:top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GasLog Services UK Ltd., c/o 81 Kings Road, London, SW3 4XN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760" w:type="dxa"/>
            <w:vAlign w:val="bottom"/>
            <w:tcBorders>
              <w:left w:val="single" w:sz="8" w:color="auto"/>
              <w:right w:val="single" w:sz="8" w:color="auto"/>
            </w:tcBorders>
            <w:gridSpan w:val="2"/>
            <w:vMerge w:val="restart"/>
            <w:shd w:val="clear" w:color="auto" w:fill="C0C0C0"/>
          </w:tcPr>
          <w:p>
            <w:pPr>
              <w:ind w:left="12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7400" w:type="dxa"/>
            <w:vAlign w:val="bottom"/>
            <w:tcBorders>
              <w:right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Borders>
              <w:left w:val="single" w:sz="8" w:color="auto"/>
              <w:bottom w:val="single" w:sz="8" w:color="C0C0C0"/>
              <w:right w:val="single" w:sz="8" w:color="auto"/>
            </w:tcBorders>
            <w:gridSpan w:val="2"/>
            <w:vMerge w:val="continue"/>
            <w:shd w:val="clear" w:color="auto" w:fill="C0C0C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20" w:type="dxa"/>
            <w:vAlign w:val="bottom"/>
            <w:tcBorders>
              <w:top w:val="single" w:sz="8" w:color="auto"/>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Registered office</w:t>
            </w:r>
          </w:p>
        </w:tc>
        <w:tc>
          <w:tcPr>
            <w:tcW w:w="1740" w:type="dxa"/>
            <w:vAlign w:val="bottom"/>
            <w:tcBorders>
              <w:top w:val="single" w:sz="8" w:color="auto"/>
              <w:right w:val="single" w:sz="8" w:color="auto"/>
            </w:tcBorders>
            <w:shd w:val="clear" w:color="auto" w:fill="C0C0C0"/>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Trust  Company  Complex,  Ajeltake  Road,  Ajeltake  Island,  Majuro,  Marshall  Islands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20" w:type="dxa"/>
            <w:vAlign w:val="bottom"/>
            <w:tcBorders>
              <w:left w:val="single" w:sz="8" w:color="auto"/>
              <w:bottom w:val="single" w:sz="8" w:color="C0C0C0"/>
            </w:tcBorders>
            <w:shd w:val="clear" w:color="auto" w:fill="C0C0C0"/>
          </w:tcPr>
          <w:p>
            <w:pPr>
              <w:spacing w:after="0"/>
              <w:rPr>
                <w:sz w:val="21"/>
                <w:szCs w:val="21"/>
                <w:color w:val="auto"/>
              </w:rPr>
            </w:pPr>
          </w:p>
        </w:tc>
        <w:tc>
          <w:tcPr>
            <w:tcW w:w="1740" w:type="dxa"/>
            <w:vAlign w:val="bottom"/>
            <w:tcBorders>
              <w:bottom w:val="single" w:sz="8" w:color="C0C0C0"/>
              <w:right w:val="single" w:sz="8" w:color="auto"/>
            </w:tcBorders>
            <w:shd w:val="clear" w:color="auto" w:fill="C0C0C0"/>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MH96960</w:t>
            </w:r>
          </w:p>
        </w:tc>
        <w:tc>
          <w:tcPr>
            <w:tcW w:w="59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60" w:type="dxa"/>
            <w:vAlign w:val="bottom"/>
            <w:tcBorders>
              <w:top w:val="single" w:sz="8" w:color="auto"/>
              <w:left w:val="single" w:sz="8" w:color="auto"/>
              <w:right w:val="single" w:sz="8" w:color="auto"/>
            </w:tcBorders>
            <w:gridSpan w:val="2"/>
            <w:shd w:val="clear" w:color="auto" w:fill="C0C0C0"/>
          </w:tcPr>
          <w:p>
            <w:pPr>
              <w:ind w:left="120"/>
              <w:spacing w:after="0"/>
              <w:rPr>
                <w:sz w:val="20"/>
                <w:szCs w:val="20"/>
                <w:color w:val="auto"/>
              </w:rPr>
            </w:pPr>
            <w:r>
              <w:rPr>
                <w:rFonts w:ascii="Arial" w:cs="Arial" w:eastAsia="Arial" w:hAnsi="Arial"/>
                <w:sz w:val="18"/>
                <w:szCs w:val="18"/>
                <w:b w:val="1"/>
                <w:bCs w:val="1"/>
                <w:color w:val="auto"/>
              </w:rPr>
              <w:t>Address for service of notices</w:t>
            </w:r>
          </w:p>
        </w:tc>
        <w:tc>
          <w:tcPr>
            <w:tcW w:w="80" w:type="dxa"/>
            <w:vAlign w:val="bottom"/>
            <w:tcBorders>
              <w:top w:val="single" w:sz="8" w:color="auto"/>
            </w:tcBorders>
          </w:tcPr>
          <w:p>
            <w:pPr>
              <w:spacing w:after="0"/>
              <w:rPr>
                <w:sz w:val="20"/>
                <w:szCs w:val="20"/>
                <w:color w:val="auto"/>
              </w:rPr>
            </w:pPr>
          </w:p>
        </w:tc>
        <w:tc>
          <w:tcPr>
            <w:tcW w:w="74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Achilleas Tasioulas, c/o GasLog LNG Services Ltd., c/o 69 Akti Miaouli Piraeus, GR 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20" w:type="dxa"/>
            <w:vAlign w:val="bottom"/>
            <w:tcBorders>
              <w:left w:val="single" w:sz="8" w:color="auto"/>
              <w:bottom w:val="single" w:sz="8" w:color="C0C0C0"/>
            </w:tcBorders>
            <w:shd w:val="clear" w:color="auto" w:fill="C0C0C0"/>
          </w:tcPr>
          <w:p>
            <w:pPr>
              <w:spacing w:after="0"/>
              <w:rPr>
                <w:sz w:val="21"/>
                <w:szCs w:val="21"/>
                <w:color w:val="auto"/>
              </w:rPr>
            </w:pPr>
          </w:p>
        </w:tc>
        <w:tc>
          <w:tcPr>
            <w:tcW w:w="1740" w:type="dxa"/>
            <w:vAlign w:val="bottom"/>
            <w:tcBorders>
              <w:bottom w:val="single" w:sz="8" w:color="C0C0C0"/>
              <w:right w:val="single" w:sz="8" w:color="auto"/>
            </w:tcBorders>
            <w:shd w:val="clear" w:color="auto" w:fill="C0C0C0"/>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37, Greece</w:t>
            </w:r>
          </w:p>
        </w:tc>
        <w:tc>
          <w:tcPr>
            <w:tcW w:w="59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4"/>
        </w:trPr>
        <w:tc>
          <w:tcPr>
            <w:tcW w:w="20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80" w:type="dxa"/>
            <w:vAlign w:val="bottom"/>
            <w:tcBorders>
              <w:top w:val="single" w:sz="8" w:color="auto"/>
            </w:tcBorders>
            <w:gridSpan w:val="2"/>
          </w:tcPr>
          <w:p>
            <w:pPr>
              <w:jc w:val="center"/>
              <w:ind w:right="3870"/>
              <w:spacing w:after="0"/>
              <w:rPr>
                <w:sz w:val="20"/>
                <w:szCs w:val="20"/>
                <w:color w:val="auto"/>
              </w:rPr>
            </w:pPr>
            <w:r>
              <w:rPr>
                <w:rFonts w:ascii="Arial" w:cs="Arial" w:eastAsia="Arial" w:hAnsi="Arial"/>
                <w:sz w:val="18"/>
                <w:szCs w:val="18"/>
                <w:b w:val="1"/>
                <w:bCs w:val="1"/>
                <w:color w:val="auto"/>
                <w:w w:val="99"/>
              </w:rPr>
              <w:t>The Original Lenders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20" w:type="dxa"/>
            <w:vAlign w:val="bottom"/>
            <w:tcBorders>
              <w:left w:val="single" w:sz="8" w:color="auto"/>
              <w:bottom w:val="single" w:sz="8" w:color="C0C0C0"/>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Name</w:t>
            </w:r>
          </w:p>
        </w:tc>
        <w:tc>
          <w:tcPr>
            <w:tcW w:w="1740" w:type="dxa"/>
            <w:vAlign w:val="bottom"/>
            <w:tcBorders>
              <w:bottom w:val="single" w:sz="8" w:color="C0C0C0"/>
              <w:right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ABN AMRO BANK N.V.</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40" w:type="dxa"/>
            <w:vAlign w:val="bottom"/>
            <w:tcBorders>
              <w:top w:val="single" w:sz="8" w:color="auto"/>
              <w:left w:val="single" w:sz="8" w:color="auto"/>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Facility  Office,  address  and  attention</w:t>
            </w:r>
          </w:p>
        </w:tc>
        <w:tc>
          <w:tcPr>
            <w:tcW w:w="120" w:type="dxa"/>
            <w:vAlign w:val="bottom"/>
            <w:tcBorders>
              <w:top w:val="single" w:sz="8" w:color="auto"/>
              <w:right w:val="single" w:sz="8" w:color="auto"/>
            </w:tcBorders>
            <w:shd w:val="clear" w:color="auto" w:fill="C0C0C0"/>
          </w:tcPr>
          <w:p>
            <w:pPr>
              <w:spacing w:after="0"/>
              <w:rPr>
                <w:sz w:val="18"/>
                <w:szCs w:val="18"/>
                <w:color w:val="auto"/>
              </w:rPr>
            </w:pPr>
          </w:p>
        </w:tc>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Facility Office:</w:t>
            </w:r>
          </w:p>
        </w:tc>
        <w:tc>
          <w:tcPr>
            <w:tcW w:w="59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20" w:type="dxa"/>
            <w:vAlign w:val="bottom"/>
            <w:tcBorders>
              <w:lef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rPr>
              <w:t>details for notices</w:t>
            </w:r>
          </w:p>
        </w:tc>
        <w:tc>
          <w:tcPr>
            <w:tcW w:w="1740" w:type="dxa"/>
            <w:vAlign w:val="bottom"/>
            <w:tcBorders>
              <w:right w:val="single" w:sz="8" w:color="C0C0C0"/>
            </w:tcBorders>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20" w:type="dxa"/>
            <w:vAlign w:val="bottom"/>
            <w:tcBorders>
              <w:right w:val="single" w:sz="8" w:color="auto"/>
            </w:tcBorders>
            <w:shd w:val="clear" w:color="auto" w:fill="C0C0C0"/>
          </w:tcPr>
          <w:p>
            <w:pPr>
              <w:spacing w:after="0"/>
              <w:rPr>
                <w:sz w:val="20"/>
                <w:szCs w:val="20"/>
                <w:color w:val="auto"/>
              </w:rPr>
            </w:pPr>
          </w:p>
        </w:tc>
        <w:tc>
          <w:tcPr>
            <w:tcW w:w="1320" w:type="dxa"/>
            <w:vAlign w:val="bottom"/>
            <w:vMerge w:val="restart"/>
          </w:tcPr>
          <w:p>
            <w:pPr>
              <w:ind w:left="100"/>
              <w:spacing w:after="0"/>
              <w:rPr>
                <w:sz w:val="20"/>
                <w:szCs w:val="20"/>
                <w:color w:val="auto"/>
              </w:rPr>
            </w:pPr>
            <w:r>
              <w:rPr>
                <w:rFonts w:ascii="Arial" w:cs="Arial" w:eastAsia="Arial" w:hAnsi="Arial"/>
                <w:sz w:val="18"/>
                <w:szCs w:val="18"/>
                <w:color w:val="auto"/>
              </w:rPr>
              <w:t>Address:</w:t>
            </w:r>
          </w:p>
        </w:tc>
        <w:tc>
          <w:tcPr>
            <w:tcW w:w="596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color w:val="auto"/>
              </w:rPr>
              <w:t>Gustav Mahlerlaan 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20" w:type="dxa"/>
            <w:vAlign w:val="bottom"/>
            <w:tcBorders>
              <w:left w:val="single" w:sz="8" w:color="auto"/>
            </w:tcBorders>
            <w:shd w:val="clear" w:color="auto" w:fill="C0C0C0"/>
          </w:tcPr>
          <w:p>
            <w:pPr>
              <w:spacing w:after="0"/>
              <w:rPr>
                <w:sz w:val="5"/>
                <w:szCs w:val="5"/>
                <w:color w:val="auto"/>
              </w:rPr>
            </w:pPr>
          </w:p>
        </w:tc>
        <w:tc>
          <w:tcPr>
            <w:tcW w:w="1740" w:type="dxa"/>
            <w:vAlign w:val="bottom"/>
            <w:tcBorders>
              <w:right w:val="single" w:sz="8" w:color="C0C0C0"/>
            </w:tcBorders>
            <w:shd w:val="clear" w:color="auto" w:fill="C0C0C0"/>
          </w:tcPr>
          <w:p>
            <w:pPr>
              <w:spacing w:after="0"/>
              <w:rPr>
                <w:sz w:val="5"/>
                <w:szCs w:val="5"/>
                <w:color w:val="auto"/>
              </w:rPr>
            </w:pPr>
          </w:p>
        </w:tc>
        <w:tc>
          <w:tcPr>
            <w:tcW w:w="80" w:type="dxa"/>
            <w:vAlign w:val="bottom"/>
            <w:shd w:val="clear" w:color="auto" w:fill="C0C0C0"/>
          </w:tcPr>
          <w:p>
            <w:pPr>
              <w:spacing w:after="0"/>
              <w:rPr>
                <w:sz w:val="5"/>
                <w:szCs w:val="5"/>
                <w:color w:val="auto"/>
              </w:rPr>
            </w:pPr>
          </w:p>
        </w:tc>
        <w:tc>
          <w:tcPr>
            <w:tcW w:w="120" w:type="dxa"/>
            <w:vAlign w:val="bottom"/>
            <w:tcBorders>
              <w:right w:val="single" w:sz="8" w:color="auto"/>
            </w:tcBorders>
            <w:shd w:val="clear" w:color="auto" w:fill="C0C0C0"/>
          </w:tcPr>
          <w:p>
            <w:pPr>
              <w:spacing w:after="0"/>
              <w:rPr>
                <w:sz w:val="5"/>
                <w:szCs w:val="5"/>
                <w:color w:val="auto"/>
              </w:rPr>
            </w:pPr>
          </w:p>
        </w:tc>
        <w:tc>
          <w:tcPr>
            <w:tcW w:w="1320" w:type="dxa"/>
            <w:vAlign w:val="bottom"/>
            <w:vMerge w:val="continue"/>
          </w:tcPr>
          <w:p>
            <w:pPr>
              <w:spacing w:after="0"/>
              <w:rPr>
                <w:sz w:val="5"/>
                <w:szCs w:val="5"/>
                <w:color w:val="auto"/>
              </w:rPr>
            </w:pPr>
          </w:p>
        </w:tc>
        <w:tc>
          <w:tcPr>
            <w:tcW w:w="596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20" w:type="dxa"/>
            <w:vAlign w:val="bottom"/>
            <w:tcBorders>
              <w:left w:val="single" w:sz="8" w:color="auto"/>
            </w:tcBorders>
            <w:shd w:val="clear" w:color="auto" w:fill="C0C0C0"/>
          </w:tcPr>
          <w:p>
            <w:pPr>
              <w:spacing w:after="0"/>
              <w:rPr>
                <w:sz w:val="17"/>
                <w:szCs w:val="17"/>
                <w:color w:val="auto"/>
              </w:rPr>
            </w:pPr>
          </w:p>
        </w:tc>
        <w:tc>
          <w:tcPr>
            <w:tcW w:w="1740" w:type="dxa"/>
            <w:vAlign w:val="bottom"/>
            <w:tcBorders>
              <w:right w:val="single" w:sz="8" w:color="C0C0C0"/>
            </w:tcBorders>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20" w:type="dxa"/>
            <w:vAlign w:val="bottom"/>
            <w:tcBorders>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960" w:type="dxa"/>
            <w:vAlign w:val="bottom"/>
            <w:tcBorders>
              <w:right w:val="single" w:sz="8" w:color="auto"/>
            </w:tcBorders>
          </w:tcPr>
          <w:p>
            <w:pPr>
              <w:ind w:left="360"/>
              <w:spacing w:after="0" w:line="202" w:lineRule="exact"/>
              <w:rPr>
                <w:sz w:val="20"/>
                <w:szCs w:val="20"/>
                <w:color w:val="auto"/>
              </w:rPr>
            </w:pPr>
            <w:r>
              <w:rPr>
                <w:rFonts w:ascii="Arial" w:cs="Arial" w:eastAsia="Arial" w:hAnsi="Arial"/>
                <w:sz w:val="18"/>
                <w:szCs w:val="18"/>
                <w:color w:val="auto"/>
              </w:rPr>
              <w:t>1082 PP Amsterdam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20" w:type="dxa"/>
            <w:vAlign w:val="bottom"/>
            <w:tcBorders>
              <w:left w:val="single" w:sz="8" w:color="auto"/>
            </w:tcBorders>
            <w:shd w:val="clear" w:color="auto" w:fill="C0C0C0"/>
          </w:tcPr>
          <w:p>
            <w:pPr>
              <w:spacing w:after="0"/>
              <w:rPr>
                <w:sz w:val="18"/>
                <w:szCs w:val="18"/>
                <w:color w:val="auto"/>
              </w:rPr>
            </w:pPr>
          </w:p>
        </w:tc>
        <w:tc>
          <w:tcPr>
            <w:tcW w:w="1740" w:type="dxa"/>
            <w:vAlign w:val="bottom"/>
            <w:tcBorders>
              <w:right w:val="single" w:sz="8" w:color="C0C0C0"/>
            </w:tcBorders>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20" w:type="dxa"/>
            <w:vAlign w:val="bottom"/>
            <w:tcBorders>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9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2020" w:type="dxa"/>
            <w:vAlign w:val="bottom"/>
            <w:tcBorders>
              <w:left w:val="single" w:sz="8" w:color="auto"/>
            </w:tcBorders>
            <w:shd w:val="clear" w:color="auto" w:fill="C0C0C0"/>
          </w:tcPr>
          <w:p>
            <w:pPr>
              <w:spacing w:after="0"/>
              <w:rPr>
                <w:sz w:val="24"/>
                <w:szCs w:val="24"/>
                <w:color w:val="auto"/>
              </w:rPr>
            </w:pPr>
          </w:p>
        </w:tc>
        <w:tc>
          <w:tcPr>
            <w:tcW w:w="1740" w:type="dxa"/>
            <w:vAlign w:val="bottom"/>
            <w:tcBorders>
              <w:right w:val="single" w:sz="8" w:color="C0C0C0"/>
            </w:tcBorders>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120" w:type="dxa"/>
            <w:vAlign w:val="bottom"/>
            <w:tcBorders>
              <w:right w:val="single" w:sz="8" w:color="auto"/>
            </w:tcBorders>
            <w:shd w:val="clear" w:color="auto" w:fill="C0C0C0"/>
          </w:tcPr>
          <w:p>
            <w:pPr>
              <w:spacing w:after="0"/>
              <w:rPr>
                <w:sz w:val="24"/>
                <w:szCs w:val="24"/>
                <w:color w:val="auto"/>
              </w:rPr>
            </w:pPr>
          </w:p>
        </w:tc>
        <w:tc>
          <w:tcPr>
            <w:tcW w:w="1320" w:type="dxa"/>
            <w:vAlign w:val="bottom"/>
          </w:tcPr>
          <w:p>
            <w:pPr>
              <w:ind w:left="100"/>
              <w:spacing w:after="0"/>
              <w:rPr>
                <w:sz w:val="20"/>
                <w:szCs w:val="20"/>
                <w:color w:val="auto"/>
              </w:rPr>
            </w:pPr>
            <w:r>
              <w:rPr>
                <w:rFonts w:ascii="Arial" w:cs="Arial" w:eastAsia="Arial" w:hAnsi="Arial"/>
                <w:sz w:val="18"/>
                <w:szCs w:val="18"/>
                <w:color w:val="auto"/>
              </w:rPr>
              <w:t>Attention:</w:t>
            </w:r>
          </w:p>
        </w:tc>
        <w:tc>
          <w:tcPr>
            <w:tcW w:w="59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Agency Syndicated Loans / Agency Team 1 / PAC HQ9037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20" w:type="dxa"/>
            <w:vAlign w:val="bottom"/>
            <w:tcBorders>
              <w:left w:val="single" w:sz="8" w:color="auto"/>
            </w:tcBorders>
            <w:shd w:val="clear" w:color="auto" w:fill="C0C0C0"/>
          </w:tcPr>
          <w:p>
            <w:pPr>
              <w:spacing w:after="0"/>
              <w:rPr>
                <w:sz w:val="24"/>
                <w:szCs w:val="24"/>
                <w:color w:val="auto"/>
              </w:rPr>
            </w:pPr>
          </w:p>
        </w:tc>
        <w:tc>
          <w:tcPr>
            <w:tcW w:w="1740" w:type="dxa"/>
            <w:vAlign w:val="bottom"/>
            <w:tcBorders>
              <w:right w:val="single" w:sz="8" w:color="C0C0C0"/>
            </w:tcBorders>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120" w:type="dxa"/>
            <w:vAlign w:val="bottom"/>
            <w:tcBorders>
              <w:right w:val="single" w:sz="8" w:color="auto"/>
            </w:tcBorders>
            <w:shd w:val="clear" w:color="auto" w:fill="C0C0C0"/>
          </w:tcPr>
          <w:p>
            <w:pPr>
              <w:spacing w:after="0"/>
              <w:rPr>
                <w:sz w:val="24"/>
                <w:szCs w:val="24"/>
                <w:color w:val="auto"/>
              </w:rPr>
            </w:pPr>
          </w:p>
        </w:tc>
        <w:tc>
          <w:tcPr>
            <w:tcW w:w="1320" w:type="dxa"/>
            <w:vAlign w:val="bottom"/>
          </w:tcPr>
          <w:p>
            <w:pPr>
              <w:ind w:left="100"/>
              <w:spacing w:after="0"/>
              <w:rPr>
                <w:sz w:val="20"/>
                <w:szCs w:val="20"/>
                <w:color w:val="auto"/>
              </w:rPr>
            </w:pPr>
            <w:r>
              <w:rPr>
                <w:rFonts w:ascii="Arial" w:cs="Arial" w:eastAsia="Arial" w:hAnsi="Arial"/>
                <w:sz w:val="18"/>
                <w:szCs w:val="18"/>
                <w:color w:val="auto"/>
              </w:rPr>
              <w:t>Email:</w:t>
            </w:r>
          </w:p>
        </w:tc>
        <w:tc>
          <w:tcPr>
            <w:tcW w:w="59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abn.amro.agency.team.1@nl.abnamro.com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840" w:type="dxa"/>
            <w:vAlign w:val="bottom"/>
            <w:tcBorders>
              <w:left w:val="single" w:sz="8" w:color="auto"/>
              <w:bottom w:val="single" w:sz="8" w:color="auto"/>
            </w:tcBorders>
            <w:gridSpan w:val="3"/>
            <w:shd w:val="clear" w:color="auto" w:fill="C0C0C0"/>
          </w:tcPr>
          <w:p>
            <w:pPr>
              <w:spacing w:after="0"/>
              <w:rPr>
                <w:sz w:val="24"/>
                <w:szCs w:val="24"/>
                <w:color w:val="auto"/>
              </w:rPr>
            </w:pPr>
          </w:p>
        </w:tc>
        <w:tc>
          <w:tcPr>
            <w:tcW w:w="120" w:type="dxa"/>
            <w:vAlign w:val="bottom"/>
            <w:tcBorders>
              <w:bottom w:val="single" w:sz="8" w:color="auto"/>
              <w:right w:val="single" w:sz="8" w:color="auto"/>
            </w:tcBorders>
            <w:shd w:val="clear" w:color="auto" w:fill="C0C0C0"/>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40" w:type="dxa"/>
            <w:vAlign w:val="bottom"/>
            <w:tcBorders>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Term Loan Commitment ($)</w:t>
            </w:r>
          </w:p>
        </w:tc>
        <w:tc>
          <w:tcPr>
            <w:tcW w:w="120" w:type="dxa"/>
            <w:vAlign w:val="bottom"/>
            <w:tcBorders>
              <w:bottom w:val="single" w:sz="8" w:color="C0C0C0"/>
              <w:right w:val="single" w:sz="8" w:color="auto"/>
            </w:tcBorders>
            <w:shd w:val="clear" w:color="auto" w:fill="C0C0C0"/>
          </w:tcPr>
          <w:p>
            <w:pPr>
              <w:spacing w:after="0"/>
              <w:rPr>
                <w:sz w:val="24"/>
                <w:szCs w:val="24"/>
                <w:color w:val="auto"/>
              </w:rPr>
            </w:pPr>
          </w:p>
        </w:tc>
        <w:tc>
          <w:tcPr>
            <w:tcW w:w="1320" w:type="dxa"/>
            <w:vAlign w:val="bottom"/>
          </w:tcPr>
          <w:p>
            <w:pPr>
              <w:ind w:left="100"/>
              <w:spacing w:after="0"/>
              <w:rPr>
                <w:sz w:val="20"/>
                <w:szCs w:val="20"/>
                <w:color w:val="auto"/>
              </w:rPr>
            </w:pPr>
            <w:r>
              <w:rPr>
                <w:rFonts w:ascii="Arial" w:cs="Arial" w:eastAsia="Arial" w:hAnsi="Arial"/>
                <w:sz w:val="18"/>
                <w:szCs w:val="18"/>
                <w:color w:val="auto"/>
              </w:rPr>
              <w:t>$114,994,186</w:t>
            </w:r>
          </w:p>
        </w:tc>
        <w:tc>
          <w:tcPr>
            <w:tcW w:w="59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4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Revolving Loan Commitment ($)</w:t>
            </w:r>
          </w:p>
        </w:tc>
        <w:tc>
          <w:tcPr>
            <w:tcW w:w="1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$19,165,698</w:t>
            </w:r>
          </w:p>
        </w:tc>
        <w:tc>
          <w:tcPr>
            <w:tcW w:w="596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40" w:type="dxa"/>
            <w:vAlign w:val="bottom"/>
            <w:tcBorders>
              <w:top w:val="single" w:sz="8" w:color="auto"/>
              <w:left w:val="single" w:sz="8" w:color="auto"/>
              <w:bottom w:val="single" w:sz="8" w:color="C0C0C0"/>
            </w:tcBorders>
            <w:gridSpan w:val="3"/>
            <w:shd w:val="clear" w:color="auto" w:fill="C0C0C0"/>
          </w:tcPr>
          <w:p>
            <w:pPr>
              <w:ind w:left="120"/>
              <w:spacing w:after="0"/>
              <w:rPr>
                <w:sz w:val="20"/>
                <w:szCs w:val="20"/>
                <w:color w:val="auto"/>
              </w:rPr>
            </w:pPr>
            <w:r>
              <w:rPr>
                <w:rFonts w:ascii="Arial" w:cs="Arial" w:eastAsia="Arial" w:hAnsi="Arial"/>
                <w:sz w:val="18"/>
                <w:szCs w:val="18"/>
                <w:b w:val="1"/>
                <w:bCs w:val="1"/>
                <w:color w:val="auto"/>
              </w:rPr>
              <w:t>Aggregate Lender’s Commitments ($)</w:t>
            </w:r>
          </w:p>
        </w:tc>
        <w:tc>
          <w:tcPr>
            <w:tcW w:w="1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$134,159,884</w:t>
            </w:r>
          </w:p>
        </w:tc>
        <w:tc>
          <w:tcPr>
            <w:tcW w:w="5960" w:type="dxa"/>
            <w:vAlign w:val="bottom"/>
            <w:tcBorders>
              <w:top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960" w:type="dxa"/>
            <w:vAlign w:val="bottom"/>
            <w:tcBorders>
              <w:top w:val="single" w:sz="8" w:color="auto"/>
            </w:tcBorders>
          </w:tcPr>
          <w:p>
            <w:pPr>
              <w:jc w:val="center"/>
              <w:ind w:right="5170"/>
              <w:spacing w:after="0"/>
              <w:rPr>
                <w:sz w:val="20"/>
                <w:szCs w:val="20"/>
                <w:color w:val="auto"/>
              </w:rPr>
            </w:pPr>
            <w:r>
              <w:rPr>
                <w:rFonts w:ascii="Arial" w:cs="Arial" w:eastAsia="Arial" w:hAnsi="Arial"/>
                <w:sz w:val="18"/>
                <w:szCs w:val="18"/>
                <w:color w:val="auto"/>
                <w:w w:val="99"/>
              </w:rPr>
              <w:t>165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172" w:name="page173"/>
    <w:bookmarkEnd w:id="172"/>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Name</w:t>
            </w:r>
          </w:p>
        </w:tc>
        <w:tc>
          <w:tcPr>
            <w:tcW w:w="73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Citibank, N.A., London Branch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86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w:t>
            </w:r>
          </w:p>
        </w:tc>
        <w:tc>
          <w:tcPr>
            <w:tcW w:w="1340" w:type="dxa"/>
            <w:vAlign w:val="bottom"/>
          </w:tcPr>
          <w:p>
            <w:pPr>
              <w:ind w:left="180"/>
              <w:spacing w:after="0" w:line="173" w:lineRule="exact"/>
              <w:rPr>
                <w:sz w:val="20"/>
                <w:szCs w:val="20"/>
                <w:color w:val="auto"/>
              </w:rPr>
            </w:pPr>
            <w:r>
              <w:rPr>
                <w:rFonts w:ascii="Arial" w:cs="Arial" w:eastAsia="Arial" w:hAnsi="Arial"/>
                <w:sz w:val="18"/>
                <w:szCs w:val="18"/>
                <w:color w:val="auto"/>
              </w:rPr>
              <w:t>Facility Office:</w:t>
            </w:r>
          </w:p>
        </w:tc>
        <w:tc>
          <w:tcPr>
            <w:tcW w:w="60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86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details for notices</w:t>
            </w:r>
          </w:p>
        </w:tc>
        <w:tc>
          <w:tcPr>
            <w:tcW w:w="1340" w:type="dxa"/>
            <w:vAlign w:val="bottom"/>
            <w:vMerge w:val="restart"/>
          </w:tcPr>
          <w:p>
            <w:pPr>
              <w:ind w:left="180"/>
              <w:spacing w:after="0"/>
              <w:rPr>
                <w:sz w:val="20"/>
                <w:szCs w:val="20"/>
                <w:color w:val="auto"/>
              </w:rPr>
            </w:pPr>
            <w:r>
              <w:rPr>
                <w:rFonts w:ascii="Arial" w:cs="Arial" w:eastAsia="Arial" w:hAnsi="Arial"/>
                <w:sz w:val="18"/>
                <w:szCs w:val="18"/>
                <w:color w:val="auto"/>
              </w:rPr>
              <w:t>Address:</w:t>
            </w:r>
          </w:p>
        </w:tc>
        <w:tc>
          <w:tcPr>
            <w:tcW w:w="6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Citigroup Centre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860" w:type="dxa"/>
            <w:vAlign w:val="bottom"/>
            <w:tcBorders>
              <w:left w:val="single" w:sz="8" w:color="auto"/>
              <w:right w:val="single" w:sz="8" w:color="auto"/>
            </w:tcBorders>
            <w:shd w:val="clear" w:color="auto" w:fill="C0C0C0"/>
          </w:tcPr>
          <w:p>
            <w:pPr>
              <w:spacing w:after="0"/>
              <w:rPr>
                <w:sz w:val="16"/>
                <w:szCs w:val="16"/>
                <w:color w:val="auto"/>
              </w:rPr>
            </w:pPr>
          </w:p>
        </w:tc>
        <w:tc>
          <w:tcPr>
            <w:tcW w:w="1340" w:type="dxa"/>
            <w:vAlign w:val="bottom"/>
            <w:vMerge w:val="continue"/>
          </w:tcPr>
          <w:p>
            <w:pPr>
              <w:spacing w:after="0"/>
              <w:rPr>
                <w:sz w:val="16"/>
                <w:szCs w:val="16"/>
                <w:color w:val="auto"/>
              </w:rPr>
            </w:pPr>
          </w:p>
        </w:tc>
        <w:tc>
          <w:tcPr>
            <w:tcW w:w="60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Canada Square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London E14 5LB</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6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134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Vassilios Maroulis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73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80"/>
              <w:spacing w:after="0" w:line="202" w:lineRule="exact"/>
              <w:rPr>
                <w:sz w:val="20"/>
                <w:szCs w:val="20"/>
                <w:color w:val="auto"/>
              </w:rPr>
            </w:pPr>
            <w:r>
              <w:rPr>
                <w:rFonts w:ascii="Arial" w:cs="Arial" w:eastAsia="Arial" w:hAnsi="Arial"/>
                <w:sz w:val="18"/>
                <w:szCs w:val="18"/>
                <w:color w:val="auto"/>
              </w:rPr>
              <w:t>Address:</w:t>
            </w: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Citigroup Centre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Canada Square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London E14 5LB</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6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1340" w:type="dxa"/>
            <w:vAlign w:val="bottom"/>
          </w:tcPr>
          <w:p>
            <w:pPr>
              <w:ind w:left="180"/>
              <w:spacing w:after="0"/>
              <w:rPr>
                <w:sz w:val="20"/>
                <w:szCs w:val="20"/>
                <w:color w:val="auto"/>
              </w:rPr>
            </w:pPr>
            <w:r>
              <w:rPr>
                <w:rFonts w:ascii="Arial" w:cs="Arial" w:eastAsia="Arial" w:hAnsi="Arial"/>
                <w:sz w:val="18"/>
                <w:szCs w:val="18"/>
                <w:color w:val="auto"/>
              </w:rPr>
              <w:t>Tel:</w:t>
            </w:r>
          </w:p>
        </w:tc>
        <w:tc>
          <w:tcPr>
            <w:tcW w:w="6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+ 44 (0)20 7986 7103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80"/>
              <w:spacing w:after="0" w:line="202" w:lineRule="exact"/>
              <w:rPr>
                <w:sz w:val="20"/>
                <w:szCs w:val="20"/>
                <w:color w:val="auto"/>
              </w:rPr>
            </w:pPr>
            <w:r>
              <w:rPr>
                <w:rFonts w:ascii="Arial" w:cs="Arial" w:eastAsia="Arial" w:hAnsi="Arial"/>
                <w:sz w:val="18"/>
                <w:szCs w:val="18"/>
                <w:color w:val="auto"/>
              </w:rPr>
              <w:t>Email:</w:t>
            </w: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jonathan.graham@citi.com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Jonathan Graham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73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80"/>
              <w:spacing w:after="0" w:line="202" w:lineRule="exact"/>
              <w:rPr>
                <w:sz w:val="20"/>
                <w:szCs w:val="20"/>
                <w:color w:val="auto"/>
              </w:rPr>
            </w:pPr>
            <w:r>
              <w:rPr>
                <w:rFonts w:ascii="Arial" w:cs="Arial" w:eastAsia="Arial" w:hAnsi="Arial"/>
                <w:sz w:val="18"/>
                <w:szCs w:val="18"/>
                <w:color w:val="auto"/>
              </w:rPr>
              <w:t>Address:</w:t>
            </w: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Loans Processing Unit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Citibank Europe plc, Poland Branch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on behalf of Citibank N.A. London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Prosta 36 Street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Warszawa 00-838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6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Poland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860" w:type="dxa"/>
            <w:vAlign w:val="bottom"/>
            <w:tcBorders>
              <w:left w:val="single" w:sz="8" w:color="auto"/>
              <w:right w:val="single" w:sz="8" w:color="auto"/>
            </w:tcBorders>
            <w:shd w:val="clear" w:color="auto" w:fill="C0C0C0"/>
          </w:tcPr>
          <w:p>
            <w:pPr>
              <w:spacing w:after="0"/>
              <w:rPr>
                <w:sz w:val="24"/>
                <w:szCs w:val="24"/>
                <w:color w:val="auto"/>
              </w:rPr>
            </w:pPr>
          </w:p>
        </w:tc>
        <w:tc>
          <w:tcPr>
            <w:tcW w:w="1340" w:type="dxa"/>
            <w:vAlign w:val="bottom"/>
          </w:tcPr>
          <w:p>
            <w:pPr>
              <w:ind w:left="180"/>
              <w:spacing w:after="0"/>
              <w:rPr>
                <w:sz w:val="20"/>
                <w:szCs w:val="20"/>
                <w:color w:val="auto"/>
              </w:rPr>
            </w:pPr>
            <w:r>
              <w:rPr>
                <w:rFonts w:ascii="Arial" w:cs="Arial" w:eastAsia="Arial" w:hAnsi="Arial"/>
                <w:sz w:val="18"/>
                <w:szCs w:val="18"/>
                <w:color w:val="auto"/>
              </w:rPr>
              <w:t>Tel:</w:t>
            </w:r>
          </w:p>
        </w:tc>
        <w:tc>
          <w:tcPr>
            <w:tcW w:w="6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+48 22 148 1366 / +48 22 148 1387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80"/>
              <w:spacing w:after="0" w:line="202" w:lineRule="exact"/>
              <w:rPr>
                <w:sz w:val="20"/>
                <w:szCs w:val="20"/>
                <w:color w:val="auto"/>
              </w:rPr>
            </w:pPr>
            <w:r>
              <w:rPr>
                <w:rFonts w:ascii="Arial" w:cs="Arial" w:eastAsia="Arial" w:hAnsi="Arial"/>
                <w:sz w:val="18"/>
                <w:szCs w:val="18"/>
                <w:color w:val="auto"/>
              </w:rPr>
              <w:t>Email:</w:t>
            </w:r>
          </w:p>
        </w:tc>
        <w:tc>
          <w:tcPr>
            <w:tcW w:w="60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londonloans@citi.com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134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Attention:</w:t>
            </w:r>
          </w:p>
        </w:tc>
        <w:tc>
          <w:tcPr>
            <w:tcW w:w="6040" w:type="dxa"/>
            <w:vAlign w:val="bottom"/>
            <w:tcBorders>
              <w:bottom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Adam Drozd / Katarzyna Paduchowska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Term Loan Commitment ($)</w:t>
            </w:r>
          </w:p>
        </w:tc>
        <w:tc>
          <w:tcPr>
            <w:tcW w:w="13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$114,994,186</w:t>
            </w:r>
          </w:p>
        </w:tc>
        <w:tc>
          <w:tcPr>
            <w:tcW w:w="60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Revolving Loan Commitment ($)</w:t>
            </w:r>
          </w:p>
        </w:tc>
        <w:tc>
          <w:tcPr>
            <w:tcW w:w="13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$19,165,698</w:t>
            </w:r>
          </w:p>
        </w:tc>
        <w:tc>
          <w:tcPr>
            <w:tcW w:w="60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Aggregate Lender’s Commitments ($)</w:t>
            </w:r>
          </w:p>
        </w:tc>
        <w:tc>
          <w:tcPr>
            <w:tcW w:w="134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$134,159,884</w:t>
            </w:r>
          </w:p>
        </w:tc>
        <w:tc>
          <w:tcPr>
            <w:tcW w:w="60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40" w:type="dxa"/>
            <w:vAlign w:val="bottom"/>
          </w:tcPr>
          <w:p>
            <w:pPr>
              <w:ind w:left="28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8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73" w:name="page174"/>
    <w:bookmarkEnd w:id="173"/>
    <w:tbl>
      <w:tblPr>
        <w:tblLayout w:type="fixed"/>
        <w:tblInd w:w="10" w:type="dxa"/>
        <w:tblCellMar>
          <w:top w:w="0" w:type="dxa"/>
          <w:left w:w="0" w:type="dxa"/>
          <w:bottom w:w="0" w:type="dxa"/>
          <w:right w:w="0" w:type="dxa"/>
        </w:tblCellMar>
      </w:tblPr>
      <w:tr>
        <w:trPr>
          <w:trHeight w:val="216"/>
        </w:trPr>
        <w:tc>
          <w:tcPr>
            <w:tcW w:w="39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Name</w:t>
            </w:r>
          </w:p>
        </w:tc>
        <w:tc>
          <w:tcPr>
            <w:tcW w:w="72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Credit Agricole Corporate and Investment Bank</w:t>
            </w:r>
          </w:p>
        </w:tc>
        <w:tc>
          <w:tcPr>
            <w:tcW w:w="40" w:type="dxa"/>
            <w:vAlign w:val="bottom"/>
          </w:tcPr>
          <w:p>
            <w:pPr>
              <w:spacing w:after="0"/>
              <w:rPr>
                <w:sz w:val="18"/>
                <w:szCs w:val="18"/>
                <w:color w:val="auto"/>
              </w:rPr>
            </w:pPr>
          </w:p>
        </w:tc>
      </w:tr>
      <w:tr>
        <w:trPr>
          <w:trHeight w:val="173"/>
        </w:trPr>
        <w:tc>
          <w:tcPr>
            <w:tcW w:w="396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 details</w:t>
            </w:r>
          </w:p>
        </w:tc>
        <w:tc>
          <w:tcPr>
            <w:tcW w:w="1280" w:type="dxa"/>
            <w:vAlign w:val="bottom"/>
          </w:tcPr>
          <w:p>
            <w:pPr>
              <w:ind w:left="180"/>
              <w:spacing w:after="0" w:line="173" w:lineRule="exact"/>
              <w:rPr>
                <w:sz w:val="20"/>
                <w:szCs w:val="20"/>
                <w:color w:val="auto"/>
              </w:rPr>
            </w:pPr>
            <w:r>
              <w:rPr>
                <w:rFonts w:ascii="Arial" w:cs="Arial" w:eastAsia="Arial" w:hAnsi="Arial"/>
                <w:sz w:val="18"/>
                <w:szCs w:val="18"/>
                <w:color w:val="auto"/>
              </w:rPr>
              <w:t>Address:</w:t>
            </w:r>
          </w:p>
        </w:tc>
        <w:tc>
          <w:tcPr>
            <w:tcW w:w="6000" w:type="dxa"/>
            <w:vAlign w:val="bottom"/>
            <w:tcBorders>
              <w:right w:val="single" w:sz="8" w:color="auto"/>
            </w:tcBorders>
          </w:tcPr>
          <w:p>
            <w:pPr>
              <w:ind w:left="80"/>
              <w:spacing w:after="0" w:line="173" w:lineRule="exact"/>
              <w:rPr>
                <w:sz w:val="20"/>
                <w:szCs w:val="20"/>
                <w:color w:val="auto"/>
              </w:rPr>
            </w:pPr>
            <w:r>
              <w:rPr>
                <w:rFonts w:ascii="Arial" w:cs="Arial" w:eastAsia="Arial" w:hAnsi="Arial"/>
                <w:sz w:val="18"/>
                <w:szCs w:val="18"/>
                <w:color w:val="auto"/>
              </w:rPr>
              <w:t>12, place des Etats-Unis</w:t>
            </w:r>
          </w:p>
        </w:tc>
        <w:tc>
          <w:tcPr>
            <w:tcW w:w="40" w:type="dxa"/>
            <w:vAlign w:val="bottom"/>
          </w:tcPr>
          <w:p>
            <w:pPr>
              <w:spacing w:after="0"/>
              <w:rPr>
                <w:sz w:val="15"/>
                <w:szCs w:val="15"/>
                <w:color w:val="auto"/>
              </w:rPr>
            </w:pPr>
          </w:p>
        </w:tc>
      </w:tr>
      <w:tr>
        <w:trPr>
          <w:trHeight w:val="224"/>
        </w:trPr>
        <w:tc>
          <w:tcPr>
            <w:tcW w:w="396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for notices</w:t>
            </w:r>
          </w:p>
        </w:tc>
        <w:tc>
          <w:tcPr>
            <w:tcW w:w="1280" w:type="dxa"/>
            <w:vAlign w:val="bottom"/>
          </w:tcPr>
          <w:p>
            <w:pPr>
              <w:spacing w:after="0"/>
              <w:rPr>
                <w:sz w:val="19"/>
                <w:szCs w:val="19"/>
                <w:color w:val="auto"/>
              </w:rPr>
            </w:pPr>
          </w:p>
        </w:tc>
        <w:tc>
          <w:tcPr>
            <w:tcW w:w="6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CS 70052, 92547 Montrouge Cedex</w:t>
            </w:r>
          </w:p>
        </w:tc>
        <w:tc>
          <w:tcPr>
            <w:tcW w:w="40" w:type="dxa"/>
            <w:vAlign w:val="bottom"/>
          </w:tcPr>
          <w:p>
            <w:pPr>
              <w:spacing w:after="0"/>
              <w:rPr>
                <w:sz w:val="19"/>
                <w:szCs w:val="19"/>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12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Clémentine Costil / Cyprien Foulfoin</w:t>
            </w:r>
          </w:p>
        </w:tc>
        <w:tc>
          <w:tcPr>
            <w:tcW w:w="40" w:type="dxa"/>
            <w:vAlign w:val="bottom"/>
          </w:tcPr>
          <w:p>
            <w:pPr>
              <w:spacing w:after="0"/>
              <w:rPr>
                <w:sz w:val="18"/>
                <w:szCs w:val="18"/>
                <w:color w:val="auto"/>
              </w:rPr>
            </w:pP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280" w:type="dxa"/>
            <w:vAlign w:val="bottom"/>
          </w:tcPr>
          <w:p>
            <w:pPr>
              <w:ind w:left="180"/>
              <w:spacing w:after="0" w:line="202" w:lineRule="exact"/>
              <w:rPr>
                <w:sz w:val="20"/>
                <w:szCs w:val="20"/>
                <w:color w:val="auto"/>
              </w:rPr>
            </w:pPr>
            <w:r>
              <w:rPr>
                <w:rFonts w:ascii="Arial" w:cs="Arial" w:eastAsia="Arial" w:hAnsi="Arial"/>
                <w:sz w:val="18"/>
                <w:szCs w:val="18"/>
                <w:color w:val="auto"/>
              </w:rPr>
              <w:t>Address:</w:t>
            </w:r>
          </w:p>
        </w:tc>
        <w:tc>
          <w:tcPr>
            <w:tcW w:w="60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Crédit Agricole CIB London</w:t>
            </w:r>
          </w:p>
        </w:tc>
        <w:tc>
          <w:tcPr>
            <w:tcW w:w="40" w:type="dxa"/>
            <w:vAlign w:val="bottom"/>
          </w:tcPr>
          <w:p>
            <w:pPr>
              <w:spacing w:after="0"/>
              <w:rPr>
                <w:sz w:val="17"/>
                <w:szCs w:val="17"/>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280" w:type="dxa"/>
            <w:vAlign w:val="bottom"/>
          </w:tcPr>
          <w:p>
            <w:pPr>
              <w:spacing w:after="0"/>
              <w:rPr>
                <w:sz w:val="17"/>
                <w:szCs w:val="17"/>
                <w:color w:val="auto"/>
              </w:rPr>
            </w:pPr>
          </w:p>
        </w:tc>
        <w:tc>
          <w:tcPr>
            <w:tcW w:w="60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Broadwalk House, 5 Appold Street</w:t>
            </w:r>
          </w:p>
        </w:tc>
        <w:tc>
          <w:tcPr>
            <w:tcW w:w="40" w:type="dxa"/>
            <w:vAlign w:val="bottom"/>
          </w:tcPr>
          <w:p>
            <w:pPr>
              <w:spacing w:after="0"/>
              <w:rPr>
                <w:sz w:val="17"/>
                <w:szCs w:val="17"/>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1280" w:type="dxa"/>
            <w:vAlign w:val="bottom"/>
          </w:tcPr>
          <w:p>
            <w:pPr>
              <w:spacing w:after="0"/>
              <w:rPr>
                <w:sz w:val="18"/>
                <w:szCs w:val="18"/>
                <w:color w:val="auto"/>
              </w:rPr>
            </w:pPr>
          </w:p>
        </w:tc>
        <w:tc>
          <w:tcPr>
            <w:tcW w:w="6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London, EC2A 2DA – United Kingdom</w:t>
            </w:r>
          </w:p>
        </w:tc>
        <w:tc>
          <w:tcPr>
            <w:tcW w:w="40" w:type="dxa"/>
            <w:vAlign w:val="bottom"/>
          </w:tcPr>
          <w:p>
            <w:pPr>
              <w:spacing w:after="0"/>
              <w:rPr>
                <w:sz w:val="18"/>
                <w:szCs w:val="18"/>
                <w:color w:val="auto"/>
              </w:rPr>
            </w:pP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1280" w:type="dxa"/>
            <w:vAlign w:val="bottom"/>
          </w:tcPr>
          <w:p>
            <w:pPr>
              <w:ind w:left="180"/>
              <w:spacing w:after="0"/>
              <w:rPr>
                <w:sz w:val="20"/>
                <w:szCs w:val="20"/>
                <w:color w:val="auto"/>
              </w:rPr>
            </w:pPr>
            <w:r>
              <w:rPr>
                <w:rFonts w:ascii="Arial" w:cs="Arial" w:eastAsia="Arial" w:hAnsi="Arial"/>
                <w:sz w:val="18"/>
                <w:szCs w:val="18"/>
                <w:color w:val="auto"/>
              </w:rPr>
              <w:t>Tel:</w:t>
            </w:r>
          </w:p>
        </w:tc>
        <w:tc>
          <w:tcPr>
            <w:tcW w:w="6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+44 207 214 59 82</w:t>
            </w:r>
          </w:p>
        </w:tc>
        <w:tc>
          <w:tcPr>
            <w:tcW w:w="40" w:type="dxa"/>
            <w:vAlign w:val="bottom"/>
          </w:tcPr>
          <w:p>
            <w:pPr>
              <w:spacing w:after="0"/>
              <w:rPr>
                <w:sz w:val="24"/>
                <w:szCs w:val="24"/>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12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Daniel Quirk / Luca Zabeo / Justin Lande</w:t>
            </w:r>
          </w:p>
        </w:tc>
        <w:tc>
          <w:tcPr>
            <w:tcW w:w="40" w:type="dxa"/>
            <w:vAlign w:val="bottom"/>
          </w:tcPr>
          <w:p>
            <w:pPr>
              <w:spacing w:after="0"/>
              <w:rPr>
                <w:sz w:val="18"/>
                <w:szCs w:val="18"/>
                <w:color w:val="auto"/>
              </w:rPr>
            </w:pP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72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For Operational Matters:</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right w:val="single" w:sz="8" w:color="auto"/>
            </w:tcBorders>
            <w:shd w:val="clear" w:color="auto" w:fill="C0C0C0"/>
          </w:tcPr>
          <w:p>
            <w:pPr>
              <w:spacing w:after="0"/>
              <w:rPr>
                <w:sz w:val="17"/>
                <w:szCs w:val="17"/>
                <w:color w:val="auto"/>
              </w:rPr>
            </w:pPr>
          </w:p>
        </w:tc>
        <w:tc>
          <w:tcPr>
            <w:tcW w:w="1280" w:type="dxa"/>
            <w:vAlign w:val="bottom"/>
          </w:tcPr>
          <w:p>
            <w:pPr>
              <w:ind w:left="180"/>
              <w:spacing w:after="0" w:line="202" w:lineRule="exact"/>
              <w:rPr>
                <w:sz w:val="20"/>
                <w:szCs w:val="20"/>
                <w:color w:val="auto"/>
              </w:rPr>
            </w:pPr>
            <w:r>
              <w:rPr>
                <w:rFonts w:ascii="Arial" w:cs="Arial" w:eastAsia="Arial" w:hAnsi="Arial"/>
                <w:sz w:val="18"/>
                <w:szCs w:val="18"/>
                <w:color w:val="auto"/>
              </w:rPr>
              <w:t>Address:</w:t>
            </w:r>
          </w:p>
        </w:tc>
        <w:tc>
          <w:tcPr>
            <w:tcW w:w="60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12, place des Etats-Unis,</w:t>
            </w:r>
          </w:p>
        </w:tc>
        <w:tc>
          <w:tcPr>
            <w:tcW w:w="40" w:type="dxa"/>
            <w:vAlign w:val="bottom"/>
          </w:tcPr>
          <w:p>
            <w:pPr>
              <w:spacing w:after="0"/>
              <w:rPr>
                <w:sz w:val="17"/>
                <w:szCs w:val="17"/>
                <w:color w:val="auto"/>
              </w:rPr>
            </w:pPr>
          </w:p>
        </w:tc>
      </w:tr>
      <w:tr>
        <w:trPr>
          <w:trHeight w:val="217"/>
        </w:trPr>
        <w:tc>
          <w:tcPr>
            <w:tcW w:w="3960" w:type="dxa"/>
            <w:vAlign w:val="bottom"/>
            <w:tcBorders>
              <w:left w:val="single" w:sz="8" w:color="auto"/>
              <w:right w:val="single" w:sz="8" w:color="auto"/>
            </w:tcBorders>
            <w:shd w:val="clear" w:color="auto" w:fill="C0C0C0"/>
          </w:tcPr>
          <w:p>
            <w:pPr>
              <w:spacing w:after="0"/>
              <w:rPr>
                <w:sz w:val="18"/>
                <w:szCs w:val="18"/>
                <w:color w:val="auto"/>
              </w:rPr>
            </w:pPr>
          </w:p>
        </w:tc>
        <w:tc>
          <w:tcPr>
            <w:tcW w:w="1280" w:type="dxa"/>
            <w:vAlign w:val="bottom"/>
          </w:tcPr>
          <w:p>
            <w:pPr>
              <w:spacing w:after="0"/>
              <w:rPr>
                <w:sz w:val="18"/>
                <w:szCs w:val="18"/>
                <w:color w:val="auto"/>
              </w:rPr>
            </w:pPr>
          </w:p>
        </w:tc>
        <w:tc>
          <w:tcPr>
            <w:tcW w:w="6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CS 70052, 92547 Montrouge Cedex</w:t>
            </w:r>
          </w:p>
        </w:tc>
        <w:tc>
          <w:tcPr>
            <w:tcW w:w="40" w:type="dxa"/>
            <w:vAlign w:val="bottom"/>
          </w:tcPr>
          <w:p>
            <w:pPr>
              <w:spacing w:after="0"/>
              <w:rPr>
                <w:sz w:val="18"/>
                <w:szCs w:val="18"/>
                <w:color w:val="auto"/>
              </w:rPr>
            </w:pPr>
          </w:p>
        </w:tc>
      </w:tr>
      <w:tr>
        <w:trPr>
          <w:trHeight w:val="391"/>
        </w:trPr>
        <w:tc>
          <w:tcPr>
            <w:tcW w:w="3960" w:type="dxa"/>
            <w:vAlign w:val="bottom"/>
            <w:tcBorders>
              <w:left w:val="single" w:sz="8" w:color="auto"/>
              <w:right w:val="single" w:sz="8" w:color="auto"/>
            </w:tcBorders>
            <w:shd w:val="clear" w:color="auto" w:fill="C0C0C0"/>
          </w:tcPr>
          <w:p>
            <w:pPr>
              <w:spacing w:after="0"/>
              <w:rPr>
                <w:sz w:val="24"/>
                <w:szCs w:val="24"/>
                <w:color w:val="auto"/>
              </w:rPr>
            </w:pPr>
          </w:p>
        </w:tc>
        <w:tc>
          <w:tcPr>
            <w:tcW w:w="1280" w:type="dxa"/>
            <w:vAlign w:val="bottom"/>
          </w:tcPr>
          <w:p>
            <w:pPr>
              <w:ind w:left="180"/>
              <w:spacing w:after="0"/>
              <w:rPr>
                <w:sz w:val="20"/>
                <w:szCs w:val="20"/>
                <w:color w:val="auto"/>
              </w:rPr>
            </w:pPr>
            <w:r>
              <w:rPr>
                <w:rFonts w:ascii="Arial" w:cs="Arial" w:eastAsia="Arial" w:hAnsi="Arial"/>
                <w:sz w:val="18"/>
                <w:szCs w:val="18"/>
                <w:color w:val="auto"/>
              </w:rPr>
              <w:t>Tel:</w:t>
            </w:r>
          </w:p>
        </w:tc>
        <w:tc>
          <w:tcPr>
            <w:tcW w:w="6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+33 141 89 90 47 / +33 141 89 98 05</w:t>
            </w:r>
          </w:p>
        </w:tc>
        <w:tc>
          <w:tcPr>
            <w:tcW w:w="40" w:type="dxa"/>
            <w:vAlign w:val="bottom"/>
          </w:tcPr>
          <w:p>
            <w:pPr>
              <w:spacing w:after="0"/>
              <w:rPr>
                <w:sz w:val="24"/>
                <w:szCs w:val="24"/>
                <w:color w:val="auto"/>
              </w:rPr>
            </w:pPr>
          </w:p>
        </w:tc>
      </w:tr>
      <w:tr>
        <w:trPr>
          <w:trHeight w:val="203"/>
        </w:trPr>
        <w:tc>
          <w:tcPr>
            <w:tcW w:w="396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1280" w:type="dxa"/>
            <w:vAlign w:val="bottom"/>
            <w:tcBorders>
              <w:bottom w:val="single" w:sz="8" w:color="auto"/>
            </w:tcBorders>
          </w:tcPr>
          <w:p>
            <w:pPr>
              <w:ind w:left="180"/>
              <w:spacing w:after="0" w:line="203" w:lineRule="exact"/>
              <w:rPr>
                <w:sz w:val="20"/>
                <w:szCs w:val="20"/>
                <w:color w:val="auto"/>
              </w:rPr>
            </w:pPr>
            <w:r>
              <w:rPr>
                <w:rFonts w:ascii="Arial" w:cs="Arial" w:eastAsia="Arial" w:hAnsi="Arial"/>
                <w:sz w:val="18"/>
                <w:szCs w:val="18"/>
                <w:color w:val="auto"/>
              </w:rPr>
              <w:t>Attention:</w:t>
            </w:r>
          </w:p>
        </w:tc>
        <w:tc>
          <w:tcPr>
            <w:tcW w:w="6000" w:type="dxa"/>
            <w:vAlign w:val="bottom"/>
            <w:tcBorders>
              <w:bottom w:val="single" w:sz="8" w:color="auto"/>
              <w:right w:val="single" w:sz="8" w:color="auto"/>
            </w:tcBorders>
          </w:tcPr>
          <w:p>
            <w:pPr>
              <w:ind w:left="80"/>
              <w:spacing w:after="0" w:line="203" w:lineRule="exact"/>
              <w:rPr>
                <w:sz w:val="20"/>
                <w:szCs w:val="20"/>
                <w:color w:val="auto"/>
              </w:rPr>
            </w:pPr>
            <w:r>
              <w:rPr>
                <w:rFonts w:ascii="Arial" w:cs="Arial" w:eastAsia="Arial" w:hAnsi="Arial"/>
                <w:sz w:val="18"/>
                <w:szCs w:val="18"/>
                <w:color w:val="auto"/>
              </w:rPr>
              <w:t>Clémentine Costil / Cyprien Foulfoin</w:t>
            </w:r>
          </w:p>
        </w:tc>
        <w:tc>
          <w:tcPr>
            <w:tcW w:w="40" w:type="dxa"/>
            <w:vAlign w:val="bottom"/>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Term Loan Commitment ($)</w:t>
            </w:r>
          </w:p>
        </w:tc>
        <w:tc>
          <w:tcPr>
            <w:tcW w:w="12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$38,331,395</w:t>
            </w:r>
          </w:p>
        </w:tc>
        <w:tc>
          <w:tcPr>
            <w:tcW w:w="60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Revolving Loan Commitment ($)</w:t>
            </w:r>
          </w:p>
        </w:tc>
        <w:tc>
          <w:tcPr>
            <w:tcW w:w="12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$6,388,566</w:t>
            </w:r>
          </w:p>
        </w:tc>
        <w:tc>
          <w:tcPr>
            <w:tcW w:w="60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Aggregate Lender’s Commitments ($)</w:t>
            </w:r>
          </w:p>
        </w:tc>
        <w:tc>
          <w:tcPr>
            <w:tcW w:w="12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$44,719,961</w:t>
            </w:r>
          </w:p>
        </w:tc>
        <w:tc>
          <w:tcPr>
            <w:tcW w:w="60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3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24"/>
                <w:szCs w:val="24"/>
                <w:color w:val="auto"/>
              </w:rPr>
            </w:pPr>
          </w:p>
        </w:tc>
      </w:tr>
      <w:tr>
        <w:trPr>
          <w:trHeight w:val="118"/>
        </w:trPr>
        <w:tc>
          <w:tcPr>
            <w:tcW w:w="39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74" w:name="page175"/>
    <w:bookmarkEnd w:id="174"/>
    <w:tbl>
      <w:tblPr>
        <w:tblLayout w:type="fixed"/>
        <w:tblInd w:w="10" w:type="dxa"/>
        <w:tblCellMar>
          <w:top w:w="0" w:type="dxa"/>
          <w:left w:w="0" w:type="dxa"/>
          <w:bottom w:w="0" w:type="dxa"/>
          <w:right w:w="0" w:type="dxa"/>
        </w:tblCellMar>
      </w:tblPr>
      <w:tr>
        <w:trPr>
          <w:trHeight w:val="216"/>
        </w:trPr>
        <w:tc>
          <w:tcPr>
            <w:tcW w:w="400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w w:val="99"/>
              </w:rPr>
              <w:t>HSBC Bank plc</w:t>
            </w:r>
          </w:p>
        </w:tc>
        <w:tc>
          <w:tcPr>
            <w:tcW w:w="590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73"/>
        </w:trPr>
        <w:tc>
          <w:tcPr>
            <w:tcW w:w="400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 details</w:t>
            </w:r>
          </w:p>
        </w:tc>
        <w:tc>
          <w:tcPr>
            <w:tcW w:w="1340" w:type="dxa"/>
            <w:vAlign w:val="bottom"/>
          </w:tcPr>
          <w:p>
            <w:pPr>
              <w:ind w:left="160"/>
              <w:spacing w:after="0" w:line="173" w:lineRule="exact"/>
              <w:rPr>
                <w:sz w:val="20"/>
                <w:szCs w:val="20"/>
                <w:color w:val="auto"/>
              </w:rPr>
            </w:pPr>
            <w:r>
              <w:rPr>
                <w:rFonts w:ascii="Arial" w:cs="Arial" w:eastAsia="Arial" w:hAnsi="Arial"/>
                <w:sz w:val="18"/>
                <w:szCs w:val="18"/>
                <w:color w:val="auto"/>
              </w:rPr>
              <w:t>Facility Office:</w:t>
            </w:r>
          </w:p>
        </w:tc>
        <w:tc>
          <w:tcPr>
            <w:tcW w:w="59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4"/>
        </w:trPr>
        <w:tc>
          <w:tcPr>
            <w:tcW w:w="400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for notices</w:t>
            </w:r>
          </w:p>
        </w:tc>
        <w:tc>
          <w:tcPr>
            <w:tcW w:w="1340" w:type="dxa"/>
            <w:vAlign w:val="bottom"/>
          </w:tcPr>
          <w:p>
            <w:pPr>
              <w:ind w:left="160"/>
              <w:spacing w:after="0"/>
              <w:rPr>
                <w:sz w:val="20"/>
                <w:szCs w:val="20"/>
                <w:color w:val="auto"/>
              </w:rPr>
            </w:pPr>
            <w:r>
              <w:rPr>
                <w:rFonts w:ascii="Arial" w:cs="Arial" w:eastAsia="Arial" w:hAnsi="Arial"/>
                <w:sz w:val="18"/>
                <w:szCs w:val="18"/>
                <w:color w:val="auto"/>
              </w:rPr>
              <w:t>Address:</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 Canada Square</w:t>
            </w:r>
          </w:p>
        </w:tc>
        <w:tc>
          <w:tcPr>
            <w:tcW w:w="40" w:type="dxa"/>
            <w:vAlign w:val="bottom"/>
          </w:tcPr>
          <w:p>
            <w:pPr>
              <w:spacing w:after="0"/>
              <w:rPr>
                <w:sz w:val="19"/>
                <w:szCs w:val="19"/>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London, E14 5HQ</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72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Address:</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109-111 Messoghion Avenue</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GR-115 26 Athens</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Tel:</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+30 210 696 1457 / +30 210 696 1429 /</w:t>
            </w:r>
          </w:p>
        </w:tc>
        <w:tc>
          <w:tcPr>
            <w:tcW w:w="40" w:type="dxa"/>
            <w:vAlign w:val="bottom"/>
          </w:tcPr>
          <w:p>
            <w:pPr>
              <w:spacing w:after="0"/>
              <w:rPr>
                <w:sz w:val="24"/>
                <w:szCs w:val="24"/>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+30 210 696 000</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Email:</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antonis.lamnides@hsbc.com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katerina.eleftheriou@hsbc.com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Attention:</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Antonis Lamnides (Senior Relationship Manager – Shipping) / Katerina</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Eleftheriou</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72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Operations/Administrations:</w:t>
            </w:r>
          </w:p>
        </w:tc>
        <w:tc>
          <w:tcPr>
            <w:tcW w:w="40" w:type="dxa"/>
            <w:vAlign w:val="bottom"/>
          </w:tcPr>
          <w:p>
            <w:pPr>
              <w:spacing w:after="0"/>
              <w:rPr>
                <w:sz w:val="24"/>
                <w:szCs w:val="24"/>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Address:</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HSBC Bank Plc</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Level 28, 8 Canada Square</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London, E145 HQ</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Tel:</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 (0) 2033 591928 Ext 604473591928</w:t>
            </w:r>
          </w:p>
        </w:tc>
        <w:tc>
          <w:tcPr>
            <w:tcW w:w="40" w:type="dxa"/>
            <w:vAlign w:val="bottom"/>
          </w:tcPr>
          <w:p>
            <w:pPr>
              <w:spacing w:after="0"/>
              <w:rPr>
                <w:sz w:val="24"/>
                <w:szCs w:val="24"/>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Email:</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ecbc.london@hsbc.com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sean.j.robertson@hsbc.com</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Sean Robertson (Corporate Banking Manager)</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72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Operations contact International (EMEA) Loans Team:</w:t>
            </w:r>
          </w:p>
        </w:tc>
        <w:tc>
          <w:tcPr>
            <w:tcW w:w="40" w:type="dxa"/>
            <w:vAlign w:val="bottom"/>
          </w:tcPr>
          <w:p>
            <w:pPr>
              <w:spacing w:after="0"/>
              <w:rPr>
                <w:sz w:val="24"/>
                <w:szCs w:val="24"/>
                <w:color w:val="auto"/>
              </w:rPr>
            </w:pPr>
          </w:p>
        </w:tc>
      </w:tr>
      <w:tr>
        <w:trPr>
          <w:trHeight w:val="202"/>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Address:</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Corporate Trust and Loan Agency, Europe /</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HSBC Security Services</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Level 27, 8 Canada Square</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London, E145 HQ</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Tel:</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+0044 207 992 4680</w:t>
            </w:r>
          </w:p>
        </w:tc>
        <w:tc>
          <w:tcPr>
            <w:tcW w:w="40" w:type="dxa"/>
            <w:vAlign w:val="bottom"/>
          </w:tcPr>
          <w:p>
            <w:pPr>
              <w:spacing w:after="0"/>
              <w:rPr>
                <w:sz w:val="24"/>
                <w:szCs w:val="24"/>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Email:</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lad.international@hsbc.com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loan.admin.queries@hsbc.com,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muhammad.shakir.mohd.samsuri@hsbc.com.my</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Muh.Shakir Samsuri (Process Manager)</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72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Operations Contact Athens Greece:</w:t>
            </w:r>
          </w:p>
        </w:tc>
        <w:tc>
          <w:tcPr>
            <w:tcW w:w="40" w:type="dxa"/>
            <w:vAlign w:val="bottom"/>
          </w:tcPr>
          <w:p>
            <w:pPr>
              <w:spacing w:after="0"/>
              <w:rPr>
                <w:sz w:val="24"/>
                <w:szCs w:val="24"/>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Address:</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109-111 Messoghion Avenue</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GR-115 26 Athens</w:t>
            </w:r>
          </w:p>
        </w:tc>
        <w:tc>
          <w:tcPr>
            <w:tcW w:w="40" w:type="dxa"/>
            <w:vAlign w:val="bottom"/>
          </w:tcPr>
          <w:p>
            <w:pPr>
              <w:spacing w:after="0"/>
              <w:rPr>
                <w:sz w:val="17"/>
                <w:szCs w:val="17"/>
                <w:color w:val="auto"/>
              </w:rPr>
            </w:pPr>
          </w:p>
        </w:tc>
      </w:tr>
      <w:tr>
        <w:trPr>
          <w:trHeight w:val="217"/>
        </w:trPr>
        <w:tc>
          <w:tcPr>
            <w:tcW w:w="4000" w:type="dxa"/>
            <w:vAlign w:val="bottom"/>
            <w:tcBorders>
              <w:left w:val="single" w:sz="8" w:color="auto"/>
              <w:right w:val="single" w:sz="8" w:color="auto"/>
            </w:tcBorders>
            <w:shd w:val="clear" w:color="auto" w:fill="C0C0C0"/>
          </w:tcPr>
          <w:p>
            <w:pPr>
              <w:spacing w:after="0"/>
              <w:rPr>
                <w:sz w:val="18"/>
                <w:szCs w:val="18"/>
                <w:color w:val="auto"/>
              </w:rPr>
            </w:pPr>
          </w:p>
        </w:tc>
        <w:tc>
          <w:tcPr>
            <w:tcW w:w="1340" w:type="dxa"/>
            <w:vAlign w:val="bottom"/>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r>
      <w:tr>
        <w:trPr>
          <w:trHeight w:val="391"/>
        </w:trPr>
        <w:tc>
          <w:tcPr>
            <w:tcW w:w="4000" w:type="dxa"/>
            <w:vAlign w:val="bottom"/>
            <w:tcBorders>
              <w:left w:val="single" w:sz="8" w:color="auto"/>
              <w:right w:val="single" w:sz="8" w:color="auto"/>
            </w:tcBorders>
            <w:shd w:val="clear" w:color="auto" w:fill="C0C0C0"/>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Tel:</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+30 210 696 1261 / +30 210 696 1266 /</w:t>
            </w:r>
          </w:p>
        </w:tc>
        <w:tc>
          <w:tcPr>
            <w:tcW w:w="40" w:type="dxa"/>
            <w:vAlign w:val="bottom"/>
          </w:tcPr>
          <w:p>
            <w:pPr>
              <w:spacing w:after="0"/>
              <w:rPr>
                <w:sz w:val="24"/>
                <w:szCs w:val="24"/>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+30 210 696 1264</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Email:</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commercial.operations-gr@hsbc.com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sissy.constantinidou@hsbc.com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maria.drimoussi@hsbc.com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spacing w:after="0"/>
              <w:rPr>
                <w:sz w:val="17"/>
                <w:szCs w:val="17"/>
                <w:color w:val="auto"/>
              </w:rPr>
            </w:pP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michael.filippas@hsbc.com</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right w:val="single" w:sz="8" w:color="auto"/>
            </w:tcBorders>
            <w:shd w:val="clear" w:color="auto" w:fill="C0C0C0"/>
          </w:tcPr>
          <w:p>
            <w:pPr>
              <w:spacing w:after="0"/>
              <w:rPr>
                <w:sz w:val="17"/>
                <w:szCs w:val="17"/>
                <w:color w:val="auto"/>
              </w:rPr>
            </w:pPr>
          </w:p>
        </w:tc>
        <w:tc>
          <w:tcPr>
            <w:tcW w:w="1340" w:type="dxa"/>
            <w:vAlign w:val="bottom"/>
          </w:tcPr>
          <w:p>
            <w:pPr>
              <w:ind w:left="160"/>
              <w:spacing w:after="0" w:line="202" w:lineRule="exact"/>
              <w:rPr>
                <w:sz w:val="20"/>
                <w:szCs w:val="20"/>
                <w:color w:val="auto"/>
              </w:rPr>
            </w:pPr>
            <w:r>
              <w:rPr>
                <w:rFonts w:ascii="Arial" w:cs="Arial" w:eastAsia="Arial" w:hAnsi="Arial"/>
                <w:sz w:val="18"/>
                <w:szCs w:val="18"/>
                <w:color w:val="auto"/>
              </w:rPr>
              <w:t>Attention:</w:t>
            </w:r>
          </w:p>
        </w:tc>
        <w:tc>
          <w:tcPr>
            <w:tcW w:w="59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Loans Administration / Sissy Constantinidou / Michael Filippas / Maria</w:t>
            </w:r>
          </w:p>
        </w:tc>
        <w:tc>
          <w:tcPr>
            <w:tcW w:w="40" w:type="dxa"/>
            <w:vAlign w:val="bottom"/>
          </w:tcPr>
          <w:p>
            <w:pPr>
              <w:spacing w:after="0"/>
              <w:rPr>
                <w:sz w:val="17"/>
                <w:szCs w:val="17"/>
                <w:color w:val="auto"/>
              </w:rPr>
            </w:pPr>
          </w:p>
        </w:tc>
      </w:tr>
      <w:tr>
        <w:trPr>
          <w:trHeight w:val="203"/>
        </w:trPr>
        <w:tc>
          <w:tcPr>
            <w:tcW w:w="400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90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Drimoussi</w:t>
            </w:r>
          </w:p>
        </w:tc>
        <w:tc>
          <w:tcPr>
            <w:tcW w:w="40" w:type="dxa"/>
            <w:vAlign w:val="bottom"/>
          </w:tcPr>
          <w:p>
            <w:pPr>
              <w:spacing w:after="0"/>
              <w:rPr>
                <w:sz w:val="17"/>
                <w:szCs w:val="17"/>
                <w:color w:val="auto"/>
              </w:rPr>
            </w:pPr>
          </w:p>
        </w:tc>
      </w:tr>
      <w:tr>
        <w:trPr>
          <w:trHeight w:val="196"/>
        </w:trPr>
        <w:tc>
          <w:tcPr>
            <w:tcW w:w="400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Term Loan Commitment ($)</w:t>
            </w:r>
          </w:p>
        </w:tc>
        <w:tc>
          <w:tcPr>
            <w:tcW w:w="1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$76,662,791</w:t>
            </w:r>
          </w:p>
        </w:tc>
        <w:tc>
          <w:tcPr>
            <w:tcW w:w="59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0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Revolving Loan Commitment ($)</w:t>
            </w:r>
          </w:p>
        </w:tc>
        <w:tc>
          <w:tcPr>
            <w:tcW w:w="1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$12,777,132</w:t>
            </w:r>
          </w:p>
        </w:tc>
        <w:tc>
          <w:tcPr>
            <w:tcW w:w="59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0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Aggregate Lender’s Commitments ($)</w:t>
            </w:r>
          </w:p>
        </w:tc>
        <w:tc>
          <w:tcPr>
            <w:tcW w:w="1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$89,439,922</w:t>
            </w:r>
          </w:p>
        </w:tc>
        <w:tc>
          <w:tcPr>
            <w:tcW w:w="59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24"/>
                <w:szCs w:val="24"/>
                <w:color w:val="auto"/>
              </w:rPr>
            </w:pPr>
          </w:p>
        </w:tc>
      </w:tr>
      <w:tr>
        <w:trPr>
          <w:trHeight w:val="118"/>
        </w:trPr>
        <w:tc>
          <w:tcPr>
            <w:tcW w:w="40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216"/>
        </w:trPr>
        <w:tc>
          <w:tcPr>
            <w:tcW w:w="40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Name</w:t>
            </w:r>
          </w:p>
        </w:tc>
        <w:tc>
          <w:tcPr>
            <w:tcW w:w="718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National Australia Bank Limited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6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 details</w:t>
            </w:r>
          </w:p>
        </w:tc>
        <w:tc>
          <w:tcPr>
            <w:tcW w:w="1320" w:type="dxa"/>
            <w:vAlign w:val="bottom"/>
          </w:tcPr>
          <w:p>
            <w:pPr>
              <w:ind w:left="160"/>
              <w:spacing w:after="0" w:line="173" w:lineRule="exact"/>
              <w:rPr>
                <w:sz w:val="20"/>
                <w:szCs w:val="20"/>
                <w:color w:val="auto"/>
              </w:rPr>
            </w:pPr>
            <w:r>
              <w:rPr>
                <w:rFonts w:ascii="Arial" w:cs="Arial" w:eastAsia="Arial" w:hAnsi="Arial"/>
                <w:sz w:val="18"/>
                <w:szCs w:val="18"/>
                <w:color w:val="auto"/>
              </w:rPr>
              <w:t>Facility Office:</w:t>
            </w:r>
          </w:p>
        </w:tc>
        <w:tc>
          <w:tcPr>
            <w:tcW w:w="58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6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for notices</w:t>
            </w:r>
          </w:p>
        </w:tc>
        <w:tc>
          <w:tcPr>
            <w:tcW w:w="1320" w:type="dxa"/>
            <w:vAlign w:val="bottom"/>
            <w:vMerge w:val="restart"/>
          </w:tcPr>
          <w:p>
            <w:pPr>
              <w:ind w:left="160"/>
              <w:spacing w:after="0"/>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Level 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60" w:type="dxa"/>
            <w:vAlign w:val="bottom"/>
            <w:tcBorders>
              <w:left w:val="single" w:sz="8" w:color="auto"/>
              <w:right w:val="single" w:sz="8" w:color="auto"/>
            </w:tcBorders>
            <w:shd w:val="clear" w:color="auto" w:fill="C0C0C0"/>
          </w:tcPr>
          <w:p>
            <w:pPr>
              <w:spacing w:after="0"/>
              <w:rPr>
                <w:sz w:val="16"/>
                <w:szCs w:val="16"/>
                <w:color w:val="auto"/>
              </w:rPr>
            </w:pPr>
          </w:p>
        </w:tc>
        <w:tc>
          <w:tcPr>
            <w:tcW w:w="1320" w:type="dxa"/>
            <w:vAlign w:val="bottom"/>
            <w:vMerge w:val="continue"/>
          </w:tcPr>
          <w:p>
            <w:pPr>
              <w:spacing w:after="0"/>
              <w:rPr>
                <w:sz w:val="16"/>
                <w:szCs w:val="16"/>
                <w:color w:val="auto"/>
              </w:rPr>
            </w:pPr>
          </w:p>
        </w:tc>
        <w:tc>
          <w:tcPr>
            <w:tcW w:w="586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255 George Street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Sydney, NSW 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Asset Finance &amp; Leasing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718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For Credit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ind w:left="160"/>
              <w:spacing w:after="0" w:line="202" w:lineRule="exact"/>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12 Marina View</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#20-02 Asia Square Tower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 01896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Email:</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quincy.chan@nabasia.com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Quincy Chan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Level 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255 George Street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Sydney NSW 2000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Email:</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angus.mcfarlane@nab.com.au</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ind w:left="160"/>
              <w:spacing w:after="0" w:line="202" w:lineRule="exact"/>
              <w:rPr>
                <w:sz w:val="20"/>
                <w:szCs w:val="20"/>
                <w:color w:val="auto"/>
              </w:rPr>
            </w:pPr>
            <w:r>
              <w:rPr>
                <w:rFonts w:ascii="Arial" w:cs="Arial" w:eastAsia="Arial" w:hAnsi="Arial"/>
                <w:sz w:val="18"/>
                <w:szCs w:val="18"/>
                <w:color w:val="auto"/>
              </w:rPr>
              <w:t>Attention:</w:t>
            </w: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Angus McFarlane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718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Email for Notices: Set.260.Mailbox@nab.com.au</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718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For Operational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ind w:left="160"/>
              <w:spacing w:after="0" w:line="202" w:lineRule="exact"/>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Specialised Transaction Management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Level 29, 500 Bourke Street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Melbourne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Email:</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Wholesale.Banking.Transaction.Management.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Group@nab.com.au</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132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Attention:</w:t>
            </w:r>
          </w:p>
        </w:tc>
        <w:tc>
          <w:tcPr>
            <w:tcW w:w="586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Specialised Transaction Management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Term Loan Commitment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$15,332,558</w:t>
            </w:r>
          </w:p>
        </w:tc>
        <w:tc>
          <w:tcPr>
            <w:tcW w:w="58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Revolving Loan Commitment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$2,555,426</w:t>
            </w:r>
          </w:p>
        </w:tc>
        <w:tc>
          <w:tcPr>
            <w:tcW w:w="58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Aggregate Lender’s Commitments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$17,887,985</w:t>
            </w:r>
          </w:p>
        </w:tc>
        <w:tc>
          <w:tcPr>
            <w:tcW w:w="58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60" w:type="dxa"/>
            <w:vAlign w:val="bottom"/>
          </w:tcPr>
          <w:p>
            <w:pPr>
              <w:ind w:left="10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5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76" w:name="page177"/>
    <w:bookmarkEnd w:id="176"/>
    <w:tbl>
      <w:tblPr>
        <w:tblLayout w:type="fixed"/>
        <w:tblInd w:w="10" w:type="dxa"/>
        <w:tblCellMar>
          <w:top w:w="0" w:type="dxa"/>
          <w:left w:w="0" w:type="dxa"/>
          <w:bottom w:w="0" w:type="dxa"/>
          <w:right w:w="0" w:type="dxa"/>
        </w:tblCellMar>
      </w:tblPr>
      <w:tr>
        <w:trPr>
          <w:trHeight w:val="216"/>
        </w:trPr>
        <w:tc>
          <w:tcPr>
            <w:tcW w:w="40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Name</w:t>
            </w:r>
          </w:p>
        </w:tc>
        <w:tc>
          <w:tcPr>
            <w:tcW w:w="718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Nordea Bank ABP, Filial I Norge</w:t>
            </w:r>
          </w:p>
        </w:tc>
      </w:tr>
      <w:tr>
        <w:trPr>
          <w:trHeight w:val="173"/>
        </w:trPr>
        <w:tc>
          <w:tcPr>
            <w:tcW w:w="406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 details</w:t>
            </w:r>
          </w:p>
        </w:tc>
        <w:tc>
          <w:tcPr>
            <w:tcW w:w="1320" w:type="dxa"/>
            <w:vAlign w:val="bottom"/>
          </w:tcPr>
          <w:p>
            <w:pPr>
              <w:ind w:left="160"/>
              <w:spacing w:after="0" w:line="173" w:lineRule="exact"/>
              <w:rPr>
                <w:sz w:val="20"/>
                <w:szCs w:val="20"/>
                <w:color w:val="auto"/>
              </w:rPr>
            </w:pPr>
            <w:r>
              <w:rPr>
                <w:rFonts w:ascii="Arial" w:cs="Arial" w:eastAsia="Arial" w:hAnsi="Arial"/>
                <w:sz w:val="18"/>
                <w:szCs w:val="18"/>
                <w:color w:val="auto"/>
              </w:rPr>
              <w:t>Facility Office:</w:t>
            </w:r>
          </w:p>
        </w:tc>
        <w:tc>
          <w:tcPr>
            <w:tcW w:w="5860" w:type="dxa"/>
            <w:vAlign w:val="bottom"/>
            <w:tcBorders>
              <w:right w:val="single" w:sz="8" w:color="auto"/>
            </w:tcBorders>
          </w:tcPr>
          <w:p>
            <w:pPr>
              <w:spacing w:after="0"/>
              <w:rPr>
                <w:sz w:val="15"/>
                <w:szCs w:val="15"/>
                <w:color w:val="auto"/>
              </w:rPr>
            </w:pPr>
          </w:p>
        </w:tc>
      </w:tr>
      <w:tr>
        <w:trPr>
          <w:trHeight w:val="224"/>
        </w:trPr>
        <w:tc>
          <w:tcPr>
            <w:tcW w:w="406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for notices</w:t>
            </w:r>
          </w:p>
        </w:tc>
        <w:tc>
          <w:tcPr>
            <w:tcW w:w="1320" w:type="dxa"/>
            <w:vAlign w:val="bottom"/>
          </w:tcPr>
          <w:p>
            <w:pPr>
              <w:ind w:left="160"/>
              <w:spacing w:after="0"/>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Essendrops gate 7</w:t>
            </w: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PO Box 1166 Sentrum</w:t>
            </w: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0107 Oslo, Norway</w:t>
            </w: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E-mail:</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lars.kristian.klemo@nordea.com /</w:t>
            </w: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nasos.tsarouchis@nordea.com</w:t>
            </w: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Lars Kristian Klemo / Nasos Tsarouchis</w:t>
            </w:r>
          </w:p>
        </w:tc>
      </w:tr>
      <w:tr>
        <w:trPr>
          <w:trHeight w:val="189"/>
        </w:trPr>
        <w:tc>
          <w:tcPr>
            <w:tcW w:w="4060" w:type="dxa"/>
            <w:vAlign w:val="bottom"/>
            <w:tcBorders>
              <w:left w:val="single" w:sz="8" w:color="auto"/>
              <w:bottom w:val="single" w:sz="8" w:color="auto"/>
              <w:right w:val="single" w:sz="8" w:color="auto"/>
            </w:tcBorders>
            <w:shd w:val="clear" w:color="auto" w:fill="C0C0C0"/>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860" w:type="dxa"/>
            <w:vAlign w:val="bottom"/>
            <w:tcBorders>
              <w:bottom w:val="single" w:sz="8" w:color="auto"/>
              <w:right w:val="single" w:sz="8" w:color="auto"/>
            </w:tcBorders>
          </w:tcPr>
          <w:p>
            <w:pPr>
              <w:spacing w:after="0"/>
              <w:rPr>
                <w:sz w:val="16"/>
                <w:szCs w:val="16"/>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Term Loan Commitment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$114,994,186</w:t>
            </w:r>
          </w:p>
        </w:tc>
        <w:tc>
          <w:tcPr>
            <w:tcW w:w="5860" w:type="dxa"/>
            <w:vAlign w:val="bottom"/>
            <w:tcBorders>
              <w:bottom w:val="single" w:sz="8" w:color="auto"/>
              <w:right w:val="single" w:sz="8" w:color="auto"/>
            </w:tcBorders>
          </w:tcPr>
          <w:p>
            <w:pPr>
              <w:spacing w:after="0"/>
              <w:rPr>
                <w:sz w:val="17"/>
                <w:szCs w:val="17"/>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Revolving Loan Commitment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$19,165,698</w:t>
            </w:r>
          </w:p>
        </w:tc>
        <w:tc>
          <w:tcPr>
            <w:tcW w:w="5860" w:type="dxa"/>
            <w:vAlign w:val="bottom"/>
            <w:tcBorders>
              <w:bottom w:val="single" w:sz="8" w:color="auto"/>
              <w:right w:val="single" w:sz="8" w:color="auto"/>
            </w:tcBorders>
          </w:tcPr>
          <w:p>
            <w:pPr>
              <w:spacing w:after="0"/>
              <w:rPr>
                <w:sz w:val="17"/>
                <w:szCs w:val="17"/>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Aggregate Lender’s Commitments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$134,159,884</w:t>
            </w:r>
          </w:p>
        </w:tc>
        <w:tc>
          <w:tcPr>
            <w:tcW w:w="5860" w:type="dxa"/>
            <w:vAlign w:val="bottom"/>
            <w:tcBorders>
              <w:bottom w:val="single" w:sz="8" w:color="auto"/>
              <w:right w:val="single" w:sz="8" w:color="auto"/>
            </w:tcBorders>
          </w:tcPr>
          <w:p>
            <w:pPr>
              <w:spacing w:after="0"/>
              <w:rPr>
                <w:sz w:val="17"/>
                <w:szCs w:val="17"/>
                <w:color w:val="auto"/>
              </w:rPr>
            </w:pPr>
          </w:p>
        </w:tc>
      </w:tr>
    </w:tbl>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Name</w:t>
            </w:r>
          </w:p>
        </w:tc>
        <w:tc>
          <w:tcPr>
            <w:tcW w:w="718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UniCredit Bank AG</w:t>
            </w:r>
          </w:p>
        </w:tc>
        <w:tc>
          <w:tcPr>
            <w:tcW w:w="40" w:type="dxa"/>
            <w:vAlign w:val="bottom"/>
          </w:tcPr>
          <w:p>
            <w:pPr>
              <w:spacing w:after="0"/>
              <w:rPr>
                <w:sz w:val="18"/>
                <w:szCs w:val="18"/>
                <w:color w:val="auto"/>
              </w:rPr>
            </w:pPr>
          </w:p>
        </w:tc>
      </w:tr>
      <w:tr>
        <w:trPr>
          <w:trHeight w:val="173"/>
        </w:trPr>
        <w:tc>
          <w:tcPr>
            <w:tcW w:w="406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 details</w:t>
            </w:r>
          </w:p>
        </w:tc>
        <w:tc>
          <w:tcPr>
            <w:tcW w:w="7180" w:type="dxa"/>
            <w:vAlign w:val="bottom"/>
            <w:tcBorders>
              <w:right w:val="single" w:sz="8" w:color="auto"/>
            </w:tcBorders>
            <w:gridSpan w:val="2"/>
          </w:tcPr>
          <w:p>
            <w:pPr>
              <w:ind w:left="160"/>
              <w:spacing w:after="0" w:line="173" w:lineRule="exact"/>
              <w:rPr>
                <w:sz w:val="20"/>
                <w:szCs w:val="20"/>
                <w:color w:val="auto"/>
              </w:rPr>
            </w:pPr>
            <w:r>
              <w:rPr>
                <w:rFonts w:ascii="Arial" w:cs="Arial" w:eastAsia="Arial" w:hAnsi="Arial"/>
                <w:sz w:val="18"/>
                <w:szCs w:val="18"/>
                <w:color w:val="auto"/>
              </w:rPr>
              <w:t>Registeres Office:</w:t>
            </w:r>
          </w:p>
        </w:tc>
        <w:tc>
          <w:tcPr>
            <w:tcW w:w="40" w:type="dxa"/>
            <w:vAlign w:val="bottom"/>
          </w:tcPr>
          <w:p>
            <w:pPr>
              <w:spacing w:after="0"/>
              <w:rPr>
                <w:sz w:val="15"/>
                <w:szCs w:val="15"/>
                <w:color w:val="auto"/>
              </w:rPr>
            </w:pPr>
          </w:p>
        </w:tc>
      </w:tr>
      <w:tr>
        <w:trPr>
          <w:trHeight w:val="239"/>
        </w:trPr>
        <w:tc>
          <w:tcPr>
            <w:tcW w:w="406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for notices</w:t>
            </w:r>
          </w:p>
        </w:tc>
        <w:tc>
          <w:tcPr>
            <w:tcW w:w="718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Address: Arabellastraße 12, 81925 Munich, Germany</w:t>
            </w:r>
          </w:p>
        </w:tc>
        <w:tc>
          <w:tcPr>
            <w:tcW w:w="40" w:type="dxa"/>
            <w:vAlign w:val="bottom"/>
          </w:tcPr>
          <w:p>
            <w:pPr>
              <w:spacing w:after="0"/>
              <w:rPr>
                <w:sz w:val="20"/>
                <w:szCs w:val="20"/>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Facility Office:</w:t>
            </w:r>
          </w:p>
        </w:tc>
        <w:tc>
          <w:tcPr>
            <w:tcW w:w="58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Neuer Wall 64, 20354 Hamburg, Germany</w:t>
            </w:r>
          </w:p>
        </w:tc>
        <w:tc>
          <w:tcPr>
            <w:tcW w:w="40" w:type="dxa"/>
            <w:vAlign w:val="bottom"/>
          </w:tcPr>
          <w:p>
            <w:pPr>
              <w:spacing w:after="0"/>
              <w:rPr>
                <w:sz w:val="18"/>
                <w:szCs w:val="18"/>
                <w:color w:val="auto"/>
              </w:rPr>
            </w:pPr>
          </w:p>
        </w:tc>
      </w:tr>
      <w:tr>
        <w:trPr>
          <w:trHeight w:val="391"/>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Tel:</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40 3692 - 4069 / - 3080 / -6801</w:t>
            </w:r>
          </w:p>
        </w:tc>
        <w:tc>
          <w:tcPr>
            <w:tcW w:w="40" w:type="dxa"/>
            <w:vAlign w:val="bottom"/>
          </w:tcPr>
          <w:p>
            <w:pPr>
              <w:spacing w:after="0"/>
              <w:rPr>
                <w:sz w:val="24"/>
                <w:szCs w:val="24"/>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ind w:left="160"/>
              <w:spacing w:after="0" w:line="202" w:lineRule="exact"/>
              <w:rPr>
                <w:sz w:val="20"/>
                <w:szCs w:val="20"/>
                <w:color w:val="auto"/>
              </w:rPr>
            </w:pPr>
            <w:r>
              <w:rPr>
                <w:rFonts w:ascii="Arial" w:cs="Arial" w:eastAsia="Arial" w:hAnsi="Arial"/>
                <w:sz w:val="18"/>
                <w:szCs w:val="18"/>
                <w:color w:val="auto"/>
              </w:rPr>
              <w:t>Email:</w:t>
            </w: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oliver.trennt@unicredit.de / eike.wilde@unicredit.de /</w:t>
            </w:r>
          </w:p>
        </w:tc>
        <w:tc>
          <w:tcPr>
            <w:tcW w:w="40" w:type="dxa"/>
            <w:vAlign w:val="bottom"/>
          </w:tcPr>
          <w:p>
            <w:pPr>
              <w:spacing w:after="0"/>
              <w:rPr>
                <w:sz w:val="17"/>
                <w:szCs w:val="17"/>
                <w:color w:val="auto"/>
              </w:rPr>
            </w:pPr>
          </w:p>
        </w:tc>
      </w:tr>
      <w:tr>
        <w:trPr>
          <w:trHeight w:val="203"/>
        </w:trPr>
        <w:tc>
          <w:tcPr>
            <w:tcW w:w="4060" w:type="dxa"/>
            <w:vAlign w:val="bottom"/>
            <w:tcBorders>
              <w:left w:val="single" w:sz="8" w:color="auto"/>
              <w:bottom w:val="single" w:sz="8" w:color="auto"/>
              <w:right w:val="single" w:sz="8" w:color="auto"/>
            </w:tcBorders>
            <w:shd w:val="clear" w:color="auto" w:fill="C0C0C0"/>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586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manuela.laudahn@unicredit.de</w:t>
            </w:r>
          </w:p>
        </w:tc>
        <w:tc>
          <w:tcPr>
            <w:tcW w:w="40" w:type="dxa"/>
            <w:vAlign w:val="bottom"/>
          </w:tcPr>
          <w:p>
            <w:pPr>
              <w:spacing w:after="0"/>
              <w:rPr>
                <w:sz w:val="17"/>
                <w:szCs w:val="17"/>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Term Loan Commitment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$19,165,698</w:t>
            </w:r>
          </w:p>
        </w:tc>
        <w:tc>
          <w:tcPr>
            <w:tcW w:w="58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Revolving Loan Commitment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$3,194,283</w:t>
            </w:r>
          </w:p>
        </w:tc>
        <w:tc>
          <w:tcPr>
            <w:tcW w:w="58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Aggregate Lender’s Commitments ($)</w:t>
            </w:r>
          </w:p>
        </w:tc>
        <w:tc>
          <w:tcPr>
            <w:tcW w:w="13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$22,359,981</w:t>
            </w:r>
          </w:p>
        </w:tc>
        <w:tc>
          <w:tcPr>
            <w:tcW w:w="586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4060" w:type="dxa"/>
            <w:vAlign w:val="bottom"/>
          </w:tcPr>
          <w:p>
            <w:pPr>
              <w:spacing w:after="0"/>
              <w:rPr>
                <w:sz w:val="24"/>
                <w:szCs w:val="24"/>
                <w:color w:val="auto"/>
              </w:rPr>
            </w:pPr>
          </w:p>
        </w:tc>
        <w:tc>
          <w:tcPr>
            <w:tcW w:w="71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The Agent</w:t>
            </w:r>
          </w:p>
        </w:tc>
        <w:tc>
          <w:tcPr>
            <w:tcW w:w="40" w:type="dxa"/>
            <w:vAlign w:val="bottom"/>
          </w:tcPr>
          <w:p>
            <w:pPr>
              <w:spacing w:after="0"/>
              <w:rPr>
                <w:sz w:val="24"/>
                <w:szCs w:val="24"/>
                <w:color w:val="auto"/>
              </w:rPr>
            </w:pPr>
          </w:p>
        </w:tc>
      </w:tr>
      <w:tr>
        <w:trPr>
          <w:trHeight w:val="189"/>
        </w:trPr>
        <w:tc>
          <w:tcPr>
            <w:tcW w:w="406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gridSpan w:val="2"/>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4060" w:type="dxa"/>
            <w:vAlign w:val="bottom"/>
            <w:tcBorders>
              <w:left w:val="single" w:sz="8" w:color="auto"/>
              <w:bottom w:val="single" w:sz="8" w:color="auto"/>
              <w:right w:val="single" w:sz="8" w:color="auto"/>
            </w:tcBorders>
            <w:shd w:val="clear" w:color="auto" w:fill="C0C0C0"/>
          </w:tcPr>
          <w:p>
            <w:pPr>
              <w:ind w:left="80"/>
              <w:spacing w:after="0" w:line="196" w:lineRule="exact"/>
              <w:rPr>
                <w:sz w:val="20"/>
                <w:szCs w:val="20"/>
                <w:color w:val="auto"/>
              </w:rPr>
            </w:pPr>
            <w:r>
              <w:rPr>
                <w:rFonts w:ascii="Arial" w:cs="Arial" w:eastAsia="Arial" w:hAnsi="Arial"/>
                <w:sz w:val="18"/>
                <w:szCs w:val="18"/>
                <w:b w:val="1"/>
                <w:bCs w:val="1"/>
                <w:color w:val="auto"/>
              </w:rPr>
              <w:t>Name</w:t>
            </w:r>
          </w:p>
        </w:tc>
        <w:tc>
          <w:tcPr>
            <w:tcW w:w="7180" w:type="dxa"/>
            <w:vAlign w:val="bottom"/>
            <w:tcBorders>
              <w:bottom w:val="single" w:sz="8" w:color="auto"/>
              <w:right w:val="single" w:sz="8" w:color="auto"/>
            </w:tcBorders>
            <w:gridSpan w:val="2"/>
          </w:tcPr>
          <w:p>
            <w:pPr>
              <w:ind w:left="160"/>
              <w:spacing w:after="0" w:line="196" w:lineRule="exact"/>
              <w:rPr>
                <w:sz w:val="20"/>
                <w:szCs w:val="20"/>
                <w:color w:val="auto"/>
              </w:rPr>
            </w:pPr>
            <w:r>
              <w:rPr>
                <w:rFonts w:ascii="Arial" w:cs="Arial" w:eastAsia="Arial" w:hAnsi="Arial"/>
                <w:sz w:val="18"/>
                <w:szCs w:val="18"/>
                <w:b w:val="1"/>
                <w:bCs w:val="1"/>
                <w:color w:val="auto"/>
              </w:rPr>
              <w:t>ABN AMRO Bank N.V.</w:t>
            </w:r>
          </w:p>
        </w:tc>
        <w:tc>
          <w:tcPr>
            <w:tcW w:w="40" w:type="dxa"/>
            <w:vAlign w:val="bottom"/>
          </w:tcPr>
          <w:p>
            <w:pPr>
              <w:spacing w:after="0"/>
              <w:rPr>
                <w:sz w:val="17"/>
                <w:szCs w:val="17"/>
                <w:color w:val="auto"/>
              </w:rPr>
            </w:pPr>
          </w:p>
        </w:tc>
      </w:tr>
      <w:tr>
        <w:trPr>
          <w:trHeight w:val="173"/>
        </w:trPr>
        <w:tc>
          <w:tcPr>
            <w:tcW w:w="406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 details</w:t>
            </w:r>
          </w:p>
        </w:tc>
        <w:tc>
          <w:tcPr>
            <w:tcW w:w="1320" w:type="dxa"/>
            <w:vAlign w:val="bottom"/>
          </w:tcPr>
          <w:p>
            <w:pPr>
              <w:ind w:left="160"/>
              <w:spacing w:after="0" w:line="173" w:lineRule="exact"/>
              <w:rPr>
                <w:sz w:val="20"/>
                <w:szCs w:val="20"/>
                <w:color w:val="auto"/>
              </w:rPr>
            </w:pPr>
            <w:r>
              <w:rPr>
                <w:rFonts w:ascii="Arial" w:cs="Arial" w:eastAsia="Arial" w:hAnsi="Arial"/>
                <w:sz w:val="18"/>
                <w:szCs w:val="18"/>
                <w:color w:val="auto"/>
              </w:rPr>
              <w:t>Facility Office:</w:t>
            </w:r>
          </w:p>
        </w:tc>
        <w:tc>
          <w:tcPr>
            <w:tcW w:w="58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5"/>
        </w:trPr>
        <w:tc>
          <w:tcPr>
            <w:tcW w:w="406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for notices</w:t>
            </w:r>
          </w:p>
        </w:tc>
        <w:tc>
          <w:tcPr>
            <w:tcW w:w="1320" w:type="dxa"/>
            <w:vAlign w:val="bottom"/>
          </w:tcPr>
          <w:p>
            <w:pPr>
              <w:ind w:left="160"/>
              <w:spacing w:after="0"/>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Gustav Mahlerlaan 10</w:t>
            </w:r>
          </w:p>
        </w:tc>
        <w:tc>
          <w:tcPr>
            <w:tcW w:w="40" w:type="dxa"/>
            <w:vAlign w:val="bottom"/>
          </w:tcPr>
          <w:p>
            <w:pPr>
              <w:spacing w:after="0"/>
              <w:rPr>
                <w:sz w:val="19"/>
                <w:szCs w:val="19"/>
                <w:color w:val="auto"/>
              </w:rPr>
            </w:pP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1082 PP Amsterdam</w:t>
            </w:r>
          </w:p>
        </w:tc>
        <w:tc>
          <w:tcPr>
            <w:tcW w:w="40" w:type="dxa"/>
            <w:vAlign w:val="bottom"/>
          </w:tcPr>
          <w:p>
            <w:pPr>
              <w:spacing w:after="0"/>
              <w:rPr>
                <w:sz w:val="17"/>
                <w:szCs w:val="17"/>
                <w:color w:val="auto"/>
              </w:rPr>
            </w:pP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r>
      <w:tr>
        <w:trPr>
          <w:trHeight w:val="405"/>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Agency Syndicated Loans / Agency Team 1 / PAC HQ9037</w:t>
            </w:r>
          </w:p>
        </w:tc>
        <w:tc>
          <w:tcPr>
            <w:tcW w:w="40" w:type="dxa"/>
            <w:vAlign w:val="bottom"/>
          </w:tcPr>
          <w:p>
            <w:pPr>
              <w:spacing w:after="0"/>
              <w:rPr>
                <w:sz w:val="24"/>
                <w:szCs w:val="24"/>
                <w:color w:val="auto"/>
              </w:rPr>
            </w:pPr>
          </w:p>
        </w:tc>
      </w:tr>
      <w:tr>
        <w:trPr>
          <w:trHeight w:val="405"/>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Email:</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abn.amro.agency.team.1@nl.abnamro.com</w:t>
            </w:r>
          </w:p>
        </w:tc>
        <w:tc>
          <w:tcPr>
            <w:tcW w:w="40" w:type="dxa"/>
            <w:vAlign w:val="bottom"/>
          </w:tcPr>
          <w:p>
            <w:pPr>
              <w:spacing w:after="0"/>
              <w:rPr>
                <w:sz w:val="24"/>
                <w:szCs w:val="24"/>
                <w:color w:val="auto"/>
              </w:rPr>
            </w:pPr>
          </w:p>
        </w:tc>
      </w:tr>
      <w:tr>
        <w:trPr>
          <w:trHeight w:val="189"/>
        </w:trPr>
        <w:tc>
          <w:tcPr>
            <w:tcW w:w="4060" w:type="dxa"/>
            <w:vAlign w:val="bottom"/>
            <w:tcBorders>
              <w:left w:val="single" w:sz="8" w:color="auto"/>
              <w:bottom w:val="single" w:sz="8" w:color="auto"/>
              <w:right w:val="single" w:sz="8" w:color="auto"/>
            </w:tcBorders>
            <w:shd w:val="clear" w:color="auto" w:fill="C0C0C0"/>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86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412"/>
        </w:trPr>
        <w:tc>
          <w:tcPr>
            <w:tcW w:w="4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60" w:type="dxa"/>
            <w:vAlign w:val="bottom"/>
          </w:tcPr>
          <w:p>
            <w:pPr>
              <w:ind w:left="1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4"/>
                <w:szCs w:val="24"/>
                <w:color w:val="auto"/>
              </w:rPr>
            </w:pPr>
          </w:p>
        </w:tc>
      </w:tr>
      <w:tr>
        <w:trPr>
          <w:trHeight w:val="118"/>
        </w:trPr>
        <w:tc>
          <w:tcPr>
            <w:tcW w:w="40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5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The Security Agent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60" w:type="dxa"/>
            <w:vAlign w:val="bottom"/>
            <w:tcBorders>
              <w:top w:val="single" w:sz="8" w:color="auto"/>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Name</w:t>
            </w:r>
          </w:p>
        </w:tc>
        <w:tc>
          <w:tcPr>
            <w:tcW w:w="718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ABN AMRO Bank N.V.</w:t>
            </w:r>
          </w:p>
        </w:tc>
      </w:tr>
      <w:tr>
        <w:trPr>
          <w:trHeight w:val="173"/>
        </w:trPr>
        <w:tc>
          <w:tcPr>
            <w:tcW w:w="4060" w:type="dxa"/>
            <w:vAlign w:val="bottom"/>
            <w:tcBorders>
              <w:left w:val="single" w:sz="8" w:color="auto"/>
              <w:right w:val="single" w:sz="8" w:color="auto"/>
            </w:tcBorders>
            <w:shd w:val="clear" w:color="auto" w:fill="C0C0C0"/>
          </w:tcPr>
          <w:p>
            <w:pPr>
              <w:ind w:left="80"/>
              <w:spacing w:after="0" w:line="173" w:lineRule="exact"/>
              <w:rPr>
                <w:sz w:val="20"/>
                <w:szCs w:val="20"/>
                <w:color w:val="auto"/>
              </w:rPr>
            </w:pPr>
            <w:r>
              <w:rPr>
                <w:rFonts w:ascii="Arial" w:cs="Arial" w:eastAsia="Arial" w:hAnsi="Arial"/>
                <w:sz w:val="18"/>
                <w:szCs w:val="18"/>
                <w:b w:val="1"/>
                <w:bCs w:val="1"/>
                <w:color w:val="auto"/>
              </w:rPr>
              <w:t>Facility Office, address and attention details</w:t>
            </w:r>
          </w:p>
        </w:tc>
        <w:tc>
          <w:tcPr>
            <w:tcW w:w="1320" w:type="dxa"/>
            <w:vAlign w:val="bottom"/>
          </w:tcPr>
          <w:p>
            <w:pPr>
              <w:ind w:left="160"/>
              <w:spacing w:after="0" w:line="173" w:lineRule="exact"/>
              <w:rPr>
                <w:sz w:val="20"/>
                <w:szCs w:val="20"/>
                <w:color w:val="auto"/>
              </w:rPr>
            </w:pPr>
            <w:r>
              <w:rPr>
                <w:rFonts w:ascii="Arial" w:cs="Arial" w:eastAsia="Arial" w:hAnsi="Arial"/>
                <w:sz w:val="18"/>
                <w:szCs w:val="18"/>
                <w:color w:val="auto"/>
              </w:rPr>
              <w:t>Facility Office:</w:t>
            </w:r>
          </w:p>
        </w:tc>
        <w:tc>
          <w:tcPr>
            <w:tcW w:w="5860" w:type="dxa"/>
            <w:vAlign w:val="bottom"/>
            <w:tcBorders>
              <w:right w:val="single" w:sz="8" w:color="auto"/>
            </w:tcBorders>
          </w:tcPr>
          <w:p>
            <w:pPr>
              <w:spacing w:after="0"/>
              <w:rPr>
                <w:sz w:val="15"/>
                <w:szCs w:val="15"/>
                <w:color w:val="auto"/>
              </w:rPr>
            </w:pPr>
          </w:p>
        </w:tc>
      </w:tr>
      <w:tr>
        <w:trPr>
          <w:trHeight w:val="224"/>
        </w:trPr>
        <w:tc>
          <w:tcPr>
            <w:tcW w:w="4060" w:type="dxa"/>
            <w:vAlign w:val="bottom"/>
            <w:tcBorders>
              <w:left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8"/>
                <w:szCs w:val="18"/>
                <w:b w:val="1"/>
                <w:bCs w:val="1"/>
                <w:color w:val="auto"/>
              </w:rPr>
              <w:t>for notices</w:t>
            </w:r>
          </w:p>
        </w:tc>
        <w:tc>
          <w:tcPr>
            <w:tcW w:w="1320" w:type="dxa"/>
            <w:vAlign w:val="bottom"/>
          </w:tcPr>
          <w:p>
            <w:pPr>
              <w:ind w:left="160"/>
              <w:spacing w:after="0"/>
              <w:rPr>
                <w:sz w:val="20"/>
                <w:szCs w:val="20"/>
                <w:color w:val="auto"/>
              </w:rPr>
            </w:pPr>
            <w:r>
              <w:rPr>
                <w:rFonts w:ascii="Arial" w:cs="Arial" w:eastAsia="Arial" w:hAnsi="Arial"/>
                <w:sz w:val="18"/>
                <w:szCs w:val="18"/>
                <w:color w:val="auto"/>
              </w:rPr>
              <w:t>Address:</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Gustav Mahlerlaan 10</w:t>
            </w:r>
          </w:p>
        </w:tc>
      </w:tr>
      <w:tr>
        <w:trPr>
          <w:trHeight w:val="203"/>
        </w:trPr>
        <w:tc>
          <w:tcPr>
            <w:tcW w:w="4060" w:type="dxa"/>
            <w:vAlign w:val="bottom"/>
            <w:tcBorders>
              <w:left w:val="single" w:sz="8" w:color="auto"/>
              <w:right w:val="single" w:sz="8" w:color="auto"/>
            </w:tcBorders>
            <w:shd w:val="clear" w:color="auto" w:fill="C0C0C0"/>
          </w:tcPr>
          <w:p>
            <w:pPr>
              <w:spacing w:after="0"/>
              <w:rPr>
                <w:sz w:val="17"/>
                <w:szCs w:val="17"/>
                <w:color w:val="auto"/>
              </w:rPr>
            </w:pPr>
          </w:p>
        </w:tc>
        <w:tc>
          <w:tcPr>
            <w:tcW w:w="1320" w:type="dxa"/>
            <w:vAlign w:val="bottom"/>
          </w:tcPr>
          <w:p>
            <w:pPr>
              <w:spacing w:after="0"/>
              <w:rPr>
                <w:sz w:val="17"/>
                <w:szCs w:val="17"/>
                <w:color w:val="auto"/>
              </w:rPr>
            </w:pPr>
          </w:p>
        </w:tc>
        <w:tc>
          <w:tcPr>
            <w:tcW w:w="586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1082 PP Amsterdam</w:t>
            </w:r>
          </w:p>
        </w:tc>
      </w:tr>
      <w:tr>
        <w:trPr>
          <w:trHeight w:val="217"/>
        </w:trPr>
        <w:tc>
          <w:tcPr>
            <w:tcW w:w="4060" w:type="dxa"/>
            <w:vAlign w:val="bottom"/>
            <w:tcBorders>
              <w:left w:val="single" w:sz="8" w:color="auto"/>
              <w:right w:val="single" w:sz="8" w:color="auto"/>
            </w:tcBorders>
            <w:shd w:val="clear" w:color="auto" w:fill="C0C0C0"/>
          </w:tcPr>
          <w:p>
            <w:pPr>
              <w:spacing w:after="0"/>
              <w:rPr>
                <w:sz w:val="18"/>
                <w:szCs w:val="18"/>
                <w:color w:val="auto"/>
              </w:rPr>
            </w:pPr>
          </w:p>
        </w:tc>
        <w:tc>
          <w:tcPr>
            <w:tcW w:w="1320" w:type="dxa"/>
            <w:vAlign w:val="bottom"/>
          </w:tcPr>
          <w:p>
            <w:pPr>
              <w:spacing w:after="0"/>
              <w:rPr>
                <w:sz w:val="18"/>
                <w:szCs w:val="18"/>
                <w:color w:val="auto"/>
              </w:rPr>
            </w:pP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r>
      <w:tr>
        <w:trPr>
          <w:trHeight w:val="405"/>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Agency Syndicated Loans / Agency Team 1 / PAC HQ9037</w:t>
            </w:r>
          </w:p>
        </w:tc>
      </w:tr>
      <w:tr>
        <w:trPr>
          <w:trHeight w:val="405"/>
        </w:trPr>
        <w:tc>
          <w:tcPr>
            <w:tcW w:w="4060" w:type="dxa"/>
            <w:vAlign w:val="bottom"/>
            <w:tcBorders>
              <w:left w:val="single" w:sz="8" w:color="auto"/>
              <w:right w:val="single" w:sz="8" w:color="auto"/>
            </w:tcBorders>
            <w:shd w:val="clear" w:color="auto" w:fill="C0C0C0"/>
          </w:tcPr>
          <w:p>
            <w:pPr>
              <w:spacing w:after="0"/>
              <w:rPr>
                <w:sz w:val="24"/>
                <w:szCs w:val="24"/>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Email:</w:t>
            </w:r>
          </w:p>
        </w:tc>
        <w:tc>
          <w:tcPr>
            <w:tcW w:w="5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abn.amro.agency.team.1@nl.abnamro.com</w:t>
            </w:r>
          </w:p>
        </w:tc>
      </w:tr>
      <w:tr>
        <w:trPr>
          <w:trHeight w:val="189"/>
        </w:trPr>
        <w:tc>
          <w:tcPr>
            <w:tcW w:w="4060" w:type="dxa"/>
            <w:vAlign w:val="bottom"/>
            <w:tcBorders>
              <w:left w:val="single" w:sz="8" w:color="auto"/>
              <w:bottom w:val="single" w:sz="8" w:color="auto"/>
              <w:right w:val="single" w:sz="8" w:color="auto"/>
            </w:tcBorders>
            <w:shd w:val="clear" w:color="auto" w:fill="C0C0C0"/>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860" w:type="dxa"/>
            <w:vAlign w:val="bottom"/>
            <w:tcBorders>
              <w:bottom w:val="single" w:sz="8" w:color="auto"/>
              <w:right w:val="single" w:sz="8" w:color="auto"/>
            </w:tcBorders>
          </w:tcPr>
          <w:p>
            <w:pPr>
              <w:spacing w:after="0"/>
              <w:rPr>
                <w:sz w:val="16"/>
                <w:szCs w:val="16"/>
                <w:color w:val="auto"/>
              </w:rPr>
            </w:pPr>
          </w:p>
        </w:tc>
      </w:tr>
    </w:tbl>
    <w:p>
      <w:pPr>
        <w:spacing w:after="0" w:line="180" w:lineRule="exact"/>
        <w:rPr>
          <w:sz w:val="20"/>
          <w:szCs w:val="20"/>
          <w:color w:val="auto"/>
        </w:rPr>
      </w:pP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8"/>
          <w:szCs w:val="18"/>
          <w:b w:val="1"/>
          <w:bCs w:val="1"/>
          <w:color w:val="auto"/>
        </w:rPr>
        <w:t>The Arrangers</w:t>
      </w:r>
    </w:p>
    <w:p>
      <w:pPr>
        <w:spacing w:after="0" w:line="18" w:lineRule="exact"/>
        <w:rPr>
          <w:sz w:val="20"/>
          <w:szCs w:val="20"/>
          <w:color w:val="auto"/>
        </w:rPr>
      </w:pPr>
    </w:p>
    <w:p>
      <w:pPr>
        <w:jc w:val="center"/>
        <w:ind w:right="3960"/>
        <w:spacing w:after="0"/>
        <w:rPr>
          <w:sz w:val="20"/>
          <w:szCs w:val="20"/>
          <w:color w:val="auto"/>
        </w:rPr>
      </w:pPr>
      <w:r>
        <w:rPr>
          <w:rFonts w:ascii="Arial" w:cs="Arial" w:eastAsia="Arial" w:hAnsi="Arial"/>
          <w:sz w:val="18"/>
          <w:szCs w:val="18"/>
          <w:b w:val="1"/>
          <w:bCs w:val="1"/>
          <w:color w:val="auto"/>
        </w:rPr>
        <w:t>Mandated Lead Arrangers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AMRO Bank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-125095</wp:posOffset>
            </wp:positionV>
            <wp:extent cx="7132320" cy="557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Citigroup Global Markets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Nordea Bank ABP, Filial i Norge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HSBC Bank plc</w:t>
      </w:r>
    </w:p>
    <w:p>
      <w:pPr>
        <w:spacing w:after="0" w:line="21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Arrangers</w:t>
      </w:r>
    </w:p>
    <w:p>
      <w:pPr>
        <w:spacing w:after="0" w:line="200" w:lineRule="exact"/>
        <w:rPr>
          <w:sz w:val="20"/>
          <w:szCs w:val="20"/>
          <w:color w:val="auto"/>
        </w:rPr>
      </w:pPr>
    </w:p>
    <w:p>
      <w:pPr>
        <w:sectPr>
          <w:pgSz w:w="11900" w:h="16838" w:orient="portrait"/>
          <w:cols w:equalWidth="0" w:num="2">
            <w:col w:w="3240" w:space="720"/>
            <w:col w:w="7280"/>
          </w:cols>
          <w:pgMar w:left="320" w:top="319" w:right="339" w:bottom="1440" w:gutter="0" w:footer="0" w:header="0"/>
          <w:type w:val="continuous"/>
        </w:sectPr>
      </w:pPr>
    </w:p>
    <w:p>
      <w:pPr>
        <w:spacing w:after="0" w:line="1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Credit Agricole Corporate and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-117475</wp:posOffset>
            </wp:positionV>
            <wp:extent cx="7132320" cy="420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Australia Bank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UniCredit Bank AG</w:t>
      </w:r>
    </w:p>
    <w:p>
      <w:pPr>
        <w:spacing w:after="0" w:line="3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Bookrunners</w:t>
      </w:r>
    </w:p>
    <w:p>
      <w:pPr>
        <w:spacing w:after="0" w:line="200" w:lineRule="exact"/>
        <w:rPr>
          <w:sz w:val="20"/>
          <w:szCs w:val="20"/>
          <w:color w:val="auto"/>
        </w:rPr>
      </w:pPr>
    </w:p>
    <w:p>
      <w:pPr>
        <w:sectPr>
          <w:pgSz w:w="11900" w:h="16838" w:orient="portrait"/>
          <w:cols w:equalWidth="0" w:num="2">
            <w:col w:w="3240" w:space="720"/>
            <w:col w:w="7280"/>
          </w:cols>
          <w:pgMar w:left="320" w:top="319" w:right="339" w:bottom="1440" w:gutter="0" w:footer="0" w:header="0"/>
          <w:type w:val="continuous"/>
        </w:sectPr>
      </w:pPr>
    </w:p>
    <w:p>
      <w:pPr>
        <w:spacing w:after="0" w:line="1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ABN AMRO Bank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-125095</wp:posOffset>
            </wp:positionV>
            <wp:extent cx="7132320" cy="419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Citigroup Global Markets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Nordea Bank ABP, Filial i Norge</w:t>
      </w:r>
    </w:p>
    <w:p>
      <w:pPr>
        <w:spacing w:after="0" w:line="21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64135</wp:posOffset>
            </wp:positionV>
            <wp:extent cx="71532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2">
            <w:col w:w="3240" w:space="720"/>
            <w:col w:w="7280"/>
          </w:cols>
          <w:pgMar w:left="320" w:top="319" w:right="339" w:bottom="1440" w:gutter="0" w:footer="0" w:header="0"/>
          <w:type w:val="continuous"/>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Ship information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Ship B</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64135</wp:posOffset>
            </wp:positionV>
            <wp:extent cx="71532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Schedule 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any Utilisation</w:t>
      </w:r>
    </w:p>
    <w:p>
      <w:pPr>
        <w:spacing w:after="0" w:line="212" w:lineRule="exact"/>
        <w:rPr>
          <w:sz w:val="20"/>
          <w:szCs w:val="20"/>
          <w:color w:val="auto"/>
        </w:rPr>
      </w:pPr>
    </w:p>
    <w:p>
      <w:pPr>
        <w:ind w:left="500" w:hanging="492"/>
        <w:spacing w:after="0"/>
        <w:tabs>
          <w:tab w:leader="none" w:pos="50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Obligors’ corporate documents</w:t>
      </w:r>
    </w:p>
    <w:p>
      <w:pPr>
        <w:spacing w:after="0" w:line="233" w:lineRule="exact"/>
        <w:rPr>
          <w:rFonts w:ascii="Arial" w:cs="Arial" w:eastAsia="Arial" w:hAnsi="Arial"/>
          <w:sz w:val="18"/>
          <w:szCs w:val="18"/>
          <w:b w:val="1"/>
          <w:bCs w:val="1"/>
          <w:color w:val="auto"/>
        </w:rPr>
      </w:pPr>
    </w:p>
    <w:p>
      <w:pPr>
        <w:ind w:left="1020" w:hanging="502"/>
        <w:spacing w:after="0"/>
        <w:tabs>
          <w:tab w:leader="none" w:pos="102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 copy of the Constitutional Documents and, if applicable, a certificate of good standing of each Obligor and each Manager.</w:t>
      </w:r>
    </w:p>
    <w:p>
      <w:pPr>
        <w:spacing w:after="0" w:line="211" w:lineRule="exact"/>
        <w:rPr>
          <w:rFonts w:ascii="Arial" w:cs="Arial" w:eastAsia="Arial" w:hAnsi="Arial"/>
          <w:sz w:val="18"/>
          <w:szCs w:val="18"/>
          <w:color w:val="auto"/>
        </w:rPr>
      </w:pPr>
    </w:p>
    <w:p>
      <w:pPr>
        <w:ind w:left="1020" w:hanging="502"/>
        <w:spacing w:after="0" w:line="246" w:lineRule="auto"/>
        <w:tabs>
          <w:tab w:leader="none" w:pos="112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and each Manager (or, if applicable, any committee of such board empowered to approve and authorise the following matters):</w:t>
      </w:r>
    </w:p>
    <w:p>
      <w:pPr>
        <w:spacing w:after="0" w:line="174" w:lineRule="exact"/>
        <w:rPr>
          <w:rFonts w:ascii="Arial" w:cs="Arial" w:eastAsia="Arial" w:hAnsi="Arial"/>
          <w:sz w:val="18"/>
          <w:szCs w:val="18"/>
          <w:color w:val="auto"/>
        </w:rPr>
      </w:pPr>
    </w:p>
    <w:p>
      <w:pPr>
        <w:ind w:left="1540" w:hanging="511"/>
        <w:spacing w:after="0" w:line="271" w:lineRule="auto"/>
        <w:tabs>
          <w:tab w:leader="none" w:pos="1784" w:val="left"/>
        </w:tabs>
        <w:numPr>
          <w:ilvl w:val="2"/>
          <w:numId w:val="428"/>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or any Charter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to which it is a party and resolving that it execute the Relevant Documents to which it is a party;</w:t>
      </w:r>
    </w:p>
    <w:p>
      <w:pPr>
        <w:spacing w:after="0" w:line="175" w:lineRule="exact"/>
        <w:rPr>
          <w:rFonts w:ascii="Arial" w:cs="Arial" w:eastAsia="Arial" w:hAnsi="Arial"/>
          <w:sz w:val="18"/>
          <w:szCs w:val="18"/>
          <w:color w:val="auto"/>
        </w:rPr>
      </w:pPr>
    </w:p>
    <w:p>
      <w:pPr>
        <w:ind w:left="1520" w:hanging="491"/>
        <w:spacing w:after="0"/>
        <w:tabs>
          <w:tab w:leader="none" w:pos="1520" w:val="left"/>
        </w:tabs>
        <w:numPr>
          <w:ilvl w:val="2"/>
          <w:numId w:val="428"/>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to which it is a party on its behalf; and</w:t>
      </w:r>
    </w:p>
    <w:p>
      <w:pPr>
        <w:spacing w:after="0" w:line="211" w:lineRule="exact"/>
        <w:rPr>
          <w:rFonts w:ascii="Arial" w:cs="Arial" w:eastAsia="Arial" w:hAnsi="Arial"/>
          <w:sz w:val="18"/>
          <w:szCs w:val="18"/>
          <w:color w:val="auto"/>
        </w:rPr>
      </w:pPr>
    </w:p>
    <w:p>
      <w:pPr>
        <w:jc w:val="both"/>
        <w:ind w:left="1540" w:hanging="511"/>
        <w:spacing w:after="0"/>
        <w:tabs>
          <w:tab w:leader="none" w:pos="1572" w:val="left"/>
        </w:tabs>
        <w:numPr>
          <w:ilvl w:val="2"/>
          <w:numId w:val="428"/>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202" w:lineRule="exact"/>
        <w:rPr>
          <w:rFonts w:ascii="Arial" w:cs="Arial" w:eastAsia="Arial" w:hAnsi="Arial"/>
          <w:sz w:val="18"/>
          <w:szCs w:val="18"/>
          <w:color w:val="auto"/>
        </w:rPr>
      </w:pPr>
    </w:p>
    <w:p>
      <w:pPr>
        <w:ind w:left="1020" w:hanging="502"/>
        <w:spacing w:after="0" w:line="246" w:lineRule="auto"/>
        <w:tabs>
          <w:tab w:leader="none" w:pos="1099"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in relation to the Finance Documents and any related documents.</w:t>
      </w:r>
    </w:p>
    <w:p>
      <w:pPr>
        <w:spacing w:after="0" w:line="196" w:lineRule="exact"/>
        <w:rPr>
          <w:rFonts w:ascii="Arial" w:cs="Arial" w:eastAsia="Arial" w:hAnsi="Arial"/>
          <w:sz w:val="18"/>
          <w:szCs w:val="18"/>
          <w:color w:val="auto"/>
        </w:rPr>
      </w:pPr>
    </w:p>
    <w:p>
      <w:pPr>
        <w:jc w:val="both"/>
        <w:ind w:left="1020" w:hanging="502"/>
        <w:spacing w:after="0"/>
        <w:tabs>
          <w:tab w:leader="none" w:pos="107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under Bermudian law, a copy of a resolution signed by all the holders of the issued shares in each Obligor and each Manager, approving the terms of, and the transactions contemplated by, the Relevant Documents to which such Obligor or a Manager is a party.</w:t>
      </w:r>
    </w:p>
    <w:p>
      <w:pPr>
        <w:spacing w:after="0" w:line="202" w:lineRule="exact"/>
        <w:rPr>
          <w:rFonts w:ascii="Arial" w:cs="Arial" w:eastAsia="Arial" w:hAnsi="Arial"/>
          <w:sz w:val="18"/>
          <w:szCs w:val="18"/>
          <w:color w:val="auto"/>
        </w:rPr>
      </w:pPr>
    </w:p>
    <w:p>
      <w:pPr>
        <w:jc w:val="both"/>
        <w:ind w:left="1020" w:hanging="502"/>
        <w:spacing w:after="0"/>
        <w:tabs>
          <w:tab w:leader="none" w:pos="1192"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a Manager or under Bermudian law, a copy of a resolution of the board of directors of each corporate shareholder of each Obligor and each Manager approving the terms of the resolution referred to in paragraph (d) above.</w:t>
      </w:r>
    </w:p>
    <w:p>
      <w:pPr>
        <w:spacing w:after="0" w:line="202" w:lineRule="exact"/>
        <w:rPr>
          <w:rFonts w:ascii="Arial" w:cs="Arial" w:eastAsia="Arial" w:hAnsi="Arial"/>
          <w:sz w:val="18"/>
          <w:szCs w:val="18"/>
          <w:color w:val="auto"/>
        </w:rPr>
      </w:pPr>
    </w:p>
    <w:p>
      <w:pPr>
        <w:ind w:left="1020" w:hanging="502"/>
        <w:spacing w:after="0" w:line="246" w:lineRule="auto"/>
        <w:tabs>
          <w:tab w:leader="none" w:pos="1009"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 copy of any power of attorney under which any person is to execute any of the Relevant Documents on behalf of any Obligor and each Manager.</w:t>
      </w:r>
    </w:p>
    <w:p>
      <w:pPr>
        <w:spacing w:after="0" w:line="196" w:lineRule="exact"/>
        <w:rPr>
          <w:rFonts w:ascii="Arial" w:cs="Arial" w:eastAsia="Arial" w:hAnsi="Arial"/>
          <w:sz w:val="18"/>
          <w:szCs w:val="18"/>
          <w:color w:val="auto"/>
        </w:rPr>
      </w:pPr>
    </w:p>
    <w:p>
      <w:pPr>
        <w:jc w:val="both"/>
        <w:ind w:left="1020" w:hanging="502"/>
        <w:spacing w:after="0" w:line="238" w:lineRule="auto"/>
        <w:tabs>
          <w:tab w:leader="none" w:pos="1045"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and each Manager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83" w:lineRule="exact"/>
        <w:rPr>
          <w:sz w:val="20"/>
          <w:szCs w:val="20"/>
          <w:color w:val="auto"/>
        </w:rPr>
      </w:pPr>
    </w:p>
    <w:p>
      <w:pPr>
        <w:ind w:left="500" w:hanging="492"/>
        <w:spacing w:after="0"/>
        <w:tabs>
          <w:tab w:leader="none" w:pos="50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Charters</w:t>
      </w:r>
    </w:p>
    <w:p>
      <w:pPr>
        <w:spacing w:after="0" w:line="23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Charter for Ship B duly executed.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0" w:name="page181"/>
    <w:bookmarkEnd w:id="180"/>
    <w:p>
      <w:pPr>
        <w:ind w:left="500" w:hanging="492"/>
        <w:spacing w:after="0"/>
        <w:tabs>
          <w:tab w:leader="none" w:pos="50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34" w:lineRule="exact"/>
        <w:rPr>
          <w:sz w:val="20"/>
          <w:szCs w:val="20"/>
          <w:color w:val="auto"/>
        </w:rPr>
      </w:pPr>
    </w:p>
    <w:p>
      <w:pPr>
        <w:ind w:left="520"/>
        <w:spacing w:after="0" w:line="246" w:lineRule="auto"/>
        <w:rPr>
          <w:sz w:val="20"/>
          <w:szCs w:val="20"/>
          <w:color w:val="auto"/>
        </w:rPr>
      </w:pPr>
      <w:r>
        <w:rPr>
          <w:rFonts w:ascii="Arial" w:cs="Arial" w:eastAsia="Arial" w:hAnsi="Arial"/>
          <w:sz w:val="18"/>
          <w:szCs w:val="18"/>
          <w:color w:val="auto"/>
        </w:rPr>
        <w:t>The Share Security in respect of each Borrower duly executed by GasLog Carriers together with all letters, transfers, certificates and other documents required to be delivered under each such Share Security.</w:t>
      </w:r>
    </w:p>
    <w:p>
      <w:pPr>
        <w:spacing w:after="0" w:line="175" w:lineRule="exact"/>
        <w:rPr>
          <w:sz w:val="20"/>
          <w:szCs w:val="20"/>
          <w:color w:val="auto"/>
        </w:rPr>
      </w:pPr>
    </w:p>
    <w:p>
      <w:pPr>
        <w:ind w:left="500" w:hanging="492"/>
        <w:spacing w:after="0"/>
        <w:tabs>
          <w:tab w:leader="none" w:pos="50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33"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legal opinions, each addressed to the Agent, the Security Agent and the Lenders (and in a form and substance reasonably satisfactory to the Agent and the Lenders) and capable of being relied upon by any persons who become Lenders pursuant to the primary syndication of the Facilities:</w:t>
      </w:r>
    </w:p>
    <w:p>
      <w:pPr>
        <w:spacing w:after="0" w:line="202" w:lineRule="exact"/>
        <w:rPr>
          <w:rFonts w:ascii="Arial" w:cs="Arial" w:eastAsia="Arial" w:hAnsi="Arial"/>
          <w:sz w:val="18"/>
          <w:szCs w:val="18"/>
          <w:b w:val="1"/>
          <w:bCs w:val="1"/>
          <w:color w:val="auto"/>
        </w:rPr>
      </w:pPr>
    </w:p>
    <w:p>
      <w:pPr>
        <w:ind w:left="1020" w:hanging="502"/>
        <w:spacing w:after="0"/>
        <w:tabs>
          <w:tab w:leader="none" w:pos="1020"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 legal opinion of Norton Rose Fulbright Greece on matters of English law.</w:t>
      </w:r>
    </w:p>
    <w:p>
      <w:pPr>
        <w:spacing w:after="0" w:line="211" w:lineRule="exact"/>
        <w:rPr>
          <w:rFonts w:ascii="Arial" w:cs="Arial" w:eastAsia="Arial" w:hAnsi="Arial"/>
          <w:sz w:val="18"/>
          <w:szCs w:val="18"/>
          <w:color w:val="auto"/>
        </w:rPr>
      </w:pPr>
    </w:p>
    <w:p>
      <w:pPr>
        <w:jc w:val="both"/>
        <w:ind w:left="1020" w:hanging="502"/>
        <w:spacing w:after="0"/>
        <w:tabs>
          <w:tab w:leader="none" w:pos="1034"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and the Agent in each jurisdiction (other than England) in which an Obligor is incorporated and/or which is or is to be the Flag State of a Mortgaged Ship, or in which an Account opened at the relevant time is established.</w:t>
      </w:r>
    </w:p>
    <w:p>
      <w:pPr>
        <w:spacing w:after="0" w:line="181" w:lineRule="exact"/>
        <w:rPr>
          <w:sz w:val="20"/>
          <w:szCs w:val="20"/>
          <w:color w:val="auto"/>
        </w:rPr>
      </w:pPr>
    </w:p>
    <w:p>
      <w:pPr>
        <w:ind w:left="500" w:hanging="492"/>
        <w:spacing w:after="0"/>
        <w:tabs>
          <w:tab w:leader="none" w:pos="50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15" w:lineRule="exact"/>
        <w:rPr>
          <w:rFonts w:ascii="Arial" w:cs="Arial" w:eastAsia="Arial" w:hAnsi="Arial"/>
          <w:sz w:val="18"/>
          <w:szCs w:val="18"/>
          <w:b w:val="1"/>
          <w:bCs w:val="1"/>
          <w:color w:val="auto"/>
        </w:rPr>
      </w:pPr>
    </w:p>
    <w:p>
      <w:pPr>
        <w:ind w:left="1020" w:right="20" w:hanging="502"/>
        <w:spacing w:after="0" w:line="267" w:lineRule="auto"/>
        <w:tabs>
          <w:tab w:leader="none" w:pos="103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45.2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entered into on or before the first Utilisation Date, if not an Obligor, has accepted its appointment.</w:t>
      </w:r>
    </w:p>
    <w:p>
      <w:pPr>
        <w:spacing w:after="0" w:line="178" w:lineRule="exact"/>
        <w:rPr>
          <w:rFonts w:ascii="Arial" w:cs="Arial" w:eastAsia="Arial" w:hAnsi="Arial"/>
          <w:sz w:val="18"/>
          <w:szCs w:val="18"/>
          <w:color w:val="auto"/>
        </w:rPr>
      </w:pPr>
    </w:p>
    <w:p>
      <w:pPr>
        <w:ind w:left="1040" w:hanging="522"/>
        <w:spacing w:after="0"/>
        <w:tabs>
          <w:tab w:leader="none" w:pos="104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Each Fee Letter duly executed by the parties thereto.</w:t>
      </w:r>
    </w:p>
    <w:p>
      <w:pPr>
        <w:spacing w:after="0" w:line="211" w:lineRule="exact"/>
        <w:rPr>
          <w:rFonts w:ascii="Arial" w:cs="Arial" w:eastAsia="Arial" w:hAnsi="Arial"/>
          <w:sz w:val="18"/>
          <w:szCs w:val="18"/>
          <w:color w:val="auto"/>
        </w:rPr>
      </w:pPr>
    </w:p>
    <w:p>
      <w:pPr>
        <w:ind w:left="1020" w:hanging="502"/>
        <w:spacing w:after="0"/>
        <w:tabs>
          <w:tab w:leader="none" w:pos="102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Original Financial Statements, together with a Compliance Certificate.</w:t>
      </w:r>
    </w:p>
    <w:p>
      <w:pPr>
        <w:spacing w:after="0" w:line="190" w:lineRule="exact"/>
        <w:rPr>
          <w:sz w:val="20"/>
          <w:szCs w:val="20"/>
          <w:color w:val="auto"/>
        </w:rPr>
      </w:pPr>
    </w:p>
    <w:p>
      <w:pPr>
        <w:ind w:left="500" w:hanging="492"/>
        <w:spacing w:after="0"/>
        <w:tabs>
          <w:tab w:leader="none" w:pos="50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15" w:lineRule="exact"/>
        <w:rPr>
          <w:rFonts w:ascii="Arial" w:cs="Arial" w:eastAsia="Arial" w:hAnsi="Arial"/>
          <w:sz w:val="18"/>
          <w:szCs w:val="18"/>
          <w:b w:val="1"/>
          <w:bCs w:val="1"/>
          <w:color w:val="auto"/>
        </w:rPr>
      </w:pPr>
    </w:p>
    <w:p>
      <w:pPr>
        <w:ind w:left="52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Evidence that any Account required to be established 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has been opened and established with the Account Bank.</w:t>
      </w:r>
    </w:p>
    <w:p>
      <w:pPr>
        <w:spacing w:after="0" w:line="156" w:lineRule="exact"/>
        <w:rPr>
          <w:sz w:val="20"/>
          <w:szCs w:val="20"/>
          <w:color w:val="auto"/>
        </w:rPr>
      </w:pPr>
    </w:p>
    <w:p>
      <w:pPr>
        <w:ind w:left="500" w:hanging="492"/>
        <w:spacing w:after="0"/>
        <w:tabs>
          <w:tab w:leader="none" w:pos="50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 information</w:t>
      </w:r>
    </w:p>
    <w:p>
      <w:pPr>
        <w:spacing w:after="0" w:line="234" w:lineRule="exact"/>
        <w:rPr>
          <w:sz w:val="20"/>
          <w:szCs w:val="20"/>
          <w:color w:val="auto"/>
        </w:rPr>
      </w:pPr>
    </w:p>
    <w:p>
      <w:pPr>
        <w:jc w:val="both"/>
        <w:ind w:left="520"/>
        <w:spacing w:after="0"/>
        <w:rPr>
          <w:sz w:val="20"/>
          <w:szCs w:val="20"/>
          <w:color w:val="auto"/>
        </w:rPr>
      </w:pPr>
      <w:r>
        <w:rPr>
          <w:rFonts w:ascii="Arial" w:cs="Arial" w:eastAsia="Arial" w:hAnsi="Arial"/>
          <w:sz w:val="18"/>
          <w:szCs w:val="18"/>
          <w:color w:val="auto"/>
        </w:rPr>
        <w:t>Such documentation and information as any Finance Party may request through the Agent and which is necessary for that Finance Party to comply with “know your customer” or similar identification procedures under all laws and regulations applicable to that Finance Party.</w:t>
      </w:r>
    </w:p>
    <w:p>
      <w:pPr>
        <w:spacing w:after="0" w:line="181" w:lineRule="exact"/>
        <w:rPr>
          <w:sz w:val="20"/>
          <w:szCs w:val="20"/>
          <w:color w:val="auto"/>
        </w:rPr>
      </w:pPr>
    </w:p>
    <w:p>
      <w:pPr>
        <w:ind w:left="500" w:hanging="492"/>
        <w:spacing w:after="0"/>
        <w:tabs>
          <w:tab w:leader="none" w:pos="50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Indebtedness</w:t>
      </w:r>
    </w:p>
    <w:p>
      <w:pPr>
        <w:spacing w:after="0" w:line="233"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Brief description of each credit facility comprising the Existing Indebtedness, including the relevant Existing Indebtedness Lender and the relevant Ship mortgaged under and in relation to each such facility, and the total principal amount and interest thereon forecast to be outstanding on the first Utilisation Date in connection with the same.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Part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initial Utilisation</w:t>
      </w:r>
    </w:p>
    <w:p>
      <w:pPr>
        <w:spacing w:after="0" w:line="190" w:lineRule="exact"/>
        <w:rPr>
          <w:sz w:val="20"/>
          <w:szCs w:val="20"/>
          <w:color w:val="auto"/>
        </w:rPr>
      </w:pPr>
    </w:p>
    <w:p>
      <w:pPr>
        <w:ind w:left="500" w:hanging="492"/>
        <w:spacing w:after="0"/>
        <w:tabs>
          <w:tab w:leader="none" w:pos="50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documents</w:t>
      </w:r>
    </w:p>
    <w:p>
      <w:pPr>
        <w:spacing w:after="0" w:line="233" w:lineRule="exact"/>
        <w:rPr>
          <w:rFonts w:ascii="Arial" w:cs="Arial" w:eastAsia="Arial" w:hAnsi="Arial"/>
          <w:sz w:val="18"/>
          <w:szCs w:val="18"/>
          <w:b w:val="1"/>
          <w:bCs w:val="1"/>
          <w:color w:val="auto"/>
        </w:rPr>
      </w:pPr>
    </w:p>
    <w:p>
      <w:pPr>
        <w:jc w:val="both"/>
        <w:ind w:left="1020" w:hanging="502"/>
        <w:spacing w:after="0" w:line="238" w:lineRule="auto"/>
        <w:tabs>
          <w:tab w:leader="none" w:pos="1038"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Owner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204" w:lineRule="exact"/>
        <w:rPr>
          <w:rFonts w:ascii="Arial" w:cs="Arial" w:eastAsia="Arial" w:hAnsi="Arial"/>
          <w:sz w:val="18"/>
          <w:szCs w:val="18"/>
          <w:color w:val="auto"/>
        </w:rPr>
      </w:pPr>
    </w:p>
    <w:p>
      <w:pPr>
        <w:jc w:val="both"/>
        <w:ind w:left="1020" w:hanging="502"/>
        <w:spacing w:after="0" w:line="238" w:lineRule="auto"/>
        <w:tabs>
          <w:tab w:leader="none" w:pos="1185"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 certificate of an authorised signatory of each other Obligor or a Manager which is party to any of the Original Security Documents required to be executed under this Part 2 in respect of the relevant Ship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80" w:lineRule="exact"/>
        <w:rPr>
          <w:sz w:val="20"/>
          <w:szCs w:val="20"/>
          <w:color w:val="auto"/>
        </w:rPr>
      </w:pPr>
    </w:p>
    <w:p>
      <w:pPr>
        <w:ind w:left="500" w:hanging="492"/>
        <w:spacing w:after="0"/>
        <w:tabs>
          <w:tab w:leader="none" w:pos="50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33" w:lineRule="exact"/>
        <w:rPr>
          <w:rFonts w:ascii="Arial" w:cs="Arial" w:eastAsia="Arial" w:hAnsi="Arial"/>
          <w:sz w:val="18"/>
          <w:szCs w:val="18"/>
          <w:b w:val="1"/>
          <w:bCs w:val="1"/>
          <w:color w:val="auto"/>
        </w:rPr>
      </w:pPr>
    </w:p>
    <w:p>
      <w:pPr>
        <w:ind w:left="1020" w:hanging="502"/>
        <w:spacing w:after="0" w:line="246" w:lineRule="auto"/>
        <w:tabs>
          <w:tab w:leader="none" w:pos="1175"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 Mortgage and the Deed of Covenant or General Assignment in respect of the relevant Ship and the relevant Charter Assignment for Ship B.</w:t>
      </w:r>
    </w:p>
    <w:p>
      <w:pPr>
        <w:spacing w:after="0" w:line="196" w:lineRule="exact"/>
        <w:rPr>
          <w:rFonts w:ascii="Arial" w:cs="Arial" w:eastAsia="Arial" w:hAnsi="Arial"/>
          <w:sz w:val="18"/>
          <w:szCs w:val="18"/>
          <w:color w:val="auto"/>
        </w:rPr>
      </w:pPr>
    </w:p>
    <w:p>
      <w:pPr>
        <w:ind w:left="1020" w:hanging="502"/>
        <w:spacing w:after="0"/>
        <w:tabs>
          <w:tab w:leader="none" w:pos="102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Any Manager’s Undertaking duly executed by the relevant Manager.</w:t>
      </w:r>
    </w:p>
    <w:p>
      <w:pPr>
        <w:spacing w:after="0" w:line="193" w:lineRule="exact"/>
        <w:rPr>
          <w:rFonts w:ascii="Arial" w:cs="Arial" w:eastAsia="Arial" w:hAnsi="Arial"/>
          <w:sz w:val="18"/>
          <w:szCs w:val="18"/>
          <w:color w:val="auto"/>
        </w:rPr>
      </w:pPr>
    </w:p>
    <w:p>
      <w:pPr>
        <w:ind w:left="1020" w:hanging="502"/>
        <w:spacing w:after="0"/>
        <w:tabs>
          <w:tab w:leader="none" w:pos="102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Evidence that the Borrowers are in compliance with clause 26.5 (</w:t>
      </w:r>
      <w:r>
        <w:rPr>
          <w:rFonts w:ascii="Arial" w:cs="Arial" w:eastAsia="Arial" w:hAnsi="Arial"/>
          <w:sz w:val="18"/>
          <w:szCs w:val="18"/>
          <w:i w:val="1"/>
          <w:iCs w:val="1"/>
          <w:color w:val="auto"/>
        </w:rPr>
        <w:t>Notice of assignment</w:t>
      </w:r>
      <w:r>
        <w:rPr>
          <w:rFonts w:ascii="Arial" w:cs="Arial" w:eastAsia="Arial" w:hAnsi="Arial"/>
          <w:sz w:val="18"/>
          <w:szCs w:val="18"/>
          <w:color w:val="auto"/>
        </w:rPr>
        <w:t>) in respect of Ship B.</w:t>
      </w:r>
    </w:p>
    <w:p>
      <w:pPr>
        <w:spacing w:after="0" w:line="229" w:lineRule="exact"/>
        <w:rPr>
          <w:rFonts w:ascii="Arial" w:cs="Arial" w:eastAsia="Arial" w:hAnsi="Arial"/>
          <w:sz w:val="18"/>
          <w:szCs w:val="18"/>
          <w:color w:val="auto"/>
        </w:rPr>
      </w:pPr>
    </w:p>
    <w:p>
      <w:pPr>
        <w:ind w:left="1040" w:hanging="522"/>
        <w:spacing w:after="0"/>
        <w:tabs>
          <w:tab w:leader="none" w:pos="1040" w:val="left"/>
        </w:tabs>
        <w:numPr>
          <w:ilvl w:val="1"/>
          <w:numId w:val="437"/>
        </w:numPr>
        <w:rPr>
          <w:rFonts w:ascii="Arial" w:cs="Arial" w:eastAsia="Arial" w:hAnsi="Arial"/>
          <w:sz w:val="17"/>
          <w:szCs w:val="17"/>
          <w:color w:val="auto"/>
        </w:rPr>
      </w:pPr>
      <w:r>
        <w:rPr>
          <w:rFonts w:ascii="Arial" w:cs="Arial" w:eastAsia="Arial" w:hAnsi="Arial"/>
          <w:sz w:val="17"/>
          <w:szCs w:val="17"/>
          <w:color w:val="auto"/>
        </w:rPr>
        <w:t>The Quiet Enjoyment Agreement for Ship B duly executed by the relevant Owner, the Security Agent and the relevant Charterer.</w:t>
      </w:r>
    </w:p>
    <w:p>
      <w:pPr>
        <w:spacing w:after="0" w:line="223" w:lineRule="exact"/>
        <w:rPr>
          <w:rFonts w:ascii="Arial" w:cs="Arial" w:eastAsia="Arial" w:hAnsi="Arial"/>
          <w:sz w:val="17"/>
          <w:szCs w:val="17"/>
          <w:color w:val="auto"/>
        </w:rPr>
      </w:pPr>
    </w:p>
    <w:p>
      <w:pPr>
        <w:ind w:left="1040" w:hanging="522"/>
        <w:spacing w:after="0"/>
        <w:tabs>
          <w:tab w:leader="none" w:pos="104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acknowledgments required by the Charter Assignment for Ship B.</w:t>
      </w:r>
    </w:p>
    <w:p>
      <w:pPr>
        <w:spacing w:after="0" w:line="211" w:lineRule="exact"/>
        <w:rPr>
          <w:rFonts w:ascii="Arial" w:cs="Arial" w:eastAsia="Arial" w:hAnsi="Arial"/>
          <w:sz w:val="18"/>
          <w:szCs w:val="18"/>
          <w:color w:val="auto"/>
        </w:rPr>
      </w:pPr>
    </w:p>
    <w:p>
      <w:pPr>
        <w:jc w:val="both"/>
        <w:ind w:left="1020" w:hanging="502"/>
        <w:spacing w:after="0" w:line="238" w:lineRule="auto"/>
        <w:tabs>
          <w:tab w:leader="none" w:pos="1067" w:val="left"/>
        </w:tabs>
        <w:numPr>
          <w:ilvl w:val="1"/>
          <w:numId w:val="437"/>
        </w:numPr>
        <w:rPr>
          <w:rFonts w:ascii="Arial" w:cs="Arial" w:eastAsia="Arial" w:hAnsi="Arial"/>
          <w:sz w:val="18"/>
          <w:szCs w:val="18"/>
          <w:color w:val="auto"/>
        </w:rPr>
      </w:pPr>
      <w:r>
        <w:rPr>
          <w:rFonts w:ascii="Arial" w:cs="Arial" w:eastAsia="Arial" w:hAnsi="Arial"/>
          <w:sz w:val="18"/>
          <w:szCs w:val="18"/>
          <w:color w:val="auto"/>
        </w:rPr>
        <w:t>The Account Security in respect of the Earnings Accounts of the Owner of the relevant Ship, duly executed by each relevant Account Holder, together with evidence that (i) any notice required to be given to an Account Bank under that Account Security has been given to it and acknowledged by it in the manner required by that Account Security and (ii) an amount has been credited to such Account.</w:t>
      </w:r>
    </w:p>
    <w:p>
      <w:pPr>
        <w:spacing w:after="0" w:line="204" w:lineRule="exact"/>
        <w:rPr>
          <w:rFonts w:ascii="Arial" w:cs="Arial" w:eastAsia="Arial" w:hAnsi="Arial"/>
          <w:sz w:val="18"/>
          <w:szCs w:val="18"/>
          <w:color w:val="auto"/>
        </w:rPr>
      </w:pPr>
    </w:p>
    <w:p>
      <w:pPr>
        <w:ind w:left="1020" w:right="20" w:hanging="502"/>
        <w:spacing w:after="0" w:line="246" w:lineRule="auto"/>
        <w:tabs>
          <w:tab w:leader="none" w:pos="1046" w:val="left"/>
        </w:tabs>
        <w:numPr>
          <w:ilvl w:val="1"/>
          <w:numId w:val="437"/>
        </w:numPr>
        <w:rPr>
          <w:rFonts w:ascii="Arial" w:cs="Arial" w:eastAsia="Arial" w:hAnsi="Arial"/>
          <w:sz w:val="18"/>
          <w:szCs w:val="18"/>
          <w:color w:val="auto"/>
        </w:rPr>
      </w:pPr>
      <w:r>
        <w:rPr>
          <w:rFonts w:ascii="Arial" w:cs="Arial" w:eastAsia="Arial" w:hAnsi="Arial"/>
          <w:sz w:val="18"/>
          <w:szCs w:val="18"/>
          <w:color w:val="auto"/>
        </w:rPr>
        <w:t>Other than the notices of assignment and acknowledgements referred to in paragraphs (e) and (f) above, duly executed notices of assignment and acknowledgements of those notices as required by any of the above Security Documents.</w:t>
      </w:r>
    </w:p>
    <w:p>
      <w:pPr>
        <w:spacing w:after="0" w:line="175" w:lineRule="exact"/>
        <w:rPr>
          <w:sz w:val="20"/>
          <w:szCs w:val="20"/>
          <w:color w:val="auto"/>
        </w:rPr>
      </w:pPr>
    </w:p>
    <w:p>
      <w:pPr>
        <w:ind w:left="500" w:hanging="492"/>
        <w:spacing w:after="0"/>
        <w:tabs>
          <w:tab w:leader="none" w:pos="50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of Ship</w:t>
      </w:r>
    </w:p>
    <w:p>
      <w:pPr>
        <w:spacing w:after="0" w:line="23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Evidence that the relevant Ship:</w:t>
      </w:r>
    </w:p>
    <w:p>
      <w:pPr>
        <w:spacing w:after="0" w:line="211" w:lineRule="exact"/>
        <w:rPr>
          <w:rFonts w:ascii="Arial" w:cs="Arial" w:eastAsia="Arial" w:hAnsi="Arial"/>
          <w:sz w:val="18"/>
          <w:szCs w:val="18"/>
          <w:b w:val="1"/>
          <w:bCs w:val="1"/>
          <w:color w:val="auto"/>
        </w:rPr>
      </w:pPr>
    </w:p>
    <w:p>
      <w:pPr>
        <w:jc w:val="both"/>
        <w:ind w:left="1020" w:hanging="502"/>
        <w:spacing w:after="0"/>
        <w:tabs>
          <w:tab w:leader="none" w:pos="1042" w:val="left"/>
        </w:tabs>
        <w:numPr>
          <w:ilvl w:val="1"/>
          <w:numId w:val="438"/>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registered in the name of the relevant Owner free from any Security Interests (other than Security Interests created under the Finance Documents) through the relevant Registry as a ship under the laws and flag of the relevant Flag State;</w:t>
      </w:r>
    </w:p>
    <w:p>
      <w:pPr>
        <w:spacing w:after="0" w:line="202" w:lineRule="exact"/>
        <w:rPr>
          <w:rFonts w:ascii="Arial" w:cs="Arial" w:eastAsia="Arial" w:hAnsi="Arial"/>
          <w:sz w:val="18"/>
          <w:szCs w:val="18"/>
          <w:color w:val="auto"/>
        </w:rPr>
      </w:pPr>
    </w:p>
    <w:p>
      <w:pPr>
        <w:ind w:left="1020" w:hanging="502"/>
        <w:spacing w:after="0" w:line="246" w:lineRule="auto"/>
        <w:tabs>
          <w:tab w:leader="none" w:pos="1144" w:val="left"/>
        </w:tabs>
        <w:numPr>
          <w:ilvl w:val="1"/>
          <w:numId w:val="438"/>
        </w:numPr>
        <w:rPr>
          <w:rFonts w:ascii="Arial" w:cs="Arial" w:eastAsia="Arial" w:hAnsi="Arial"/>
          <w:sz w:val="18"/>
          <w:szCs w:val="18"/>
          <w:color w:val="auto"/>
        </w:rPr>
      </w:pPr>
      <w:r>
        <w:rPr>
          <w:rFonts w:ascii="Arial" w:cs="Arial" w:eastAsia="Arial" w:hAnsi="Arial"/>
          <w:sz w:val="18"/>
          <w:szCs w:val="18"/>
          <w:color w:val="auto"/>
        </w:rPr>
        <w:t>(other than Ship A) is classed with the relevant Classification free of all overdue requirements and recommendations of the relevant Classification Society;</w:t>
      </w:r>
    </w:p>
    <w:p>
      <w:pPr>
        <w:spacing w:after="0" w:line="196" w:lineRule="exact"/>
        <w:rPr>
          <w:rFonts w:ascii="Arial" w:cs="Arial" w:eastAsia="Arial" w:hAnsi="Arial"/>
          <w:sz w:val="18"/>
          <w:szCs w:val="18"/>
          <w:color w:val="auto"/>
        </w:rPr>
      </w:pPr>
    </w:p>
    <w:p>
      <w:pPr>
        <w:ind w:left="1020" w:hanging="502"/>
        <w:spacing w:after="0"/>
        <w:tabs>
          <w:tab w:leader="none" w:pos="1020" w:val="left"/>
        </w:tabs>
        <w:numPr>
          <w:ilvl w:val="1"/>
          <w:numId w:val="438"/>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2" w:name="page183"/>
    <w:bookmarkEnd w:id="182"/>
    <w:p>
      <w:pPr>
        <w:ind w:left="1020" w:right="20" w:hanging="502"/>
        <w:spacing w:after="0" w:line="246" w:lineRule="auto"/>
        <w:tabs>
          <w:tab w:leader="none" w:pos="117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is otherwise free of any other charter commitment (other than the relevant Charter, where applicable) which would require approval under the Finance Documents and is not otherwise approved.</w:t>
      </w:r>
    </w:p>
    <w:p>
      <w:pPr>
        <w:spacing w:after="0" w:line="175" w:lineRule="exact"/>
        <w:rPr>
          <w:sz w:val="20"/>
          <w:szCs w:val="20"/>
          <w:color w:val="auto"/>
        </w:rPr>
      </w:pPr>
    </w:p>
    <w:p>
      <w:pPr>
        <w:ind w:left="500" w:hanging="492"/>
        <w:spacing w:after="0"/>
        <w:tabs>
          <w:tab w:leader="none" w:pos="50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Mortgage registration</w:t>
      </w:r>
    </w:p>
    <w:p>
      <w:pPr>
        <w:spacing w:after="0" w:line="234"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Evidence that the Mortgage in respect of the relevant Ship has been registered with first priority and/or preferred status against the relevant Ship through the relevant Registry under the laws and flag of the relevant Flag State.</w:t>
      </w:r>
    </w:p>
    <w:p>
      <w:pPr>
        <w:spacing w:after="0" w:line="175" w:lineRule="exact"/>
        <w:rPr>
          <w:sz w:val="20"/>
          <w:szCs w:val="20"/>
          <w:color w:val="auto"/>
        </w:rPr>
      </w:pPr>
    </w:p>
    <w:p>
      <w:pPr>
        <w:ind w:left="500" w:hanging="492"/>
        <w:spacing w:after="0"/>
        <w:tabs>
          <w:tab w:leader="none" w:pos="50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33"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further legal opinions, each addressed to the Agent, the Security Agent and the Lenders (and in a form and substance reasonably satisfactory to the Agent and the Lenders) and capable of being relied upon by any persons who become Lenders pursuant to the primary syndication of the Facilities:</w:t>
      </w:r>
    </w:p>
    <w:p>
      <w:pPr>
        <w:spacing w:after="0" w:line="202" w:lineRule="exact"/>
        <w:rPr>
          <w:rFonts w:ascii="Arial" w:cs="Arial" w:eastAsia="Arial" w:hAnsi="Arial"/>
          <w:sz w:val="18"/>
          <w:szCs w:val="18"/>
          <w:b w:val="1"/>
          <w:bCs w:val="1"/>
          <w:color w:val="auto"/>
        </w:rPr>
      </w:pPr>
    </w:p>
    <w:p>
      <w:pPr>
        <w:ind w:left="1020" w:hanging="502"/>
        <w:spacing w:after="0"/>
        <w:tabs>
          <w:tab w:leader="none" w:pos="102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 legal opinion of Norton Rose Fulbright Greece on matters of English law, in relation to the Security Documents.</w:t>
      </w:r>
    </w:p>
    <w:p>
      <w:pPr>
        <w:spacing w:after="0" w:line="211" w:lineRule="exact"/>
        <w:rPr>
          <w:rFonts w:ascii="Arial" w:cs="Arial" w:eastAsia="Arial" w:hAnsi="Arial"/>
          <w:sz w:val="18"/>
          <w:szCs w:val="18"/>
          <w:color w:val="auto"/>
        </w:rPr>
      </w:pPr>
    </w:p>
    <w:p>
      <w:pPr>
        <w:jc w:val="both"/>
        <w:ind w:left="1020" w:hanging="502"/>
        <w:spacing w:after="0"/>
        <w:tabs>
          <w:tab w:leader="none" w:pos="1034"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and the Agent in each jurisdiction (other than England) in which an Obligor is incorporated and/or which is or is to be the Flag State of a Mortgaged Ship, or in which an Account opened at the relevant time is established.</w:t>
      </w:r>
    </w:p>
    <w:p>
      <w:pPr>
        <w:spacing w:after="0" w:line="181" w:lineRule="exact"/>
        <w:rPr>
          <w:sz w:val="20"/>
          <w:szCs w:val="20"/>
          <w:color w:val="auto"/>
        </w:rPr>
      </w:pPr>
    </w:p>
    <w:p>
      <w:pPr>
        <w:ind w:left="500" w:hanging="492"/>
        <w:spacing w:after="0"/>
        <w:tabs>
          <w:tab w:leader="none" w:pos="50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3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 relation to the relevant Ship’s Insurances:</w:t>
      </w:r>
    </w:p>
    <w:p>
      <w:pPr>
        <w:spacing w:after="0" w:line="211" w:lineRule="exact"/>
        <w:rPr>
          <w:rFonts w:ascii="Arial" w:cs="Arial" w:eastAsia="Arial" w:hAnsi="Arial"/>
          <w:sz w:val="18"/>
          <w:szCs w:val="18"/>
          <w:b w:val="1"/>
          <w:bCs w:val="1"/>
          <w:color w:val="auto"/>
        </w:rPr>
      </w:pPr>
    </w:p>
    <w:p>
      <w:pPr>
        <w:ind w:left="1040" w:hanging="522"/>
        <w:spacing w:after="0"/>
        <w:tabs>
          <w:tab w:leader="none" w:pos="104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 in such form as acceptable to all Lenders;</w:t>
      </w:r>
    </w:p>
    <w:p>
      <w:pPr>
        <w:spacing w:after="0" w:line="193" w:lineRule="exact"/>
        <w:rPr>
          <w:rFonts w:ascii="Arial" w:cs="Arial" w:eastAsia="Arial" w:hAnsi="Arial"/>
          <w:sz w:val="18"/>
          <w:szCs w:val="18"/>
          <w:color w:val="auto"/>
        </w:rPr>
      </w:pPr>
    </w:p>
    <w:p>
      <w:pPr>
        <w:ind w:left="1040" w:hanging="522"/>
        <w:spacing w:after="0"/>
        <w:tabs>
          <w:tab w:leader="none" w:pos="104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020" w:right="20" w:hanging="502"/>
        <w:spacing w:after="0" w:line="246" w:lineRule="auto"/>
        <w:tabs>
          <w:tab w:leader="none" w:pos="111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75" w:lineRule="exact"/>
        <w:rPr>
          <w:sz w:val="20"/>
          <w:szCs w:val="20"/>
          <w:color w:val="auto"/>
        </w:rPr>
      </w:pPr>
    </w:p>
    <w:p>
      <w:pPr>
        <w:ind w:left="520" w:right="9080" w:hanging="512"/>
        <w:spacing w:after="0" w:line="498" w:lineRule="auto"/>
        <w:tabs>
          <w:tab w:leader="none" w:pos="51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ISM and ISPS Code </w:t>
      </w:r>
      <w:r>
        <w:rPr>
          <w:rFonts w:ascii="Arial" w:cs="Arial" w:eastAsia="Arial" w:hAnsi="Arial"/>
          <w:sz w:val="18"/>
          <w:szCs w:val="18"/>
          <w:color w:val="auto"/>
        </w:rPr>
        <w:t>Copies of:</w:t>
      </w:r>
    </w:p>
    <w:p>
      <w:pPr>
        <w:ind w:left="1020" w:hanging="502"/>
        <w:spacing w:after="0" w:line="246" w:lineRule="auto"/>
        <w:tabs>
          <w:tab w:leader="none" w:pos="1061"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the relevant Ship for the purposes of that code;</w:t>
      </w:r>
    </w:p>
    <w:p>
      <w:pPr>
        <w:spacing w:after="0" w:line="196" w:lineRule="exact"/>
        <w:rPr>
          <w:rFonts w:ascii="Arial" w:cs="Arial" w:eastAsia="Arial" w:hAnsi="Arial"/>
          <w:sz w:val="18"/>
          <w:szCs w:val="18"/>
          <w:color w:val="auto"/>
        </w:rPr>
      </w:pPr>
    </w:p>
    <w:p>
      <w:pPr>
        <w:ind w:left="1040" w:hanging="522"/>
        <w:spacing w:after="0"/>
        <w:tabs>
          <w:tab w:leader="none" w:pos="104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safety management certificate in respect of the relevant Ship issued in accordance with the ISM Code;</w:t>
      </w:r>
    </w:p>
    <w:p>
      <w:pPr>
        <w:spacing w:after="0" w:line="211" w:lineRule="exact"/>
        <w:rPr>
          <w:rFonts w:ascii="Arial" w:cs="Arial" w:eastAsia="Arial" w:hAnsi="Arial"/>
          <w:sz w:val="18"/>
          <w:szCs w:val="18"/>
          <w:color w:val="auto"/>
        </w:rPr>
      </w:pPr>
    </w:p>
    <w:p>
      <w:pPr>
        <w:ind w:left="1020" w:hanging="502"/>
        <w:spacing w:after="0"/>
        <w:tabs>
          <w:tab w:leader="none" w:pos="10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the relevant Ship issued under the ISPS Code; and</w:t>
      </w:r>
    </w:p>
    <w:p>
      <w:pPr>
        <w:spacing w:after="0" w:line="211" w:lineRule="exact"/>
        <w:rPr>
          <w:rFonts w:ascii="Arial" w:cs="Arial" w:eastAsia="Arial" w:hAnsi="Arial"/>
          <w:sz w:val="18"/>
          <w:szCs w:val="18"/>
          <w:color w:val="auto"/>
        </w:rPr>
      </w:pPr>
    </w:p>
    <w:p>
      <w:pPr>
        <w:ind w:left="1020" w:hanging="502"/>
        <w:spacing w:after="0" w:line="246" w:lineRule="auto"/>
        <w:tabs>
          <w:tab w:leader="none" w:pos="1098"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the relevant Ship or in relation to its operation under any applicable law.</w:t>
      </w:r>
    </w:p>
    <w:p>
      <w:pPr>
        <w:spacing w:after="0" w:line="175" w:lineRule="exact"/>
        <w:rPr>
          <w:sz w:val="20"/>
          <w:szCs w:val="20"/>
          <w:color w:val="auto"/>
        </w:rPr>
      </w:pPr>
    </w:p>
    <w:p>
      <w:pPr>
        <w:ind w:left="500" w:hanging="492"/>
        <w:spacing w:after="0"/>
        <w:tabs>
          <w:tab w:leader="none" w:pos="50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t>Value of security</w:t>
      </w:r>
    </w:p>
    <w:p>
      <w:pPr>
        <w:spacing w:after="0" w:line="234"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Valuations (not older than 30 days prior to the first Utilisation Date) of the relevant Ship obtained and made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3" w:name="page184"/>
    <w:bookmarkEnd w:id="183"/>
    <w:p>
      <w:pPr>
        <w:ind w:left="500" w:hanging="492"/>
        <w:spacing w:after="0"/>
        <w:tabs>
          <w:tab w:leader="none" w:pos="50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Indebtedness</w:t>
      </w:r>
    </w:p>
    <w:p>
      <w:pPr>
        <w:spacing w:after="0" w:line="233" w:lineRule="exact"/>
        <w:rPr>
          <w:rFonts w:ascii="Arial" w:cs="Arial" w:eastAsia="Arial" w:hAnsi="Arial"/>
          <w:sz w:val="18"/>
          <w:szCs w:val="18"/>
          <w:b w:val="1"/>
          <w:bCs w:val="1"/>
          <w:color w:val="auto"/>
        </w:rPr>
      </w:pPr>
    </w:p>
    <w:p>
      <w:pPr>
        <w:ind w:left="1020" w:right="20" w:hanging="502"/>
        <w:spacing w:after="0" w:line="246" w:lineRule="auto"/>
        <w:tabs>
          <w:tab w:leader="none" w:pos="1052" w:val="left"/>
        </w:tabs>
        <w:numPr>
          <w:ilvl w:val="1"/>
          <w:numId w:val="445"/>
        </w:numPr>
        <w:rPr>
          <w:rFonts w:ascii="Arial" w:cs="Arial" w:eastAsia="Arial" w:hAnsi="Arial"/>
          <w:sz w:val="18"/>
          <w:szCs w:val="18"/>
          <w:color w:val="auto"/>
        </w:rPr>
      </w:pPr>
      <w:r>
        <w:rPr>
          <w:rFonts w:ascii="Arial" w:cs="Arial" w:eastAsia="Arial" w:hAnsi="Arial"/>
          <w:sz w:val="18"/>
          <w:szCs w:val="18"/>
          <w:color w:val="auto"/>
        </w:rPr>
        <w:t>Evidence that the total amount of the Existing Indebtedness has been repaid in full, or will be so repaid in full with the proceeds of the Loans utilised on the first Utilisation Date under this Agreement simultaneously with such Utilisations.</w:t>
      </w:r>
    </w:p>
    <w:p>
      <w:pPr>
        <w:spacing w:after="0" w:line="196" w:lineRule="exact"/>
        <w:rPr>
          <w:rFonts w:ascii="Arial" w:cs="Arial" w:eastAsia="Arial" w:hAnsi="Arial"/>
          <w:sz w:val="18"/>
          <w:szCs w:val="18"/>
          <w:color w:val="auto"/>
        </w:rPr>
      </w:pPr>
    </w:p>
    <w:p>
      <w:pPr>
        <w:jc w:val="both"/>
        <w:ind w:left="1020" w:hanging="502"/>
        <w:spacing w:after="0"/>
        <w:tabs>
          <w:tab w:leader="none" w:pos="11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Evidence that all Security Interests over the Ships and their Earnings, Insurances and Requisition Compensation created in relation to the Existing Indebtedness have been discharged and reassigned to the Borrowers by the Existing Indebtedness Lenders under deeds of releases in form and substance satisfactory to the Agent.</w:t>
      </w:r>
    </w:p>
    <w:p>
      <w:pPr>
        <w:spacing w:after="0" w:line="181" w:lineRule="exact"/>
        <w:rPr>
          <w:sz w:val="20"/>
          <w:szCs w:val="20"/>
          <w:color w:val="auto"/>
        </w:rPr>
      </w:pPr>
    </w:p>
    <w:p>
      <w:pPr>
        <w:ind w:left="500" w:hanging="492"/>
        <w:spacing w:after="0"/>
        <w:tabs>
          <w:tab w:leader="none" w:pos="5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15" w:lineRule="exact"/>
        <w:rPr>
          <w:rFonts w:ascii="Arial" w:cs="Arial" w:eastAsia="Arial" w:hAnsi="Arial"/>
          <w:sz w:val="18"/>
          <w:szCs w:val="18"/>
          <w:b w:val="1"/>
          <w:bCs w:val="1"/>
          <w:color w:val="auto"/>
        </w:rPr>
      </w:pPr>
    </w:p>
    <w:p>
      <w:pPr>
        <w:ind w:left="520" w:right="2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Evidence that the fees, commissions, costs and expenses that are due from the Borrowers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relevant Utilisation Date.</w:t>
      </w:r>
    </w:p>
    <w:p>
      <w:pPr>
        <w:spacing w:after="0" w:line="156" w:lineRule="exact"/>
        <w:rPr>
          <w:rFonts w:ascii="Arial" w:cs="Arial" w:eastAsia="Arial" w:hAnsi="Arial"/>
          <w:sz w:val="18"/>
          <w:szCs w:val="18"/>
          <w:b w:val="1"/>
          <w:bCs w:val="1"/>
          <w:color w:val="auto"/>
        </w:rPr>
      </w:pPr>
    </w:p>
    <w:p>
      <w:pPr>
        <w:ind w:left="500" w:hanging="492"/>
        <w:spacing w:after="0"/>
        <w:tabs>
          <w:tab w:leader="none" w:pos="5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33"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Copies of the relevant Ship’s certificate of financial responsibility and vessel response plan required under United States law and evidence of their approval by the appropriate United States government entity and (if requested by the Agent) an environmental report in respect of the relevant Ship from an approved person.</w:t>
      </w:r>
    </w:p>
    <w:p>
      <w:pPr>
        <w:spacing w:after="0" w:line="180" w:lineRule="exact"/>
        <w:rPr>
          <w:rFonts w:ascii="Arial" w:cs="Arial" w:eastAsia="Arial" w:hAnsi="Arial"/>
          <w:sz w:val="18"/>
          <w:szCs w:val="18"/>
          <w:b w:val="1"/>
          <w:bCs w:val="1"/>
          <w:color w:val="auto"/>
        </w:rPr>
      </w:pPr>
    </w:p>
    <w:p>
      <w:pPr>
        <w:ind w:left="500" w:hanging="492"/>
        <w:spacing w:after="0"/>
        <w:tabs>
          <w:tab w:leader="none" w:pos="5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233"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Evidence that any consents required in connection with the registration of title to the relevant Ship, the registration of the Mortgage over the relevant Ship and, if applicable, the assignment of any Charter in relation to the Ship have been obtained.</w:t>
      </w:r>
    </w:p>
    <w:p>
      <w:pPr>
        <w:spacing w:after="0" w:line="174" w:lineRule="exact"/>
        <w:rPr>
          <w:rFonts w:ascii="Arial" w:cs="Arial" w:eastAsia="Arial" w:hAnsi="Arial"/>
          <w:sz w:val="18"/>
          <w:szCs w:val="18"/>
          <w:b w:val="1"/>
          <w:bCs w:val="1"/>
          <w:color w:val="auto"/>
        </w:rPr>
      </w:pPr>
    </w:p>
    <w:p>
      <w:pPr>
        <w:ind w:left="500" w:hanging="492"/>
        <w:spacing w:after="0"/>
        <w:tabs>
          <w:tab w:leader="none" w:pos="5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33" w:lineRule="exact"/>
        <w:rPr>
          <w:rFonts w:ascii="Arial" w:cs="Arial" w:eastAsia="Arial" w:hAnsi="Arial"/>
          <w:sz w:val="18"/>
          <w:szCs w:val="18"/>
          <w:b w:val="1"/>
          <w:bCs w:val="1"/>
          <w:color w:val="auto"/>
        </w:rPr>
      </w:pPr>
    </w:p>
    <w:p>
      <w:pPr>
        <w:jc w:val="both"/>
        <w:ind w:left="5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A copy, certified by an approved person to be a true and complete copy, of the agreement between the relevant Owner and the Manager relating to the appointment of that Manager in respect of the relevant Ship and, in relation to the appointment of GasLog LNG Services Ltd. as Commercial Manager of the Ship, of a novation agreement between the relevant Owner and GasLog LNG Services Ltd. relating to the latter’s appointment in respect of the relevant Ship with effect from the first Utilisation Date.</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Survey report</w:t>
      </w:r>
    </w:p>
    <w:p>
      <w:pPr>
        <w:spacing w:after="0" w:line="233"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(If required by the Agent) A survey report from approved surveyors obtained not more than 10 days before the relevant Utilisation Date evidencing that the relevant Ship is seaworthy and capable of safe operation.</w:t>
      </w:r>
    </w:p>
    <w:p>
      <w:pPr>
        <w:spacing w:after="0" w:line="174" w:lineRule="exact"/>
        <w:rPr>
          <w:rFonts w:ascii="Arial" w:cs="Arial" w:eastAsia="Arial" w:hAnsi="Arial"/>
          <w:sz w:val="18"/>
          <w:szCs w:val="18"/>
          <w:b w:val="1"/>
          <w:bCs w:val="1"/>
          <w:color w:val="auto"/>
        </w:rPr>
      </w:pPr>
    </w:p>
    <w:p>
      <w:pPr>
        <w:ind w:left="500" w:hanging="492"/>
        <w:spacing w:after="0"/>
        <w:tabs>
          <w:tab w:leader="none" w:pos="5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15" w:lineRule="exact"/>
        <w:rPr>
          <w:rFonts w:ascii="Arial" w:cs="Arial" w:eastAsia="Arial" w:hAnsi="Arial"/>
          <w:sz w:val="18"/>
          <w:szCs w:val="18"/>
          <w:b w:val="1"/>
          <w:bCs w:val="1"/>
          <w:color w:val="auto"/>
        </w:rPr>
      </w:pPr>
    </w:p>
    <w:p>
      <w:pPr>
        <w:jc w:val="both"/>
        <w:ind w:left="5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Evidence that the Borrowers are in compliance with clause 19.11 (</w:t>
      </w:r>
      <w:r>
        <w:rPr>
          <w:rFonts w:ascii="Arial" w:cs="Arial" w:eastAsia="Arial" w:hAnsi="Arial"/>
          <w:sz w:val="18"/>
          <w:szCs w:val="18"/>
          <w:i w:val="1"/>
          <w:iCs w:val="1"/>
          <w:color w:val="auto"/>
        </w:rPr>
        <w:t>Liquidity</w:t>
      </w:r>
      <w:r>
        <w:rPr>
          <w:rFonts w:ascii="Arial" w:cs="Arial" w:eastAsia="Arial" w:hAnsi="Arial"/>
          <w:sz w:val="18"/>
          <w:szCs w:val="18"/>
          <w:color w:val="auto"/>
        </w:rPr>
        <w:t>) in respect of the relevant Ship and that the minimum balance required thereunder in respect of the relevant Ship upon the Utilisation of the Term Loan for that Ship has been paid into the relevant Earnings Account.</w:t>
      </w:r>
    </w:p>
    <w:p>
      <w:pPr>
        <w:spacing w:after="0" w:line="172" w:lineRule="exact"/>
        <w:rPr>
          <w:rFonts w:ascii="Arial" w:cs="Arial" w:eastAsia="Arial" w:hAnsi="Arial"/>
          <w:sz w:val="18"/>
          <w:szCs w:val="18"/>
          <w:b w:val="1"/>
          <w:bCs w:val="1"/>
          <w:color w:val="auto"/>
        </w:rPr>
      </w:pPr>
    </w:p>
    <w:p>
      <w:pPr>
        <w:ind w:left="500" w:hanging="492"/>
        <w:spacing w:after="0"/>
        <w:tabs>
          <w:tab w:leader="none" w:pos="50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Process agent</w:t>
      </w:r>
    </w:p>
    <w:p>
      <w:pPr>
        <w:spacing w:after="0" w:line="234" w:lineRule="exact"/>
        <w:rPr>
          <w:sz w:val="20"/>
          <w:szCs w:val="20"/>
          <w:color w:val="auto"/>
        </w:rPr>
      </w:pPr>
    </w:p>
    <w:p>
      <w:pPr>
        <w:ind w:left="520" w:right="20"/>
        <w:spacing w:after="0" w:line="246" w:lineRule="auto"/>
        <w:rPr>
          <w:sz w:val="20"/>
          <w:szCs w:val="20"/>
          <w:color w:val="auto"/>
        </w:rPr>
      </w:pPr>
      <w:r>
        <w:rPr>
          <w:rFonts w:ascii="Arial" w:cs="Arial" w:eastAsia="Arial" w:hAnsi="Arial"/>
          <w:sz w:val="18"/>
          <w:szCs w:val="18"/>
          <w:color w:val="auto"/>
        </w:rPr>
        <w:t>Evidence that any process agent of any Obligor or Manager referred to in any provision of any Finance Document to be entered into under this Part 2, if not an Obligor, has accepted its appointment.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ind w:left="492" w:hanging="492"/>
        <w:spacing w:after="0"/>
        <w:tabs>
          <w:tab w:leader="none" w:pos="492"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Security Power of Attorney</w:t>
      </w:r>
    </w:p>
    <w:p>
      <w:pPr>
        <w:spacing w:after="0" w:line="233" w:lineRule="exact"/>
        <w:rPr>
          <w:rFonts w:ascii="Arial" w:cs="Arial" w:eastAsia="Arial" w:hAnsi="Arial"/>
          <w:sz w:val="18"/>
          <w:szCs w:val="18"/>
          <w:b w:val="1"/>
          <w:bCs w:val="1"/>
          <w:color w:val="auto"/>
        </w:rPr>
      </w:pPr>
    </w:p>
    <w:p>
      <w:pPr>
        <w:ind w:left="512"/>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 duly executed and dated original of the Security Power of Attorney provided by each Obligor relating to the Security Documents in respect of the relevant Ship.</w:t>
      </w:r>
    </w:p>
    <w:p>
      <w:pPr>
        <w:spacing w:after="0" w:line="174" w:lineRule="exact"/>
        <w:rPr>
          <w:rFonts w:ascii="Arial" w:cs="Arial" w:eastAsia="Arial" w:hAnsi="Arial"/>
          <w:sz w:val="18"/>
          <w:szCs w:val="18"/>
          <w:b w:val="1"/>
          <w:bCs w:val="1"/>
          <w:color w:val="auto"/>
        </w:rPr>
      </w:pPr>
    </w:p>
    <w:p>
      <w:pPr>
        <w:ind w:left="492" w:hanging="492"/>
        <w:spacing w:after="0"/>
        <w:tabs>
          <w:tab w:leader="none" w:pos="492"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w:t>
      </w:r>
    </w:p>
    <w:p>
      <w:pPr>
        <w:spacing w:after="0" w:line="233"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Any other document, authorisation, opinion or assurance required by the Agent.</w:t>
      </w: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1532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3" w:right="35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Schedule 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Utilisation Request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GAS-one Ltd.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GAS-two Ltd.</w:t>
      </w:r>
    </w:p>
    <w:p>
      <w:pPr>
        <w:spacing w:after="0" w:line="234" w:lineRule="auto"/>
        <w:rPr>
          <w:sz w:val="20"/>
          <w:szCs w:val="20"/>
          <w:color w:val="auto"/>
        </w:rPr>
      </w:pPr>
      <w:r>
        <w:rPr>
          <w:rFonts w:ascii="Arial" w:cs="Arial" w:eastAsia="Arial" w:hAnsi="Arial"/>
          <w:sz w:val="18"/>
          <w:szCs w:val="18"/>
          <w:b w:val="1"/>
          <w:bCs w:val="1"/>
          <w:color w:val="auto"/>
        </w:rPr>
        <w:t>GAS-six Ltd.</w:t>
      </w:r>
    </w:p>
    <w:p>
      <w:pPr>
        <w:spacing w:after="0" w:line="235" w:lineRule="auto"/>
        <w:rPr>
          <w:sz w:val="20"/>
          <w:szCs w:val="20"/>
          <w:color w:val="auto"/>
        </w:rPr>
      </w:pPr>
      <w:r>
        <w:rPr>
          <w:rFonts w:ascii="Arial" w:cs="Arial" w:eastAsia="Arial" w:hAnsi="Arial"/>
          <w:sz w:val="18"/>
          <w:szCs w:val="18"/>
          <w:b w:val="1"/>
          <w:bCs w:val="1"/>
          <w:color w:val="auto"/>
        </w:rPr>
        <w:t>GAS-nine Ltd.</w:t>
      </w:r>
    </w:p>
    <w:p>
      <w:pPr>
        <w:spacing w:after="0" w:line="235" w:lineRule="auto"/>
        <w:rPr>
          <w:sz w:val="20"/>
          <w:szCs w:val="20"/>
          <w:color w:val="auto"/>
        </w:rPr>
      </w:pPr>
      <w:r>
        <w:rPr>
          <w:rFonts w:ascii="Arial" w:cs="Arial" w:eastAsia="Arial" w:hAnsi="Arial"/>
          <w:sz w:val="18"/>
          <w:szCs w:val="18"/>
          <w:b w:val="1"/>
          <w:bCs w:val="1"/>
          <w:color w:val="auto"/>
        </w:rPr>
        <w:t>GAS-ten Ltd.</w:t>
      </w:r>
    </w:p>
    <w:p>
      <w:pPr>
        <w:spacing w:after="0"/>
        <w:rPr>
          <w:sz w:val="20"/>
          <w:szCs w:val="20"/>
          <w:color w:val="auto"/>
        </w:rPr>
      </w:pPr>
      <w:r>
        <w:rPr>
          <w:rFonts w:ascii="Arial" w:cs="Arial" w:eastAsia="Arial" w:hAnsi="Arial"/>
          <w:sz w:val="18"/>
          <w:szCs w:val="18"/>
          <w:b w:val="1"/>
          <w:bCs w:val="1"/>
          <w:color w:val="auto"/>
        </w:rPr>
        <w:t>GAS-eighteen Ltd.</w:t>
      </w:r>
    </w:p>
    <w:p>
      <w:pPr>
        <w:spacing w:after="0" w:line="190" w:lineRule="exact"/>
        <w:rPr>
          <w:sz w:val="20"/>
          <w:szCs w:val="20"/>
          <w:color w:val="auto"/>
        </w:rPr>
      </w:pPr>
    </w:p>
    <w:p>
      <w:pPr>
        <w:sectPr>
          <w:pgSz w:w="11900" w:h="16838" w:orient="portrait"/>
          <w:cols w:equalWidth="0" w:num="2">
            <w:col w:w="480" w:space="720"/>
            <w:col w:w="10040"/>
          </w:cols>
          <w:pgMar w:left="320" w:top="333"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 xml:space="preserve">ABN AMRO Bank N.V. </w:t>
      </w:r>
      <w:r>
        <w:rPr>
          <w:rFonts w:ascii="Arial" w:cs="Arial" w:eastAsia="Arial" w:hAnsi="Arial"/>
          <w:sz w:val="17"/>
          <w:szCs w:val="17"/>
          <w:color w:val="auto"/>
        </w:rPr>
        <w:t>as Agent</w:t>
      </w:r>
    </w:p>
    <w:p>
      <w:pPr>
        <w:spacing w:after="0" w:line="210" w:lineRule="exact"/>
        <w:rPr>
          <w:sz w:val="20"/>
          <w:szCs w:val="20"/>
          <w:color w:val="auto"/>
        </w:rPr>
      </w:pPr>
    </w:p>
    <w:p>
      <w:pPr>
        <w:sectPr>
          <w:pgSz w:w="11900" w:h="16838" w:orient="portrait"/>
          <w:cols w:equalWidth="0" w:num="2">
            <w:col w:w="480" w:space="720"/>
            <w:col w:w="10040"/>
          </w:cols>
          <w:pgMar w:left="320" w:top="333"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sectPr>
          <w:pgSz w:w="11900" w:h="16838" w:orient="portrait"/>
          <w:cols w:equalWidth="0" w:num="2">
            <w:col w:w="540" w:space="660"/>
            <w:col w:w="10040"/>
          </w:cols>
          <w:pgMar w:left="320" w:top="33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240"/>
          </w:cols>
          <w:pgMar w:left="320" w:top="333" w:right="33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$576,887,500 Facilities Agreement dated [·] 2020 (the “Agreement”)</w:t>
      </w:r>
    </w:p>
    <w:p>
      <w:pPr>
        <w:spacing w:after="0" w:line="247" w:lineRule="exact"/>
        <w:rPr>
          <w:sz w:val="20"/>
          <w:szCs w:val="20"/>
          <w:color w:val="auto"/>
        </w:rPr>
      </w:pPr>
    </w:p>
    <w:p>
      <w:pPr>
        <w:ind w:left="580" w:hanging="572"/>
        <w:spacing w:after="0" w:line="246" w:lineRule="auto"/>
        <w:tabs>
          <w:tab w:leader="none" w:pos="5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97" w:lineRule="exact"/>
        <w:rPr>
          <w:sz w:val="20"/>
          <w:szCs w:val="20"/>
          <w:color w:val="auto"/>
        </w:rPr>
      </w:pPr>
    </w:p>
    <w:p>
      <w:pPr>
        <w:ind w:left="580" w:hanging="572"/>
        <w:spacing w:after="0"/>
        <w:tabs>
          <w:tab w:leader="none" w:pos="5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We wish to borrow [Term Loan][a Revolving Loan under Revolving Loan Ship Tranche] [A] [B] [C] [D] [E] [F] on the following terms:</w:t>
      </w:r>
    </w:p>
    <w:p>
      <w:pPr>
        <w:spacing w:after="0" w:line="194" w:lineRule="exact"/>
        <w:rPr>
          <w:sz w:val="20"/>
          <w:szCs w:val="20"/>
          <w:color w:val="auto"/>
        </w:rPr>
      </w:pPr>
    </w:p>
    <w:p>
      <w:pPr>
        <w:ind w:left="580"/>
        <w:spacing w:after="0"/>
        <w:tabs>
          <w:tab w:leader="none" w:pos="354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(or, if that is not a Business Day, the next Business Day)</w:t>
      </w:r>
    </w:p>
    <w:p>
      <w:pPr>
        <w:spacing w:after="0" w:line="225" w:lineRule="exact"/>
        <w:rPr>
          <w:sz w:val="20"/>
          <w:szCs w:val="20"/>
          <w:color w:val="auto"/>
        </w:rPr>
      </w:pPr>
    </w:p>
    <w:p>
      <w:pPr>
        <w:ind w:left="580"/>
        <w:spacing w:after="0"/>
        <w:tabs>
          <w:tab w:leader="none" w:pos="354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4" w:lineRule="exact"/>
        <w:rPr>
          <w:sz w:val="20"/>
          <w:szCs w:val="20"/>
          <w:color w:val="auto"/>
        </w:rPr>
      </w:pPr>
    </w:p>
    <w:p>
      <w:pPr>
        <w:ind w:left="580" w:hanging="572"/>
        <w:spacing w:after="0" w:line="267" w:lineRule="auto"/>
        <w:tabs>
          <w:tab w:leader="none" w:pos="5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4.4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is satisfied on the date of this Utilisation Request.</w:t>
      </w:r>
    </w:p>
    <w:p>
      <w:pPr>
        <w:spacing w:after="0" w:line="156" w:lineRule="exact"/>
        <w:rPr>
          <w:sz w:val="20"/>
          <w:szCs w:val="20"/>
          <w:color w:val="auto"/>
        </w:rPr>
      </w:pPr>
    </w:p>
    <w:p>
      <w:pPr>
        <w:ind w:left="580" w:hanging="572"/>
        <w:spacing w:after="0" w:line="271" w:lineRule="auto"/>
        <w:tabs>
          <w:tab w:leader="none" w:pos="5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Loans</w:t>
      </w:r>
      <w:r>
        <w:rPr>
          <w:rFonts w:ascii="Arial" w:cs="Arial" w:eastAsia="Arial" w:hAnsi="Arial"/>
          <w:sz w:val="18"/>
          <w:szCs w:val="18"/>
          <w:color w:val="auto"/>
        </w:rPr>
        <w:t>: This Term Loan is the Term Loan Ship Commitment for Ship [A][B][C][D][E][F][G]. The purpose of this Term Loan is to refinance the Existing Indebtedness and its proceeds should be credited to [·] [and [·] in respect of [·]].</w:t>
      </w:r>
    </w:p>
    <w:p>
      <w:pPr>
        <w:spacing w:after="0" w:line="167" w:lineRule="exact"/>
        <w:rPr>
          <w:sz w:val="20"/>
          <w:szCs w:val="20"/>
          <w:color w:val="auto"/>
        </w:rPr>
      </w:pPr>
    </w:p>
    <w:p>
      <w:pPr>
        <w:jc w:val="both"/>
        <w:ind w:left="580" w:hanging="572"/>
        <w:spacing w:after="0" w:line="261" w:lineRule="auto"/>
        <w:tabs>
          <w:tab w:leader="none" w:pos="5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Loans</w:t>
      </w:r>
      <w:r>
        <w:rPr>
          <w:rFonts w:ascii="Arial" w:cs="Arial" w:eastAsia="Arial" w:hAnsi="Arial"/>
          <w:sz w:val="18"/>
          <w:szCs w:val="18"/>
          <w:color w:val="auto"/>
        </w:rPr>
        <w:t>: This Revolving Loan is part of the Revolving Loan Ship Commitment for Ship [A][B][C][D][E][F]. The purpose of this Revolving Loan is to [refinance the Existing Indebtedness][</w:t>
      </w:r>
      <w:r>
        <w:rPr>
          <w:rFonts w:ascii="Arial" w:cs="Arial" w:eastAsia="Arial" w:hAnsi="Arial"/>
          <w:sz w:val="18"/>
          <w:szCs w:val="18"/>
          <w:b w:val="1"/>
          <w:bCs w:val="1"/>
          <w:i w:val="1"/>
          <w:iCs w:val="1"/>
          <w:color w:val="auto"/>
        </w:rPr>
        <w:t>specify other</w:t>
      </w:r>
      <w:r>
        <w:rPr>
          <w:rFonts w:ascii="Arial" w:cs="Arial" w:eastAsia="Arial" w:hAnsi="Arial"/>
          <w:sz w:val="18"/>
          <w:szCs w:val="18"/>
          <w:color w:val="auto"/>
        </w:rPr>
        <w:t>] and its proceeds should be credited to [·] and [·] in respect of [·].</w:t>
      </w:r>
    </w:p>
    <w:p>
      <w:pPr>
        <w:spacing w:after="0" w:line="175" w:lineRule="exact"/>
        <w:rPr>
          <w:sz w:val="20"/>
          <w:szCs w:val="20"/>
          <w:color w:val="auto"/>
        </w:rPr>
      </w:pPr>
    </w:p>
    <w:p>
      <w:pPr>
        <w:jc w:val="both"/>
        <w:ind w:left="580" w:hanging="572"/>
        <w:spacing w:after="0" w:line="253" w:lineRule="auto"/>
        <w:tabs>
          <w:tab w:leader="none" w:pos="5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Loans other than Rollover Loans or Revolving Loans utilised together with the Term Loans</w:t>
      </w:r>
      <w:r>
        <w:rPr>
          <w:rFonts w:ascii="Arial" w:cs="Arial" w:eastAsia="Arial" w:hAnsi="Arial"/>
          <w:sz w:val="18"/>
          <w:szCs w:val="18"/>
          <w:color w:val="auto"/>
        </w:rPr>
        <w:t>]: We attach to this Utilisation Request a set of valuations obtained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in accordance with clause 4.4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w:t>
      </w:r>
    </w:p>
    <w:p>
      <w:pPr>
        <w:spacing w:after="0" w:line="191" w:lineRule="exact"/>
        <w:rPr>
          <w:sz w:val="20"/>
          <w:szCs w:val="20"/>
          <w:color w:val="auto"/>
        </w:rPr>
      </w:pPr>
    </w:p>
    <w:p>
      <w:pPr>
        <w:ind w:left="580" w:hanging="572"/>
        <w:spacing w:after="0" w:line="246" w:lineRule="auto"/>
        <w:tabs>
          <w:tab w:leader="none" w:pos="5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We confirm that we will use the proceeds of this Loan for our benefit and under our full responsibility and exclusively for the purposes specified in the Agreement.</w:t>
      </w:r>
    </w:p>
    <w:p>
      <w:pPr>
        <w:spacing w:after="0" w:line="197" w:lineRule="exact"/>
        <w:rPr>
          <w:sz w:val="20"/>
          <w:szCs w:val="20"/>
          <w:color w:val="auto"/>
        </w:rPr>
      </w:pPr>
    </w:p>
    <w:p>
      <w:pPr>
        <w:ind w:left="5480" w:right="4960" w:hanging="5472"/>
        <w:spacing w:after="0" w:line="540" w:lineRule="auto"/>
        <w:tabs>
          <w:tab w:leader="none" w:pos="581" w:val="left"/>
        </w:tabs>
        <w:numPr>
          <w:ilvl w:val="0"/>
          <w:numId w:val="455"/>
        </w:numPr>
        <w:rPr>
          <w:rFonts w:ascii="Arial" w:cs="Arial" w:eastAsia="Arial" w:hAnsi="Arial"/>
          <w:sz w:val="17"/>
          <w:szCs w:val="17"/>
          <w:color w:val="auto"/>
        </w:rPr>
      </w:pPr>
      <w:r>
        <w:rPr>
          <w:rFonts w:ascii="Arial" w:cs="Arial" w:eastAsia="Arial" w:hAnsi="Arial"/>
          <w:sz w:val="17"/>
          <w:szCs w:val="17"/>
          <w:color w:val="auto"/>
        </w:rPr>
        <w:t>We request that the first Interest Period for the said Loan be [6] months. 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532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86" w:name="page187"/>
    <w:bookmarkEnd w:id="186"/>
    <w:p>
      <w:pPr>
        <w:ind w:right="879" w:firstLine="8"/>
        <w:spacing w:after="0" w:line="496" w:lineRule="auto"/>
        <w:tabs>
          <w:tab w:leader="none" w:pos="5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This Utilisation Request is irrevocable and cannot be varied without the prior consent of the Majority Lenders. Yours faithfully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GAS-one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GAS-two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GAS-six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GAS-nine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GAS-ten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GAS-eighteen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Schedule 5</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Selection Notice</w:t>
      </w: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GAS-one Ltd.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GAS-two Ltd.</w:t>
      </w:r>
    </w:p>
    <w:p>
      <w:pPr>
        <w:spacing w:after="0" w:line="234" w:lineRule="auto"/>
        <w:rPr>
          <w:sz w:val="20"/>
          <w:szCs w:val="20"/>
          <w:color w:val="auto"/>
        </w:rPr>
      </w:pPr>
      <w:r>
        <w:rPr>
          <w:rFonts w:ascii="Arial" w:cs="Arial" w:eastAsia="Arial" w:hAnsi="Arial"/>
          <w:sz w:val="18"/>
          <w:szCs w:val="18"/>
          <w:b w:val="1"/>
          <w:bCs w:val="1"/>
          <w:color w:val="auto"/>
        </w:rPr>
        <w:t>GAS-six Ltd.</w:t>
      </w:r>
    </w:p>
    <w:p>
      <w:pPr>
        <w:spacing w:after="0" w:line="235" w:lineRule="auto"/>
        <w:rPr>
          <w:sz w:val="20"/>
          <w:szCs w:val="20"/>
          <w:color w:val="auto"/>
        </w:rPr>
      </w:pPr>
      <w:r>
        <w:rPr>
          <w:rFonts w:ascii="Arial" w:cs="Arial" w:eastAsia="Arial" w:hAnsi="Arial"/>
          <w:sz w:val="18"/>
          <w:szCs w:val="18"/>
          <w:b w:val="1"/>
          <w:bCs w:val="1"/>
          <w:color w:val="auto"/>
        </w:rPr>
        <w:t>GAS-nine Ltd.</w:t>
      </w:r>
    </w:p>
    <w:p>
      <w:pPr>
        <w:spacing w:after="0" w:line="235" w:lineRule="auto"/>
        <w:rPr>
          <w:sz w:val="20"/>
          <w:szCs w:val="20"/>
          <w:color w:val="auto"/>
        </w:rPr>
      </w:pPr>
      <w:r>
        <w:rPr>
          <w:rFonts w:ascii="Arial" w:cs="Arial" w:eastAsia="Arial" w:hAnsi="Arial"/>
          <w:sz w:val="18"/>
          <w:szCs w:val="18"/>
          <w:b w:val="1"/>
          <w:bCs w:val="1"/>
          <w:color w:val="auto"/>
        </w:rPr>
        <w:t>GAS-ten Ltd.</w:t>
      </w:r>
    </w:p>
    <w:p>
      <w:pPr>
        <w:spacing w:after="0"/>
        <w:rPr>
          <w:sz w:val="20"/>
          <w:szCs w:val="20"/>
          <w:color w:val="auto"/>
        </w:rPr>
      </w:pPr>
      <w:r>
        <w:rPr>
          <w:rFonts w:ascii="Arial" w:cs="Arial" w:eastAsia="Arial" w:hAnsi="Arial"/>
          <w:sz w:val="18"/>
          <w:szCs w:val="18"/>
          <w:b w:val="1"/>
          <w:bCs w:val="1"/>
          <w:color w:val="auto"/>
        </w:rPr>
        <w:t>GAS-eighteen Ltd.</w:t>
      </w:r>
    </w:p>
    <w:p>
      <w:pPr>
        <w:spacing w:after="0" w:line="190" w:lineRule="exact"/>
        <w:rPr>
          <w:sz w:val="20"/>
          <w:szCs w:val="20"/>
          <w:color w:val="auto"/>
        </w:rPr>
      </w:pPr>
    </w:p>
    <w:p>
      <w:pPr>
        <w:sectPr>
          <w:pgSz w:w="11900" w:h="16838" w:orient="portrait"/>
          <w:cols w:equalWidth="0" w:num="2">
            <w:col w:w="480" w:space="720"/>
            <w:col w:w="10020"/>
          </w:cols>
          <w:pgMar w:left="320" w:top="333" w:right="3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ABN AMRO Bank N.V. as Agent</w:t>
      </w:r>
    </w:p>
    <w:p>
      <w:pPr>
        <w:spacing w:after="0" w:line="210" w:lineRule="exact"/>
        <w:rPr>
          <w:sz w:val="20"/>
          <w:szCs w:val="20"/>
          <w:color w:val="auto"/>
        </w:rPr>
      </w:pPr>
    </w:p>
    <w:p>
      <w:pPr>
        <w:sectPr>
          <w:pgSz w:w="11900" w:h="16838" w:orient="portrait"/>
          <w:cols w:equalWidth="0" w:num="2">
            <w:col w:w="480" w:space="720"/>
            <w:col w:w="10020"/>
          </w:cols>
          <w:pgMar w:left="320" w:top="333" w:right="35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sectPr>
          <w:pgSz w:w="11900" w:h="16838" w:orient="portrait"/>
          <w:cols w:equalWidth="0" w:num="2">
            <w:col w:w="540" w:space="660"/>
            <w:col w:w="10020"/>
          </w:cols>
          <w:pgMar w:left="320" w:top="333"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220"/>
          </w:cols>
          <w:pgMar w:left="320" w:top="333" w:right="35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$576,887,500 Facilities Agreement dated [·] 2020 (the “Agreement”)</w:t>
      </w:r>
    </w:p>
    <w:p>
      <w:pPr>
        <w:spacing w:after="0" w:line="247" w:lineRule="exact"/>
        <w:rPr>
          <w:sz w:val="20"/>
          <w:szCs w:val="20"/>
          <w:color w:val="auto"/>
        </w:rPr>
      </w:pPr>
    </w:p>
    <w:p>
      <w:pPr>
        <w:ind w:left="600" w:hanging="592"/>
        <w:spacing w:after="0" w:line="246" w:lineRule="auto"/>
        <w:tabs>
          <w:tab w:leader="none" w:pos="6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We refer to the Agreement. This is a Selection Notice. Terms defined in the Agreement have the same meaning in this Selection Notice unless given a different meaning in this Selection Notice.</w:t>
      </w:r>
    </w:p>
    <w:p>
      <w:pPr>
        <w:spacing w:after="0" w:line="183" w:lineRule="exact"/>
        <w:rPr>
          <w:sz w:val="20"/>
          <w:szCs w:val="20"/>
          <w:color w:val="auto"/>
        </w:rPr>
      </w:pPr>
    </w:p>
    <w:p>
      <w:pPr>
        <w:ind w:left="600" w:hanging="592"/>
        <w:spacing w:after="0"/>
        <w:tabs>
          <w:tab w:leader="none" w:pos="6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We request that the next Interest Period for the Term Loan in relation to Ship [A] [B] [C] [D] [E] [F] be [·] months.</w:t>
      </w:r>
    </w:p>
    <w:p>
      <w:pPr>
        <w:spacing w:after="0" w:line="238" w:lineRule="exact"/>
        <w:rPr>
          <w:rFonts w:ascii="Arial" w:cs="Arial" w:eastAsia="Arial" w:hAnsi="Arial"/>
          <w:sz w:val="18"/>
          <w:szCs w:val="18"/>
          <w:color w:val="auto"/>
        </w:rPr>
      </w:pPr>
    </w:p>
    <w:p>
      <w:pPr>
        <w:ind w:right="7760"/>
        <w:spacing w:after="0" w:line="496" w:lineRule="auto"/>
        <w:rPr>
          <w:rFonts w:ascii="Arial" w:cs="Arial" w:eastAsia="Arial" w:hAnsi="Arial"/>
          <w:sz w:val="18"/>
          <w:szCs w:val="18"/>
          <w:color w:val="auto"/>
        </w:rPr>
      </w:pPr>
      <w:r>
        <w:rPr>
          <w:rFonts w:ascii="Arial" w:cs="Arial" w:eastAsia="Arial" w:hAnsi="Arial"/>
          <w:sz w:val="18"/>
          <w:szCs w:val="18"/>
          <w:color w:val="auto"/>
        </w:rPr>
        <w:t>3 This Selection Notice is irrevocable. Yours faithfully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GAS-one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GAS-two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GAS-six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GAS-nine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GAS-ten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authorised signatory for </w:t>
      </w:r>
      <w:r>
        <w:rPr>
          <w:rFonts w:ascii="Arial" w:cs="Arial" w:eastAsia="Arial" w:hAnsi="Arial"/>
          <w:sz w:val="18"/>
          <w:szCs w:val="18"/>
          <w:b w:val="1"/>
          <w:bCs w:val="1"/>
          <w:color w:val="auto"/>
        </w:rPr>
        <w:t>GAS-eighteen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Schedule 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GasLog Ltd. [and GasLog Partners LP]</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$576,887,500 Facilities Agreement dated [·] 2020 (the “Agreement”)</w:t>
      </w:r>
    </w:p>
    <w:p>
      <w:pPr>
        <w:spacing w:after="0" w:line="229" w:lineRule="exact"/>
        <w:rPr>
          <w:sz w:val="20"/>
          <w:szCs w:val="20"/>
          <w:color w:val="auto"/>
        </w:rPr>
      </w:pPr>
    </w:p>
    <w:p>
      <w:pPr>
        <w:jc w:val="both"/>
        <w:ind w:left="580" w:hanging="572"/>
        <w:spacing w:after="0" w:line="250" w:lineRule="auto"/>
        <w:tabs>
          <w:tab w:leader="none" w:pos="5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clause 20.1 (</w:t>
      </w:r>
      <w:r>
        <w:rPr>
          <w:rFonts w:ascii="Arial" w:cs="Arial" w:eastAsia="Arial" w:hAnsi="Arial"/>
          <w:sz w:val="18"/>
          <w:szCs w:val="18"/>
          <w:i w:val="1"/>
          <w:iCs w:val="1"/>
          <w:color w:val="auto"/>
        </w:rPr>
        <w:t>Financial definitions (Group)</w:t>
      </w:r>
      <w:r>
        <w:rPr>
          <w:rFonts w:ascii="Arial" w:cs="Arial" w:eastAsia="Arial" w:hAnsi="Arial"/>
          <w:sz w:val="18"/>
          <w:szCs w:val="18"/>
          <w:color w:val="auto"/>
        </w:rPr>
        <w:t>) and clause 20.4 (</w:t>
      </w:r>
      <w:r>
        <w:rPr>
          <w:rFonts w:ascii="Arial" w:cs="Arial" w:eastAsia="Arial" w:hAnsi="Arial"/>
          <w:sz w:val="18"/>
          <w:szCs w:val="18"/>
          <w:i w:val="1"/>
          <w:iCs w:val="1"/>
          <w:color w:val="auto"/>
        </w:rPr>
        <w:t>Financial definitions (MLP</w:t>
      </w:r>
      <w:r>
        <w:rPr>
          <w:rFonts w:ascii="Arial" w:cs="Arial" w:eastAsia="Arial" w:hAnsi="Arial"/>
          <w:sz w:val="18"/>
          <w:szCs w:val="18"/>
          <w:color w:val="auto"/>
        </w:rPr>
        <w:t>)) of the Agreement have the same meaning when used in this Compliance Certificate unless given a different meaning in this Compliance Certificate.</w:t>
      </w:r>
    </w:p>
    <w:p>
      <w:pPr>
        <w:spacing w:after="0" w:line="195" w:lineRule="exact"/>
        <w:rPr>
          <w:sz w:val="20"/>
          <w:szCs w:val="20"/>
          <w:color w:val="auto"/>
        </w:rPr>
      </w:pPr>
    </w:p>
    <w:p>
      <w:pPr>
        <w:jc w:val="both"/>
        <w:ind w:left="580" w:hanging="572"/>
        <w:spacing w:after="0" w:line="248" w:lineRule="auto"/>
        <w:tabs>
          <w:tab w:leader="none" w:pos="5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We confirm that by reference to the [Semi-Annual][Annual] Financial Statements for the [Group] [and the MLP Group] for the financial period ending on [·] attached hereto </w:t>
      </w:r>
      <w:r>
        <w:rPr>
          <w:rFonts w:ascii="Arial" w:cs="Arial" w:eastAsia="Arial" w:hAnsi="Arial"/>
          <w:sz w:val="18"/>
          <w:szCs w:val="18"/>
          <w:b w:val="1"/>
          <w:bCs w:val="1"/>
          <w:i w:val="1"/>
          <w:iCs w:val="1"/>
          <w:color w:val="auto"/>
        </w:rPr>
        <w:t>[report Group and/or MLP Group depending on Active Guarantors, as applicable, at time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reporting]</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1180" w:right="20" w:hanging="592"/>
        <w:spacing w:after="0" w:line="287" w:lineRule="auto"/>
        <w:tabs>
          <w:tab w:leader="none" w:pos="1180" w:val="left"/>
        </w:tabs>
        <w:numPr>
          <w:ilvl w:val="1"/>
          <w:numId w:val="460"/>
        </w:numPr>
        <w:rPr>
          <w:rFonts w:ascii="Arial" w:cs="Arial" w:eastAsia="Arial" w:hAnsi="Arial"/>
          <w:sz w:val="18"/>
          <w:szCs w:val="18"/>
          <w:color w:val="auto"/>
        </w:rPr>
      </w:pPr>
      <w:r>
        <w:rPr>
          <w:rFonts w:ascii="Arial" w:cs="Arial" w:eastAsia="Arial" w:hAnsi="Arial"/>
          <w:sz w:val="18"/>
          <w:szCs w:val="18"/>
          <w:b w:val="1"/>
          <w:bCs w:val="1"/>
          <w:color w:val="auto"/>
        </w:rPr>
        <w:t>Group Net Worth</w:t>
      </w:r>
      <w:r>
        <w:rPr>
          <w:rFonts w:ascii="Arial" w:cs="Arial" w:eastAsia="Arial" w:hAnsi="Arial"/>
          <w:sz w:val="18"/>
          <w:szCs w:val="18"/>
          <w:color w:val="auto"/>
        </w:rPr>
        <w:t>: our Group Market Adjusted Net Worth is $[·] (being $[·] (Group Total Market Adjusted Assets) less $[·]</w:t>
      </w:r>
      <w:r>
        <w:rPr>
          <w:rFonts w:ascii="Arial" w:cs="Arial" w:eastAsia="Arial" w:hAnsi="Arial"/>
          <w:sz w:val="18"/>
          <w:szCs w:val="18"/>
          <w:b w:val="1"/>
          <w:bCs w:val="1"/>
          <w:color w:val="auto"/>
        </w:rPr>
        <w:t xml:space="preserve"> </w:t>
      </w:r>
      <w:r>
        <w:rPr>
          <w:rFonts w:ascii="Arial" w:cs="Arial" w:eastAsia="Arial" w:hAnsi="Arial"/>
          <w:sz w:val="18"/>
          <w:szCs w:val="18"/>
          <w:color w:val="auto"/>
        </w:rPr>
        <w:t>(Group Total Indebtedness)) [Requirement being $350,000,000]];</w:t>
      </w:r>
    </w:p>
    <w:p>
      <w:pPr>
        <w:spacing w:after="0" w:line="139" w:lineRule="exact"/>
        <w:rPr>
          <w:rFonts w:ascii="Arial" w:cs="Arial" w:eastAsia="Arial" w:hAnsi="Arial"/>
          <w:sz w:val="18"/>
          <w:szCs w:val="18"/>
          <w:color w:val="auto"/>
        </w:rPr>
      </w:pPr>
    </w:p>
    <w:p>
      <w:pPr>
        <w:jc w:val="both"/>
        <w:ind w:left="1180" w:hanging="592"/>
        <w:spacing w:after="0" w:line="268" w:lineRule="auto"/>
        <w:tabs>
          <w:tab w:leader="none" w:pos="1180" w:val="left"/>
        </w:tabs>
        <w:numPr>
          <w:ilvl w:val="1"/>
          <w:numId w:val="460"/>
        </w:numPr>
        <w:rPr>
          <w:rFonts w:ascii="Arial" w:cs="Arial" w:eastAsia="Arial" w:hAnsi="Arial"/>
          <w:sz w:val="18"/>
          <w:szCs w:val="18"/>
          <w:color w:val="auto"/>
        </w:rPr>
      </w:pPr>
      <w:r>
        <w:rPr>
          <w:rFonts w:ascii="Arial" w:cs="Arial" w:eastAsia="Arial" w:hAnsi="Arial"/>
          <w:sz w:val="18"/>
          <w:szCs w:val="18"/>
          <w:b w:val="1"/>
          <w:bCs w:val="1"/>
          <w:color w:val="auto"/>
        </w:rPr>
        <w:t>Group current ratio</w:t>
      </w:r>
      <w:r>
        <w:rPr>
          <w:rFonts w:ascii="Arial" w:cs="Arial" w:eastAsia="Arial" w:hAnsi="Arial"/>
          <w:sz w:val="18"/>
          <w:szCs w:val="18"/>
          <w:color w:val="auto"/>
        </w:rPr>
        <w:t>: our Group Current Assets (being $[·]) are [not] greater than or equal to Group Current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(excluding Group Current Portion of Loans (being $[·]))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Requirement being that Group Current Assets shall be greater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than or equal to Group Current Liabilities (excluding the Group Current Portion of Loans</w:t>
      </w:r>
      <w:r>
        <w:rPr>
          <w:rFonts w:ascii="Arial" w:cs="Arial" w:eastAsia="Arial" w:hAnsi="Arial"/>
          <w:sz w:val="18"/>
          <w:szCs w:val="18"/>
          <w:b w:val="1"/>
          <w:bCs w:val="1"/>
          <w:color w:val="auto"/>
        </w:rPr>
        <w:t>)];</w:t>
      </w:r>
    </w:p>
    <w:p>
      <w:pPr>
        <w:spacing w:after="0" w:line="157" w:lineRule="exact"/>
        <w:rPr>
          <w:rFonts w:ascii="Arial" w:cs="Arial" w:eastAsia="Arial" w:hAnsi="Arial"/>
          <w:sz w:val="18"/>
          <w:szCs w:val="18"/>
          <w:color w:val="auto"/>
        </w:rPr>
      </w:pPr>
    </w:p>
    <w:p>
      <w:pPr>
        <w:ind w:left="1180" w:hanging="592"/>
        <w:spacing w:after="0"/>
        <w:tabs>
          <w:tab w:leader="none" w:pos="118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debt service</w:t>
      </w:r>
      <w:r>
        <w:rPr>
          <w:rFonts w:ascii="Arial" w:cs="Arial" w:eastAsia="Arial" w:hAnsi="Arial"/>
          <w:sz w:val="18"/>
          <w:szCs w:val="18"/>
          <w:color w:val="auto"/>
        </w:rPr>
        <w:t xml:space="preserve"> cover: taking into account that the Group Cash and Cash Equivalents is less than $110,000,000 as</w:t>
      </w:r>
    </w:p>
    <w:p>
      <w:pPr>
        <w:spacing w:after="0" w:line="17" w:lineRule="exact"/>
        <w:rPr>
          <w:rFonts w:ascii="Arial" w:cs="Arial" w:eastAsia="Arial" w:hAnsi="Arial"/>
          <w:sz w:val="18"/>
          <w:szCs w:val="18"/>
          <w:color w:val="auto"/>
        </w:rPr>
      </w:pPr>
    </w:p>
    <w:p>
      <w:pPr>
        <w:jc w:val="both"/>
        <w:ind w:left="118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shown in paragraph (e) below, the ratio of EBITDA: Debt Service has been [·] calculated on a four quarter trailing basis (being $[·] EBITDA and $[·] Debt Service)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If applicable, when Group Cash and Cash Equivalents is less than $110,000,000,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requirement being that the ratio of EBITDA to Debt Service is not less than 1.10:1 in each 6 month period</w:t>
      </w:r>
      <w:r>
        <w:rPr>
          <w:rFonts w:ascii="Arial" w:cs="Arial" w:eastAsia="Arial" w:hAnsi="Arial"/>
          <w:sz w:val="18"/>
          <w:szCs w:val="18"/>
          <w:b w:val="1"/>
          <w:bCs w:val="1"/>
          <w:color w:val="auto"/>
        </w:rPr>
        <w:t>];]</w:t>
      </w:r>
    </w:p>
    <w:p>
      <w:pPr>
        <w:spacing w:after="0" w:line="166" w:lineRule="exact"/>
        <w:rPr>
          <w:rFonts w:ascii="Arial" w:cs="Arial" w:eastAsia="Arial" w:hAnsi="Arial"/>
          <w:sz w:val="18"/>
          <w:szCs w:val="18"/>
          <w:color w:val="auto"/>
        </w:rPr>
      </w:pPr>
    </w:p>
    <w:p>
      <w:pPr>
        <w:ind w:left="1180" w:hanging="592"/>
        <w:spacing w:after="0" w:line="287" w:lineRule="auto"/>
        <w:tabs>
          <w:tab w:leader="none" w:pos="1180" w:val="left"/>
        </w:tabs>
        <w:numPr>
          <w:ilvl w:val="1"/>
          <w:numId w:val="460"/>
        </w:numPr>
        <w:rPr>
          <w:rFonts w:ascii="Arial" w:cs="Arial" w:eastAsia="Arial" w:hAnsi="Arial"/>
          <w:sz w:val="18"/>
          <w:szCs w:val="18"/>
          <w:color w:val="auto"/>
        </w:rPr>
      </w:pPr>
      <w:r>
        <w:rPr>
          <w:rFonts w:ascii="Arial" w:cs="Arial" w:eastAsia="Arial" w:hAnsi="Arial"/>
          <w:sz w:val="18"/>
          <w:szCs w:val="18"/>
          <w:b w:val="1"/>
          <w:bCs w:val="1"/>
          <w:color w:val="auto"/>
        </w:rPr>
        <w:t>Group leverage</w:t>
      </w:r>
      <w:r>
        <w:rPr>
          <w:rFonts w:ascii="Arial" w:cs="Arial" w:eastAsia="Arial" w:hAnsi="Arial"/>
          <w:sz w:val="18"/>
          <w:szCs w:val="18"/>
          <w:color w:val="auto"/>
        </w:rPr>
        <w:t>: the Group Maximum Leverage is [·]% (being $[·] Group Total Indebtedness divided by $[·] Group Total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Requirement being that the Group Maximum Leverage shall be less than 75%</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180" w:hanging="592"/>
        <w:spacing w:after="0"/>
        <w:tabs>
          <w:tab w:leader="none" w:pos="1180" w:val="left"/>
        </w:tabs>
        <w:numPr>
          <w:ilvl w:val="1"/>
          <w:numId w:val="460"/>
        </w:numPr>
        <w:rPr>
          <w:rFonts w:ascii="Arial" w:cs="Arial" w:eastAsia="Arial" w:hAnsi="Arial"/>
          <w:sz w:val="18"/>
          <w:szCs w:val="18"/>
          <w:color w:val="auto"/>
        </w:rPr>
      </w:pPr>
      <w:r>
        <w:rPr>
          <w:rFonts w:ascii="Arial" w:cs="Arial" w:eastAsia="Arial" w:hAnsi="Arial"/>
          <w:sz w:val="18"/>
          <w:szCs w:val="18"/>
          <w:b w:val="1"/>
          <w:bCs w:val="1"/>
          <w:color w:val="auto"/>
        </w:rPr>
        <w:t>Group Cash and Cash Equivalents</w:t>
      </w:r>
      <w:r>
        <w:rPr>
          <w:rFonts w:ascii="Arial" w:cs="Arial" w:eastAsia="Arial" w:hAnsi="Arial"/>
          <w:sz w:val="18"/>
          <w:szCs w:val="18"/>
          <w:color w:val="auto"/>
        </w:rPr>
        <w:t>: the Group Cash and Cash Equivalents is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Group</w:t>
      </w:r>
    </w:p>
    <w:p>
      <w:pPr>
        <w:spacing w:after="0" w:line="31"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 shall be at least $75,000,000</w:t>
      </w:r>
      <w:r>
        <w:rPr>
          <w:rFonts w:ascii="Arial" w:cs="Arial" w:eastAsia="Arial" w:hAnsi="Arial"/>
          <w:sz w:val="18"/>
          <w:szCs w:val="18"/>
          <w:b w:val="1"/>
          <w:bCs w:val="1"/>
          <w:color w:val="auto"/>
        </w:rPr>
        <w:t>];</w:t>
      </w:r>
    </w:p>
    <w:p>
      <w:pPr>
        <w:spacing w:after="0" w:line="189" w:lineRule="exact"/>
        <w:rPr>
          <w:rFonts w:ascii="Arial" w:cs="Arial" w:eastAsia="Arial" w:hAnsi="Arial"/>
          <w:sz w:val="18"/>
          <w:szCs w:val="18"/>
          <w:color w:val="auto"/>
        </w:rPr>
      </w:pPr>
    </w:p>
    <w:p>
      <w:pPr>
        <w:ind w:left="1180" w:hanging="592"/>
        <w:spacing w:after="0" w:line="287" w:lineRule="auto"/>
        <w:tabs>
          <w:tab w:leader="none" w:pos="1180" w:val="left"/>
        </w:tabs>
        <w:numPr>
          <w:ilvl w:val="1"/>
          <w:numId w:val="460"/>
        </w:numPr>
        <w:rPr>
          <w:rFonts w:ascii="Arial" w:cs="Arial" w:eastAsia="Arial" w:hAnsi="Arial"/>
          <w:sz w:val="18"/>
          <w:szCs w:val="18"/>
          <w:color w:val="auto"/>
        </w:rPr>
      </w:pPr>
      <w:r>
        <w:rPr>
          <w:rFonts w:ascii="Arial" w:cs="Arial" w:eastAsia="Arial" w:hAnsi="Arial"/>
          <w:sz w:val="18"/>
          <w:szCs w:val="18"/>
          <w:b w:val="1"/>
          <w:bCs w:val="1"/>
          <w:color w:val="auto"/>
        </w:rPr>
        <w:t xml:space="preserve">MLP Group leverage: the MLP Group Maximum Leverage </w:t>
      </w:r>
      <w:r>
        <w:rPr>
          <w:rFonts w:ascii="Arial" w:cs="Arial" w:eastAsia="Arial" w:hAnsi="Arial"/>
          <w:sz w:val="18"/>
          <w:szCs w:val="18"/>
          <w:color w:val="auto"/>
        </w:rPr>
        <w:t>is [·]% (being $[·] MLP Group Total Indebtedness divided by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MLP Group Total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Requirement being that the MLP</w:t>
      </w:r>
      <w:r>
        <w:rPr>
          <w:rFonts w:ascii="Arial" w:cs="Arial" w:eastAsia="Arial" w:hAnsi="Arial"/>
          <w:sz w:val="18"/>
          <w:szCs w:val="18"/>
          <w:color w:val="auto"/>
        </w:rPr>
        <w:t xml:space="preserve"> </w:t>
      </w:r>
      <w:r>
        <w:rPr>
          <w:rFonts w:ascii="Arial" w:cs="Arial" w:eastAsia="Arial" w:hAnsi="Arial"/>
          <w:sz w:val="18"/>
          <w:szCs w:val="18"/>
          <w:b w:val="1"/>
          <w:bCs w:val="1"/>
          <w:color w:val="auto"/>
        </w:rPr>
        <w:t>Group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Maximum Leverage shall be less than 65%</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139" w:lineRule="exact"/>
        <w:rPr>
          <w:rFonts w:ascii="Arial" w:cs="Arial" w:eastAsia="Arial" w:hAnsi="Arial"/>
          <w:sz w:val="18"/>
          <w:szCs w:val="18"/>
          <w:color w:val="auto"/>
        </w:rPr>
      </w:pPr>
    </w:p>
    <w:p>
      <w:pPr>
        <w:ind w:left="1180" w:hanging="592"/>
        <w:spacing w:after="0" w:line="287" w:lineRule="auto"/>
        <w:tabs>
          <w:tab w:leader="none" w:pos="1180" w:val="left"/>
        </w:tabs>
        <w:numPr>
          <w:ilvl w:val="1"/>
          <w:numId w:val="460"/>
        </w:numPr>
        <w:rPr>
          <w:rFonts w:ascii="Arial" w:cs="Arial" w:eastAsia="Arial" w:hAnsi="Arial"/>
          <w:sz w:val="18"/>
          <w:szCs w:val="18"/>
          <w:color w:val="auto"/>
        </w:rPr>
      </w:pPr>
      <w:r>
        <w:rPr>
          <w:rFonts w:ascii="Arial" w:cs="Arial" w:eastAsia="Arial" w:hAnsi="Arial"/>
          <w:sz w:val="18"/>
          <w:szCs w:val="18"/>
          <w:b w:val="1"/>
          <w:bCs w:val="1"/>
          <w:color w:val="auto"/>
        </w:rPr>
        <w:t>MLP Group Free Liquidity</w:t>
      </w:r>
      <w:r>
        <w:rPr>
          <w:rFonts w:ascii="Arial" w:cs="Arial" w:eastAsia="Arial" w:hAnsi="Arial"/>
          <w:sz w:val="18"/>
          <w:szCs w:val="18"/>
          <w:color w:val="auto"/>
        </w:rPr>
        <w:t>: the MLP Group Free Liquidity is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MLP</w:t>
      </w:r>
      <w:r>
        <w:rPr>
          <w:rFonts w:ascii="Arial" w:cs="Arial" w:eastAsia="Arial" w:hAnsi="Arial"/>
          <w:sz w:val="18"/>
          <w:szCs w:val="18"/>
          <w:b w:val="1"/>
          <w:bCs w:val="1"/>
          <w:color w:val="auto"/>
        </w:rPr>
        <w:t xml:space="preserve"> Group </w:t>
      </w:r>
      <w:r>
        <w:rPr>
          <w:rFonts w:ascii="Arial" w:cs="Arial" w:eastAsia="Arial" w:hAnsi="Arial"/>
          <w:sz w:val="18"/>
          <w:szCs w:val="18"/>
          <w:b w:val="1"/>
          <w:bCs w:val="1"/>
          <w:i w:val="1"/>
          <w:iCs w:val="1"/>
          <w:color w:val="auto"/>
        </w:rPr>
        <w:t>Free Liquidity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shall be at least $45,000,000</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1" w:lineRule="exact"/>
        <w:rPr>
          <w:sz w:val="20"/>
          <w:szCs w:val="20"/>
          <w:color w:val="auto"/>
        </w:rPr>
      </w:pPr>
    </w:p>
    <w:p>
      <w:pPr>
        <w:ind w:left="580" w:hanging="572"/>
        <w:spacing w:after="0"/>
        <w:tabs>
          <w:tab w:leader="none" w:pos="5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order to demonstrate our confirmations in paragraph 2, we attach:</w:t>
      </w:r>
    </w:p>
    <w:p>
      <w:pPr>
        <w:spacing w:after="0" w:line="193" w:lineRule="exact"/>
        <w:rPr>
          <w:rFonts w:ascii="Arial" w:cs="Arial" w:eastAsia="Arial" w:hAnsi="Arial"/>
          <w:sz w:val="18"/>
          <w:szCs w:val="18"/>
          <w:color w:val="auto"/>
        </w:rPr>
      </w:pPr>
    </w:p>
    <w:p>
      <w:pPr>
        <w:jc w:val="both"/>
        <w:ind w:left="1180" w:hanging="592"/>
        <w:spacing w:after="0" w:line="258" w:lineRule="auto"/>
        <w:tabs>
          <w:tab w:leader="none" w:pos="11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two valuations of all of the Fleet Vessels from [·] and [·], each being Approved Brokers referred to in clause 25.8 (</w:t>
      </w:r>
      <w:r>
        <w:rPr>
          <w:rFonts w:ascii="Arial" w:cs="Arial" w:eastAsia="Arial" w:hAnsi="Arial"/>
          <w:sz w:val="18"/>
          <w:szCs w:val="18"/>
          <w:i w:val="1"/>
          <w:iCs w:val="1"/>
          <w:color w:val="auto"/>
        </w:rPr>
        <w:t>Approved</w:t>
      </w:r>
      <w:r>
        <w:rPr>
          <w:rFonts w:ascii="Arial" w:cs="Arial" w:eastAsia="Arial" w:hAnsi="Arial"/>
          <w:sz w:val="18"/>
          <w:szCs w:val="18"/>
          <w:color w:val="auto"/>
        </w:rPr>
        <w:t xml:space="preserve"> </w:t>
      </w:r>
      <w:r>
        <w:rPr>
          <w:rFonts w:ascii="Arial" w:cs="Arial" w:eastAsia="Arial" w:hAnsi="Arial"/>
          <w:sz w:val="18"/>
          <w:szCs w:val="18"/>
          <w:i w:val="1"/>
          <w:iCs w:val="1"/>
          <w:color w:val="auto"/>
        </w:rPr>
        <w:t>Brokers</w:t>
      </w:r>
      <w:r>
        <w:rPr>
          <w:rFonts w:ascii="Arial" w:cs="Arial" w:eastAsia="Arial" w:hAnsi="Arial"/>
          <w:sz w:val="18"/>
          <w:szCs w:val="18"/>
          <w:color w:val="auto"/>
        </w:rPr>
        <w:t>) of the Agreement and prepared in accordance with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of the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0" w:name="page191"/>
    <w:bookmarkEnd w:id="190"/>
    <w:p>
      <w:pPr>
        <w:ind w:left="1180" w:hanging="592"/>
        <w:spacing w:after="0" w:line="246" w:lineRule="auto"/>
        <w:tabs>
          <w:tab w:leader="none" w:pos="11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valuations of all other assets owned wholly or in part by [the Group] [the MLP Group] prepared in accordance with clause 25.4 (</w:t>
      </w:r>
      <w:r>
        <w:rPr>
          <w:rFonts w:ascii="Arial" w:cs="Arial" w:eastAsia="Arial" w:hAnsi="Arial"/>
          <w:sz w:val="18"/>
          <w:szCs w:val="18"/>
          <w:i w:val="1"/>
          <w:iCs w:val="1"/>
          <w:color w:val="auto"/>
        </w:rPr>
        <w:t>Valuations procedure</w:t>
      </w:r>
      <w:r>
        <w:rPr>
          <w:rFonts w:ascii="Arial" w:cs="Arial" w:eastAsia="Arial" w:hAnsi="Arial"/>
          <w:sz w:val="18"/>
          <w:szCs w:val="18"/>
          <w:color w:val="auto"/>
        </w:rPr>
        <w:t>) of the Agreement; [and]</w:t>
      </w:r>
    </w:p>
    <w:p>
      <w:pPr>
        <w:spacing w:after="0" w:line="196" w:lineRule="exact"/>
        <w:rPr>
          <w:rFonts w:ascii="Arial" w:cs="Arial" w:eastAsia="Arial" w:hAnsi="Arial"/>
          <w:sz w:val="18"/>
          <w:szCs w:val="18"/>
          <w:color w:val="auto"/>
        </w:rPr>
      </w:pPr>
    </w:p>
    <w:p>
      <w:pPr>
        <w:ind w:left="1180" w:right="20" w:hanging="592"/>
        <w:spacing w:after="0" w:line="246" w:lineRule="auto"/>
        <w:tabs>
          <w:tab w:leader="none" w:pos="11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[reconciliations prepared by us as to the difference between the book value of the assets referred to in 3(a) [(and (b))] and their market values as demonstrated by the valuations referred to in 3(a) [(and (b))]; and]</w:t>
      </w:r>
    </w:p>
    <w:p>
      <w:pPr>
        <w:spacing w:after="0" w:line="196" w:lineRule="exact"/>
        <w:rPr>
          <w:rFonts w:ascii="Arial" w:cs="Arial" w:eastAsia="Arial" w:hAnsi="Arial"/>
          <w:sz w:val="18"/>
          <w:szCs w:val="18"/>
          <w:color w:val="auto"/>
        </w:rPr>
      </w:pPr>
    </w:p>
    <w:p>
      <w:pPr>
        <w:ind w:left="1180" w:hanging="592"/>
        <w:spacing w:after="0" w:line="246" w:lineRule="auto"/>
        <w:tabs>
          <w:tab w:leader="none" w:pos="11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marked-to-market valuations of all Treasury Transactions entered into by a member of [the Group] [the MLP Group] reconciled against the [Semi-Annual][Annual] Financial Statements.</w:t>
      </w:r>
    </w:p>
    <w:p>
      <w:pPr>
        <w:spacing w:after="0" w:line="175" w:lineRule="exact"/>
        <w:rPr>
          <w:sz w:val="20"/>
          <w:szCs w:val="20"/>
          <w:color w:val="auto"/>
        </w:rPr>
      </w:pPr>
    </w:p>
    <w:p>
      <w:pPr>
        <w:ind w:left="580" w:right="20" w:hanging="572"/>
        <w:spacing w:after="0" w:line="271" w:lineRule="auto"/>
        <w:tabs>
          <w:tab w:leader="none" w:pos="5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We confirm that no Event of Default is continuing [</w:t>
      </w:r>
      <w:r>
        <w:rPr>
          <w:rFonts w:ascii="Arial" w:cs="Arial" w:eastAsia="Arial" w:hAnsi="Arial"/>
          <w:sz w:val="18"/>
          <w:szCs w:val="18"/>
          <w:b w:val="1"/>
          <w:bCs w:val="1"/>
          <w:i w:val="1"/>
          <w:iCs w:val="1"/>
          <w:color w:val="auto"/>
        </w:rPr>
        <w:t>If this statement cannot be made, the certificate should identify any Event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Default that is continuing and the steps, if any, being taken to remedy it.</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3566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3566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[GASLOG PARTNERS LP]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Schedule 7</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 Certificate</w:t>
      </w:r>
    </w:p>
    <w:p>
      <w:pPr>
        <w:spacing w:after="0" w:line="200" w:lineRule="exact"/>
        <w:rPr>
          <w:sz w:val="20"/>
          <w:szCs w:val="20"/>
          <w:color w:val="auto"/>
        </w:rPr>
      </w:pP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The Existing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b w:val="1"/>
          <w:bCs w:val="1"/>
          <w:color w:val="auto"/>
        </w:rPr>
        <w:t>The New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$576,887,500 Facilities Agreement dated [</w:t>
      </w:r>
      <w:r>
        <w:rPr>
          <w:rFonts w:ascii="Arial" w:cs="Arial" w:eastAsia="Arial" w:hAnsi="Arial"/>
          <w:sz w:val="18"/>
          <w:szCs w:val="18"/>
          <w:color w:val="auto"/>
        </w:rPr>
        <w:t>·</w:t>
      </w:r>
      <w:r>
        <w:rPr>
          <w:rFonts w:ascii="Arial" w:cs="Arial" w:eastAsia="Arial" w:hAnsi="Arial"/>
          <w:sz w:val="18"/>
          <w:szCs w:val="18"/>
          <w:b w:val="1"/>
          <w:bCs w:val="1"/>
          <w:color w:val="auto"/>
        </w:rPr>
        <w:t xml:space="preserve">] 2020 </w:t>
      </w:r>
      <w:r>
        <w:rPr>
          <w:rFonts w:ascii="Arial" w:cs="Arial" w:eastAsia="Arial" w:hAnsi="Arial"/>
          <w:sz w:val="18"/>
          <w:szCs w:val="18"/>
          <w:color w:val="auto"/>
        </w:rPr>
        <w:t>(</w:t>
      </w:r>
      <w:r>
        <w:rPr>
          <w:rFonts w:ascii="Arial" w:cs="Arial" w:eastAsia="Arial" w:hAnsi="Arial"/>
          <w:sz w:val="18"/>
          <w:szCs w:val="18"/>
          <w:b w:val="1"/>
          <w:bCs w:val="1"/>
          <w:color w:val="auto"/>
        </w:rPr>
        <w:t>the “Agreement”</w:t>
      </w:r>
      <w:r>
        <w:rPr>
          <w:rFonts w:ascii="Arial" w:cs="Arial" w:eastAsia="Arial" w:hAnsi="Arial"/>
          <w:sz w:val="18"/>
          <w:szCs w:val="18"/>
          <w:color w:val="auto"/>
        </w:rPr>
        <w:t>)</w:t>
      </w:r>
    </w:p>
    <w:p>
      <w:pPr>
        <w:spacing w:after="0" w:line="247" w:lineRule="exact"/>
        <w:rPr>
          <w:sz w:val="20"/>
          <w:szCs w:val="20"/>
          <w:color w:val="auto"/>
        </w:rPr>
      </w:pPr>
    </w:p>
    <w:p>
      <w:pPr>
        <w:ind w:left="580" w:hanging="572"/>
        <w:spacing w:after="0" w:line="246" w:lineRule="auto"/>
        <w:tabs>
          <w:tab w:leader="none" w:pos="5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79" w:lineRule="exact"/>
        <w:rPr>
          <w:sz w:val="20"/>
          <w:szCs w:val="20"/>
          <w:color w:val="auto"/>
        </w:rPr>
      </w:pPr>
    </w:p>
    <w:p>
      <w:pPr>
        <w:ind w:left="580" w:hanging="572"/>
        <w:spacing w:after="0"/>
        <w:tabs>
          <w:tab w:leader="none" w:pos="5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We refer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of the Agreement:</w:t>
      </w:r>
    </w:p>
    <w:p>
      <w:pPr>
        <w:spacing w:after="0" w:line="229" w:lineRule="exact"/>
        <w:rPr>
          <w:rFonts w:ascii="Arial" w:cs="Arial" w:eastAsia="Arial" w:hAnsi="Arial"/>
          <w:sz w:val="18"/>
          <w:szCs w:val="18"/>
          <w:color w:val="auto"/>
        </w:rPr>
      </w:pPr>
    </w:p>
    <w:p>
      <w:pPr>
        <w:jc w:val="both"/>
        <w:ind w:left="1180" w:hanging="592"/>
        <w:spacing w:after="0"/>
        <w:tabs>
          <w:tab w:leader="none" w:pos="11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the Loans under the Agreement as specified in the Schedule.</w:t>
      </w:r>
    </w:p>
    <w:p>
      <w:pPr>
        <w:spacing w:after="0" w:line="202" w:lineRule="exact"/>
        <w:rPr>
          <w:rFonts w:ascii="Arial" w:cs="Arial" w:eastAsia="Arial" w:hAnsi="Arial"/>
          <w:sz w:val="18"/>
          <w:szCs w:val="18"/>
          <w:color w:val="auto"/>
        </w:rPr>
      </w:pPr>
    </w:p>
    <w:p>
      <w:pPr>
        <w:ind w:left="1180" w:right="20" w:hanging="592"/>
        <w:spacing w:after="0" w:line="246" w:lineRule="auto"/>
        <w:tabs>
          <w:tab w:leader="none" w:pos="11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Loans under the Agreement specified in the Schedule.</w:t>
      </w:r>
    </w:p>
    <w:p>
      <w:pPr>
        <w:spacing w:after="0" w:line="196" w:lineRule="exact"/>
        <w:rPr>
          <w:rFonts w:ascii="Arial" w:cs="Arial" w:eastAsia="Arial" w:hAnsi="Arial"/>
          <w:sz w:val="18"/>
          <w:szCs w:val="18"/>
          <w:color w:val="auto"/>
        </w:rPr>
      </w:pPr>
    </w:p>
    <w:p>
      <w:pPr>
        <w:ind w:left="1180" w:right="20" w:hanging="592"/>
        <w:spacing w:after="0" w:line="246" w:lineRule="auto"/>
        <w:tabs>
          <w:tab w:leader="none" w:pos="11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83" w:lineRule="exact"/>
        <w:rPr>
          <w:rFonts w:ascii="Arial" w:cs="Arial" w:eastAsia="Arial" w:hAnsi="Arial"/>
          <w:sz w:val="18"/>
          <w:szCs w:val="18"/>
          <w:color w:val="auto"/>
        </w:rPr>
      </w:pPr>
    </w:p>
    <w:p>
      <w:pPr>
        <w:ind w:left="1180" w:hanging="592"/>
        <w:spacing w:after="0"/>
        <w:tabs>
          <w:tab w:leader="none" w:pos="11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238" w:lineRule="exact"/>
        <w:rPr>
          <w:rFonts w:ascii="Arial" w:cs="Arial" w:eastAsia="Arial" w:hAnsi="Arial"/>
          <w:sz w:val="18"/>
          <w:szCs w:val="18"/>
          <w:color w:val="auto"/>
        </w:rPr>
      </w:pPr>
    </w:p>
    <w:p>
      <w:pPr>
        <w:ind w:left="1180" w:hanging="592"/>
        <w:spacing w:after="0" w:line="246" w:lineRule="auto"/>
        <w:tabs>
          <w:tab w:leader="none" w:pos="11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Facility Office and address, email address and attention details for notices of the New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97" w:lineRule="exact"/>
        <w:rPr>
          <w:sz w:val="20"/>
          <w:szCs w:val="20"/>
          <w:color w:val="auto"/>
        </w:rPr>
      </w:pPr>
    </w:p>
    <w:p>
      <w:pPr>
        <w:ind w:left="580" w:hanging="572"/>
        <w:spacing w:after="0" w:line="246" w:lineRule="auto"/>
        <w:tabs>
          <w:tab w:leader="none" w:pos="5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sub-clause 30.4(c) of clause 30.4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w:t>
      </w:r>
    </w:p>
    <w:p>
      <w:pPr>
        <w:spacing w:after="0" w:line="197" w:lineRule="exact"/>
        <w:rPr>
          <w:sz w:val="20"/>
          <w:szCs w:val="20"/>
          <w:color w:val="auto"/>
        </w:rPr>
      </w:pPr>
    </w:p>
    <w:p>
      <w:pPr>
        <w:ind w:left="580" w:hanging="572"/>
        <w:spacing w:after="0"/>
        <w:tabs>
          <w:tab w:leader="none" w:pos="5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New Lender confirms that it is [not] a Group Member or an Affiliate of any Group Member.</w:t>
      </w:r>
    </w:p>
    <w:p>
      <w:pPr>
        <w:spacing w:after="0" w:line="212" w:lineRule="exact"/>
        <w:rPr>
          <w:sz w:val="20"/>
          <w:szCs w:val="20"/>
          <w:color w:val="auto"/>
        </w:rPr>
      </w:pPr>
    </w:p>
    <w:p>
      <w:pPr>
        <w:ind w:left="580" w:right="20" w:hanging="572"/>
        <w:spacing w:after="0" w:line="246" w:lineRule="auto"/>
        <w:tabs>
          <w:tab w:leader="none" w:pos="5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5" w:lineRule="exact"/>
        <w:rPr>
          <w:sz w:val="20"/>
          <w:szCs w:val="20"/>
          <w:color w:val="auto"/>
        </w:rPr>
      </w:pPr>
    </w:p>
    <w:p>
      <w:pPr>
        <w:ind w:left="580" w:hanging="572"/>
        <w:spacing w:after="0"/>
        <w:tabs>
          <w:tab w:leader="none" w:pos="5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Consider including reference to accession to an intercreditor agreement, mortgage or other Finance Documents to which</w:t>
      </w:r>
    </w:p>
    <w:p>
      <w:pPr>
        <w:spacing w:after="0" w:line="17" w:lineRule="exact"/>
        <w:rPr>
          <w:rFonts w:ascii="Arial" w:cs="Arial" w:eastAsia="Arial" w:hAnsi="Arial"/>
          <w:sz w:val="18"/>
          <w:szCs w:val="18"/>
          <w:color w:val="auto"/>
        </w:rPr>
      </w:pPr>
    </w:p>
    <w:p>
      <w:pPr>
        <w:ind w:left="580"/>
        <w:spacing w:after="0" w:line="246" w:lineRule="auto"/>
        <w:rPr>
          <w:rFonts w:ascii="Arial" w:cs="Arial" w:eastAsia="Arial" w:hAnsi="Arial"/>
          <w:sz w:val="18"/>
          <w:szCs w:val="18"/>
          <w:color w:val="auto"/>
        </w:rPr>
      </w:pPr>
      <w:r>
        <w:rPr>
          <w:rFonts w:ascii="Arial" w:cs="Arial" w:eastAsia="Arial" w:hAnsi="Arial"/>
          <w:sz w:val="18"/>
          <w:szCs w:val="18"/>
          <w:b w:val="1"/>
          <w:bCs w:val="1"/>
          <w:i w:val="1"/>
          <w:iCs w:val="1"/>
          <w:color w:val="auto"/>
        </w:rPr>
        <w:t>Lenders may need to be party and checklist of steps necessary for the New Lender to obtain the benefit of the Security Documents</w:t>
      </w:r>
      <w:r>
        <w:rPr>
          <w:rFonts w:ascii="Arial" w:cs="Arial" w:eastAsia="Arial" w:hAnsi="Arial"/>
          <w:sz w:val="18"/>
          <w:szCs w:val="18"/>
          <w:color w:val="auto"/>
        </w:rPr>
        <w:t>.]</w:t>
      </w:r>
    </w:p>
    <w:p>
      <w:pPr>
        <w:spacing w:after="0" w:line="197" w:lineRule="exact"/>
        <w:rPr>
          <w:sz w:val="20"/>
          <w:szCs w:val="20"/>
          <w:color w:val="auto"/>
        </w:rPr>
      </w:pPr>
    </w:p>
    <w:p>
      <w:pPr>
        <w:ind w:left="580" w:hanging="572"/>
        <w:spacing w:after="0"/>
        <w:tabs>
          <w:tab w:leader="none" w:pos="5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7"/>
          <w:szCs w:val="17"/>
          <w:color w:val="auto"/>
        </w:rPr>
        <w:t>This Transfer Certificate has been entered into on the date stated at the beginning of this Transfer Certificate.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2" w:name="page193"/>
    <w:bookmarkEnd w:id="192"/>
    <w:p>
      <w:pPr>
        <w:jc w:val="both"/>
        <w:spacing w:after="0" w:line="244" w:lineRule="auto"/>
        <w:rPr>
          <w:sz w:val="20"/>
          <w:szCs w:val="20"/>
          <w:color w:val="auto"/>
        </w:rPr>
      </w:pPr>
      <w:r>
        <w:rPr>
          <w:rFonts w:ascii="Arial" w:cs="Arial" w:eastAsia="Arial" w:hAnsi="Arial"/>
          <w:sz w:val="18"/>
          <w:szCs w:val="18"/>
          <w:b w:val="1"/>
          <w:bCs w:val="1"/>
          <w:color w:val="auto"/>
        </w:rPr>
        <w:t>Note: The execution of this Transfer Certificate alone may not assign a proportionate share of the Existing Lender’s interest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the Security Interests constituted by the Security Documents in any jurisdiction and, if so, to arrange for execution of those documents and completion of those formalities.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The Schedule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Rights to be assigned and obligations to be released and undertaken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Office address, email and attention details for notices and account details for payments.]</w:t>
      </w:r>
    </w:p>
    <w:p>
      <w:pPr>
        <w:sectPr>
          <w:pgSz w:w="11900" w:h="16838" w:orient="portrait"/>
          <w:cols w:equalWidth="0" w:num="1">
            <w:col w:w="11240"/>
          </w:cols>
          <w:pgMar w:left="320" w:top="333" w:right="3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Lender</w:t>
      </w:r>
      <w:r>
        <w:rPr>
          <w:rFonts w:ascii="Arial" w:cs="Arial" w:eastAsia="Arial" w:hAnsi="Arial"/>
          <w:sz w:val="18"/>
          <w:szCs w:val="18"/>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Lender</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98" w:lineRule="exact"/>
        <w:rPr>
          <w:sz w:val="20"/>
          <w:szCs w:val="20"/>
          <w:color w:val="auto"/>
        </w:rPr>
      </w:pPr>
    </w:p>
    <w:p>
      <w:pPr>
        <w:sectPr>
          <w:pgSz w:w="11900" w:h="16838" w:orient="portrait"/>
          <w:cols w:equalWidth="0" w:num="2">
            <w:col w:w="2480" w:space="720"/>
            <w:col w:w="8040"/>
          </w:cols>
          <w:pgMar w:left="320" w:top="333"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This is accepted by the Agent as a Transfer Certificate and the Transfer Date is confirmed as [·].</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532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94" w:name="page195"/>
    <w:bookmarkEnd w:id="194"/>
    <w:p>
      <w:pPr>
        <w:jc w:val="center"/>
        <w:ind w:right="40"/>
        <w:spacing w:after="0"/>
        <w:rPr>
          <w:sz w:val="20"/>
          <w:szCs w:val="20"/>
          <w:color w:val="auto"/>
        </w:rPr>
      </w:pPr>
      <w:r>
        <w:rPr>
          <w:rFonts w:ascii="Arial" w:cs="Arial" w:eastAsia="Arial" w:hAnsi="Arial"/>
          <w:sz w:val="18"/>
          <w:szCs w:val="18"/>
          <w:b w:val="1"/>
          <w:bCs w:val="1"/>
          <w:color w:val="auto"/>
        </w:rPr>
        <w:t>Schedule 8</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Forms of Notifiable Debt Purchase Transaction Notice</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1</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Notice on Entering into Notifiable Debt Purchase Transaction</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[The Lender]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$576,887,500 Facilities Agreement dated [·] 2020 (the “Agreement”)</w:t>
      </w:r>
    </w:p>
    <w:p>
      <w:pPr>
        <w:spacing w:after="0" w:line="247" w:lineRule="exact"/>
        <w:rPr>
          <w:sz w:val="20"/>
          <w:szCs w:val="20"/>
          <w:color w:val="auto"/>
        </w:rPr>
      </w:pPr>
    </w:p>
    <w:p>
      <w:pPr>
        <w:ind w:left="580" w:right="40" w:hanging="572"/>
        <w:spacing w:after="0" w:line="246" w:lineRule="auto"/>
        <w:tabs>
          <w:tab w:leader="none" w:pos="5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We refer to clause 31.3(b) of the Agreement. Terms defined in the Agreement have the same meaning in this notice unless given a different meaning in this notice.</w:t>
      </w:r>
    </w:p>
    <w:p>
      <w:pPr>
        <w:spacing w:after="0" w:line="197" w:lineRule="exact"/>
        <w:rPr>
          <w:sz w:val="20"/>
          <w:szCs w:val="20"/>
          <w:color w:val="auto"/>
        </w:rPr>
      </w:pPr>
    </w:p>
    <w:p>
      <w:pPr>
        <w:ind w:left="580" w:hanging="572"/>
        <w:spacing w:after="0"/>
        <w:tabs>
          <w:tab w:leader="none" w:pos="5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We have entered into a Notifiable Debt Purchase Transaction.</w:t>
      </w:r>
    </w:p>
    <w:p>
      <w:pPr>
        <w:spacing w:after="0" w:line="212" w:lineRule="exact"/>
        <w:rPr>
          <w:sz w:val="20"/>
          <w:szCs w:val="20"/>
          <w:color w:val="auto"/>
        </w:rPr>
      </w:pPr>
    </w:p>
    <w:p>
      <w:pPr>
        <w:ind w:left="580" w:right="40" w:hanging="572"/>
        <w:spacing w:after="0" w:line="246" w:lineRule="auto"/>
        <w:tabs>
          <w:tab w:leader="none" w:pos="58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80" w:type="dxa"/>
            <w:vAlign w:val="bottom"/>
          </w:tcPr>
          <w:p>
            <w:pPr>
              <w:ind w:left="580"/>
              <w:spacing w:after="0"/>
              <w:rPr>
                <w:sz w:val="20"/>
                <w:szCs w:val="20"/>
                <w:color w:val="auto"/>
              </w:rPr>
            </w:pPr>
            <w:r>
              <w:rPr>
                <w:rFonts w:ascii="Arial" w:cs="Arial" w:eastAsia="Arial" w:hAnsi="Arial"/>
                <w:sz w:val="18"/>
                <w:szCs w:val="18"/>
                <w:b w:val="1"/>
                <w:bCs w:val="1"/>
                <w:color w:val="auto"/>
              </w:rPr>
              <w:t>Commitment</w:t>
            </w:r>
          </w:p>
        </w:tc>
        <w:tc>
          <w:tcPr>
            <w:tcW w:w="8800" w:type="dxa"/>
            <w:vAlign w:val="bottom"/>
          </w:tcPr>
          <w:p>
            <w:pPr>
              <w:ind w:left="80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w:t>
            </w:r>
          </w:p>
        </w:tc>
      </w:tr>
      <w:tr>
        <w:trPr>
          <w:trHeight w:val="405"/>
        </w:trPr>
        <w:tc>
          <w:tcPr>
            <w:tcW w:w="2480" w:type="dxa"/>
            <w:vAlign w:val="bottom"/>
          </w:tcPr>
          <w:p>
            <w:pPr>
              <w:ind w:left="580"/>
              <w:spacing w:after="0"/>
              <w:rPr>
                <w:sz w:val="20"/>
                <w:szCs w:val="20"/>
                <w:color w:val="auto"/>
              </w:rPr>
            </w:pPr>
            <w:r>
              <w:rPr>
                <w:rFonts w:ascii="Arial" w:cs="Arial" w:eastAsia="Arial" w:hAnsi="Arial"/>
                <w:sz w:val="18"/>
                <w:szCs w:val="18"/>
                <w:color w:val="auto"/>
              </w:rPr>
              <w:t>[·]</w:t>
            </w:r>
          </w:p>
        </w:tc>
        <w:tc>
          <w:tcPr>
            <w:tcW w:w="8800" w:type="dxa"/>
            <w:vAlign w:val="bottom"/>
          </w:tcPr>
          <w:p>
            <w:pPr>
              <w:ind w:left="80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tc>
      </w:tr>
      <w:tr>
        <w:trPr>
          <w:trHeight w:val="648"/>
        </w:trPr>
        <w:tc>
          <w:tcPr>
            <w:tcW w:w="2480" w:type="dxa"/>
            <w:vAlign w:val="bottom"/>
          </w:tcPr>
          <w:p>
            <w:pPr>
              <w:spacing w:after="0"/>
              <w:rPr>
                <w:sz w:val="20"/>
                <w:szCs w:val="20"/>
                <w:color w:val="auto"/>
              </w:rPr>
            </w:pPr>
            <w:r>
              <w:rPr>
                <w:rFonts w:ascii="Arial" w:cs="Arial" w:eastAsia="Arial" w:hAnsi="Arial"/>
                <w:sz w:val="18"/>
                <w:szCs w:val="18"/>
                <w:color w:val="auto"/>
              </w:rPr>
              <w:t>[Lender]</w:t>
            </w:r>
          </w:p>
        </w:tc>
        <w:tc>
          <w:tcPr>
            <w:tcW w:w="8800" w:type="dxa"/>
            <w:vAlign w:val="bottom"/>
          </w:tcPr>
          <w:p>
            <w:pPr>
              <w:spacing w:after="0"/>
              <w:rPr>
                <w:sz w:val="24"/>
                <w:szCs w:val="24"/>
                <w:color w:val="auto"/>
              </w:rPr>
            </w:pPr>
          </w:p>
        </w:tc>
      </w:tr>
      <w:tr>
        <w:trPr>
          <w:trHeight w:val="418"/>
        </w:trPr>
        <w:tc>
          <w:tcPr>
            <w:tcW w:w="2480" w:type="dxa"/>
            <w:vAlign w:val="bottom"/>
          </w:tcPr>
          <w:p>
            <w:pPr>
              <w:spacing w:after="0"/>
              <w:rPr>
                <w:sz w:val="24"/>
                <w:szCs w:val="24"/>
                <w:color w:val="auto"/>
              </w:rPr>
            </w:pPr>
          </w:p>
        </w:tc>
        <w:tc>
          <w:tcPr>
            <w:tcW w:w="8800" w:type="dxa"/>
            <w:vAlign w:val="bottom"/>
          </w:tcPr>
          <w:p>
            <w:pPr>
              <w:ind w:left="3140"/>
              <w:spacing w:after="0"/>
              <w:rPr>
                <w:sz w:val="20"/>
                <w:szCs w:val="20"/>
                <w:color w:val="auto"/>
              </w:rPr>
            </w:pPr>
            <w:r>
              <w:rPr>
                <w:rFonts w:ascii="Arial" w:cs="Arial" w:eastAsia="Arial" w:hAnsi="Arial"/>
                <w:sz w:val="18"/>
                <w:szCs w:val="18"/>
                <w:b w:val="1"/>
                <w:bCs w:val="1"/>
                <w:color w:val="auto"/>
              </w:rPr>
              <w:t>By:</w:t>
            </w:r>
          </w:p>
        </w:tc>
      </w:tr>
      <w:tr>
        <w:trPr>
          <w:trHeight w:val="419"/>
        </w:trPr>
        <w:tc>
          <w:tcPr>
            <w:tcW w:w="2480" w:type="dxa"/>
            <w:vAlign w:val="bottom"/>
          </w:tcPr>
          <w:p>
            <w:pPr>
              <w:spacing w:after="0"/>
              <w:rPr>
                <w:sz w:val="24"/>
                <w:szCs w:val="24"/>
                <w:color w:val="auto"/>
              </w:rPr>
            </w:pPr>
          </w:p>
        </w:tc>
        <w:tc>
          <w:tcPr>
            <w:tcW w:w="8800" w:type="dxa"/>
            <w:vAlign w:val="bottom"/>
          </w:tcPr>
          <w:p>
            <w:pPr>
              <w:jc w:val="right"/>
              <w:ind w:right="5410"/>
              <w:spacing w:after="0"/>
              <w:rPr>
                <w:sz w:val="20"/>
                <w:szCs w:val="20"/>
                <w:color w:val="auto"/>
              </w:rPr>
            </w:pPr>
            <w:r>
              <w:rPr>
                <w:rFonts w:ascii="Arial" w:cs="Arial" w:eastAsia="Arial" w:hAnsi="Arial"/>
                <w:sz w:val="18"/>
                <w:szCs w:val="18"/>
                <w:color w:val="auto"/>
              </w:rPr>
              <w:t>188</w:t>
            </w:r>
          </w:p>
        </w:tc>
      </w:tr>
      <w:tr>
        <w:trPr>
          <w:trHeight w:val="118"/>
        </w:trPr>
        <w:tc>
          <w:tcPr>
            <w:tcW w:w="2480" w:type="dxa"/>
            <w:vAlign w:val="bottom"/>
            <w:tcBorders>
              <w:bottom w:val="single" w:sz="8" w:color="808080"/>
            </w:tcBorders>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95" w:name="page196"/>
    <w:bookmarkEnd w:id="195"/>
    <w:p>
      <w:pPr>
        <w:jc w:val="center"/>
        <w:ind w:right="40"/>
        <w:spacing w:after="0"/>
        <w:rPr>
          <w:sz w:val="20"/>
          <w:szCs w:val="20"/>
          <w:color w:val="auto"/>
        </w:rPr>
      </w:pPr>
      <w:r>
        <w:rPr>
          <w:rFonts w:ascii="Arial" w:cs="Arial" w:eastAsia="Arial" w:hAnsi="Arial"/>
          <w:sz w:val="18"/>
          <w:szCs w:val="18"/>
          <w:b w:val="1"/>
          <w:bCs w:val="1"/>
          <w:color w:val="auto"/>
        </w:rPr>
        <w:t>Part 2</w:t>
      </w:r>
    </w:p>
    <w:p>
      <w:pPr>
        <w:spacing w:after="0" w:line="212" w:lineRule="exact"/>
        <w:rPr>
          <w:sz w:val="20"/>
          <w:szCs w:val="20"/>
          <w:color w:val="auto"/>
        </w:rPr>
      </w:pPr>
    </w:p>
    <w:p>
      <w:pPr>
        <w:jc w:val="center"/>
        <w:ind w:right="40"/>
        <w:spacing w:after="0" w:line="271" w:lineRule="auto"/>
        <w:rPr>
          <w:sz w:val="20"/>
          <w:szCs w:val="20"/>
          <w:color w:val="auto"/>
        </w:rPr>
      </w:pPr>
      <w:r>
        <w:rPr>
          <w:rFonts w:ascii="Arial" w:cs="Arial" w:eastAsia="Arial" w:hAnsi="Arial"/>
          <w:sz w:val="18"/>
          <w:szCs w:val="18"/>
          <w:b w:val="1"/>
          <w:bCs w:val="1"/>
          <w:color w:val="auto"/>
        </w:rPr>
        <w:t>Form of Notice on Termination of Notifiable Debt Purchase Transaction / Notifiable Debt Purchase Transaction ceasing to be with a Parent Affiliate</w:t>
      </w:r>
    </w:p>
    <w:p>
      <w:pPr>
        <w:spacing w:after="0" w:line="3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From: [The Lender]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$576,887,500 Facilities Agreement dated [·] 2020 (the “Agreement”)</w:t>
      </w:r>
    </w:p>
    <w:p>
      <w:pPr>
        <w:spacing w:after="0" w:line="229" w:lineRule="exact"/>
        <w:rPr>
          <w:sz w:val="20"/>
          <w:szCs w:val="20"/>
          <w:color w:val="auto"/>
        </w:rPr>
      </w:pPr>
    </w:p>
    <w:p>
      <w:pPr>
        <w:ind w:left="580" w:right="40" w:hanging="572"/>
        <w:spacing w:after="0" w:line="267" w:lineRule="auto"/>
        <w:tabs>
          <w:tab w:leader="none" w:pos="58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We refer to clause 31.2 (</w:t>
      </w:r>
      <w:r>
        <w:rPr>
          <w:rFonts w:ascii="Arial" w:cs="Arial" w:eastAsia="Arial" w:hAnsi="Arial"/>
          <w:sz w:val="18"/>
          <w:szCs w:val="18"/>
          <w:i w:val="1"/>
          <w:iCs w:val="1"/>
          <w:color w:val="auto"/>
        </w:rPr>
        <w:t>Prohibition on Debt Purchase Transactions by the Group or the MLP Group</w:t>
      </w:r>
      <w:r>
        <w:rPr>
          <w:rFonts w:ascii="Arial" w:cs="Arial" w:eastAsia="Arial" w:hAnsi="Arial"/>
          <w:sz w:val="18"/>
          <w:szCs w:val="18"/>
          <w:color w:val="auto"/>
        </w:rPr>
        <w:t>) of the Agreement. Terms defined in the Agreement have the same meaning in this notice unless given a different meaning in this notice.</w:t>
      </w:r>
    </w:p>
    <w:p>
      <w:pPr>
        <w:spacing w:after="0" w:line="165" w:lineRule="exact"/>
        <w:rPr>
          <w:sz w:val="20"/>
          <w:szCs w:val="20"/>
          <w:color w:val="auto"/>
        </w:rPr>
      </w:pPr>
    </w:p>
    <w:p>
      <w:pPr>
        <w:ind w:left="580" w:right="40" w:hanging="572"/>
        <w:spacing w:after="0" w:line="277" w:lineRule="auto"/>
        <w:tabs>
          <w:tab w:leader="none" w:pos="5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 Notifiable Debt Purchase Transaction which we entered into and which we notified you of in a notice dated [·] has [terminated]/[ceased to be with a Parent Affiliate].</w:t>
      </w:r>
    </w:p>
    <w:p>
      <w:pPr>
        <w:spacing w:after="0" w:line="170" w:lineRule="exact"/>
        <w:rPr>
          <w:sz w:val="20"/>
          <w:szCs w:val="20"/>
          <w:color w:val="auto"/>
        </w:rPr>
      </w:pPr>
    </w:p>
    <w:p>
      <w:pPr>
        <w:ind w:left="580" w:right="40" w:hanging="572"/>
        <w:spacing w:after="0" w:line="246" w:lineRule="auto"/>
        <w:tabs>
          <w:tab w:leader="none" w:pos="5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ind w:left="580"/>
              <w:spacing w:after="0"/>
              <w:rPr>
                <w:sz w:val="20"/>
                <w:szCs w:val="20"/>
                <w:color w:val="auto"/>
              </w:rPr>
            </w:pPr>
            <w:r>
              <w:rPr>
                <w:rFonts w:ascii="Arial" w:cs="Arial" w:eastAsia="Arial" w:hAnsi="Arial"/>
                <w:sz w:val="18"/>
                <w:szCs w:val="18"/>
                <w:b w:val="1"/>
                <w:bCs w:val="1"/>
                <w:color w:val="auto"/>
              </w:rPr>
              <w:t>Commitment</w:t>
            </w:r>
          </w:p>
        </w:tc>
        <w:tc>
          <w:tcPr>
            <w:tcW w:w="8800" w:type="dxa"/>
            <w:vAlign w:val="bottom"/>
          </w:tcPr>
          <w:p>
            <w:pPr>
              <w:ind w:left="80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 (Base</w:t>
            </w:r>
          </w:p>
        </w:tc>
      </w:tr>
      <w:tr>
        <w:trPr>
          <w:trHeight w:val="239"/>
        </w:trPr>
        <w:tc>
          <w:tcPr>
            <w:tcW w:w="2480" w:type="dxa"/>
            <w:vAlign w:val="bottom"/>
          </w:tcPr>
          <w:p>
            <w:pPr>
              <w:spacing w:after="0"/>
              <w:rPr>
                <w:sz w:val="20"/>
                <w:szCs w:val="20"/>
                <w:color w:val="auto"/>
              </w:rPr>
            </w:pPr>
          </w:p>
        </w:tc>
        <w:tc>
          <w:tcPr>
            <w:tcW w:w="8800" w:type="dxa"/>
            <w:vAlign w:val="bottom"/>
          </w:tcPr>
          <w:p>
            <w:pPr>
              <w:ind w:left="800"/>
              <w:spacing w:after="0"/>
              <w:rPr>
                <w:sz w:val="20"/>
                <w:szCs w:val="20"/>
                <w:color w:val="auto"/>
              </w:rPr>
            </w:pPr>
            <w:r>
              <w:rPr>
                <w:rFonts w:ascii="Arial" w:cs="Arial" w:eastAsia="Arial" w:hAnsi="Arial"/>
                <w:sz w:val="18"/>
                <w:szCs w:val="18"/>
                <w:b w:val="1"/>
                <w:bCs w:val="1"/>
                <w:color w:val="auto"/>
              </w:rPr>
              <w:t>Currency)</w:t>
            </w:r>
          </w:p>
        </w:tc>
      </w:tr>
      <w:tr>
        <w:trPr>
          <w:trHeight w:val="405"/>
        </w:trPr>
        <w:tc>
          <w:tcPr>
            <w:tcW w:w="2480" w:type="dxa"/>
            <w:vAlign w:val="bottom"/>
          </w:tcPr>
          <w:p>
            <w:pPr>
              <w:ind w:left="580"/>
              <w:spacing w:after="0"/>
              <w:rPr>
                <w:sz w:val="20"/>
                <w:szCs w:val="20"/>
                <w:color w:val="auto"/>
              </w:rPr>
            </w:pPr>
            <w:r>
              <w:rPr>
                <w:rFonts w:ascii="Arial" w:cs="Arial" w:eastAsia="Arial" w:hAnsi="Arial"/>
                <w:sz w:val="18"/>
                <w:szCs w:val="18"/>
                <w:color w:val="auto"/>
              </w:rPr>
              <w:t>[·]</w:t>
            </w:r>
          </w:p>
        </w:tc>
        <w:tc>
          <w:tcPr>
            <w:tcW w:w="8800" w:type="dxa"/>
            <w:vAlign w:val="bottom"/>
          </w:tcPr>
          <w:p>
            <w:pPr>
              <w:ind w:left="80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tc>
      </w:tr>
      <w:tr>
        <w:trPr>
          <w:trHeight w:val="850"/>
        </w:trPr>
        <w:tc>
          <w:tcPr>
            <w:tcW w:w="2480" w:type="dxa"/>
            <w:vAlign w:val="bottom"/>
          </w:tcPr>
          <w:p>
            <w:pPr>
              <w:spacing w:after="0"/>
              <w:rPr>
                <w:sz w:val="20"/>
                <w:szCs w:val="20"/>
                <w:color w:val="auto"/>
              </w:rPr>
            </w:pPr>
            <w:r>
              <w:rPr>
                <w:rFonts w:ascii="Arial" w:cs="Arial" w:eastAsia="Arial" w:hAnsi="Arial"/>
                <w:sz w:val="18"/>
                <w:szCs w:val="18"/>
                <w:color w:val="auto"/>
              </w:rPr>
              <w:t>[Lender]</w:t>
            </w:r>
          </w:p>
        </w:tc>
        <w:tc>
          <w:tcPr>
            <w:tcW w:w="8800" w:type="dxa"/>
            <w:vAlign w:val="bottom"/>
          </w:tcPr>
          <w:p>
            <w:pPr>
              <w:spacing w:after="0"/>
              <w:rPr>
                <w:sz w:val="24"/>
                <w:szCs w:val="24"/>
                <w:color w:val="auto"/>
              </w:rPr>
            </w:pPr>
          </w:p>
        </w:tc>
      </w:tr>
      <w:tr>
        <w:trPr>
          <w:trHeight w:val="419"/>
        </w:trPr>
        <w:tc>
          <w:tcPr>
            <w:tcW w:w="2480" w:type="dxa"/>
            <w:vAlign w:val="bottom"/>
          </w:tcPr>
          <w:p>
            <w:pPr>
              <w:spacing w:after="0"/>
              <w:rPr>
                <w:sz w:val="24"/>
                <w:szCs w:val="24"/>
                <w:color w:val="auto"/>
              </w:rPr>
            </w:pPr>
          </w:p>
        </w:tc>
        <w:tc>
          <w:tcPr>
            <w:tcW w:w="8800" w:type="dxa"/>
            <w:vAlign w:val="bottom"/>
          </w:tcPr>
          <w:p>
            <w:pPr>
              <w:ind w:left="3140"/>
              <w:spacing w:after="0"/>
              <w:rPr>
                <w:sz w:val="20"/>
                <w:szCs w:val="20"/>
                <w:color w:val="auto"/>
              </w:rPr>
            </w:pPr>
            <w:r>
              <w:rPr>
                <w:rFonts w:ascii="Arial" w:cs="Arial" w:eastAsia="Arial" w:hAnsi="Arial"/>
                <w:sz w:val="18"/>
                <w:szCs w:val="18"/>
                <w:color w:val="auto"/>
              </w:rPr>
              <w:t>By:</w:t>
            </w:r>
          </w:p>
        </w:tc>
      </w:tr>
      <w:tr>
        <w:trPr>
          <w:trHeight w:val="418"/>
        </w:trPr>
        <w:tc>
          <w:tcPr>
            <w:tcW w:w="2480" w:type="dxa"/>
            <w:vAlign w:val="bottom"/>
          </w:tcPr>
          <w:p>
            <w:pPr>
              <w:spacing w:after="0"/>
              <w:rPr>
                <w:sz w:val="24"/>
                <w:szCs w:val="24"/>
                <w:color w:val="auto"/>
              </w:rPr>
            </w:pPr>
          </w:p>
        </w:tc>
        <w:tc>
          <w:tcPr>
            <w:tcW w:w="8800" w:type="dxa"/>
            <w:vAlign w:val="bottom"/>
          </w:tcPr>
          <w:p>
            <w:pPr>
              <w:ind w:left="3000"/>
              <w:spacing w:after="0"/>
              <w:rPr>
                <w:sz w:val="20"/>
                <w:szCs w:val="20"/>
                <w:color w:val="auto"/>
              </w:rPr>
            </w:pPr>
            <w:r>
              <w:rPr>
                <w:rFonts w:ascii="Arial" w:cs="Arial" w:eastAsia="Arial" w:hAnsi="Arial"/>
                <w:sz w:val="18"/>
                <w:szCs w:val="18"/>
                <w:color w:val="auto"/>
              </w:rPr>
              <w:t>189</w:t>
            </w:r>
          </w:p>
        </w:tc>
      </w:tr>
      <w:tr>
        <w:trPr>
          <w:trHeight w:val="118"/>
        </w:trPr>
        <w:tc>
          <w:tcPr>
            <w:tcW w:w="2480" w:type="dxa"/>
            <w:vAlign w:val="bottom"/>
            <w:tcBorders>
              <w:bottom w:val="single" w:sz="8" w:color="808080"/>
            </w:tcBorders>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5640" w:type="dxa"/>
            <w:vAlign w:val="bottom"/>
            <w:gridSpan w:val="2"/>
          </w:tcPr>
          <w:p>
            <w:pPr>
              <w:jc w:val="center"/>
              <w:ind w:left="2390"/>
              <w:spacing w:after="0"/>
              <w:rPr>
                <w:sz w:val="20"/>
                <w:szCs w:val="20"/>
                <w:color w:val="auto"/>
              </w:rPr>
            </w:pPr>
            <w:r>
              <w:rPr>
                <w:rFonts w:ascii="Arial" w:cs="Arial" w:eastAsia="Arial" w:hAnsi="Arial"/>
                <w:sz w:val="18"/>
                <w:szCs w:val="18"/>
                <w:b w:val="1"/>
                <w:bCs w:val="1"/>
                <w:color w:val="auto"/>
              </w:rPr>
              <w:t>Schedule 9</w:t>
            </w:r>
          </w:p>
        </w:tc>
        <w:tc>
          <w:tcPr>
            <w:tcW w:w="25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9"/>
        </w:trPr>
        <w:tc>
          <w:tcPr>
            <w:tcW w:w="1560" w:type="dxa"/>
            <w:vAlign w:val="bottom"/>
          </w:tcPr>
          <w:p>
            <w:pPr>
              <w:spacing w:after="0"/>
              <w:rPr>
                <w:sz w:val="20"/>
                <w:szCs w:val="20"/>
                <w:color w:val="auto"/>
              </w:rPr>
            </w:pPr>
          </w:p>
        </w:tc>
        <w:tc>
          <w:tcPr>
            <w:tcW w:w="5640" w:type="dxa"/>
            <w:vAlign w:val="bottom"/>
            <w:gridSpan w:val="2"/>
          </w:tcPr>
          <w:p>
            <w:pPr>
              <w:jc w:val="center"/>
              <w:ind w:left="2410"/>
              <w:spacing w:after="0"/>
              <w:rPr>
                <w:sz w:val="20"/>
                <w:szCs w:val="20"/>
                <w:color w:val="auto"/>
              </w:rPr>
            </w:pPr>
            <w:r>
              <w:rPr>
                <w:rFonts w:ascii="Arial" w:cs="Arial" w:eastAsia="Arial" w:hAnsi="Arial"/>
                <w:sz w:val="18"/>
                <w:szCs w:val="18"/>
                <w:b w:val="1"/>
                <w:bCs w:val="1"/>
                <w:color w:val="auto"/>
                <w:w w:val="99"/>
              </w:rPr>
              <w:t>Table of Repayment Instalments</w:t>
            </w:r>
          </w:p>
        </w:tc>
        <w:tc>
          <w:tcPr>
            <w:tcW w:w="25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8"/>
        </w:trPr>
        <w:tc>
          <w:tcPr>
            <w:tcW w:w="1560" w:type="dxa"/>
            <w:vAlign w:val="bottom"/>
          </w:tcPr>
          <w:p>
            <w:pPr>
              <w:spacing w:after="0"/>
              <w:rPr>
                <w:sz w:val="24"/>
                <w:szCs w:val="24"/>
                <w:color w:val="auto"/>
              </w:rPr>
            </w:pPr>
          </w:p>
        </w:tc>
        <w:tc>
          <w:tcPr>
            <w:tcW w:w="5640" w:type="dxa"/>
            <w:vAlign w:val="bottom"/>
            <w:gridSpan w:val="2"/>
          </w:tcPr>
          <w:p>
            <w:pPr>
              <w:jc w:val="center"/>
              <w:ind w:left="2390"/>
              <w:spacing w:after="0"/>
              <w:rPr>
                <w:sz w:val="20"/>
                <w:szCs w:val="20"/>
                <w:color w:val="auto"/>
              </w:rPr>
            </w:pPr>
            <w:r>
              <w:rPr>
                <w:rFonts w:ascii="Arial" w:cs="Arial" w:eastAsia="Arial" w:hAnsi="Arial"/>
                <w:sz w:val="18"/>
                <w:szCs w:val="18"/>
                <w:b w:val="1"/>
                <w:bCs w:val="1"/>
                <w:color w:val="auto"/>
                <w:w w:val="98"/>
              </w:rPr>
              <w:t>Ship A</w:t>
            </w:r>
          </w:p>
        </w:tc>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1560" w:type="dxa"/>
            <w:vAlign w:val="bottom"/>
          </w:tcPr>
          <w:p>
            <w:pPr>
              <w:spacing w:after="0"/>
              <w:rPr>
                <w:sz w:val="17"/>
                <w:szCs w:val="17"/>
                <w:color w:val="auto"/>
              </w:rPr>
            </w:pPr>
          </w:p>
        </w:tc>
        <w:tc>
          <w:tcPr>
            <w:tcW w:w="4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336"/>
        </w:trPr>
        <w:tc>
          <w:tcPr>
            <w:tcW w:w="1560" w:type="dxa"/>
            <w:vAlign w:val="bottom"/>
            <w:tcBorders>
              <w:right w:val="single" w:sz="8" w:color="auto"/>
            </w:tcBorders>
          </w:tcPr>
          <w:p>
            <w:pPr>
              <w:spacing w:after="0"/>
              <w:rPr>
                <w:sz w:val="24"/>
                <w:szCs w:val="24"/>
                <w:color w:val="auto"/>
              </w:rPr>
            </w:pPr>
          </w:p>
        </w:tc>
        <w:tc>
          <w:tcPr>
            <w:tcW w:w="4500" w:type="dxa"/>
            <w:vAlign w:val="bottom"/>
            <w:tcBorders>
              <w:bottom w:val="single" w:sz="8" w:color="DFDFDF"/>
              <w:right w:val="single" w:sz="8" w:color="auto"/>
            </w:tcBorders>
            <w:shd w:val="clear" w:color="auto" w:fill="DFDFDF"/>
          </w:tcPr>
          <w:p>
            <w:pPr>
              <w:jc w:val="center"/>
              <w:spacing w:after="0"/>
              <w:rPr>
                <w:sz w:val="20"/>
                <w:szCs w:val="20"/>
                <w:color w:val="auto"/>
              </w:rPr>
            </w:pPr>
            <w:r>
              <w:rPr>
                <w:rFonts w:ascii="Arial" w:cs="Arial" w:eastAsia="Arial" w:hAnsi="Arial"/>
                <w:sz w:val="18"/>
                <w:szCs w:val="18"/>
                <w:b w:val="1"/>
                <w:bCs w:val="1"/>
                <w:color w:val="auto"/>
                <w:w w:val="97"/>
              </w:rPr>
              <w:t>Term Loan</w:t>
            </w:r>
          </w:p>
        </w:tc>
        <w:tc>
          <w:tcPr>
            <w:tcW w:w="1140" w:type="dxa"/>
            <w:vAlign w:val="bottom"/>
            <w:tcBorders>
              <w:bottom w:val="single" w:sz="8" w:color="DFDFDF"/>
            </w:tcBorders>
            <w:shd w:val="clear" w:color="auto" w:fill="DFDFDF"/>
          </w:tcPr>
          <w:p>
            <w:pPr>
              <w:spacing w:after="0"/>
              <w:rPr>
                <w:sz w:val="24"/>
                <w:szCs w:val="24"/>
                <w:color w:val="auto"/>
              </w:rPr>
            </w:pPr>
          </w:p>
        </w:tc>
        <w:tc>
          <w:tcPr>
            <w:tcW w:w="2540" w:type="dxa"/>
            <w:vAlign w:val="bottom"/>
            <w:tcBorders>
              <w:bottom w:val="single" w:sz="8" w:color="DFDFDF"/>
              <w:right w:val="single" w:sz="8" w:color="auto"/>
            </w:tcBorders>
            <w:shd w:val="clear" w:color="auto" w:fill="DFDFDF"/>
          </w:tcPr>
          <w:p>
            <w:pPr>
              <w:ind w:left="200"/>
              <w:spacing w:after="0"/>
              <w:rPr>
                <w:sz w:val="20"/>
                <w:szCs w:val="20"/>
                <w:color w:val="auto"/>
              </w:rPr>
            </w:pPr>
            <w:r>
              <w:rPr>
                <w:rFonts w:ascii="Arial" w:cs="Arial" w:eastAsia="Arial" w:hAnsi="Arial"/>
                <w:sz w:val="18"/>
                <w:szCs w:val="18"/>
                <w:b w:val="1"/>
                <w:bCs w:val="1"/>
                <w:color w:val="auto"/>
              </w:rPr>
              <w:t>Amount ($)</w:t>
            </w:r>
          </w:p>
        </w:tc>
        <w:tc>
          <w:tcPr>
            <w:tcW w:w="1540" w:type="dxa"/>
            <w:vAlign w:val="bottom"/>
          </w:tcPr>
          <w:p>
            <w:pPr>
              <w:spacing w:after="0"/>
              <w:rPr>
                <w:sz w:val="24"/>
                <w:szCs w:val="24"/>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First</w:t>
            </w:r>
          </w:p>
        </w:tc>
        <w:tc>
          <w:tcPr>
            <w:tcW w:w="1140" w:type="dxa"/>
            <w:vAlign w:val="bottom"/>
            <w:tcBorders>
              <w:top w:val="single" w:sz="8" w:color="auto"/>
            </w:tcBorders>
          </w:tcPr>
          <w:p>
            <w:pPr>
              <w:spacing w:after="0"/>
              <w:rPr>
                <w:sz w:val="18"/>
                <w:szCs w:val="18"/>
                <w:color w:val="auto"/>
              </w:rPr>
            </w:pPr>
          </w:p>
        </w:tc>
        <w:tc>
          <w:tcPr>
            <w:tcW w:w="2540" w:type="dxa"/>
            <w:vAlign w:val="bottom"/>
            <w:tcBorders>
              <w:top w:val="single" w:sz="8" w:color="auto"/>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3,535,531</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Second</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Third</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Fourth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Fifth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Sixth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Seventh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Eighth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Ninth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Eleventh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Twelfth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Thirteenth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Fourteenth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Fifteenth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Sixteenth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Seventeenth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Eighteenth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090"/>
              <w:spacing w:after="0"/>
              <w:rPr>
                <w:sz w:val="20"/>
                <w:szCs w:val="20"/>
                <w:color w:val="auto"/>
              </w:rPr>
            </w:pPr>
            <w:r>
              <w:rPr>
                <w:rFonts w:ascii="Arial" w:cs="Arial" w:eastAsia="Arial" w:hAnsi="Arial"/>
                <w:sz w:val="18"/>
                <w:szCs w:val="18"/>
                <w:color w:val="auto"/>
                <w:w w:val="99"/>
              </w:rPr>
              <w:t>1,767,765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Nineteenth</w:t>
            </w:r>
          </w:p>
        </w:tc>
        <w:tc>
          <w:tcPr>
            <w:tcW w:w="1140" w:type="dxa"/>
            <w:vAlign w:val="bottom"/>
          </w:tcPr>
          <w:p>
            <w:pPr>
              <w:spacing w:after="0"/>
              <w:rPr>
                <w:sz w:val="18"/>
                <w:szCs w:val="18"/>
                <w:color w:val="auto"/>
              </w:rPr>
            </w:pPr>
          </w:p>
        </w:tc>
        <w:tc>
          <w:tcPr>
            <w:tcW w:w="2540" w:type="dxa"/>
            <w:vAlign w:val="bottom"/>
            <w:tcBorders>
              <w:right w:val="single" w:sz="8" w:color="auto"/>
            </w:tcBorders>
          </w:tcPr>
          <w:p>
            <w:pPr>
              <w:jc w:val="center"/>
              <w:ind w:right="1110"/>
              <w:spacing w:after="0"/>
              <w:rPr>
                <w:sz w:val="20"/>
                <w:szCs w:val="20"/>
                <w:color w:val="auto"/>
              </w:rPr>
            </w:pPr>
            <w:r>
              <w:rPr>
                <w:rFonts w:ascii="Arial" w:cs="Arial" w:eastAsia="Arial" w:hAnsi="Arial"/>
                <w:sz w:val="18"/>
                <w:szCs w:val="18"/>
                <w:color w:val="auto"/>
                <w:w w:val="99"/>
              </w:rPr>
              <w:t>50,202,464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45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426"/>
        </w:trPr>
        <w:tc>
          <w:tcPr>
            <w:tcW w:w="1560" w:type="dxa"/>
            <w:vAlign w:val="bottom"/>
          </w:tcPr>
          <w:p>
            <w:pPr>
              <w:spacing w:after="0"/>
              <w:rPr>
                <w:sz w:val="24"/>
                <w:szCs w:val="24"/>
                <w:color w:val="auto"/>
              </w:rPr>
            </w:pPr>
          </w:p>
        </w:tc>
        <w:tc>
          <w:tcPr>
            <w:tcW w:w="4500" w:type="dxa"/>
            <w:vAlign w:val="bottom"/>
          </w:tcPr>
          <w:p>
            <w:pPr>
              <w:jc w:val="center"/>
              <w:ind w:left="3550"/>
              <w:spacing w:after="0"/>
              <w:rPr>
                <w:sz w:val="20"/>
                <w:szCs w:val="20"/>
                <w:color w:val="auto"/>
              </w:rPr>
            </w:pPr>
            <w:r>
              <w:rPr>
                <w:rFonts w:ascii="Arial" w:cs="Arial" w:eastAsia="Arial" w:hAnsi="Arial"/>
                <w:sz w:val="18"/>
                <w:szCs w:val="18"/>
                <w:color w:val="auto"/>
                <w:w w:val="99"/>
              </w:rPr>
              <w:t>190</w:t>
            </w:r>
          </w:p>
        </w:tc>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2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w w:val="98"/>
              </w:rPr>
              <w:t>Ship B</w:t>
            </w:r>
          </w:p>
        </w:tc>
        <w:tc>
          <w:tcPr>
            <w:tcW w:w="1540" w:type="dxa"/>
            <w:vAlign w:val="bottom"/>
          </w:tcPr>
          <w:p>
            <w:pPr>
              <w:spacing w:after="0"/>
              <w:rPr>
                <w:sz w:val="20"/>
                <w:szCs w:val="20"/>
                <w:color w:val="auto"/>
              </w:rPr>
            </w:pPr>
          </w:p>
        </w:tc>
      </w:tr>
      <w:tr>
        <w:trPr>
          <w:trHeight w:val="203"/>
        </w:trPr>
        <w:tc>
          <w:tcPr>
            <w:tcW w:w="1560" w:type="dxa"/>
            <w:vAlign w:val="bottom"/>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336"/>
        </w:trPr>
        <w:tc>
          <w:tcPr>
            <w:tcW w:w="1560" w:type="dxa"/>
            <w:vAlign w:val="bottom"/>
            <w:tcBorders>
              <w:right w:val="single" w:sz="8" w:color="auto"/>
            </w:tcBorders>
          </w:tcPr>
          <w:p>
            <w:pPr>
              <w:spacing w:after="0"/>
              <w:rPr>
                <w:sz w:val="24"/>
                <w:szCs w:val="24"/>
                <w:color w:val="auto"/>
              </w:rPr>
            </w:pPr>
          </w:p>
        </w:tc>
        <w:tc>
          <w:tcPr>
            <w:tcW w:w="3260" w:type="dxa"/>
            <w:vAlign w:val="bottom"/>
            <w:tcBorders>
              <w:bottom w:val="single" w:sz="8" w:color="DFDFDF"/>
            </w:tcBorders>
            <w:shd w:val="clear" w:color="auto" w:fill="DFDFDF"/>
          </w:tcPr>
          <w:p>
            <w:pPr>
              <w:jc w:val="center"/>
              <w:ind w:left="1110"/>
              <w:spacing w:after="0"/>
              <w:rPr>
                <w:sz w:val="20"/>
                <w:szCs w:val="20"/>
                <w:color w:val="auto"/>
              </w:rPr>
            </w:pPr>
            <w:r>
              <w:rPr>
                <w:rFonts w:ascii="Arial" w:cs="Arial" w:eastAsia="Arial" w:hAnsi="Arial"/>
                <w:sz w:val="18"/>
                <w:szCs w:val="18"/>
                <w:b w:val="1"/>
                <w:bCs w:val="1"/>
                <w:color w:val="auto"/>
                <w:w w:val="97"/>
              </w:rPr>
              <w:t>Term Loan</w:t>
            </w:r>
          </w:p>
        </w:tc>
        <w:tc>
          <w:tcPr>
            <w:tcW w:w="1240" w:type="dxa"/>
            <w:vAlign w:val="bottom"/>
            <w:tcBorders>
              <w:bottom w:val="single" w:sz="8" w:color="DFDFDF"/>
              <w:right w:val="single" w:sz="8" w:color="auto"/>
            </w:tcBorders>
            <w:shd w:val="clear" w:color="auto" w:fill="DFDFDF"/>
          </w:tcPr>
          <w:p>
            <w:pPr>
              <w:spacing w:after="0"/>
              <w:rPr>
                <w:sz w:val="24"/>
                <w:szCs w:val="24"/>
                <w:color w:val="auto"/>
              </w:rPr>
            </w:pPr>
          </w:p>
        </w:tc>
        <w:tc>
          <w:tcPr>
            <w:tcW w:w="3680" w:type="dxa"/>
            <w:vAlign w:val="bottom"/>
            <w:tcBorders>
              <w:bottom w:val="single" w:sz="8" w:color="DFDFDF"/>
              <w:right w:val="single" w:sz="8" w:color="auto"/>
            </w:tcBorders>
            <w:shd w:val="clear" w:color="auto" w:fill="DFDFDF"/>
          </w:tcPr>
          <w:p>
            <w:pPr>
              <w:ind w:left="1340"/>
              <w:spacing w:after="0"/>
              <w:rPr>
                <w:sz w:val="20"/>
                <w:szCs w:val="20"/>
                <w:color w:val="auto"/>
              </w:rPr>
            </w:pPr>
            <w:r>
              <w:rPr>
                <w:rFonts w:ascii="Arial" w:cs="Arial" w:eastAsia="Arial" w:hAnsi="Arial"/>
                <w:sz w:val="18"/>
                <w:szCs w:val="18"/>
                <w:b w:val="1"/>
                <w:bCs w:val="1"/>
                <w:color w:val="auto"/>
              </w:rPr>
              <w:t>Amount ($)</w:t>
            </w:r>
          </w:p>
        </w:tc>
        <w:tc>
          <w:tcPr>
            <w:tcW w:w="1540" w:type="dxa"/>
            <w:vAlign w:val="bottom"/>
          </w:tcPr>
          <w:p>
            <w:pPr>
              <w:spacing w:after="0"/>
              <w:rPr>
                <w:sz w:val="24"/>
                <w:szCs w:val="24"/>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7"/>
              </w:rPr>
              <w:t>First</w:t>
            </w:r>
          </w:p>
        </w:tc>
        <w:tc>
          <w:tcPr>
            <w:tcW w:w="1240" w:type="dxa"/>
            <w:vAlign w:val="bottom"/>
            <w:tcBorders>
              <w:top w:val="single" w:sz="8" w:color="auto"/>
              <w:right w:val="single" w:sz="8" w:color="auto"/>
            </w:tcBorders>
          </w:tcPr>
          <w:p>
            <w:pPr>
              <w:spacing w:after="0"/>
              <w:rPr>
                <w:sz w:val="18"/>
                <w:szCs w:val="18"/>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3,523,006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Second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Fourth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6"/>
              </w:rPr>
              <w:t>Fifth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Sixth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Seventh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7"/>
              </w:rPr>
              <w:t>Eighth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Ninth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5"/>
              </w:rPr>
              <w:t>Tenth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Eleventh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Twelfth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Fourteenth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Fifteenth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Sixteenth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Seventeenth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Eighteenth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1,761,503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Nineteenth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51,033,943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425"/>
        </w:trPr>
        <w:tc>
          <w:tcPr>
            <w:tcW w:w="1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191</w:t>
            </w: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2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w w:val="98"/>
              </w:rPr>
              <w:t>Ship C</w:t>
            </w:r>
          </w:p>
        </w:tc>
        <w:tc>
          <w:tcPr>
            <w:tcW w:w="1540" w:type="dxa"/>
            <w:vAlign w:val="bottom"/>
          </w:tcPr>
          <w:p>
            <w:pPr>
              <w:spacing w:after="0"/>
              <w:rPr>
                <w:sz w:val="20"/>
                <w:szCs w:val="20"/>
                <w:color w:val="auto"/>
              </w:rPr>
            </w:pPr>
          </w:p>
        </w:tc>
      </w:tr>
      <w:tr>
        <w:trPr>
          <w:trHeight w:val="203"/>
        </w:trPr>
        <w:tc>
          <w:tcPr>
            <w:tcW w:w="1560" w:type="dxa"/>
            <w:vAlign w:val="bottom"/>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336"/>
        </w:trPr>
        <w:tc>
          <w:tcPr>
            <w:tcW w:w="1560" w:type="dxa"/>
            <w:vAlign w:val="bottom"/>
            <w:tcBorders>
              <w:right w:val="single" w:sz="8" w:color="auto"/>
            </w:tcBorders>
          </w:tcPr>
          <w:p>
            <w:pPr>
              <w:spacing w:after="0"/>
              <w:rPr>
                <w:sz w:val="24"/>
                <w:szCs w:val="24"/>
                <w:color w:val="auto"/>
              </w:rPr>
            </w:pPr>
          </w:p>
        </w:tc>
        <w:tc>
          <w:tcPr>
            <w:tcW w:w="3260" w:type="dxa"/>
            <w:vAlign w:val="bottom"/>
            <w:tcBorders>
              <w:bottom w:val="single" w:sz="8" w:color="DFDFDF"/>
            </w:tcBorders>
            <w:shd w:val="clear" w:color="auto" w:fill="DFDFDF"/>
          </w:tcPr>
          <w:p>
            <w:pPr>
              <w:jc w:val="center"/>
              <w:ind w:left="1110"/>
              <w:spacing w:after="0"/>
              <w:rPr>
                <w:sz w:val="20"/>
                <w:szCs w:val="20"/>
                <w:color w:val="auto"/>
              </w:rPr>
            </w:pPr>
            <w:r>
              <w:rPr>
                <w:rFonts w:ascii="Arial" w:cs="Arial" w:eastAsia="Arial" w:hAnsi="Arial"/>
                <w:sz w:val="18"/>
                <w:szCs w:val="18"/>
                <w:b w:val="1"/>
                <w:bCs w:val="1"/>
                <w:color w:val="auto"/>
                <w:w w:val="97"/>
              </w:rPr>
              <w:t>Term Loan</w:t>
            </w:r>
          </w:p>
        </w:tc>
        <w:tc>
          <w:tcPr>
            <w:tcW w:w="1240" w:type="dxa"/>
            <w:vAlign w:val="bottom"/>
            <w:tcBorders>
              <w:bottom w:val="single" w:sz="8" w:color="DFDFDF"/>
              <w:right w:val="single" w:sz="8" w:color="auto"/>
            </w:tcBorders>
            <w:shd w:val="clear" w:color="auto" w:fill="DFDFDF"/>
          </w:tcPr>
          <w:p>
            <w:pPr>
              <w:spacing w:after="0"/>
              <w:rPr>
                <w:sz w:val="24"/>
                <w:szCs w:val="24"/>
                <w:color w:val="auto"/>
              </w:rPr>
            </w:pPr>
          </w:p>
        </w:tc>
        <w:tc>
          <w:tcPr>
            <w:tcW w:w="3680" w:type="dxa"/>
            <w:vAlign w:val="bottom"/>
            <w:tcBorders>
              <w:bottom w:val="single" w:sz="8" w:color="DFDFDF"/>
              <w:right w:val="single" w:sz="8" w:color="auto"/>
            </w:tcBorders>
            <w:shd w:val="clear" w:color="auto" w:fill="DFDFDF"/>
          </w:tcPr>
          <w:p>
            <w:pPr>
              <w:ind w:left="1340"/>
              <w:spacing w:after="0"/>
              <w:rPr>
                <w:sz w:val="20"/>
                <w:szCs w:val="20"/>
                <w:color w:val="auto"/>
              </w:rPr>
            </w:pPr>
            <w:r>
              <w:rPr>
                <w:rFonts w:ascii="Arial" w:cs="Arial" w:eastAsia="Arial" w:hAnsi="Arial"/>
                <w:sz w:val="18"/>
                <w:szCs w:val="18"/>
                <w:b w:val="1"/>
                <w:bCs w:val="1"/>
                <w:color w:val="auto"/>
              </w:rPr>
              <w:t>Amount ($)</w:t>
            </w:r>
          </w:p>
        </w:tc>
        <w:tc>
          <w:tcPr>
            <w:tcW w:w="1540" w:type="dxa"/>
            <w:vAlign w:val="bottom"/>
          </w:tcPr>
          <w:p>
            <w:pPr>
              <w:spacing w:after="0"/>
              <w:rPr>
                <w:sz w:val="24"/>
                <w:szCs w:val="24"/>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7"/>
              </w:rPr>
              <w:t>First</w:t>
            </w:r>
          </w:p>
        </w:tc>
        <w:tc>
          <w:tcPr>
            <w:tcW w:w="1240" w:type="dxa"/>
            <w:vAlign w:val="bottom"/>
            <w:tcBorders>
              <w:top w:val="single" w:sz="8" w:color="auto"/>
              <w:right w:val="single" w:sz="8" w:color="auto"/>
            </w:tcBorders>
          </w:tcPr>
          <w:p>
            <w:pPr>
              <w:spacing w:after="0"/>
              <w:rPr>
                <w:sz w:val="18"/>
                <w:szCs w:val="18"/>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3,291,833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Second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Fourth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6"/>
              </w:rPr>
              <w:t>Fifth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Sixth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Seventh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7"/>
              </w:rPr>
              <w:t>Eighth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Ninth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5"/>
              </w:rPr>
              <w:t>Tenth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Eleventh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Twelfth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Fourteenth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Fifteenth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Sixteenth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Seventeenth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Eighteenth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1,645,917</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Nineteenth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64,630,078</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425"/>
        </w:trPr>
        <w:tc>
          <w:tcPr>
            <w:tcW w:w="1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192</w:t>
            </w: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2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w w:val="98"/>
              </w:rPr>
              <w:t>Ship D</w:t>
            </w:r>
          </w:p>
        </w:tc>
        <w:tc>
          <w:tcPr>
            <w:tcW w:w="1540" w:type="dxa"/>
            <w:vAlign w:val="bottom"/>
          </w:tcPr>
          <w:p>
            <w:pPr>
              <w:spacing w:after="0"/>
              <w:rPr>
                <w:sz w:val="20"/>
                <w:szCs w:val="20"/>
                <w:color w:val="auto"/>
              </w:rPr>
            </w:pPr>
          </w:p>
        </w:tc>
      </w:tr>
      <w:tr>
        <w:trPr>
          <w:trHeight w:val="203"/>
        </w:trPr>
        <w:tc>
          <w:tcPr>
            <w:tcW w:w="1560" w:type="dxa"/>
            <w:vAlign w:val="bottom"/>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336"/>
        </w:trPr>
        <w:tc>
          <w:tcPr>
            <w:tcW w:w="1560" w:type="dxa"/>
            <w:vAlign w:val="bottom"/>
            <w:tcBorders>
              <w:right w:val="single" w:sz="8" w:color="auto"/>
            </w:tcBorders>
          </w:tcPr>
          <w:p>
            <w:pPr>
              <w:spacing w:after="0"/>
              <w:rPr>
                <w:sz w:val="24"/>
                <w:szCs w:val="24"/>
                <w:color w:val="auto"/>
              </w:rPr>
            </w:pPr>
          </w:p>
        </w:tc>
        <w:tc>
          <w:tcPr>
            <w:tcW w:w="3260" w:type="dxa"/>
            <w:vAlign w:val="bottom"/>
            <w:tcBorders>
              <w:bottom w:val="single" w:sz="8" w:color="DFDFDF"/>
            </w:tcBorders>
            <w:shd w:val="clear" w:color="auto" w:fill="DFDFDF"/>
          </w:tcPr>
          <w:p>
            <w:pPr>
              <w:jc w:val="center"/>
              <w:ind w:left="1110"/>
              <w:spacing w:after="0"/>
              <w:rPr>
                <w:sz w:val="20"/>
                <w:szCs w:val="20"/>
                <w:color w:val="auto"/>
              </w:rPr>
            </w:pPr>
            <w:r>
              <w:rPr>
                <w:rFonts w:ascii="Arial" w:cs="Arial" w:eastAsia="Arial" w:hAnsi="Arial"/>
                <w:sz w:val="18"/>
                <w:szCs w:val="18"/>
                <w:b w:val="1"/>
                <w:bCs w:val="1"/>
                <w:color w:val="auto"/>
                <w:w w:val="97"/>
              </w:rPr>
              <w:t>Term Loan</w:t>
            </w:r>
          </w:p>
        </w:tc>
        <w:tc>
          <w:tcPr>
            <w:tcW w:w="1240" w:type="dxa"/>
            <w:vAlign w:val="bottom"/>
            <w:tcBorders>
              <w:bottom w:val="single" w:sz="8" w:color="DFDFDF"/>
              <w:right w:val="single" w:sz="8" w:color="auto"/>
            </w:tcBorders>
            <w:shd w:val="clear" w:color="auto" w:fill="DFDFDF"/>
          </w:tcPr>
          <w:p>
            <w:pPr>
              <w:spacing w:after="0"/>
              <w:rPr>
                <w:sz w:val="24"/>
                <w:szCs w:val="24"/>
                <w:color w:val="auto"/>
              </w:rPr>
            </w:pPr>
          </w:p>
        </w:tc>
        <w:tc>
          <w:tcPr>
            <w:tcW w:w="3680" w:type="dxa"/>
            <w:vAlign w:val="bottom"/>
            <w:tcBorders>
              <w:bottom w:val="single" w:sz="8" w:color="DFDFDF"/>
              <w:right w:val="single" w:sz="8" w:color="auto"/>
            </w:tcBorders>
            <w:shd w:val="clear" w:color="auto" w:fill="DFDFDF"/>
          </w:tcPr>
          <w:p>
            <w:pPr>
              <w:ind w:left="1340"/>
              <w:spacing w:after="0"/>
              <w:rPr>
                <w:sz w:val="20"/>
                <w:szCs w:val="20"/>
                <w:color w:val="auto"/>
              </w:rPr>
            </w:pPr>
            <w:r>
              <w:rPr>
                <w:rFonts w:ascii="Arial" w:cs="Arial" w:eastAsia="Arial" w:hAnsi="Arial"/>
                <w:sz w:val="18"/>
                <w:szCs w:val="18"/>
                <w:b w:val="1"/>
                <w:bCs w:val="1"/>
                <w:color w:val="auto"/>
              </w:rPr>
              <w:t>Amount ($)</w:t>
            </w:r>
          </w:p>
        </w:tc>
        <w:tc>
          <w:tcPr>
            <w:tcW w:w="1540" w:type="dxa"/>
            <w:vAlign w:val="bottom"/>
          </w:tcPr>
          <w:p>
            <w:pPr>
              <w:spacing w:after="0"/>
              <w:rPr>
                <w:sz w:val="24"/>
                <w:szCs w:val="24"/>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7"/>
              </w:rPr>
              <w:t>First</w:t>
            </w:r>
          </w:p>
        </w:tc>
        <w:tc>
          <w:tcPr>
            <w:tcW w:w="1240" w:type="dxa"/>
            <w:vAlign w:val="bottom"/>
            <w:tcBorders>
              <w:top w:val="single" w:sz="8" w:color="auto"/>
              <w:right w:val="single" w:sz="8" w:color="auto"/>
            </w:tcBorders>
          </w:tcPr>
          <w:p>
            <w:pPr>
              <w:spacing w:after="0"/>
              <w:rPr>
                <w:sz w:val="18"/>
                <w:szCs w:val="18"/>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2,956,868</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Second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Fourth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6"/>
              </w:rPr>
              <w:t>Fifth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Sixth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Seventh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7"/>
              </w:rPr>
              <w:t>Eighth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Ninth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5"/>
              </w:rPr>
              <w:t>Tenth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Eleventh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Twelfth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Fourteenth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Fifteenth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Sixteenth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Seventeenth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Eighteenth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1,478,434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Nineteenth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65,247,254</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425"/>
        </w:trPr>
        <w:tc>
          <w:tcPr>
            <w:tcW w:w="1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193</w:t>
            </w: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2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w w:val="99"/>
              </w:rPr>
              <w:t>Ship E</w:t>
            </w:r>
          </w:p>
        </w:tc>
        <w:tc>
          <w:tcPr>
            <w:tcW w:w="1540" w:type="dxa"/>
            <w:vAlign w:val="bottom"/>
          </w:tcPr>
          <w:p>
            <w:pPr>
              <w:spacing w:after="0"/>
              <w:rPr>
                <w:sz w:val="20"/>
                <w:szCs w:val="20"/>
                <w:color w:val="auto"/>
              </w:rPr>
            </w:pPr>
          </w:p>
        </w:tc>
      </w:tr>
      <w:tr>
        <w:trPr>
          <w:trHeight w:val="203"/>
        </w:trPr>
        <w:tc>
          <w:tcPr>
            <w:tcW w:w="1560" w:type="dxa"/>
            <w:vAlign w:val="bottom"/>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336"/>
        </w:trPr>
        <w:tc>
          <w:tcPr>
            <w:tcW w:w="1560" w:type="dxa"/>
            <w:vAlign w:val="bottom"/>
            <w:tcBorders>
              <w:right w:val="single" w:sz="8" w:color="auto"/>
            </w:tcBorders>
          </w:tcPr>
          <w:p>
            <w:pPr>
              <w:spacing w:after="0"/>
              <w:rPr>
                <w:sz w:val="24"/>
                <w:szCs w:val="24"/>
                <w:color w:val="auto"/>
              </w:rPr>
            </w:pPr>
          </w:p>
        </w:tc>
        <w:tc>
          <w:tcPr>
            <w:tcW w:w="3260" w:type="dxa"/>
            <w:vAlign w:val="bottom"/>
            <w:tcBorders>
              <w:bottom w:val="single" w:sz="8" w:color="DFDFDF"/>
            </w:tcBorders>
            <w:shd w:val="clear" w:color="auto" w:fill="DFDFDF"/>
          </w:tcPr>
          <w:p>
            <w:pPr>
              <w:jc w:val="center"/>
              <w:ind w:left="1110"/>
              <w:spacing w:after="0"/>
              <w:rPr>
                <w:sz w:val="20"/>
                <w:szCs w:val="20"/>
                <w:color w:val="auto"/>
              </w:rPr>
            </w:pPr>
            <w:r>
              <w:rPr>
                <w:rFonts w:ascii="Arial" w:cs="Arial" w:eastAsia="Arial" w:hAnsi="Arial"/>
                <w:sz w:val="18"/>
                <w:szCs w:val="18"/>
                <w:b w:val="1"/>
                <w:bCs w:val="1"/>
                <w:color w:val="auto"/>
                <w:w w:val="97"/>
              </w:rPr>
              <w:t>Term Loan</w:t>
            </w:r>
          </w:p>
        </w:tc>
        <w:tc>
          <w:tcPr>
            <w:tcW w:w="1240" w:type="dxa"/>
            <w:vAlign w:val="bottom"/>
            <w:tcBorders>
              <w:bottom w:val="single" w:sz="8" w:color="DFDFDF"/>
              <w:right w:val="single" w:sz="8" w:color="auto"/>
            </w:tcBorders>
            <w:shd w:val="clear" w:color="auto" w:fill="DFDFDF"/>
          </w:tcPr>
          <w:p>
            <w:pPr>
              <w:spacing w:after="0"/>
              <w:rPr>
                <w:sz w:val="24"/>
                <w:szCs w:val="24"/>
                <w:color w:val="auto"/>
              </w:rPr>
            </w:pPr>
          </w:p>
        </w:tc>
        <w:tc>
          <w:tcPr>
            <w:tcW w:w="3680" w:type="dxa"/>
            <w:vAlign w:val="bottom"/>
            <w:tcBorders>
              <w:bottom w:val="single" w:sz="8" w:color="DFDFDF"/>
              <w:right w:val="single" w:sz="8" w:color="auto"/>
            </w:tcBorders>
            <w:shd w:val="clear" w:color="auto" w:fill="DFDFDF"/>
          </w:tcPr>
          <w:p>
            <w:pPr>
              <w:ind w:left="1340"/>
              <w:spacing w:after="0"/>
              <w:rPr>
                <w:sz w:val="20"/>
                <w:szCs w:val="20"/>
                <w:color w:val="auto"/>
              </w:rPr>
            </w:pPr>
            <w:r>
              <w:rPr>
                <w:rFonts w:ascii="Arial" w:cs="Arial" w:eastAsia="Arial" w:hAnsi="Arial"/>
                <w:sz w:val="18"/>
                <w:szCs w:val="18"/>
                <w:b w:val="1"/>
                <w:bCs w:val="1"/>
                <w:color w:val="auto"/>
              </w:rPr>
              <w:t>Amount ($)</w:t>
            </w:r>
          </w:p>
        </w:tc>
        <w:tc>
          <w:tcPr>
            <w:tcW w:w="1540" w:type="dxa"/>
            <w:vAlign w:val="bottom"/>
          </w:tcPr>
          <w:p>
            <w:pPr>
              <w:spacing w:after="0"/>
              <w:rPr>
                <w:sz w:val="24"/>
                <w:szCs w:val="24"/>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7"/>
              </w:rPr>
              <w:t>First</w:t>
            </w:r>
          </w:p>
        </w:tc>
        <w:tc>
          <w:tcPr>
            <w:tcW w:w="1240" w:type="dxa"/>
            <w:vAlign w:val="bottom"/>
            <w:tcBorders>
              <w:top w:val="single" w:sz="8" w:color="auto"/>
              <w:right w:val="single" w:sz="8" w:color="auto"/>
            </w:tcBorders>
          </w:tcPr>
          <w:p>
            <w:pPr>
              <w:spacing w:after="0"/>
              <w:rPr>
                <w:sz w:val="18"/>
                <w:szCs w:val="18"/>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2,948,921</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Second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Fourth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6"/>
              </w:rPr>
              <w:t>Fifth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Sixth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Seventh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7"/>
              </w:rPr>
              <w:t>Eighth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Ninth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5"/>
              </w:rPr>
              <w:t>Tenth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Eleventh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Twelfth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Fourteenth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Fifteenth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Sixteenth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Seventeenth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Eighteenth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1,474,460</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Nineteenth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66,747,759</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426"/>
        </w:trPr>
        <w:tc>
          <w:tcPr>
            <w:tcW w:w="1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194</w:t>
            </w: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92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rPr>
              <w:t>Ship F</w:t>
            </w:r>
          </w:p>
        </w:tc>
        <w:tc>
          <w:tcPr>
            <w:tcW w:w="1540" w:type="dxa"/>
            <w:vAlign w:val="bottom"/>
          </w:tcPr>
          <w:p>
            <w:pPr>
              <w:spacing w:after="0"/>
              <w:rPr>
                <w:sz w:val="20"/>
                <w:szCs w:val="20"/>
                <w:color w:val="auto"/>
              </w:rPr>
            </w:pPr>
          </w:p>
        </w:tc>
      </w:tr>
      <w:tr>
        <w:trPr>
          <w:trHeight w:val="203"/>
        </w:trPr>
        <w:tc>
          <w:tcPr>
            <w:tcW w:w="1560" w:type="dxa"/>
            <w:vAlign w:val="bottom"/>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336"/>
        </w:trPr>
        <w:tc>
          <w:tcPr>
            <w:tcW w:w="1560" w:type="dxa"/>
            <w:vAlign w:val="bottom"/>
            <w:tcBorders>
              <w:right w:val="single" w:sz="8" w:color="auto"/>
            </w:tcBorders>
          </w:tcPr>
          <w:p>
            <w:pPr>
              <w:spacing w:after="0"/>
              <w:rPr>
                <w:sz w:val="24"/>
                <w:szCs w:val="24"/>
                <w:color w:val="auto"/>
              </w:rPr>
            </w:pPr>
          </w:p>
        </w:tc>
        <w:tc>
          <w:tcPr>
            <w:tcW w:w="3260" w:type="dxa"/>
            <w:vAlign w:val="bottom"/>
            <w:tcBorders>
              <w:bottom w:val="single" w:sz="8" w:color="DFDFDF"/>
            </w:tcBorders>
            <w:shd w:val="clear" w:color="auto" w:fill="DFDFDF"/>
          </w:tcPr>
          <w:p>
            <w:pPr>
              <w:jc w:val="center"/>
              <w:ind w:left="1110"/>
              <w:spacing w:after="0"/>
              <w:rPr>
                <w:sz w:val="20"/>
                <w:szCs w:val="20"/>
                <w:color w:val="auto"/>
              </w:rPr>
            </w:pPr>
            <w:r>
              <w:rPr>
                <w:rFonts w:ascii="Arial" w:cs="Arial" w:eastAsia="Arial" w:hAnsi="Arial"/>
                <w:sz w:val="18"/>
                <w:szCs w:val="18"/>
                <w:b w:val="1"/>
                <w:bCs w:val="1"/>
                <w:color w:val="auto"/>
                <w:w w:val="97"/>
              </w:rPr>
              <w:t>Term Loan</w:t>
            </w:r>
          </w:p>
        </w:tc>
        <w:tc>
          <w:tcPr>
            <w:tcW w:w="1240" w:type="dxa"/>
            <w:vAlign w:val="bottom"/>
            <w:tcBorders>
              <w:bottom w:val="single" w:sz="8" w:color="DFDFDF"/>
              <w:right w:val="single" w:sz="8" w:color="auto"/>
            </w:tcBorders>
            <w:shd w:val="clear" w:color="auto" w:fill="DFDFDF"/>
          </w:tcPr>
          <w:p>
            <w:pPr>
              <w:spacing w:after="0"/>
              <w:rPr>
                <w:sz w:val="24"/>
                <w:szCs w:val="24"/>
                <w:color w:val="auto"/>
              </w:rPr>
            </w:pPr>
          </w:p>
        </w:tc>
        <w:tc>
          <w:tcPr>
            <w:tcW w:w="3680" w:type="dxa"/>
            <w:vAlign w:val="bottom"/>
            <w:tcBorders>
              <w:bottom w:val="single" w:sz="8" w:color="DFDFDF"/>
              <w:right w:val="single" w:sz="8" w:color="auto"/>
            </w:tcBorders>
            <w:shd w:val="clear" w:color="auto" w:fill="DFDFDF"/>
          </w:tcPr>
          <w:p>
            <w:pPr>
              <w:ind w:left="1340"/>
              <w:spacing w:after="0"/>
              <w:rPr>
                <w:sz w:val="20"/>
                <w:szCs w:val="20"/>
                <w:color w:val="auto"/>
              </w:rPr>
            </w:pPr>
            <w:r>
              <w:rPr>
                <w:rFonts w:ascii="Arial" w:cs="Arial" w:eastAsia="Arial" w:hAnsi="Arial"/>
                <w:sz w:val="18"/>
                <w:szCs w:val="18"/>
                <w:b w:val="1"/>
                <w:bCs w:val="1"/>
                <w:color w:val="auto"/>
              </w:rPr>
              <w:t>Amount ($)</w:t>
            </w:r>
          </w:p>
        </w:tc>
        <w:tc>
          <w:tcPr>
            <w:tcW w:w="1540" w:type="dxa"/>
            <w:vAlign w:val="bottom"/>
          </w:tcPr>
          <w:p>
            <w:pPr>
              <w:spacing w:after="0"/>
              <w:rPr>
                <w:sz w:val="24"/>
                <w:szCs w:val="24"/>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7"/>
              </w:rPr>
              <w:t>First</w:t>
            </w:r>
          </w:p>
        </w:tc>
        <w:tc>
          <w:tcPr>
            <w:tcW w:w="1240" w:type="dxa"/>
            <w:vAlign w:val="bottom"/>
            <w:tcBorders>
              <w:top w:val="single" w:sz="8" w:color="auto"/>
              <w:right w:val="single" w:sz="8" w:color="auto"/>
            </w:tcBorders>
          </w:tcPr>
          <w:p>
            <w:pPr>
              <w:spacing w:after="0"/>
              <w:rPr>
                <w:sz w:val="18"/>
                <w:szCs w:val="18"/>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2,442,433</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Second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Third</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Fourth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6"/>
              </w:rPr>
              <w:t>Fifth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9"/>
              </w:rPr>
              <w:t>Sixth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Seventh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7"/>
              </w:rPr>
              <w:t>Eighth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Ninth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090"/>
              <w:spacing w:after="0"/>
              <w:rPr>
                <w:sz w:val="20"/>
                <w:szCs w:val="20"/>
                <w:color w:val="auto"/>
              </w:rPr>
            </w:pPr>
            <w:r>
              <w:rPr>
                <w:rFonts w:ascii="Arial" w:cs="Arial" w:eastAsia="Arial" w:hAnsi="Arial"/>
                <w:sz w:val="18"/>
                <w:szCs w:val="18"/>
                <w:color w:val="auto"/>
                <w:w w:val="95"/>
              </w:rPr>
              <w:t>Tenth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Eleventh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Twelfth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Thirteenth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Fourteenth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Fifteenth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Sixteenth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rPr>
              <w:t>Seventeenth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9"/>
              </w:rPr>
              <w:t>Eighteenth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1,221,216</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210"/>
        </w:trPr>
        <w:tc>
          <w:tcPr>
            <w:tcW w:w="1560" w:type="dxa"/>
            <w:vAlign w:val="bottom"/>
            <w:tcBorders>
              <w:right w:val="single" w:sz="8" w:color="auto"/>
            </w:tcBorders>
          </w:tcPr>
          <w:p>
            <w:pPr>
              <w:spacing w:after="0"/>
              <w:rPr>
                <w:sz w:val="18"/>
                <w:szCs w:val="18"/>
                <w:color w:val="auto"/>
              </w:rPr>
            </w:pPr>
          </w:p>
        </w:tc>
        <w:tc>
          <w:tcPr>
            <w:tcW w:w="3260" w:type="dxa"/>
            <w:vAlign w:val="bottom"/>
          </w:tcPr>
          <w:p>
            <w:pPr>
              <w:jc w:val="center"/>
              <w:ind w:left="1110"/>
              <w:spacing w:after="0"/>
              <w:rPr>
                <w:sz w:val="20"/>
                <w:szCs w:val="20"/>
                <w:color w:val="auto"/>
              </w:rPr>
            </w:pPr>
            <w:r>
              <w:rPr>
                <w:rFonts w:ascii="Arial" w:cs="Arial" w:eastAsia="Arial" w:hAnsi="Arial"/>
                <w:sz w:val="18"/>
                <w:szCs w:val="18"/>
                <w:color w:val="auto"/>
                <w:w w:val="98"/>
              </w:rPr>
              <w:t>Nineteenth</w:t>
            </w:r>
          </w:p>
        </w:tc>
        <w:tc>
          <w:tcPr>
            <w:tcW w:w="124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18,976,895</w:t>
            </w:r>
          </w:p>
        </w:tc>
        <w:tc>
          <w:tcPr>
            <w:tcW w:w="1540" w:type="dxa"/>
            <w:vAlign w:val="bottom"/>
          </w:tcPr>
          <w:p>
            <w:pPr>
              <w:spacing w:after="0"/>
              <w:rPr>
                <w:sz w:val="18"/>
                <w:szCs w:val="18"/>
                <w:color w:val="auto"/>
              </w:rPr>
            </w:pPr>
          </w:p>
        </w:tc>
      </w:tr>
      <w:tr>
        <w:trPr>
          <w:trHeight w:val="107"/>
        </w:trPr>
        <w:tc>
          <w:tcPr>
            <w:tcW w:w="1560" w:type="dxa"/>
            <w:vAlign w:val="bottom"/>
            <w:tcBorders>
              <w:right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r>
      <w:tr>
        <w:trPr>
          <w:trHeight w:val="426"/>
        </w:trPr>
        <w:tc>
          <w:tcPr>
            <w:tcW w:w="1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195</w:t>
            </w: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9"/>
        </w:trPr>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780" w:type="dxa"/>
            <w:vAlign w:val="bottom"/>
          </w:tcPr>
          <w:p>
            <w:pPr>
              <w:jc w:val="right"/>
              <w:ind w:right="1270"/>
              <w:spacing w:after="0"/>
              <w:rPr>
                <w:sz w:val="20"/>
                <w:szCs w:val="20"/>
                <w:color w:val="auto"/>
              </w:rPr>
            </w:pPr>
            <w:r>
              <w:rPr>
                <w:rFonts w:ascii="Arial" w:cs="Arial" w:eastAsia="Arial" w:hAnsi="Arial"/>
                <w:sz w:val="18"/>
                <w:szCs w:val="18"/>
                <w:b w:val="1"/>
                <w:bCs w:val="1"/>
                <w:color w:val="auto"/>
              </w:rPr>
              <w:t>SIGNATURES</w:t>
            </w:r>
          </w:p>
        </w:tc>
        <w:tc>
          <w:tcPr>
            <w:tcW w:w="17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8"/>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THE BORROWERS</w:t>
            </w:r>
          </w:p>
        </w:tc>
        <w:tc>
          <w:tcPr>
            <w:tcW w:w="3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9"/>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GAS-ONE LTD.</w:t>
            </w:r>
          </w:p>
        </w:tc>
        <w:tc>
          <w:tcPr>
            <w:tcW w:w="2160" w:type="dxa"/>
            <w:vAlign w:val="bottom"/>
            <w:gridSpan w:val="3"/>
          </w:tcPr>
          <w:p>
            <w:pPr>
              <w:spacing w:after="0"/>
              <w:rPr>
                <w:sz w:val="24"/>
                <w:szCs w:val="24"/>
                <w:color w:val="auto"/>
              </w:rPr>
            </w:pP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3780" w:type="dxa"/>
            <w:vAlign w:val="bottom"/>
            <w:gridSpan w:val="4"/>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spacing w:after="0"/>
              <w:rPr>
                <w:sz w:val="19"/>
                <w:szCs w:val="19"/>
                <w:color w:val="auto"/>
              </w:rPr>
            </w:pPr>
          </w:p>
        </w:tc>
        <w:tc>
          <w:tcPr>
            <w:tcW w:w="1960" w:type="dxa"/>
            <w:vAlign w:val="bottom"/>
          </w:tcPr>
          <w:p>
            <w:pPr>
              <w:spacing w:after="0"/>
              <w:rPr>
                <w:sz w:val="19"/>
                <w:szCs w:val="19"/>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GAS-TWO LTD.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3780" w:type="dxa"/>
            <w:vAlign w:val="bottom"/>
            <w:gridSpan w:val="4"/>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spacing w:after="0"/>
              <w:rPr>
                <w:sz w:val="19"/>
                <w:szCs w:val="19"/>
                <w:color w:val="auto"/>
              </w:rPr>
            </w:pPr>
          </w:p>
        </w:tc>
        <w:tc>
          <w:tcPr>
            <w:tcW w:w="1960" w:type="dxa"/>
            <w:vAlign w:val="bottom"/>
          </w:tcPr>
          <w:p>
            <w:pPr>
              <w:spacing w:after="0"/>
              <w:rPr>
                <w:sz w:val="19"/>
                <w:szCs w:val="19"/>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GAS-SIX LTD.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3780" w:type="dxa"/>
            <w:vAlign w:val="bottom"/>
            <w:gridSpan w:val="4"/>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spacing w:after="0"/>
              <w:rPr>
                <w:sz w:val="19"/>
                <w:szCs w:val="19"/>
                <w:color w:val="auto"/>
              </w:rPr>
            </w:pPr>
          </w:p>
        </w:tc>
        <w:tc>
          <w:tcPr>
            <w:tcW w:w="1960" w:type="dxa"/>
            <w:vAlign w:val="bottom"/>
          </w:tcPr>
          <w:p>
            <w:pPr>
              <w:spacing w:after="0"/>
              <w:rPr>
                <w:sz w:val="19"/>
                <w:szCs w:val="19"/>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GAS-NINE LTD.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3780" w:type="dxa"/>
            <w:vAlign w:val="bottom"/>
            <w:gridSpan w:val="4"/>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spacing w:after="0"/>
              <w:rPr>
                <w:sz w:val="19"/>
                <w:szCs w:val="19"/>
                <w:color w:val="auto"/>
              </w:rPr>
            </w:pPr>
          </w:p>
        </w:tc>
        <w:tc>
          <w:tcPr>
            <w:tcW w:w="1960" w:type="dxa"/>
            <w:vAlign w:val="bottom"/>
          </w:tcPr>
          <w:p>
            <w:pPr>
              <w:spacing w:after="0"/>
              <w:rPr>
                <w:sz w:val="19"/>
                <w:szCs w:val="19"/>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GAS-TEN LTD.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3780" w:type="dxa"/>
            <w:vAlign w:val="bottom"/>
            <w:gridSpan w:val="4"/>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spacing w:after="0"/>
              <w:rPr>
                <w:sz w:val="19"/>
                <w:szCs w:val="19"/>
                <w:color w:val="auto"/>
              </w:rPr>
            </w:pPr>
          </w:p>
        </w:tc>
        <w:tc>
          <w:tcPr>
            <w:tcW w:w="1960" w:type="dxa"/>
            <w:vAlign w:val="bottom"/>
          </w:tcPr>
          <w:p>
            <w:pPr>
              <w:spacing w:after="0"/>
              <w:rPr>
                <w:sz w:val="19"/>
                <w:szCs w:val="19"/>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GAS-EIGHTEEN LTD.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/s/ Achilleas Tasioulas</w:t>
            </w:r>
          </w:p>
        </w:tc>
      </w:tr>
      <w:tr>
        <w:trPr>
          <w:trHeight w:val="223"/>
        </w:trPr>
        <w:tc>
          <w:tcPr>
            <w:tcW w:w="3780" w:type="dxa"/>
            <w:vAlign w:val="bottom"/>
            <w:gridSpan w:val="4"/>
          </w:tcPr>
          <w:p>
            <w:pPr>
              <w:spacing w:after="0"/>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spacing w:after="0"/>
              <w:rPr>
                <w:sz w:val="19"/>
                <w:szCs w:val="19"/>
                <w:color w:val="auto"/>
              </w:rPr>
            </w:pPr>
          </w:p>
        </w:tc>
        <w:tc>
          <w:tcPr>
            <w:tcW w:w="1960" w:type="dxa"/>
            <w:vAlign w:val="bottom"/>
          </w:tcPr>
          <w:p>
            <w:pPr>
              <w:spacing w:after="0"/>
              <w:rPr>
                <w:sz w:val="19"/>
                <w:szCs w:val="19"/>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THE GUARANTORS</w:t>
            </w:r>
          </w:p>
        </w:tc>
        <w:tc>
          <w:tcPr>
            <w:tcW w:w="3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25"/>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76"/>
        </w:trPr>
        <w:tc>
          <w:tcPr>
            <w:tcW w:w="3780" w:type="dxa"/>
            <w:vAlign w:val="bottom"/>
            <w:gridSpan w:val="4"/>
          </w:tcPr>
          <w:p>
            <w:pPr>
              <w:spacing w:after="0" w:line="176" w:lineRule="exact"/>
              <w:rPr>
                <w:sz w:val="20"/>
                <w:szCs w:val="20"/>
                <w:color w:val="auto"/>
              </w:rPr>
            </w:pPr>
            <w:r>
              <w:rPr>
                <w:rFonts w:ascii="Arial" w:cs="Arial" w:eastAsia="Arial" w:hAnsi="Arial"/>
                <w:sz w:val="18"/>
                <w:szCs w:val="18"/>
                <w:color w:val="auto"/>
              </w:rPr>
              <w:t>for and on behalf of</w:t>
            </w:r>
          </w:p>
        </w:tc>
        <w:tc>
          <w:tcPr>
            <w:tcW w:w="3780" w:type="dxa"/>
            <w:vAlign w:val="bottom"/>
          </w:tcPr>
          <w:p>
            <w:pPr>
              <w:jc w:val="right"/>
              <w:ind w:right="450"/>
              <w:spacing w:after="0" w:line="176"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7"/>
              </w:rPr>
              <w:t>/s/ Achilleas Tasioulas</w:t>
            </w:r>
          </w:p>
        </w:tc>
        <w:tc>
          <w:tcPr>
            <w:tcW w:w="1960" w:type="dxa"/>
            <w:vAlign w:val="bottom"/>
          </w:tcPr>
          <w:p>
            <w:pPr>
              <w:spacing w:after="0"/>
              <w:rPr>
                <w:sz w:val="15"/>
                <w:szCs w:val="15"/>
                <w:color w:val="auto"/>
              </w:rPr>
            </w:pPr>
          </w:p>
        </w:tc>
      </w:tr>
      <w:tr>
        <w:trPr>
          <w:trHeight w:val="209"/>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GASLOG LTD.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Attorney-in-fact</w:t>
            </w: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as Parent and Guarantor</w:t>
            </w:r>
          </w:p>
        </w:tc>
        <w:tc>
          <w:tcPr>
            <w:tcW w:w="37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7"/>
        </w:trPr>
        <w:tc>
          <w:tcPr>
            <w:tcW w:w="378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color w:val="auto"/>
              </w:rPr>
              <w:t>/s/ Zachary Michael Warne</w:t>
            </w:r>
          </w:p>
        </w:tc>
        <w:tc>
          <w:tcPr>
            <w:tcW w:w="3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9"/>
        </w:trPr>
        <w:tc>
          <w:tcPr>
            <w:tcW w:w="2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Witness</w:t>
            </w:r>
          </w:p>
        </w:tc>
        <w:tc>
          <w:tcPr>
            <w:tcW w:w="16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Name: Zachary Michael Warne</w:t>
            </w:r>
          </w:p>
        </w:tc>
        <w:tc>
          <w:tcPr>
            <w:tcW w:w="3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Address: Norton Rose Fulbright</w:t>
            </w:r>
          </w:p>
        </w:tc>
        <w:tc>
          <w:tcPr>
            <w:tcW w:w="3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7"/>
        </w:trPr>
        <w:tc>
          <w:tcPr>
            <w:tcW w:w="3780" w:type="dxa"/>
            <w:vAlign w:val="bottom"/>
            <w:gridSpan w:val="4"/>
          </w:tcPr>
          <w:p>
            <w:pPr>
              <w:spacing w:after="0"/>
              <w:rPr>
                <w:sz w:val="20"/>
                <w:szCs w:val="20"/>
                <w:color w:val="auto"/>
              </w:rPr>
            </w:pPr>
            <w:r>
              <w:rPr>
                <w:rFonts w:ascii="Arial" w:cs="Arial" w:eastAsia="Arial" w:hAnsi="Arial"/>
                <w:sz w:val="18"/>
                <w:szCs w:val="18"/>
                <w:color w:val="auto"/>
              </w:rPr>
              <w:t>Occupation: Paralegal</w:t>
            </w:r>
          </w:p>
        </w:tc>
        <w:tc>
          <w:tcPr>
            <w:tcW w:w="3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620"/>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By</w:t>
            </w:r>
          </w:p>
        </w:tc>
        <w:tc>
          <w:tcPr>
            <w:tcW w:w="37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80"/>
        </w:trPr>
        <w:tc>
          <w:tcPr>
            <w:tcW w:w="3780" w:type="dxa"/>
            <w:vAlign w:val="bottom"/>
            <w:gridSpan w:val="4"/>
          </w:tcPr>
          <w:p>
            <w:pPr>
              <w:spacing w:after="0" w:line="181" w:lineRule="exact"/>
              <w:rPr>
                <w:sz w:val="20"/>
                <w:szCs w:val="20"/>
                <w:color w:val="auto"/>
              </w:rPr>
            </w:pPr>
            <w:r>
              <w:rPr>
                <w:rFonts w:ascii="Arial" w:cs="Arial" w:eastAsia="Arial" w:hAnsi="Arial"/>
                <w:sz w:val="18"/>
                <w:szCs w:val="18"/>
                <w:color w:val="auto"/>
              </w:rPr>
              <w:t>for and on behalf of</w:t>
            </w:r>
          </w:p>
        </w:tc>
        <w:tc>
          <w:tcPr>
            <w:tcW w:w="378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98"/>
        </w:trPr>
        <w:tc>
          <w:tcPr>
            <w:tcW w:w="378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GASLOG CARRIERS LTD.</w:t>
            </w:r>
          </w:p>
        </w:tc>
        <w:tc>
          <w:tcPr>
            <w:tcW w:w="3780" w:type="dxa"/>
            <w:vAlign w:val="bottom"/>
          </w:tcPr>
          <w:p>
            <w:pPr>
              <w:jc w:val="right"/>
              <w:ind w:right="450"/>
              <w:spacing w:after="0" w:line="198"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w w:val="97"/>
              </w:rPr>
              <w:t>/s/ Achilleas Tasioulas</w:t>
            </w:r>
          </w:p>
        </w:tc>
        <w:tc>
          <w:tcPr>
            <w:tcW w:w="1960" w:type="dxa"/>
            <w:vAlign w:val="bottom"/>
          </w:tcPr>
          <w:p>
            <w:pPr>
              <w:spacing w:after="0"/>
              <w:rPr>
                <w:sz w:val="17"/>
                <w:szCs w:val="17"/>
                <w:color w:val="auto"/>
              </w:rPr>
            </w:pPr>
          </w:p>
        </w:tc>
      </w:tr>
      <w:tr>
        <w:trPr>
          <w:trHeight w:val="209"/>
        </w:trPr>
        <w:tc>
          <w:tcPr>
            <w:tcW w:w="3780" w:type="dxa"/>
            <w:vAlign w:val="bottom"/>
            <w:gridSpan w:val="4"/>
          </w:tcPr>
          <w:p>
            <w:pPr>
              <w:spacing w:after="0"/>
              <w:rPr>
                <w:sz w:val="20"/>
                <w:szCs w:val="20"/>
                <w:color w:val="auto"/>
              </w:rPr>
            </w:pPr>
            <w:r>
              <w:rPr>
                <w:rFonts w:ascii="Arial" w:cs="Arial" w:eastAsia="Arial" w:hAnsi="Arial"/>
                <w:sz w:val="18"/>
                <w:szCs w:val="18"/>
                <w:color w:val="auto"/>
              </w:rPr>
              <w:t>as Guarantor</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378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3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3780" w:type="dxa"/>
            <w:vAlign w:val="bottom"/>
            <w:gridSpan w:val="4"/>
          </w:tcPr>
          <w:p>
            <w:pPr>
              <w:spacing w:after="0"/>
              <w:rPr>
                <w:sz w:val="20"/>
                <w:szCs w:val="20"/>
                <w:color w:val="auto"/>
              </w:rPr>
            </w:pPr>
            <w:r>
              <w:rPr>
                <w:rFonts w:ascii="Arial" w:cs="Arial" w:eastAsia="Arial" w:hAnsi="Arial"/>
                <w:sz w:val="18"/>
                <w:szCs w:val="18"/>
                <w:color w:val="auto"/>
              </w:rPr>
              <w:t>/s/ Zachary Michael Warne</w:t>
            </w:r>
          </w:p>
        </w:tc>
        <w:tc>
          <w:tcPr>
            <w:tcW w:w="3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9"/>
        </w:trPr>
        <w:tc>
          <w:tcPr>
            <w:tcW w:w="2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Witness</w:t>
            </w:r>
          </w:p>
        </w:tc>
        <w:tc>
          <w:tcPr>
            <w:tcW w:w="16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Name: Zachary Michael Warne</w:t>
            </w:r>
          </w:p>
        </w:tc>
        <w:tc>
          <w:tcPr>
            <w:tcW w:w="3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Address: Norton Rose Fulbright</w:t>
            </w:r>
          </w:p>
        </w:tc>
        <w:tc>
          <w:tcPr>
            <w:tcW w:w="3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7"/>
        </w:trPr>
        <w:tc>
          <w:tcPr>
            <w:tcW w:w="3780" w:type="dxa"/>
            <w:vAlign w:val="bottom"/>
            <w:gridSpan w:val="4"/>
          </w:tcPr>
          <w:p>
            <w:pPr>
              <w:spacing w:after="0"/>
              <w:rPr>
                <w:sz w:val="20"/>
                <w:szCs w:val="20"/>
                <w:color w:val="auto"/>
              </w:rPr>
            </w:pPr>
            <w:r>
              <w:rPr>
                <w:rFonts w:ascii="Arial" w:cs="Arial" w:eastAsia="Arial" w:hAnsi="Arial"/>
                <w:sz w:val="18"/>
                <w:szCs w:val="18"/>
                <w:color w:val="auto"/>
              </w:rPr>
              <w:t>Occupation: Paralegal</w:t>
            </w:r>
          </w:p>
        </w:tc>
        <w:tc>
          <w:tcPr>
            <w:tcW w:w="3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9"/>
        </w:trPr>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80" w:type="dxa"/>
            <w:vAlign w:val="bottom"/>
          </w:tcPr>
          <w:p>
            <w:pPr>
              <w:jc w:val="right"/>
              <w:ind w:right="1690"/>
              <w:spacing w:after="0"/>
              <w:rPr>
                <w:sz w:val="20"/>
                <w:szCs w:val="20"/>
                <w:color w:val="auto"/>
              </w:rPr>
            </w:pPr>
            <w:r>
              <w:rPr>
                <w:rFonts w:ascii="Arial" w:cs="Arial" w:eastAsia="Arial" w:hAnsi="Arial"/>
                <w:sz w:val="18"/>
                <w:szCs w:val="18"/>
                <w:color w:val="auto"/>
              </w:rPr>
              <w:t>196</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18"/>
        </w:trPr>
        <w:tc>
          <w:tcPr>
            <w:tcW w:w="16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19" w:right="29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2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81"/>
        </w:trPr>
        <w:tc>
          <w:tcPr>
            <w:tcW w:w="4500" w:type="dxa"/>
            <w:vAlign w:val="bottom"/>
            <w:gridSpan w:val="3"/>
          </w:tcPr>
          <w:p>
            <w:pPr>
              <w:spacing w:after="0" w:line="181" w:lineRule="exact"/>
              <w:rPr>
                <w:sz w:val="20"/>
                <w:szCs w:val="20"/>
                <w:color w:val="auto"/>
              </w:rPr>
            </w:pPr>
            <w:r>
              <w:rPr>
                <w:rFonts w:ascii="Arial" w:cs="Arial" w:eastAsia="Arial" w:hAnsi="Arial"/>
                <w:sz w:val="18"/>
                <w:szCs w:val="18"/>
                <w:color w:val="auto"/>
              </w:rPr>
              <w:t>for and on behalf of</w:t>
            </w:r>
          </w:p>
        </w:tc>
        <w:tc>
          <w:tcPr>
            <w:tcW w:w="306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98"/>
        </w:trPr>
        <w:tc>
          <w:tcPr>
            <w:tcW w:w="45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GASLOG PARTNERS LP</w:t>
            </w:r>
          </w:p>
        </w:tc>
        <w:tc>
          <w:tcPr>
            <w:tcW w:w="3060" w:type="dxa"/>
            <w:vAlign w:val="bottom"/>
          </w:tcPr>
          <w:p>
            <w:pPr>
              <w:jc w:val="right"/>
              <w:ind w:right="450"/>
              <w:spacing w:after="0" w:line="198"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gridSpan w:val="4"/>
          </w:tcPr>
          <w:p>
            <w:pPr>
              <w:spacing w:after="0" w:line="198" w:lineRule="exact"/>
              <w:rPr>
                <w:sz w:val="20"/>
                <w:szCs w:val="20"/>
                <w:color w:val="auto"/>
              </w:rPr>
            </w:pPr>
            <w:r>
              <w:rPr>
                <w:rFonts w:ascii="Arial" w:cs="Arial" w:eastAsia="Arial" w:hAnsi="Arial"/>
                <w:sz w:val="18"/>
                <w:szCs w:val="18"/>
                <w:color w:val="auto"/>
                <w:w w:val="97"/>
              </w:rPr>
              <w:t>/s/ Achilleas Tasioulas</w:t>
            </w:r>
          </w:p>
        </w:tc>
        <w:tc>
          <w:tcPr>
            <w:tcW w:w="1960" w:type="dxa"/>
            <w:vAlign w:val="bottom"/>
          </w:tcPr>
          <w:p>
            <w:pPr>
              <w:spacing w:after="0"/>
              <w:rPr>
                <w:sz w:val="17"/>
                <w:szCs w:val="17"/>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Guarantor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5"/>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color w:val="auto"/>
              </w:rPr>
              <w:t>/s/ Zachary Michael Warne</w:t>
            </w: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9"/>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Witness</w:t>
            </w:r>
          </w:p>
        </w:tc>
        <w:tc>
          <w:tcPr>
            <w:tcW w:w="2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Name: Zachary Michael Warne</w:t>
            </w:r>
          </w:p>
        </w:tc>
        <w:tc>
          <w:tcPr>
            <w:tcW w:w="3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Address: Norton Rose Fulbright</w:t>
            </w:r>
          </w:p>
        </w:tc>
        <w:tc>
          <w:tcPr>
            <w:tcW w:w="3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Occupation: Paralegal</w:t>
            </w: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620"/>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81"/>
        </w:trPr>
        <w:tc>
          <w:tcPr>
            <w:tcW w:w="4500" w:type="dxa"/>
            <w:vAlign w:val="bottom"/>
            <w:gridSpan w:val="3"/>
          </w:tcPr>
          <w:p>
            <w:pPr>
              <w:spacing w:after="0" w:line="181" w:lineRule="exact"/>
              <w:rPr>
                <w:sz w:val="20"/>
                <w:szCs w:val="20"/>
                <w:color w:val="auto"/>
              </w:rPr>
            </w:pPr>
            <w:r>
              <w:rPr>
                <w:rFonts w:ascii="Arial" w:cs="Arial" w:eastAsia="Arial" w:hAnsi="Arial"/>
                <w:sz w:val="18"/>
                <w:szCs w:val="18"/>
                <w:color w:val="auto"/>
              </w:rPr>
              <w:t>for and on behalf of</w:t>
            </w:r>
          </w:p>
        </w:tc>
        <w:tc>
          <w:tcPr>
            <w:tcW w:w="306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98"/>
        </w:trPr>
        <w:tc>
          <w:tcPr>
            <w:tcW w:w="45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GASLOG PARTNERS HOLDINGS LLC.</w:t>
            </w:r>
          </w:p>
        </w:tc>
        <w:tc>
          <w:tcPr>
            <w:tcW w:w="3060" w:type="dxa"/>
            <w:vAlign w:val="bottom"/>
          </w:tcPr>
          <w:p>
            <w:pPr>
              <w:jc w:val="right"/>
              <w:ind w:right="450"/>
              <w:spacing w:after="0" w:line="198"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gridSpan w:val="4"/>
          </w:tcPr>
          <w:p>
            <w:pPr>
              <w:spacing w:after="0" w:line="198" w:lineRule="exact"/>
              <w:rPr>
                <w:sz w:val="20"/>
                <w:szCs w:val="20"/>
                <w:color w:val="auto"/>
              </w:rPr>
            </w:pPr>
            <w:r>
              <w:rPr>
                <w:rFonts w:ascii="Arial" w:cs="Arial" w:eastAsia="Arial" w:hAnsi="Arial"/>
                <w:sz w:val="18"/>
                <w:szCs w:val="18"/>
                <w:color w:val="auto"/>
                <w:w w:val="97"/>
              </w:rPr>
              <w:t>/s/ Achilleas Tasioulas</w:t>
            </w:r>
          </w:p>
        </w:tc>
        <w:tc>
          <w:tcPr>
            <w:tcW w:w="1960" w:type="dxa"/>
            <w:vAlign w:val="bottom"/>
          </w:tcPr>
          <w:p>
            <w:pPr>
              <w:spacing w:after="0"/>
              <w:rPr>
                <w:sz w:val="17"/>
                <w:szCs w:val="17"/>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Guarantor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5"/>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color w:val="auto"/>
              </w:rPr>
              <w:t>/s/ Zachary Michael Warne</w:t>
            </w: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9"/>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Witness</w:t>
            </w:r>
          </w:p>
        </w:tc>
        <w:tc>
          <w:tcPr>
            <w:tcW w:w="2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Name: Zachary Michael Warne</w:t>
            </w:r>
          </w:p>
        </w:tc>
        <w:tc>
          <w:tcPr>
            <w:tcW w:w="3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4500" w:type="dxa"/>
            <w:vAlign w:val="bottom"/>
            <w:gridSpan w:val="3"/>
          </w:tcPr>
          <w:p>
            <w:pPr>
              <w:spacing w:after="0" w:line="202" w:lineRule="exact"/>
              <w:rPr>
                <w:sz w:val="20"/>
                <w:szCs w:val="20"/>
                <w:color w:val="auto"/>
              </w:rPr>
            </w:pPr>
            <w:r>
              <w:rPr>
                <w:rFonts w:ascii="Arial" w:cs="Arial" w:eastAsia="Arial" w:hAnsi="Arial"/>
                <w:sz w:val="18"/>
                <w:szCs w:val="18"/>
                <w:color w:val="auto"/>
              </w:rPr>
              <w:t>Address: Norton Rose Fulbright</w:t>
            </w:r>
          </w:p>
        </w:tc>
        <w:tc>
          <w:tcPr>
            <w:tcW w:w="3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Occupation: Paralegal</w:t>
            </w: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THE ARRANGERS</w:t>
            </w:r>
          </w:p>
        </w:tc>
        <w:tc>
          <w:tcPr>
            <w:tcW w:w="2920" w:type="dxa"/>
            <w:vAlign w:val="bottom"/>
            <w:gridSpan w:val="2"/>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ABN AMRO BANK N.V.</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24"/>
                <w:szCs w:val="24"/>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Mandated Lead Arranger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5"/>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CITIGROUP GLOBAL MARKETS LIMITED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5"/>
          </w:tcPr>
          <w:p>
            <w:pPr>
              <w:spacing w:after="0"/>
              <w:rPr>
                <w:sz w:val="20"/>
                <w:szCs w:val="20"/>
                <w:color w:val="auto"/>
              </w:rPr>
            </w:pPr>
            <w:r>
              <w:rPr>
                <w:rFonts w:ascii="Arial" w:cs="Arial" w:eastAsia="Arial" w:hAnsi="Arial"/>
                <w:sz w:val="18"/>
                <w:szCs w:val="18"/>
                <w:color w:val="auto"/>
              </w:rPr>
              <w:t>/s/ Zain Zaidi</w:t>
            </w: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Mandated Lead Arranger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NORDEA BANK ABP, FILIAL I NORGE</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24"/>
                <w:szCs w:val="24"/>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Mandated Lead Arranger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5"/>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CREDIT AGRICOLE CORPORATE AND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98"/>
        </w:trPr>
        <w:tc>
          <w:tcPr>
            <w:tcW w:w="45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INVESTMENT BANK</w:t>
            </w:r>
          </w:p>
        </w:tc>
        <w:tc>
          <w:tcPr>
            <w:tcW w:w="3060" w:type="dxa"/>
            <w:vAlign w:val="bottom"/>
          </w:tcPr>
          <w:p>
            <w:pPr>
              <w:jc w:val="right"/>
              <w:ind w:right="450"/>
              <w:spacing w:after="0" w:line="198"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2"/>
          </w:tcPr>
          <w:p>
            <w:pPr>
              <w:spacing w:after="0" w:line="198" w:lineRule="exact"/>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17"/>
                <w:szCs w:val="17"/>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Mandated Lead Arranger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5"/>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HSBC BANK PLC</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5"/>
          </w:tcPr>
          <w:p>
            <w:pPr>
              <w:spacing w:after="0"/>
              <w:rPr>
                <w:sz w:val="20"/>
                <w:szCs w:val="20"/>
                <w:color w:val="auto"/>
              </w:rPr>
            </w:pPr>
            <w:r>
              <w:rPr>
                <w:rFonts w:ascii="Arial" w:cs="Arial" w:eastAsia="Arial" w:hAnsi="Arial"/>
                <w:sz w:val="18"/>
                <w:szCs w:val="18"/>
                <w:color w:val="auto"/>
              </w:rPr>
              <w:t>/s/ Antonis Lamnidis</w:t>
            </w: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Mandated Lead Arranger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Attorney-in-fact</w:t>
            </w:r>
          </w:p>
        </w:tc>
        <w:tc>
          <w:tcPr>
            <w:tcW w:w="2120" w:type="dxa"/>
            <w:vAlign w:val="bottom"/>
            <w:gridSpan w:val="2"/>
          </w:tcPr>
          <w:p>
            <w:pPr>
              <w:spacing w:after="0"/>
              <w:rPr>
                <w:sz w:val="18"/>
                <w:szCs w:val="18"/>
                <w:color w:val="auto"/>
              </w:rPr>
            </w:pP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9"/>
        </w:trPr>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60" w:type="dxa"/>
            <w:vAlign w:val="bottom"/>
          </w:tcPr>
          <w:p>
            <w:pPr>
              <w:jc w:val="right"/>
              <w:ind w:right="1690"/>
              <w:spacing w:after="0"/>
              <w:rPr>
                <w:sz w:val="20"/>
                <w:szCs w:val="20"/>
                <w:color w:val="auto"/>
              </w:rPr>
            </w:pPr>
            <w:r>
              <w:rPr>
                <w:rFonts w:ascii="Arial" w:cs="Arial" w:eastAsia="Arial" w:hAnsi="Arial"/>
                <w:sz w:val="18"/>
                <w:szCs w:val="18"/>
                <w:color w:val="auto"/>
              </w:rPr>
              <w:t>197</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18"/>
        </w:trPr>
        <w:tc>
          <w:tcPr>
            <w:tcW w:w="15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NATIONAL AUSTRALIA BANK LIMITED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/s/ Geir Bakkelund</w:t>
            </w: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Arranger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UNICREDIT BANK AG</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/s/ Ureshnie Kaperonis</w:t>
            </w:r>
          </w:p>
        </w:tc>
        <w:tc>
          <w:tcPr>
            <w:tcW w:w="1900" w:type="dxa"/>
            <w:vAlign w:val="bottom"/>
          </w:tcPr>
          <w:p>
            <w:pPr>
              <w:spacing w:after="0"/>
              <w:rPr>
                <w:sz w:val="24"/>
                <w:szCs w:val="24"/>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as Arranger</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Attorney-in-fact</w:t>
            </w:r>
          </w:p>
        </w:tc>
      </w:tr>
      <w:tr>
        <w:trPr>
          <w:trHeight w:val="217"/>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594"/>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THE LENDERS</w:t>
            </w:r>
          </w:p>
        </w:tc>
        <w:tc>
          <w:tcPr>
            <w:tcW w:w="3220" w:type="dxa"/>
            <w:vAlign w:val="bottom"/>
            <w:gridSpan w:val="2"/>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9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ABN AMRO BANK N.V.</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24"/>
                <w:szCs w:val="24"/>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Attorney-in-fact</w:t>
            </w: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CITIBANK, N.A., LONDON BRANCH</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/s/ Zain Zaidi</w:t>
            </w: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9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CREDIT AGRICOLE CORPORATE AND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8"/>
        </w:trPr>
        <w:tc>
          <w:tcPr>
            <w:tcW w:w="45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INVESTMENT BANK</w:t>
            </w:r>
          </w:p>
        </w:tc>
        <w:tc>
          <w:tcPr>
            <w:tcW w:w="3060" w:type="dxa"/>
            <w:vAlign w:val="bottom"/>
          </w:tcPr>
          <w:p>
            <w:pPr>
              <w:jc w:val="right"/>
              <w:ind w:right="450"/>
              <w:spacing w:after="0" w:line="198"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3"/>
          </w:tcPr>
          <w:p>
            <w:pPr>
              <w:spacing w:after="0" w:line="198" w:lineRule="exact"/>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17"/>
                <w:szCs w:val="17"/>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Attorney-in-fact</w:t>
            </w: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HSBC BANK PLC</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/s/ Antonis Lamnidis</w:t>
            </w: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Attorney-in-fact</w:t>
            </w:r>
          </w:p>
        </w:tc>
        <w:tc>
          <w:tcPr>
            <w:tcW w:w="2120" w:type="dxa"/>
            <w:vAlign w:val="bottom"/>
            <w:gridSpan w:val="2"/>
          </w:tcPr>
          <w:p>
            <w:pPr>
              <w:spacing w:after="0"/>
              <w:rPr>
                <w:sz w:val="19"/>
                <w:szCs w:val="19"/>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NATIONAL AUSTRALIA BANK LIMITED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/s/ Geir Bakkelund</w:t>
            </w: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NORDEA BANK ABP, FILIAL I NORGE</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24"/>
                <w:szCs w:val="24"/>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Attorney-in-fact</w:t>
            </w:r>
          </w:p>
        </w:tc>
      </w:tr>
      <w:tr>
        <w:trPr>
          <w:trHeight w:val="37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UNICREDIT BANK AG</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8"/>
              </w:rPr>
              <w:t>/s/ Ureshnie Kaperonis</w:t>
            </w:r>
          </w:p>
        </w:tc>
        <w:tc>
          <w:tcPr>
            <w:tcW w:w="1900" w:type="dxa"/>
            <w:vAlign w:val="bottom"/>
          </w:tcPr>
          <w:p>
            <w:pPr>
              <w:spacing w:after="0"/>
              <w:rPr>
                <w:sz w:val="24"/>
                <w:szCs w:val="24"/>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Attorney-in-fact</w:t>
            </w:r>
          </w:p>
        </w:tc>
      </w:tr>
      <w:tr>
        <w:trPr>
          <w:trHeight w:val="580"/>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THE BOOKRUNNERS</w:t>
            </w: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
        </w:trPr>
        <w:tc>
          <w:tcPr>
            <w:tcW w:w="1840" w:type="dxa"/>
            <w:vAlign w:val="bottom"/>
            <w:gridSpan w:val="2"/>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r>
      <w:tr>
        <w:trPr>
          <w:trHeight w:val="399"/>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ABN AMRO BANK N.V.</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24"/>
                <w:szCs w:val="24"/>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Attorney-in-fact</w:t>
            </w: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CITIGROUP GLOBAL MARKETS LIMITED</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/s/ Zain Zaidi</w:t>
            </w: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9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NORDEA BANK ABP, FILIAL I NORGE</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gridSpan w:val="3"/>
          </w:tcPr>
          <w:p>
            <w:pPr>
              <w:spacing w:after="0"/>
              <w:rPr>
                <w:sz w:val="24"/>
                <w:szCs w:val="24"/>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By:</w:t>
            </w:r>
          </w:p>
        </w:tc>
        <w:tc>
          <w:tcPr>
            <w:tcW w:w="30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6"/>
          </w:tcPr>
          <w:p>
            <w:pPr>
              <w:spacing w:after="0"/>
              <w:rPr>
                <w:sz w:val="20"/>
                <w:szCs w:val="20"/>
                <w:color w:val="auto"/>
              </w:rPr>
            </w:pPr>
            <w:r>
              <w:rPr>
                <w:rFonts w:ascii="Arial" w:cs="Arial" w:eastAsia="Arial" w:hAnsi="Arial"/>
                <w:sz w:val="18"/>
                <w:szCs w:val="18"/>
                <w:color w:val="auto"/>
              </w:rPr>
              <w:t>Attorney-in-fact</w:t>
            </w:r>
          </w:p>
        </w:tc>
      </w:tr>
      <w:tr>
        <w:trPr>
          <w:trHeight w:val="419"/>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60" w:type="dxa"/>
            <w:vAlign w:val="bottom"/>
          </w:tcPr>
          <w:p>
            <w:pPr>
              <w:jc w:val="right"/>
              <w:ind w:right="1690"/>
              <w:spacing w:after="0"/>
              <w:rPr>
                <w:sz w:val="20"/>
                <w:szCs w:val="20"/>
                <w:color w:val="auto"/>
              </w:rPr>
            </w:pPr>
            <w:r>
              <w:rPr>
                <w:rFonts w:ascii="Arial" w:cs="Arial" w:eastAsia="Arial" w:hAnsi="Arial"/>
                <w:sz w:val="18"/>
                <w:szCs w:val="18"/>
                <w:color w:val="auto"/>
              </w:rPr>
              <w:t>198</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8"/>
        </w:trPr>
        <w:tc>
          <w:tcPr>
            <w:tcW w:w="12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THE AGENT</w:t>
            </w:r>
          </w:p>
        </w:tc>
        <w:tc>
          <w:tcPr>
            <w:tcW w:w="3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98"/>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ABN AMRO BANK N.V.</w:t>
            </w:r>
          </w:p>
        </w:tc>
        <w:tc>
          <w:tcPr>
            <w:tcW w:w="3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tcPr>
          <w:p>
            <w:pPr>
              <w:spacing w:after="0"/>
              <w:rPr>
                <w:sz w:val="24"/>
                <w:szCs w:val="24"/>
                <w:color w:val="auto"/>
              </w:rPr>
            </w:pPr>
          </w:p>
        </w:tc>
      </w:tr>
      <w:tr>
        <w:trPr>
          <w:trHeight w:val="223"/>
        </w:trPr>
        <w:tc>
          <w:tcPr>
            <w:tcW w:w="3740" w:type="dxa"/>
            <w:vAlign w:val="bottom"/>
            <w:gridSpan w:val="3"/>
          </w:tcPr>
          <w:p>
            <w:pPr>
              <w:spacing w:after="0"/>
              <w:rPr>
                <w:sz w:val="20"/>
                <w:szCs w:val="20"/>
                <w:color w:val="auto"/>
              </w:rPr>
            </w:pPr>
            <w:r>
              <w:rPr>
                <w:rFonts w:ascii="Arial" w:cs="Arial" w:eastAsia="Arial" w:hAnsi="Arial"/>
                <w:sz w:val="18"/>
                <w:szCs w:val="18"/>
                <w:color w:val="auto"/>
              </w:rPr>
              <w:t>By:</w:t>
            </w:r>
          </w:p>
        </w:tc>
        <w:tc>
          <w:tcPr>
            <w:tcW w:w="3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Attorney-in-fact</w:t>
            </w:r>
          </w:p>
        </w:tc>
      </w:tr>
      <w:tr>
        <w:trPr>
          <w:trHeight w:val="594"/>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THE SECURITY AGENT</w:t>
            </w:r>
          </w:p>
        </w:tc>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8"/>
        </w:trPr>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ABN AMRO BANK N.V.</w:t>
            </w:r>
          </w:p>
        </w:tc>
        <w:tc>
          <w:tcPr>
            <w:tcW w:w="1740" w:type="dxa"/>
            <w:vAlign w:val="bottom"/>
          </w:tcPr>
          <w:p>
            <w:pPr>
              <w:spacing w:after="0"/>
              <w:rPr>
                <w:sz w:val="24"/>
                <w:szCs w:val="24"/>
                <w:color w:val="auto"/>
              </w:rPr>
            </w:pPr>
          </w:p>
        </w:tc>
        <w:tc>
          <w:tcPr>
            <w:tcW w:w="3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Niki Alexandrou</w:t>
            </w:r>
          </w:p>
        </w:tc>
        <w:tc>
          <w:tcPr>
            <w:tcW w:w="2220" w:type="dxa"/>
            <w:vAlign w:val="bottom"/>
          </w:tcPr>
          <w:p>
            <w:pPr>
              <w:spacing w:after="0"/>
              <w:rPr>
                <w:sz w:val="24"/>
                <w:szCs w:val="24"/>
                <w:color w:val="auto"/>
              </w:rPr>
            </w:pPr>
          </w:p>
        </w:tc>
      </w:tr>
      <w:tr>
        <w:trPr>
          <w:trHeight w:val="223"/>
        </w:trPr>
        <w:tc>
          <w:tcPr>
            <w:tcW w:w="3740" w:type="dxa"/>
            <w:vAlign w:val="bottom"/>
            <w:gridSpan w:val="3"/>
          </w:tcPr>
          <w:p>
            <w:pPr>
              <w:spacing w:after="0"/>
              <w:rPr>
                <w:sz w:val="20"/>
                <w:szCs w:val="20"/>
                <w:color w:val="auto"/>
              </w:rPr>
            </w:pPr>
            <w:r>
              <w:rPr>
                <w:rFonts w:ascii="Arial" w:cs="Arial" w:eastAsia="Arial" w:hAnsi="Arial"/>
                <w:sz w:val="18"/>
                <w:szCs w:val="18"/>
                <w:color w:val="auto"/>
              </w:rPr>
              <w:t>By:</w:t>
            </w:r>
          </w:p>
        </w:tc>
        <w:tc>
          <w:tcPr>
            <w:tcW w:w="3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720" w:type="dxa"/>
            <w:vAlign w:val="bottom"/>
            <w:gridSpan w:val="2"/>
          </w:tcPr>
          <w:p>
            <w:pPr>
              <w:spacing w:after="0"/>
              <w:rPr>
                <w:sz w:val="20"/>
                <w:szCs w:val="20"/>
                <w:color w:val="auto"/>
              </w:rPr>
            </w:pPr>
            <w:r>
              <w:rPr>
                <w:rFonts w:ascii="Arial" w:cs="Arial" w:eastAsia="Arial" w:hAnsi="Arial"/>
                <w:sz w:val="18"/>
                <w:szCs w:val="18"/>
                <w:color w:val="auto"/>
              </w:rPr>
              <w:t>Attorney-in-fact</w:t>
            </w:r>
          </w:p>
        </w:tc>
      </w:tr>
      <w:tr>
        <w:trPr>
          <w:trHeight w:val="418"/>
        </w:trPr>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20" w:type="dxa"/>
            <w:vAlign w:val="bottom"/>
          </w:tcPr>
          <w:p>
            <w:pPr>
              <w:jc w:val="right"/>
              <w:ind w:right="1690"/>
              <w:spacing w:after="0"/>
              <w:rPr>
                <w:sz w:val="20"/>
                <w:szCs w:val="20"/>
                <w:color w:val="auto"/>
              </w:rPr>
            </w:pPr>
            <w:r>
              <w:rPr>
                <w:rFonts w:ascii="Arial" w:cs="Arial" w:eastAsia="Arial" w:hAnsi="Arial"/>
                <w:sz w:val="18"/>
                <w:szCs w:val="18"/>
                <w:color w:val="auto"/>
              </w:rPr>
              <w:t>199</w:t>
            </w:r>
          </w:p>
        </w:tc>
        <w:tc>
          <w:tcPr>
            <w:tcW w:w="1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18"/>
        </w:trPr>
        <w:tc>
          <w:tcPr>
            <w:tcW w:w="10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206" w:name="page207"/>
    <w:bookmarkEnd w:id="206"/>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June 30, 2020</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Piraeus, Greece, August 5, 2020, GasLog Ltd. and its subsidiaries (“GasLog”, “Group” or “Company”) (NYSE: GLOG)</w:t>
      </w:r>
      <w:r>
        <w:rPr>
          <w:rFonts w:ascii="Arial" w:cs="Arial" w:eastAsia="Arial" w:hAnsi="Arial"/>
          <w:sz w:val="16"/>
          <w:szCs w:val="16"/>
          <w:color w:val="auto"/>
        </w:rPr>
        <w:t>, an international owner, operator 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of liquefied natural gas (“LNG”) carriers, today reported its financial results for the quarter ended June 30, 2020.</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600" w:right="540" w:hanging="592"/>
        <w:spacing w:after="0" w:line="266" w:lineRule="auto"/>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Post quarter-end, refinanced in full the Group’s debt maturities due in 2021 with four new credit facilities representing a total of approximately $1.1 billion, strengthening the balance sheet and delivering $30.2 million of incremental liquidity to the Group.</w:t>
      </w:r>
    </w:p>
    <w:p>
      <w:pPr>
        <w:spacing w:after="0" w:line="1" w:lineRule="exact"/>
        <w:rPr>
          <w:rFonts w:ascii="Arial" w:cs="Arial" w:eastAsia="Arial" w:hAnsi="Arial"/>
          <w:sz w:val="16"/>
          <w:szCs w:val="16"/>
          <w:color w:val="auto"/>
        </w:rPr>
      </w:pPr>
    </w:p>
    <w:p>
      <w:pPr>
        <w:ind w:left="600" w:right="40" w:hanging="592"/>
        <w:spacing w:after="0" w:line="264" w:lineRule="auto"/>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Completed the sale of 14,400,000 shares of common equity through a private placement, including 6,500,000 million shares purchased by Blenheim Holdings Ltd., wholly-owned by the Livanos family, and 4,000,000 shares purchased by a wholly-owned affiliate of the Onassis Foundation, for total gross proceeds of $36.0 million.</w:t>
      </w:r>
    </w:p>
    <w:p>
      <w:pPr>
        <w:ind w:left="600" w:right="820" w:hanging="592"/>
        <w:spacing w:after="0" w:line="264" w:lineRule="auto"/>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on April 1, 2020, a 180,000 cubic meters (“cbm”) LNG carrier with dual fuel medium speed propulsion (“X-DF”) and commencement of its seven-year time charter agreement with a wholly-owned subsidiary of Centrica plc. (“Centrica”).</w:t>
      </w:r>
    </w:p>
    <w:p>
      <w:pPr>
        <w:ind w:left="600" w:right="80" w:hanging="592"/>
        <w:spacing w:after="0" w:line="264" w:lineRule="auto"/>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Delivery of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on May 11, 2020, a 180,000 cbm LNG carrier with X-DF propulsion and commencement of its 12-year time charter agreement with the principal LNG shipping entity of Japan’s JERA Co., Inc. (“JERA”).</w:t>
      </w:r>
    </w:p>
    <w:p>
      <w:pPr>
        <w:ind w:left="600" w:right="280" w:hanging="592"/>
        <w:spacing w:after="0" w:line="264" w:lineRule="auto"/>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Post quarter-end delivery of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on July 15, 2020, a 180,000 cbm LNG carrier with X-DF propulsion and commencement of its seven-year time charter agreement with Centrica.</w:t>
      </w:r>
    </w:p>
    <w:p>
      <w:pPr>
        <w:ind w:left="600" w:hanging="592"/>
        <w:spacing w:after="0"/>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Published the inaugural Sustainability Report for 2019 on June 11, 2020.</w:t>
      </w:r>
    </w:p>
    <w:p>
      <w:pPr>
        <w:spacing w:after="0" w:line="18" w:lineRule="exact"/>
        <w:rPr>
          <w:rFonts w:ascii="Arial" w:cs="Arial" w:eastAsia="Arial" w:hAnsi="Arial"/>
          <w:sz w:val="16"/>
          <w:szCs w:val="16"/>
          <w:color w:val="auto"/>
        </w:rPr>
      </w:pPr>
    </w:p>
    <w:p>
      <w:pPr>
        <w:ind w:left="600" w:right="220" w:hanging="592"/>
        <w:spacing w:after="0" w:line="281" w:lineRule="auto"/>
        <w:tabs>
          <w:tab w:leader="none" w:pos="600" w:val="left"/>
        </w:tabs>
        <w:numPr>
          <w:ilvl w:val="0"/>
          <w:numId w:val="477"/>
        </w:numPr>
        <w:rPr>
          <w:rFonts w:ascii="Arial" w:cs="Arial" w:eastAsia="Arial" w:hAnsi="Arial"/>
          <w:sz w:val="15"/>
          <w:szCs w:val="15"/>
          <w:color w:val="auto"/>
        </w:rPr>
      </w:pPr>
      <w:r>
        <w:rPr>
          <w:rFonts w:ascii="Arial" w:cs="Arial" w:eastAsia="Arial" w:hAnsi="Arial"/>
          <w:sz w:val="15"/>
          <w:szCs w:val="15"/>
          <w:color w:val="auto"/>
        </w:rPr>
        <w:t>Materially concluded the previously announced organizational changes in relation to our London and Monaco offices. On further review have decided to expand this plan to GasLog Partners and our Stamford office, aiming to achieve further operational efficiencies and to reduce overheads.</w:t>
      </w:r>
    </w:p>
    <w:p>
      <w:pPr>
        <w:spacing w:after="0" w:line="1" w:lineRule="exact"/>
        <w:rPr>
          <w:rFonts w:ascii="Arial" w:cs="Arial" w:eastAsia="Arial" w:hAnsi="Arial"/>
          <w:sz w:val="15"/>
          <w:szCs w:val="15"/>
          <w:color w:val="auto"/>
        </w:rPr>
      </w:pPr>
    </w:p>
    <w:p>
      <w:pPr>
        <w:ind w:left="600" w:hanging="592"/>
        <w:spacing w:after="0"/>
        <w:tabs>
          <w:tab w:leader="none" w:pos="600" w:val="left"/>
        </w:tabs>
        <w:numPr>
          <w:ilvl w:val="0"/>
          <w:numId w:val="477"/>
        </w:numPr>
        <w:rPr>
          <w:rFonts w:ascii="Arial" w:cs="Arial" w:eastAsia="Arial" w:hAnsi="Arial"/>
          <w:sz w:val="15"/>
          <w:szCs w:val="15"/>
          <w:color w:val="auto"/>
        </w:rPr>
      </w:pPr>
      <w:r>
        <w:rPr>
          <w:rFonts w:ascii="Arial" w:cs="Arial" w:eastAsia="Arial" w:hAnsi="Arial"/>
          <w:sz w:val="15"/>
          <w:szCs w:val="15"/>
          <w:color w:val="auto"/>
        </w:rPr>
        <w:t>As of June 30, 2020, recognized a non-cash impairment loss of $22.5 million in aggregate on certain of our steam turbine propulsion (“Steam”) vessels.</w:t>
      </w:r>
    </w:p>
    <w:p>
      <w:pPr>
        <w:spacing w:after="0" w:line="30" w:lineRule="exact"/>
        <w:rPr>
          <w:rFonts w:ascii="Arial" w:cs="Arial" w:eastAsia="Arial" w:hAnsi="Arial"/>
          <w:sz w:val="15"/>
          <w:szCs w:val="15"/>
          <w:color w:val="auto"/>
        </w:rPr>
      </w:pPr>
    </w:p>
    <w:p>
      <w:pPr>
        <w:ind w:left="600" w:hanging="592"/>
        <w:spacing w:after="0"/>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Contracted time charter revenues of approximately $294.9 million for the remainder of 2020, representing 82.2% charter coverage.</w:t>
      </w:r>
    </w:p>
    <w:p>
      <w:pPr>
        <w:spacing w:after="0" w:line="18" w:lineRule="exact"/>
        <w:rPr>
          <w:rFonts w:ascii="Arial" w:cs="Arial" w:eastAsia="Arial" w:hAnsi="Arial"/>
          <w:sz w:val="16"/>
          <w:szCs w:val="16"/>
          <w:color w:val="auto"/>
        </w:rPr>
      </w:pPr>
    </w:p>
    <w:p>
      <w:pPr>
        <w:ind w:left="600" w:hanging="592"/>
        <w:spacing w:after="0" w:line="211" w:lineRule="auto"/>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Quarterly Revenues of $158.9 million, Loss of ($13.3) million and Loss per share of ($0.30)</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three-month period ended June 30, 2020.</w:t>
      </w:r>
    </w:p>
    <w:p>
      <w:pPr>
        <w:ind w:left="600" w:right="20" w:hanging="592"/>
        <w:spacing w:after="0" w:line="222" w:lineRule="auto"/>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Quarterly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$111.7 million, Adjusted Profit</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$24.6 million and Adjusted Earnings per share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$0.02</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three-month period ended June 30, 2020.</w:t>
      </w:r>
    </w:p>
    <w:p>
      <w:pPr>
        <w:spacing w:after="0" w:line="1" w:lineRule="exact"/>
        <w:rPr>
          <w:rFonts w:ascii="Arial" w:cs="Arial" w:eastAsia="Arial" w:hAnsi="Arial"/>
          <w:sz w:val="16"/>
          <w:szCs w:val="16"/>
          <w:color w:val="auto"/>
        </w:rPr>
      </w:pPr>
    </w:p>
    <w:p>
      <w:pPr>
        <w:ind w:left="600" w:hanging="592"/>
        <w:spacing w:after="0"/>
        <w:tabs>
          <w:tab w:leader="none" w:pos="6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Quarterly dividend of $0.05 per common share payable on August 27, 2020.</w:t>
      </w:r>
    </w:p>
    <w:p>
      <w:pPr>
        <w:spacing w:after="0" w:line="200" w:lineRule="exact"/>
        <w:rPr>
          <w:sz w:val="20"/>
          <w:szCs w:val="20"/>
          <w:color w:val="auto"/>
        </w:rPr>
      </w:pPr>
    </w:p>
    <w:p>
      <w:pPr>
        <w:spacing w:after="0" w:line="238" w:lineRule="exact"/>
        <w:rPr>
          <w:sz w:val="20"/>
          <w:szCs w:val="20"/>
          <w:color w:val="auto"/>
        </w:rPr>
      </w:pPr>
    </w:p>
    <w:p>
      <w:pPr>
        <w:ind w:left="140" w:right="360" w:hanging="132"/>
        <w:spacing w:after="0" w:line="230" w:lineRule="auto"/>
        <w:tabs>
          <w:tab w:leader="none" w:pos="153" w:val="left"/>
        </w:tabs>
        <w:numPr>
          <w:ilvl w:val="0"/>
          <w:numId w:val="478"/>
        </w:numPr>
        <w:rPr>
          <w:rFonts w:ascii="Arial" w:cs="Arial" w:eastAsia="Arial" w:hAnsi="Arial"/>
          <w:sz w:val="17"/>
          <w:szCs w:val="17"/>
          <w:color w:val="auto"/>
          <w:vertAlign w:val="superscript"/>
        </w:rPr>
      </w:pPr>
      <w:r>
        <w:rPr>
          <w:rFonts w:ascii="Arial" w:cs="Arial" w:eastAsia="Arial" w:hAnsi="Arial"/>
          <w:sz w:val="13"/>
          <w:szCs w:val="13"/>
          <w:color w:val="auto"/>
        </w:rPr>
        <w:t>Earnings/(loss) per share (“EPS”) and Adjusted EPS are net of the profit attributable to non-controlling interests of $8.0 million and the dividend on preferred stock of $2.5 million for the quarter ended June 30, 2020 ($15.5 million and $2.5 million, respectively, for the quarter ended June 30, 2019).</w:t>
      </w:r>
    </w:p>
    <w:p>
      <w:pPr>
        <w:spacing w:after="0" w:line="182" w:lineRule="exact"/>
        <w:rPr>
          <w:rFonts w:ascii="Arial" w:cs="Arial" w:eastAsia="Arial" w:hAnsi="Arial"/>
          <w:sz w:val="17"/>
          <w:szCs w:val="17"/>
          <w:color w:val="auto"/>
          <w:vertAlign w:val="superscript"/>
        </w:rPr>
      </w:pPr>
    </w:p>
    <w:p>
      <w:pPr>
        <w:ind w:left="140" w:right="140" w:hanging="132"/>
        <w:spacing w:after="0" w:line="238" w:lineRule="auto"/>
        <w:tabs>
          <w:tab w:leader="none" w:pos="145" w:val="left"/>
        </w:tabs>
        <w:numPr>
          <w:ilvl w:val="0"/>
          <w:numId w:val="478"/>
        </w:numPr>
        <w:rPr>
          <w:rFonts w:ascii="Arial" w:cs="Arial" w:eastAsia="Arial" w:hAnsi="Arial"/>
          <w:sz w:val="16"/>
          <w:szCs w:val="16"/>
          <w:color w:val="auto"/>
          <w:vertAlign w:val="superscript"/>
        </w:rPr>
      </w:pPr>
      <w:r>
        <w:rPr>
          <w:rFonts w:ascii="Arial" w:cs="Arial" w:eastAsia="Arial" w:hAnsi="Arial"/>
          <w:sz w:val="13"/>
          <w:szCs w:val="13"/>
          <w:color w:val="auto"/>
        </w:rPr>
        <w:t>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Chairman and CEO Statements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Peter G. Livanos, Chairman of GasLog, stated: “The second quarter again demonstrated the resiliency of GasLog’s platform despite the ongoing difficulties created by the COVID-19 pandemic. Our in-built and fully financed growth is delivering as planned, we have made great progress in reducing our operating and overhead expenses as well as our debt service costs following the recent refinancings, and we have significantly enhanced our liquidity.”</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Paul Wogan, Chief Executive Officer, stated: “Despite the current challenges in our operating and commercial environment we achieved stable year on year performance in the second quarter of 2020 and delivered close to 100% uptime for our fleet. During the second quarter,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Wales</w:t>
      </w:r>
      <w:r>
        <w:rPr>
          <w:rFonts w:ascii="Arial" w:cs="Arial" w:eastAsia="Arial" w:hAnsi="Arial"/>
          <w:sz w:val="16"/>
          <w:szCs w:val="16"/>
          <w:color w:val="auto"/>
        </w:rPr>
        <w:t>, both delivered on time and on budget and into multi-year fixed-rate charters with high quality counterparties, we increased the Group’s available liquidity through a private placement, raising $36.0 million, 75% of which was from insiders, including our Founder and Chairman, Peter G. Livanos and the Onassis Foundation. In addition, we published our inaugural Sustainability Report for 2019.</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Our strategic execution continued in the third quarter where, together with GasLog Partners, we refinanced all of the Group’s 2021 debt maturities with four new credit facilities, improving the Group’s liquidity by $30.2 million. In addition, we took delivery of the </w:t>
      </w:r>
      <w:r>
        <w:rPr>
          <w:rFonts w:ascii="Arial" w:cs="Arial" w:eastAsia="Arial" w:hAnsi="Arial"/>
          <w:sz w:val="16"/>
          <w:szCs w:val="16"/>
          <w:i w:val="1"/>
          <w:iCs w:val="1"/>
          <w:color w:val="auto"/>
        </w:rPr>
        <w:t>GasLog Westminster</w:t>
      </w:r>
      <w:r>
        <w:rPr>
          <w:rFonts w:ascii="Arial" w:cs="Arial" w:eastAsia="Arial" w:hAnsi="Arial"/>
          <w:sz w:val="16"/>
          <w:szCs w:val="16"/>
          <w:color w:val="auto"/>
        </w:rPr>
        <w:t>, on time and on budget and she immediately began a 7-year charter with Centrica.</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 continue to be impressed with the dedication and professionalism of our employees during these uncertain times, particularly our seafarers, many of whom have been away from their families for an extended period. Although we have made progress in crew changes since the COVID-19 outbreak began, progress is slower than we hoped as many countries remain reluctant to allow crews to embark and disembark through their ports. As our seafarers are delivering vitally needed energy to the world I believe they should be recognised as key workers with their health and wellbeing acknowledged and respected by all maritime nations and with their passage from and to their vessels recognised as a priority.”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b w:val="1"/>
          <w:bCs w:val="1"/>
          <w:u w:val="single" w:color="auto"/>
          <w:color w:val="auto"/>
        </w:rPr>
        <w:t>COVID-19 Update</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Given the current uncertainty in relation to COVID-19, we have disclosed certain risks and uncertainties in our Form 6-K for the three months ended June 30, 2020 (refer to Exhibit 99.2), which also updates the risk factors described in our Annual Report on Form 20-F filed with the SEC on March 6, 2020 and in our Quarterly Report on Form 6-K filed with the SEC on May 7,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GasLog’s focus continues to be on ensuring the health and safety of our employees while providing safe and reliable operations for our customers.</w:t>
      </w:r>
    </w:p>
    <w:p>
      <w:pPr>
        <w:spacing w:after="0" w:line="248" w:lineRule="exact"/>
        <w:rPr>
          <w:sz w:val="20"/>
          <w:szCs w:val="20"/>
          <w:color w:val="auto"/>
        </w:rPr>
      </w:pPr>
    </w:p>
    <w:p>
      <w:pPr>
        <w:jc w:val="both"/>
        <w:ind w:left="660" w:hanging="328"/>
        <w:spacing w:after="0" w:line="257" w:lineRule="auto"/>
        <w:tabs>
          <w:tab w:leader="none" w:pos="745" w:val="left"/>
        </w:tabs>
        <w:numPr>
          <w:ilvl w:val="0"/>
          <w:numId w:val="479"/>
        </w:numPr>
        <w:rPr>
          <w:rFonts w:ascii="Arial" w:cs="Arial" w:eastAsia="Arial" w:hAnsi="Arial"/>
          <w:sz w:val="18"/>
          <w:szCs w:val="18"/>
          <w:color w:val="auto"/>
        </w:rPr>
      </w:pPr>
      <w:r>
        <w:rPr>
          <w:rFonts w:ascii="Arial" w:cs="Arial" w:eastAsia="Arial" w:hAnsi="Arial"/>
          <w:sz w:val="16"/>
          <w:szCs w:val="16"/>
          <w:color w:val="auto"/>
        </w:rPr>
        <w:t>Beginning on June 1, 2020, employees at our Piraeus, Greece location returned to the office on a rotational basis at a capacity of approximately 50.0%. Piraeus office personnel have been provided with the appropriate personal protective equipment and modifications were made to the office’s floor plan to ensure social distancing; plexiglass dividers were installed and enhanced cleaning procedures have been enacted. All other onshore locations continue under a “work from home” policy in accordance with local guidelines and regulations;</w:t>
      </w:r>
    </w:p>
    <w:p>
      <w:pPr>
        <w:spacing w:after="0" w:line="10" w:lineRule="exact"/>
        <w:rPr>
          <w:rFonts w:ascii="Arial" w:cs="Arial" w:eastAsia="Arial" w:hAnsi="Arial"/>
          <w:sz w:val="18"/>
          <w:szCs w:val="18"/>
          <w:color w:val="auto"/>
        </w:rPr>
      </w:pPr>
    </w:p>
    <w:p>
      <w:pPr>
        <w:ind w:left="660" w:hanging="328"/>
        <w:spacing w:after="0" w:line="266" w:lineRule="auto"/>
        <w:tabs>
          <w:tab w:leader="none" w:pos="624" w:val="left"/>
        </w:tabs>
        <w:numPr>
          <w:ilvl w:val="0"/>
          <w:numId w:val="479"/>
        </w:numPr>
        <w:rPr>
          <w:rFonts w:ascii="Arial" w:cs="Arial" w:eastAsia="Arial" w:hAnsi="Arial"/>
          <w:sz w:val="17"/>
          <w:szCs w:val="17"/>
          <w:color w:val="auto"/>
        </w:rPr>
      </w:pPr>
      <w:r>
        <w:rPr>
          <w:rFonts w:ascii="Arial" w:cs="Arial" w:eastAsia="Arial" w:hAnsi="Arial"/>
          <w:sz w:val="15"/>
          <w:szCs w:val="15"/>
          <w:color w:val="auto"/>
        </w:rPr>
        <w:t>Crew changes continue to be planned at every opportunity and to date GasLog has been able to rotate approximately 80.0% of the officers and a smaller percentage of the other ranks. The majority of the crew rotation difficulties we face, are due to continued lockdowns in Singapore and the Philippines;</w:t>
      </w:r>
    </w:p>
    <w:p>
      <w:pPr>
        <w:spacing w:after="0" w:line="10" w:lineRule="exact"/>
        <w:rPr>
          <w:rFonts w:ascii="Arial" w:cs="Arial" w:eastAsia="Arial" w:hAnsi="Arial"/>
          <w:sz w:val="17"/>
          <w:szCs w:val="17"/>
          <w:color w:val="auto"/>
        </w:rPr>
      </w:pPr>
    </w:p>
    <w:p>
      <w:pPr>
        <w:jc w:val="both"/>
        <w:ind w:left="660" w:hanging="328"/>
        <w:spacing w:after="0" w:line="289" w:lineRule="auto"/>
        <w:tabs>
          <w:tab w:leader="none" w:pos="678" w:val="left"/>
        </w:tabs>
        <w:numPr>
          <w:ilvl w:val="0"/>
          <w:numId w:val="479"/>
        </w:numPr>
        <w:rPr>
          <w:rFonts w:ascii="Arial" w:cs="Arial" w:eastAsia="Arial" w:hAnsi="Arial"/>
          <w:sz w:val="16"/>
          <w:szCs w:val="16"/>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Savannah</w:t>
      </w:r>
      <w:r>
        <w:rPr>
          <w:rFonts w:ascii="Arial" w:cs="Arial" w:eastAsia="Arial" w:hAnsi="Arial"/>
          <w:sz w:val="14"/>
          <w:szCs w:val="14"/>
          <w:color w:val="auto"/>
        </w:rPr>
        <w:t xml:space="preserve"> is expected to complete her scheduled dry-docking by the end of August 2020. The vessel began its dry-docking in Singapore on April 9, 2020; however, COVID-19 related lockdown measures were enacted soon thereafter and extended through early July, preventing its scheduled completion and, as a result, the </w:t>
      </w:r>
      <w:r>
        <w:rPr>
          <w:rFonts w:ascii="Arial" w:cs="Arial" w:eastAsia="Arial" w:hAnsi="Arial"/>
          <w:sz w:val="14"/>
          <w:szCs w:val="14"/>
          <w:i w:val="1"/>
          <w:iCs w:val="1"/>
          <w:color w:val="auto"/>
        </w:rPr>
        <w:t>GasLog Savannah</w:t>
      </w:r>
      <w:r>
        <w:rPr>
          <w:rFonts w:ascii="Arial" w:cs="Arial" w:eastAsia="Arial" w:hAnsi="Arial"/>
          <w:sz w:val="14"/>
          <w:szCs w:val="14"/>
          <w:color w:val="auto"/>
        </w:rPr>
        <w:t xml:space="preserve"> was off-charter for a total of 90 days and approximately 60 days during the second and third quarters of 2020, respectively; and</w:t>
      </w:r>
    </w:p>
    <w:p>
      <w:pPr>
        <w:spacing w:after="0" w:line="11" w:lineRule="exact"/>
        <w:rPr>
          <w:rFonts w:ascii="Arial" w:cs="Arial" w:eastAsia="Arial" w:hAnsi="Arial"/>
          <w:sz w:val="16"/>
          <w:szCs w:val="16"/>
          <w:color w:val="auto"/>
        </w:rPr>
      </w:pPr>
    </w:p>
    <w:p>
      <w:pPr>
        <w:ind w:left="660" w:hanging="328"/>
        <w:spacing w:after="0" w:line="263" w:lineRule="auto"/>
        <w:tabs>
          <w:tab w:leader="none" w:pos="732" w:val="left"/>
        </w:tabs>
        <w:numPr>
          <w:ilvl w:val="0"/>
          <w:numId w:val="479"/>
        </w:numPr>
        <w:rPr>
          <w:rFonts w:ascii="Arial" w:cs="Arial" w:eastAsia="Arial" w:hAnsi="Arial"/>
          <w:sz w:val="18"/>
          <w:szCs w:val="18"/>
          <w:color w:val="auto"/>
        </w:rPr>
      </w:pPr>
      <w:r>
        <w:rPr>
          <w:rFonts w:ascii="Arial" w:cs="Arial" w:eastAsia="Arial" w:hAnsi="Arial"/>
          <w:sz w:val="16"/>
          <w:szCs w:val="16"/>
          <w:color w:val="auto"/>
        </w:rPr>
        <w:t xml:space="preserve">As a result of these measures and the dedication of our employees onshore and aboard our vessels, excluding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approximately 100% of our fleet continues to be available for commercial use.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COVID-19 placed downward pressure on economic activity and energy demand during the second quarter and there remains significant uncertainty regarding near-term LNG demand and, therefore, LNG shipping requirements.</w:t>
      </w:r>
    </w:p>
    <w:p>
      <w:pPr>
        <w:spacing w:after="0" w:line="185" w:lineRule="exact"/>
        <w:rPr>
          <w:sz w:val="20"/>
          <w:szCs w:val="20"/>
          <w:color w:val="auto"/>
        </w:rPr>
      </w:pPr>
    </w:p>
    <w:p>
      <w:pPr>
        <w:ind w:left="620" w:hanging="288"/>
        <w:spacing w:after="0"/>
        <w:tabs>
          <w:tab w:leader="none" w:pos="620" w:val="left"/>
        </w:tabs>
        <w:numPr>
          <w:ilvl w:val="0"/>
          <w:numId w:val="480"/>
        </w:numPr>
        <w:rPr>
          <w:rFonts w:ascii="Arial" w:cs="Arial" w:eastAsia="Arial" w:hAnsi="Arial"/>
          <w:sz w:val="18"/>
          <w:szCs w:val="18"/>
          <w:color w:val="auto"/>
        </w:rPr>
      </w:pPr>
      <w:r>
        <w:rPr>
          <w:rFonts w:ascii="Arial" w:cs="Arial" w:eastAsia="Arial" w:hAnsi="Arial"/>
          <w:sz w:val="16"/>
          <w:szCs w:val="16"/>
          <w:color w:val="auto"/>
        </w:rPr>
        <w:t>The Group’s charter coverage for the remainder of 2020 is 82%;</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80"/>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has led to greater volatility in spot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80"/>
        </w:numPr>
        <w:rPr>
          <w:rFonts w:ascii="Arial" w:cs="Arial" w:eastAsia="Arial" w:hAnsi="Arial"/>
          <w:sz w:val="17"/>
          <w:szCs w:val="17"/>
          <w:color w:val="auto"/>
        </w:rPr>
      </w:pPr>
      <w:r>
        <w:rPr>
          <w:rFonts w:ascii="Arial" w:cs="Arial" w:eastAsia="Arial" w:hAnsi="Arial"/>
          <w:sz w:val="15"/>
          <w:szCs w:val="15"/>
          <w:color w:val="auto"/>
        </w:rPr>
        <w:t>The utilization and earnings of our vessels trading in the spot market may be materially lower than their earnings under their initial multi-year charters; and</w:t>
      </w:r>
    </w:p>
    <w:p>
      <w:pPr>
        <w:spacing w:after="0" w:line="20" w:lineRule="exact"/>
        <w:rPr>
          <w:rFonts w:ascii="Arial" w:cs="Arial" w:eastAsia="Arial" w:hAnsi="Arial"/>
          <w:sz w:val="17"/>
          <w:szCs w:val="17"/>
          <w:color w:val="auto"/>
        </w:rPr>
      </w:pPr>
    </w:p>
    <w:p>
      <w:pPr>
        <w:jc w:val="both"/>
        <w:ind w:left="660" w:hanging="328"/>
        <w:spacing w:after="0" w:line="263" w:lineRule="auto"/>
        <w:tabs>
          <w:tab w:leader="none" w:pos="718" w:val="left"/>
        </w:tabs>
        <w:numPr>
          <w:ilvl w:val="0"/>
          <w:numId w:val="480"/>
        </w:numPr>
        <w:rPr>
          <w:rFonts w:ascii="Arial" w:cs="Arial" w:eastAsia="Arial" w:hAnsi="Arial"/>
          <w:sz w:val="18"/>
          <w:szCs w:val="18"/>
          <w:color w:val="auto"/>
        </w:rPr>
      </w:pPr>
      <w:r>
        <w:rPr>
          <w:rFonts w:ascii="Arial" w:cs="Arial" w:eastAsia="Arial" w:hAnsi="Arial"/>
          <w:sz w:val="16"/>
          <w:szCs w:val="16"/>
          <w:color w:val="auto"/>
        </w:rPr>
        <w:t xml:space="preserve">On September 4, 2019, GasLog announced a new 10-year time charter with Sinolam LNG Terminal, S.A.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for use as a floating storage unit (“FSU”) in support of a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delayed by 6 months, the result of COVID-19 related impacts to the construction schedule. GasLog has received approval to defer conversion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8" w:name="page209"/>
    <w:bookmarkEnd w:id="208"/>
    <w:p>
      <w:pPr>
        <w:ind w:left="660"/>
        <w:spacing w:after="0" w:line="293" w:lineRule="auto"/>
        <w:rPr>
          <w:sz w:val="20"/>
          <w:szCs w:val="20"/>
          <w:color w:val="auto"/>
        </w:rPr>
      </w:pPr>
      <w:r>
        <w:rPr>
          <w:rFonts w:ascii="Arial" w:cs="Arial" w:eastAsia="Arial" w:hAnsi="Arial"/>
          <w:sz w:val="16"/>
          <w:szCs w:val="16"/>
          <w:color w:val="auto"/>
        </w:rPr>
        <w:t xml:space="preserve">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until the first quarter of 2021 to align more closely with the project’s new expected start date. All other terms of the charter party agreement remain in effect.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COVID-19 has had a sustained impact on global capital and bank credit markets, affecting access, timing and cost of capital.</w:t>
      </w:r>
    </w:p>
    <w:p>
      <w:pPr>
        <w:spacing w:after="0" w:line="248" w:lineRule="exact"/>
        <w:rPr>
          <w:sz w:val="20"/>
          <w:szCs w:val="20"/>
          <w:color w:val="auto"/>
        </w:rPr>
      </w:pPr>
    </w:p>
    <w:p>
      <w:pPr>
        <w:ind w:left="660" w:hanging="328"/>
        <w:spacing w:after="0" w:line="250" w:lineRule="auto"/>
        <w:tabs>
          <w:tab w:leader="none" w:pos="664" w:val="left"/>
        </w:tabs>
        <w:numPr>
          <w:ilvl w:val="0"/>
          <w:numId w:val="481"/>
        </w:numPr>
        <w:rPr>
          <w:rFonts w:ascii="Arial" w:cs="Arial" w:eastAsia="Arial" w:hAnsi="Arial"/>
          <w:sz w:val="18"/>
          <w:szCs w:val="18"/>
          <w:color w:val="auto"/>
        </w:rPr>
      </w:pPr>
      <w:r>
        <w:rPr>
          <w:rFonts w:ascii="Arial" w:cs="Arial" w:eastAsia="Arial" w:hAnsi="Arial"/>
          <w:sz w:val="16"/>
          <w:szCs w:val="16"/>
          <w:color w:val="auto"/>
        </w:rPr>
        <w:t>Notwithstanding COVID-19, we have refinanced the Group’s debt maturities due in 2021 with four new credit facilities representing a total of approximately $1.1 billion, strengthening the balance sheet and delivering $30.2 million of incremental liquidity to the Group;</w:t>
      </w:r>
    </w:p>
    <w:p>
      <w:pPr>
        <w:spacing w:after="0" w:line="11" w:lineRule="exact"/>
        <w:rPr>
          <w:rFonts w:ascii="Arial" w:cs="Arial" w:eastAsia="Arial" w:hAnsi="Arial"/>
          <w:sz w:val="18"/>
          <w:szCs w:val="18"/>
          <w:color w:val="auto"/>
        </w:rPr>
      </w:pPr>
    </w:p>
    <w:p>
      <w:pPr>
        <w:jc w:val="both"/>
        <w:ind w:left="660" w:hanging="328"/>
        <w:spacing w:after="0" w:line="255" w:lineRule="auto"/>
        <w:tabs>
          <w:tab w:leader="none" w:pos="678" w:val="left"/>
        </w:tabs>
        <w:numPr>
          <w:ilvl w:val="0"/>
          <w:numId w:val="481"/>
        </w:numPr>
        <w:rPr>
          <w:rFonts w:ascii="Arial" w:cs="Arial" w:eastAsia="Arial" w:hAnsi="Arial"/>
          <w:sz w:val="18"/>
          <w:szCs w:val="18"/>
          <w:color w:val="auto"/>
        </w:rPr>
      </w:pPr>
      <w:r>
        <w:rPr>
          <w:rFonts w:ascii="Arial" w:cs="Arial" w:eastAsia="Arial" w:hAnsi="Arial"/>
          <w:sz w:val="16"/>
          <w:szCs w:val="16"/>
          <w:color w:val="auto"/>
        </w:rPr>
        <w:t>Following recent amendments with several counterparties to our interest rate swap agreements as well as a strengthening of the Norwegian Kroner versus the U.S Dollar since late March, our cash collateral with respect to our interest rate and cross-currency swaps agreements was $44.8 million as of July 31, 2020, down from $71.1 million as of June 30, 2020 and $81.2 million as of March 31, 2020; and</w:t>
      </w:r>
    </w:p>
    <w:p>
      <w:pPr>
        <w:spacing w:after="0" w:line="10" w:lineRule="exact"/>
        <w:rPr>
          <w:rFonts w:ascii="Arial" w:cs="Arial" w:eastAsia="Arial" w:hAnsi="Arial"/>
          <w:sz w:val="18"/>
          <w:szCs w:val="18"/>
          <w:color w:val="auto"/>
        </w:rPr>
      </w:pPr>
    </w:p>
    <w:p>
      <w:pPr>
        <w:ind w:left="660" w:right="20" w:hanging="328"/>
        <w:spacing w:after="0" w:line="263" w:lineRule="auto"/>
        <w:tabs>
          <w:tab w:leader="none" w:pos="678" w:val="left"/>
        </w:tabs>
        <w:numPr>
          <w:ilvl w:val="0"/>
          <w:numId w:val="481"/>
        </w:numPr>
        <w:rPr>
          <w:rFonts w:ascii="Arial" w:cs="Arial" w:eastAsia="Arial" w:hAnsi="Arial"/>
          <w:sz w:val="18"/>
          <w:szCs w:val="18"/>
          <w:color w:val="auto"/>
        </w:rPr>
      </w:pPr>
      <w:r>
        <w:rPr>
          <w:rFonts w:ascii="Arial" w:cs="Arial" w:eastAsia="Arial" w:hAnsi="Arial"/>
          <w:sz w:val="16"/>
          <w:szCs w:val="16"/>
          <w:color w:val="auto"/>
        </w:rPr>
        <w:t>As of June 30, 2020, we recognized a non-cash impairment loss of $22.5 million in aggregate on certain of our Steam vessels due to the uncertainty regarding the effects of COVID-19 in the short-term spot market, as discussed in the Commercial update above.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LNG demand was 86 million tonnes (“mt”) in the second quarter of 2020, according to Poten, compared to 87 mt in the second quarter of 2019, or a decrease of approximately 2%. More specifically, Chinese LNG demand was 16 mt in the second quarter of 2020, an increase of 20% year-over-year, while demand from the Middle East was 5 mt, growing over 1 mt, or 39%. In contrast, demand from Asia, excluding China, declined by 4 mt, or 8%, and demand from Europe declined by approximately 1 mt, or 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09" w:name="page210"/>
    <w:bookmarkEnd w:id="209"/>
    <w:p>
      <w:pPr>
        <w:ind w:right="20"/>
        <w:spacing w:after="0" w:line="297" w:lineRule="auto"/>
        <w:rPr>
          <w:sz w:val="20"/>
          <w:szCs w:val="20"/>
          <w:color w:val="auto"/>
        </w:rPr>
      </w:pPr>
      <w:r>
        <w:rPr>
          <w:rFonts w:ascii="Arial" w:cs="Arial" w:eastAsia="Arial" w:hAnsi="Arial"/>
          <w:sz w:val="15"/>
          <w:szCs w:val="15"/>
          <w:color w:val="auto"/>
        </w:rPr>
        <w:t>Global LNG supply was approximately 89 mt in the first quarter of 2020, an increase of 2 mt over the second quarter of 2019, or 2%, according to Poten. Supply from the United States (“U.S.”) increased over 3 mt, or 39%, the result of production increase from new large projects including Cameron and Freeport, while re-exports out of Europe increased by 2 mt, or over 140%. This growth was offset by declines out of the Middle East and North Africa, where supply decreased by over 2 mt, or 8%. Looking ahead, approximately 94 mt of new LNG capacity is expected to begin production during 2020-2025, according to estimates from Wood Mackenzie.</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the LNG shipping spot market, tri-fuel diesel electric vessel (“TFDE”) headline rates, as reported by Clarksons, averaged $35,000 per day in the second quarter of 2020, a decrease from the averages of $57,000 in the first quarter of 2020 and $49,000 in the second quarter of 2019. Headline spot rates for Steam vessels averaged $23,000 per day in the second quarter of 2020, a decrease from the averages of $40,000 per day in the first quarter of 2020 and $33,000 per day in the second quarter of 2019. Headline spot rates in the second quarter were negatively impacted by declines in LNG demand due, in part, to ongoing impacts from the COVID-19 outbreak to the global economy as well as high inventories of natural gas and LNG, particularly in Europe, which limited opportunities for LNG arbitrage trading between Atlantic and Pacific basins. Clarksons currently assesses headline spot rates for TFDE and Steam LNG carriers at $36,500 per day and $23,000 per day, respectively.</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Although many economies around the world have begun to reopen in various stages, the COVID-19 outbreak continues to create high levels of uncertainty for LNG demand and therefore, LNG shipping, at least through the near-term. In addition, global gas prices and gas price differentials between the Atlantic and Pacific basins remain near their historic lows, limiting the opportunities for inter-basin trading, as evidenced by the reported cancellation of over 100 cargoes out of the U.S. during the third quarter of 2020. These factors, when combined with scheduled deliveries to the global fleet and usual seasonal trading patterns, have the potential to keep downward pressure on rates in the spot and short-term shipping markets over the near-term. Further ahead, futures curves for global natural gas prices indicate the potential for higher LNG demand and the resumption of inter-basin trading during the Northern Hemisphere winter, which if realized, would be expected to translate into higher utilization for the global LNG carrier fleet.</w:t>
      </w:r>
    </w:p>
    <w:p>
      <w:pPr>
        <w:spacing w:after="0" w:line="19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As of July 31, 2020, the orderbook totals 109 dedicated LNG carriers (&gt;100,000 cbm), according to estimates from Poten, representing 20% of the on-the-water fleet. Of these, 70 vessels (or 64%) have multi-year charters. Orders for newbuild LNG carriers are on pace for their lowest annual total since 2017 as just 6 newbuildings have been ordered so far in 2020, all of which are chartered under multi-year contracts.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b w:val="1"/>
          <w:bCs w:val="1"/>
          <w:u w:val="single" w:color="auto"/>
          <w:color w:val="auto"/>
        </w:rPr>
        <w:t>Debt Refinancing</w:t>
      </w:r>
    </w:p>
    <w:p>
      <w:pPr>
        <w:spacing w:after="0" w:line="239"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$8.6 million beginning in January 2021, with a final balloon amount of $174.3 million payable concurrently with the last installment in July 2025. Interest on the facility will be payable at a rate of U.S. dollar (“USD”) London Interbank Offered Rate (“LIBOR”) plus a margin. The relevant amount of $260.3 million was drawn on July 21, 2020, out of which $258.5 million was used to refinance the outstanding indebtedness of GAS-twenty Ltd., GAS-seven Ltd. and GAS-eight Ltd., the respective entities owning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Solaris</w:t>
      </w:r>
      <w:r>
        <w:rPr>
          <w:rFonts w:ascii="Arial" w:cs="Arial" w:eastAsia="Arial" w:hAnsi="Arial"/>
          <w:sz w:val="14"/>
          <w:szCs w:val="14"/>
          <w:color w:val="auto"/>
        </w:rPr>
        <w:t>.</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 xml:space="preserve">Also, on July 16, 2020, GasLog Partners entered into a credit agreement of $193.7 million with DNB Bank ASA, London Branch, and ING Bank N.V., London Branch, each an original lender, with DNB Bank ASA, London Branch acting as security agent and trustee for and on behalf of the other finance parties mentioned above, in order to refinance the existing indebtedness due in 2021 on three of its vessels. The facility will amortize over ten equal semi-annual installments of $8.6 million beginning in January 2021, with a final balloon amount of $107.7 million payable concurrently with the last installment in July 2025. Interest on the facility will be payable at a rate of USD LIBOR plus a margin. DNB Bank ASA, London Branch and ING Bank N.V., London Branch were also registered as hedging providers under the facility. The relevant amount of $193.7 million was drawn on July 21, 2020, out of which $174.9 million was used to refinance the outstanding indebtedness of GAS-nineteen Ltd., GAS-twenty one Ltd. and GAS-twenty seven Ltd., the respective entities owning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Becki Anne</w:t>
      </w:r>
      <w:r>
        <w:rPr>
          <w:rFonts w:ascii="Arial" w:cs="Arial" w:eastAsia="Arial" w:hAnsi="Arial"/>
          <w:sz w:val="15"/>
          <w:szCs w:val="15"/>
          <w:color w:val="auto"/>
        </w:rPr>
        <w:t>.</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 xml:space="preserve">GasLog has concurrently refinanced the existing indebtedness due in 2021 for the </w:t>
      </w:r>
      <w:r>
        <w:rPr>
          <w:rFonts w:ascii="Arial" w:cs="Arial" w:eastAsia="Arial" w:hAnsi="Arial"/>
          <w:sz w:val="15"/>
          <w:szCs w:val="15"/>
          <w:i w:val="1"/>
          <w:iCs w:val="1"/>
          <w:color w:val="auto"/>
        </w:rPr>
        <w:t>GasLog Savannah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Singapore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Skagen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Salem</w:t>
      </w:r>
      <w:r>
        <w:rPr>
          <w:rFonts w:ascii="Arial" w:cs="Arial" w:eastAsia="Arial" w:hAnsi="Arial"/>
          <w:sz w:val="15"/>
          <w:szCs w:val="15"/>
          <w:color w:val="auto"/>
        </w:rPr>
        <w:t>, and the</w:t>
      </w:r>
      <w:r>
        <w:rPr>
          <w:rFonts w:ascii="Arial" w:cs="Arial" w:eastAsia="Arial" w:hAnsi="Arial"/>
          <w:sz w:val="15"/>
          <w:szCs w:val="15"/>
          <w:i w:val="1"/>
          <w:iCs w:val="1"/>
          <w:color w:val="auto"/>
        </w:rPr>
        <w:t xml:space="preserve"> Methane Lydon Volney </w:t>
      </w:r>
      <w:r>
        <w:rPr>
          <w:rFonts w:ascii="Arial" w:cs="Arial" w:eastAsia="Arial" w:hAnsi="Arial"/>
          <w:sz w:val="15"/>
          <w:szCs w:val="15"/>
          <w:color w:val="auto"/>
        </w:rPr>
        <w:t>by entering into a credit agreement of $576.9 million. ABN AMRO Bank N.V., Citigroup Global Markets Limited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Nordea Bank ABP, Filial I Norge acted as global co-coordinators and bookrunners, while HSBC Bank plc acted as mandated lead arranger; Credit Agricole Corporate and Investment Bank acted as lead arranger and Unicredit Bank AG and National Bank of Australia Limited acted as arrangers, each of those being an original lender. ABN AMRO Bank N.V. was appointed by the other finance parties in this syndicate as security agent and trustee. The facility comprises of a $494.5 million Term Loan Facility which will amortize on a quarterly basis (following an initial repayment six months after initial drawdown equal to the sum of two quarterly repayments), with a final balloon amount payable concurrently with the last installment in June 2025; and a $82.4 million revolving loan facility which also matures in June 2025. Interest on the facility will be payable at a rate of USD LIBOR plus a margin. An amount of $576.9 million was drawn on July 21, 2020, out of which $557.0 million was used to refinance the outstanding indebtedness of GAS-one Ltd., GAS-two Ltd., GAS-six Ltd., GAS-nine Ltd., GAS-ten Ltd., and GAS-eighteen Ltd., the respective entities owning the </w:t>
      </w:r>
      <w:r>
        <w:rPr>
          <w:rFonts w:ascii="Arial" w:cs="Arial" w:eastAsia="Arial" w:hAnsi="Arial"/>
          <w:sz w:val="15"/>
          <w:szCs w:val="15"/>
          <w:i w:val="1"/>
          <w:iCs w:val="1"/>
          <w:color w:val="auto"/>
        </w:rPr>
        <w:t>GasLog Savannah</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Singapore</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Skagen</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Saratoga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Salem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Lydon Volney</w:t>
      </w:r>
      <w:r>
        <w:rPr>
          <w:rFonts w:ascii="Arial" w:cs="Arial" w:eastAsia="Arial" w:hAnsi="Arial"/>
          <w:sz w:val="15"/>
          <w:szCs w:val="15"/>
          <w:color w:val="auto"/>
        </w:rPr>
        <w:t>. The balance of the proceeds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used for general corporate and working capital purposes.</w:t>
      </w:r>
    </w:p>
    <w:p>
      <w:pPr>
        <w:spacing w:after="0" w:line="183"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 xml:space="preserve">On July 30, 2020, GasLog entered into a credit agreement with National Bank of Greece S.A. for the refinancing of GAS-fifteen Ltd., the entity owning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Chelsea</w:t>
      </w:r>
      <w:r>
        <w:rPr>
          <w:rFonts w:ascii="Arial" w:cs="Arial" w:eastAsia="Arial" w:hAnsi="Arial"/>
          <w:sz w:val="14"/>
          <w:szCs w:val="14"/>
          <w:color w:val="auto"/>
        </w:rPr>
        <w:t>. Funded on July 31, 2020, the facility provides $96.8 million of additional financing, refinancing the $92.3 million of outstanding indebtedness of</w:t>
      </w:r>
      <w:r>
        <w:rPr>
          <w:rFonts w:ascii="Arial" w:cs="Arial" w:eastAsia="Arial" w:hAnsi="Arial"/>
          <w:sz w:val="14"/>
          <w:szCs w:val="14"/>
          <w:i w:val="1"/>
          <w:iCs w:val="1"/>
          <w:color w:val="auto"/>
        </w:rPr>
        <w:t xml:space="preserve"> GasLog Chelsea </w:t>
      </w:r>
      <w:r>
        <w:rPr>
          <w:rFonts w:ascii="Arial" w:cs="Arial" w:eastAsia="Arial" w:hAnsi="Arial"/>
          <w:sz w:val="14"/>
          <w:szCs w:val="14"/>
          <w:color w:val="auto"/>
        </w:rPr>
        <w:t>and contributing to the $30.2 million of incremental liquidity for general corporate and working capital purposes referenced above. National Bank of Greece S.A. is acting as the sole original lender. The facility will amortize on a quarterly basis, with a final balloon amount payable concurrently with the last instalment in July 2025.</w:t>
      </w:r>
    </w:p>
    <w:p>
      <w:pPr>
        <w:spacing w:after="0" w:line="157"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signing and closing of the four credit facilities described above was completed during a time of unprecedented uncertainty in credit and bank markets and saw participation from new and existing lenders, which underscores the strength and scale of our platform to attract new capital providers, refinancing in full our debt maturities due in 2021, strengthen the balance sheet and create additional liquidity.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Windsor</w:t>
      </w:r>
    </w:p>
    <w:p>
      <w:pPr>
        <w:spacing w:after="0" w:line="239"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 xml:space="preserve">On April 1, 2020, GasLog took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a 180,000 cbm LNG carrier with X-DF propulsion constructed by Samsung Heavy Industries Co., Ltd. (“Samsung”). Despite the disruption in South Korea caused by the COVID-19 outbreak, the vessel was delivered on time and on budget. Upon delivery, the vessel immediately commenced its seven-year charter with Centrica.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Wales</w:t>
      </w:r>
    </w:p>
    <w:p>
      <w:pPr>
        <w:spacing w:after="0" w:line="23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On May 11, 2020, GasLog took delivery of the </w:t>
      </w:r>
      <w:r>
        <w:rPr>
          <w:rFonts w:ascii="Arial" w:cs="Arial" w:eastAsia="Arial" w:hAnsi="Arial"/>
          <w:sz w:val="16"/>
          <w:szCs w:val="16"/>
          <w:i w:val="1"/>
          <w:iCs w:val="1"/>
          <w:color w:val="auto"/>
        </w:rPr>
        <w:t>GasLog Wales</w:t>
      </w:r>
      <w:r>
        <w:rPr>
          <w:rFonts w:ascii="Arial" w:cs="Arial" w:eastAsia="Arial" w:hAnsi="Arial"/>
          <w:sz w:val="16"/>
          <w:szCs w:val="16"/>
          <w:color w:val="auto"/>
        </w:rPr>
        <w:t>, a 180,000 cbm LNG carrier with X-DF propulsion constructed by Samsung. Despite the disruption in South Korea caused by the COVID-19 outbreak, the vessel was delivered on time and on budget. Upon delivery, the vessel immediately commenced its 12-year charter with JERA.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b w:val="1"/>
          <w:bCs w:val="1"/>
          <w:u w:val="single" w:color="auto"/>
          <w:color w:val="auto"/>
        </w:rPr>
        <w:t>Private Placement of Common Shares</w:t>
      </w:r>
    </w:p>
    <w:p>
      <w:pPr>
        <w:spacing w:after="0" w:line="23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On June 29, 2020, GasLog completed the sale of 14,400,000 common shares at a price of $2.50 per share for total gross proceeds of $36.0 million through a private placement of unregistered common shares (“the Private Placement”). The net proceeds were used for general corporate purposes. Approximately 75% of shares issued in the Private Placement were purchased by GasLog’s directors and affiliates, including 6,500,000 common shares purchased by Blenheim Holdings Ltd., wholly-owned by the Livanos family and 4,000,000 common shares purchased by a wholly-owned affiliate of the Onassis Foundation. In addition, member of the Tung family, whose roots in shipping date back over 70 years, purchased common shares in the Private Placement.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Westminster</w:t>
      </w:r>
    </w:p>
    <w:p>
      <w:pPr>
        <w:spacing w:after="0" w:line="239"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 xml:space="preserve">Post quarter-end, on July 15, 2020, GasLog took delivery of the </w:t>
      </w:r>
      <w:r>
        <w:rPr>
          <w:rFonts w:ascii="Arial" w:cs="Arial" w:eastAsia="Arial" w:hAnsi="Arial"/>
          <w:sz w:val="16"/>
          <w:szCs w:val="16"/>
          <w:i w:val="1"/>
          <w:iCs w:val="1"/>
          <w:color w:val="auto"/>
        </w:rPr>
        <w:t>GasLog Westminster</w:t>
      </w:r>
      <w:r>
        <w:rPr>
          <w:rFonts w:ascii="Arial" w:cs="Arial" w:eastAsia="Arial" w:hAnsi="Arial"/>
          <w:sz w:val="16"/>
          <w:szCs w:val="16"/>
          <w:color w:val="auto"/>
        </w:rPr>
        <w:t>, a 180,000 cbm LNG carrier with X-DF propulsion constructed by Samsung. Despite the disruption in South Korea caused by the COVID-19 outbreak, the vessel was delivered on time and on budget. Upon delivery, the vessel immediately commenced its seven-year charter with Centrica.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23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On May 14, 2020, the board of directors declared a dividend on the Series A Preference Shares of $0.546875 per share, or $2.5 million in the aggregate, payable on July 1, 2020 to holders of record as of June 30, 2020. GasLog paid the declared dividend to the transfer agent on July 1, 2020.</w:t>
      </w:r>
    </w:p>
    <w:p>
      <w:pPr>
        <w:spacing w:after="0" w:line="172"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On August 4, 2020, the board of directors declared a quarterly cash dividend of $0.05 per common share, or $4.0 million in the aggregate, payable on August 27, 2020 to shareholders of record as of August 17,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Impairment Loss on Vessels</w:t>
      </w:r>
    </w:p>
    <w:p>
      <w:pPr>
        <w:spacing w:after="0" w:line="239" w:lineRule="exact"/>
        <w:rPr>
          <w:sz w:val="20"/>
          <w:szCs w:val="20"/>
          <w:color w:val="auto"/>
        </w:rPr>
      </w:pPr>
    </w:p>
    <w:p>
      <w:pPr>
        <w:ind w:right="340"/>
        <w:spacing w:after="0" w:line="293" w:lineRule="auto"/>
        <w:rPr>
          <w:sz w:val="20"/>
          <w:szCs w:val="20"/>
          <w:color w:val="auto"/>
        </w:rPr>
      </w:pPr>
      <w:r>
        <w:rPr>
          <w:rFonts w:ascii="Arial" w:cs="Arial" w:eastAsia="Arial" w:hAnsi="Arial"/>
          <w:sz w:val="15"/>
          <w:szCs w:val="15"/>
          <w:color w:val="auto"/>
        </w:rPr>
        <w:t xml:space="preserve">As of June 30, 2020, the Group recognized a non-cash impairment loss of $22.5 million in aggregate on certain of its Steam vessels. The COVID-19 pandemic placed downward pressure on economic activity and energy demand, as well as significant uncertainty regarding future near-term LNG demand and, therefore LNG shipping requirements. This has reduced our expectations for the estimated rates at which employment for our vessels could be secured over the near-term in the spot market. The non-cash impairment loss of $22.5 million was recognized with respect to three Steam vessels owned by the Partnership,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Elisabeth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Heather Sally</w:t>
      </w:r>
      <w:r>
        <w:rPr>
          <w:rFonts w:ascii="Arial" w:cs="Arial" w:eastAsia="Arial" w:hAnsi="Arial"/>
          <w:sz w:val="15"/>
          <w:szCs w:val="15"/>
          <w:color w:val="auto"/>
        </w:rPr>
        <w:t>, and one Steam vessel owned by GasLog, the</w:t>
      </w:r>
      <w:r>
        <w:rPr>
          <w:rFonts w:ascii="Arial" w:cs="Arial" w:eastAsia="Arial" w:hAnsi="Arial"/>
          <w:sz w:val="15"/>
          <w:szCs w:val="15"/>
          <w:i w:val="1"/>
          <w:iCs w:val="1"/>
          <w:color w:val="auto"/>
        </w:rPr>
        <w:t xml:space="preserve"> Methane Lydon Volney.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Inaugural Sustainability Report</w:t>
      </w:r>
    </w:p>
    <w:p>
      <w:pPr>
        <w:spacing w:after="0" w:line="239" w:lineRule="exact"/>
        <w:rPr>
          <w:sz w:val="20"/>
          <w:szCs w:val="20"/>
          <w:color w:val="auto"/>
        </w:rPr>
      </w:pPr>
    </w:p>
    <w:p>
      <w:pPr>
        <w:ind w:right="440"/>
        <w:spacing w:after="0" w:line="248" w:lineRule="auto"/>
        <w:rPr>
          <w:sz w:val="20"/>
          <w:szCs w:val="20"/>
          <w:color w:val="auto"/>
        </w:rPr>
      </w:pPr>
      <w:r>
        <w:rPr>
          <w:rFonts w:ascii="Arial" w:cs="Arial" w:eastAsia="Arial" w:hAnsi="Arial"/>
          <w:sz w:val="16"/>
          <w:szCs w:val="16"/>
          <w:color w:val="auto"/>
        </w:rPr>
        <w:t>On June 11, 2020 GasLog issued its inaugural 2019 Sustainability Report. The report presents GasLog’ s strategy and commitment toward environmental, social and governance (“ESG”) practices. In addition, the report is transparent in its presentation of operational data, detailing vessel-by-vessel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emissions, fleetwide methane emission and efficiency indices and presents the numerous Key Performance Indicators underscoring our ESG commitment. A copy of the report can be found on our website at </w:t>
      </w:r>
      <w:r>
        <w:rPr>
          <w:rFonts w:ascii="Arial" w:cs="Arial" w:eastAsia="Arial" w:hAnsi="Arial"/>
          <w:sz w:val="16"/>
          <w:szCs w:val="16"/>
          <w:u w:val="single" w:color="auto"/>
          <w:color w:val="0000FF"/>
        </w:rPr>
        <w:t>https://www.gaslogltd.com/investors/sustainability</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Organizational Update</w:t>
      </w:r>
    </w:p>
    <w:p>
      <w:pPr>
        <w:spacing w:after="0" w:line="23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November 2019, GasLog announced plans to relocate more of its employees, including several members of senior management, to our main operating office in Piraeus, Greece, to enhance business efficiency, operational excellence and to reduce overheads. By the end of 2020, we will have concluded these organizational changes, having closed the Monaco office and reduced the number of employees in our London office. These measures will result in annualized general and administrative (“G&amp;A”) savings of $6.0 million with effect from 2021. In the three months ended June 30, 2020, additional restructuring costs of $1.1 million were recognized ($1.5 million for the six months ended June 30, 2020).</w:t>
      </w:r>
    </w:p>
    <w:p>
      <w:pPr>
        <w:spacing w:after="0" w:line="190"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As the next phase in our strategy to enhance efficiency and reduce costs, we have now decided to include GasLog Partners and our Stamford office in this initiative. Andrew Orekar, CEO of GasLog Partners, has informed the Company that, as a result of the relocation of his role to Piraeus, Greece, he will step down from his position on September 15, 2020. Paul Wogan, currently CEO of GasLog, will assume the responsibilities of CEO of GasLog Partners on September 16, 2020. Please see today’s separate press release on this matter. In addition, we will reduce the size of the Partnership’s board of directors from seven to five members and will close our Stamford, Connecticut office. This plan is expected to generate annualized G&amp;A savings of $3.0 million per annum starting in 2021.</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When taken together with the organizational changes already announced, we expect to reduce our G&amp;A expenses by $9.0 million in aggregate beginning in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3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7"/>
              </w:rPr>
              <w:t>For the three months ended</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7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in thousands of U.S. dollars except per share data</w:t>
            </w:r>
          </w:p>
        </w:tc>
        <w:tc>
          <w:tcPr>
            <w:tcW w:w="3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June 30, 2019</w:t>
            </w:r>
          </w:p>
        </w:tc>
        <w:tc>
          <w:tcPr>
            <w:tcW w:w="15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316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154,251</w:t>
            </w:r>
          </w:p>
        </w:tc>
        <w:tc>
          <w:tcPr>
            <w:tcW w:w="28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53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96"/>
              </w:rPr>
              <w:t>158,861</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rPr>
                <w:sz w:val="20"/>
                <w:szCs w:val="20"/>
                <w:color w:val="auto"/>
              </w:rPr>
            </w:pPr>
            <w:r>
              <w:rPr>
                <w:rFonts w:ascii="Arial" w:cs="Arial" w:eastAsia="Arial" w:hAnsi="Arial"/>
                <w:sz w:val="16"/>
                <w:szCs w:val="16"/>
                <w:color w:val="auto"/>
              </w:rPr>
              <w:t>Loss for the period</w:t>
            </w:r>
          </w:p>
        </w:tc>
        <w:tc>
          <w:tcPr>
            <w:tcW w:w="36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(10,512)</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(13,338)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p>
        </w:tc>
        <w:tc>
          <w:tcPr>
            <w:tcW w:w="364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20,485</w:t>
            </w:r>
          </w:p>
        </w:tc>
        <w:tc>
          <w:tcPr>
            <w:tcW w:w="880" w:type="dxa"/>
            <w:vAlign w:val="bottom"/>
            <w:shd w:val="clear" w:color="auto" w:fill="E5FFFF"/>
          </w:tcPr>
          <w:p>
            <w:pPr>
              <w:jc w:val="right"/>
              <w:ind w:right="53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24,596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gridSpan w:val="2"/>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36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107,043</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111,665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Loss attributable to the owners of GasLog</w:t>
            </w:r>
          </w:p>
        </w:tc>
        <w:tc>
          <w:tcPr>
            <w:tcW w:w="364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(25,998)</w:t>
            </w:r>
          </w:p>
        </w:tc>
        <w:tc>
          <w:tcPr>
            <w:tcW w:w="880" w:type="dxa"/>
            <w:vAlign w:val="bottom"/>
            <w:shd w:val="clear" w:color="auto" w:fill="E5FFFF"/>
          </w:tcPr>
          <w:p>
            <w:pPr>
              <w:jc w:val="right"/>
              <w:ind w:right="53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(21,348)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spacing w:after="0"/>
              <w:rPr>
                <w:sz w:val="20"/>
                <w:szCs w:val="20"/>
                <w:color w:val="auto"/>
              </w:rPr>
            </w:pPr>
            <w:r>
              <w:rPr>
                <w:rFonts w:ascii="Arial" w:cs="Arial" w:eastAsia="Arial" w:hAnsi="Arial"/>
                <w:sz w:val="16"/>
                <w:szCs w:val="16"/>
                <w:color w:val="auto"/>
              </w:rPr>
              <w:t>EPS, basic</w:t>
            </w:r>
          </w:p>
        </w:tc>
        <w:tc>
          <w:tcPr>
            <w:tcW w:w="36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(0.35)</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(0.30)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p>
        </w:tc>
        <w:tc>
          <w:tcPr>
            <w:tcW w:w="3640" w:type="dxa"/>
            <w:vAlign w:val="bottom"/>
            <w:gridSpan w:val="2"/>
            <w:shd w:val="clear" w:color="auto" w:fill="E5FF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0.03</w:t>
            </w:r>
          </w:p>
        </w:tc>
        <w:tc>
          <w:tcPr>
            <w:tcW w:w="880" w:type="dxa"/>
            <w:vAlign w:val="bottom"/>
            <w:shd w:val="clear" w:color="auto" w:fill="E5FFFF"/>
          </w:tcPr>
          <w:p>
            <w:pPr>
              <w:jc w:val="right"/>
              <w:ind w:right="539"/>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60" w:type="dxa"/>
            <w:vAlign w:val="bottom"/>
          </w:tcPr>
          <w:p>
            <w:pPr>
              <w:jc w:val="right"/>
              <w:ind w:right="2200"/>
              <w:spacing w:after="0"/>
              <w:rPr>
                <w:sz w:val="20"/>
                <w:szCs w:val="20"/>
                <w:color w:val="auto"/>
              </w:rPr>
            </w:pPr>
            <w:r>
              <w:rPr>
                <w:rFonts w:ascii="Arial" w:cs="Arial" w:eastAsia="Arial" w:hAnsi="Arial"/>
                <w:sz w:val="14"/>
                <w:szCs w:val="14"/>
                <w:color w:val="auto"/>
              </w:rPr>
              <w:t>9</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8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212" w:name="page213"/>
    <w:bookmarkEnd w:id="212"/>
    <w:p>
      <w:pPr>
        <w:ind w:left="140" w:right="120" w:hanging="132"/>
        <w:spacing w:after="0" w:line="222" w:lineRule="auto"/>
        <w:tabs>
          <w:tab w:leader="none" w:pos="166" w:val="left"/>
        </w:tabs>
        <w:numPr>
          <w:ilvl w:val="0"/>
          <w:numId w:val="482"/>
        </w:numPr>
        <w:rPr>
          <w:rFonts w:ascii="Arial" w:cs="Arial" w:eastAsia="Arial" w:hAnsi="Arial"/>
          <w:sz w:val="19"/>
          <w:szCs w:val="19"/>
          <w:color w:val="auto"/>
          <w:vertAlign w:val="superscript"/>
        </w:rPr>
      </w:pPr>
      <w:r>
        <w:rPr>
          <w:rFonts w:ascii="Arial" w:cs="Arial" w:eastAsia="Arial" w:hAnsi="Arial"/>
          <w:sz w:val="13"/>
          <w:szCs w:val="13"/>
          <w:color w:val="auto"/>
        </w:rPr>
        <w:t>Adjusted EBITDA, Adjusted Profit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92"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 xml:space="preserve">There were 2,458 revenue operating days for the quarter ended June 30, 2020, as compared to 2,409 revenue operating days (including 513 days in the LNG carrier pooling agreement (the “Cool Pool”) for the quarter ended June 30, 2019). The increase in revenue operating days was mainly driven by the increased operating days from the deliveries of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on July 31, 2019, the </w:t>
      </w:r>
      <w:r>
        <w:rPr>
          <w:rFonts w:ascii="Arial" w:cs="Arial" w:eastAsia="Arial" w:hAnsi="Arial"/>
          <w:sz w:val="15"/>
          <w:szCs w:val="15"/>
          <w:i w:val="1"/>
          <w:iCs w:val="1"/>
          <w:color w:val="auto"/>
        </w:rPr>
        <w:t>GasLog Windsor</w:t>
      </w:r>
      <w:r>
        <w:rPr>
          <w:rFonts w:ascii="Arial" w:cs="Arial" w:eastAsia="Arial" w:hAnsi="Arial"/>
          <w:sz w:val="15"/>
          <w:szCs w:val="15"/>
          <w:color w:val="auto"/>
        </w:rPr>
        <w:t xml:space="preserve"> on April 1, 2020 and the </w:t>
      </w:r>
      <w:r>
        <w:rPr>
          <w:rFonts w:ascii="Arial" w:cs="Arial" w:eastAsia="Arial" w:hAnsi="Arial"/>
          <w:sz w:val="15"/>
          <w:szCs w:val="15"/>
          <w:i w:val="1"/>
          <w:iCs w:val="1"/>
          <w:color w:val="auto"/>
        </w:rPr>
        <w:t>GasLog Wales</w:t>
      </w:r>
      <w:r>
        <w:rPr>
          <w:rFonts w:ascii="Arial" w:cs="Arial" w:eastAsia="Arial" w:hAnsi="Arial"/>
          <w:sz w:val="15"/>
          <w:szCs w:val="15"/>
          <w:color w:val="auto"/>
        </w:rPr>
        <w:t xml:space="preserve"> on May 11, 2020, partially offset by unchartered days from the vessels operating in the spot market (for the vessels whose time charters expired), as well as the increased days for dry-dockings.</w:t>
      </w:r>
    </w:p>
    <w:p>
      <w:pPr>
        <w:spacing w:after="0" w:line="172"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 xml:space="preserve">Management allocates vessel revenues to two categories: (a) variable rate charters (“VR Revenues”) and (b) fixed rate charters (“FR Revenues”). The variable rate charter category contains vessels operating in the LNG carrier spot and short-term market or those which have a variable rate of hire across the charter period. The vessels in this category during the second quarter of 2020 were the </w:t>
      </w:r>
      <w:r>
        <w:rPr>
          <w:rFonts w:ascii="Arial" w:cs="Arial" w:eastAsia="Arial" w:hAnsi="Arial"/>
          <w:sz w:val="15"/>
          <w:szCs w:val="15"/>
          <w:i w:val="1"/>
          <w:iCs w:val="1"/>
          <w:color w:val="auto"/>
        </w:rPr>
        <w:t>GasLog Savannah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Singapore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Skagen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Saratoga,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Salem, </w:t>
      </w:r>
      <w:r>
        <w:rPr>
          <w:rFonts w:ascii="Arial" w:cs="Arial" w:eastAsia="Arial" w:hAnsi="Arial"/>
          <w:sz w:val="15"/>
          <w:szCs w:val="15"/>
          <w:color w:val="auto"/>
        </w:rPr>
        <w:t>the</w:t>
      </w:r>
      <w:r>
        <w:rPr>
          <w:rFonts w:ascii="Arial" w:cs="Arial" w:eastAsia="Arial" w:hAnsi="Arial"/>
          <w:sz w:val="15"/>
          <w:szCs w:val="15"/>
          <w:i w:val="1"/>
          <w:iCs w:val="1"/>
          <w:color w:val="auto"/>
        </w:rPr>
        <w:t xml:space="preserve"> GasLog Chelsea, </w:t>
      </w:r>
      <w:r>
        <w:rPr>
          <w:rFonts w:ascii="Arial" w:cs="Arial" w:eastAsia="Arial" w:hAnsi="Arial"/>
          <w:sz w:val="15"/>
          <w:szCs w:val="15"/>
          <w:color w:val="auto"/>
        </w:rPr>
        <w:t>the</w:t>
      </w:r>
      <w:r>
        <w:rPr>
          <w:rFonts w:ascii="Arial" w:cs="Arial" w:eastAsia="Arial" w:hAnsi="Arial"/>
          <w:sz w:val="15"/>
          <w:szCs w:val="15"/>
          <w:i w:val="1"/>
          <w:iCs w:val="1"/>
          <w:color w:val="auto"/>
        </w:rPr>
        <w:t xml:space="preserve"> Methane Rita Andrea, </w:t>
      </w:r>
      <w:r>
        <w:rPr>
          <w:rFonts w:ascii="Arial" w:cs="Arial" w:eastAsia="Arial" w:hAnsi="Arial"/>
          <w:sz w:val="15"/>
          <w:szCs w:val="15"/>
          <w:color w:val="auto"/>
        </w:rPr>
        <w:t>the</w:t>
      </w:r>
      <w:r>
        <w:rPr>
          <w:rFonts w:ascii="Arial" w:cs="Arial" w:eastAsia="Arial" w:hAnsi="Arial"/>
          <w:sz w:val="15"/>
          <w:szCs w:val="15"/>
          <w:i w:val="1"/>
          <w:iCs w:val="1"/>
          <w:color w:val="auto"/>
        </w:rPr>
        <w:t xml:space="preserve"> Methane Alison Victoria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Shirley Elisabeth</w:t>
      </w:r>
      <w:r>
        <w:rPr>
          <w:rFonts w:ascii="Arial" w:cs="Arial" w:eastAsia="Arial" w:hAnsi="Arial"/>
          <w:sz w:val="15"/>
          <w:szCs w:val="15"/>
          <w:color w:val="auto"/>
        </w:rPr>
        <w:t>.</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Revenues were $158.9 million for the quarter ended June 30, 2020 ($154.3 million for the quarter ended June 30, 2019). The increase was mainly driven by the deliveries of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on April 1, 2020 and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on May 11, 2020, partially offset by the expiration of the time charters of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(which were all operating in a weak and volatile spot market impacted by the COVID-19 pandemic during the three months ended June 30, 2020).</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For the quarter ended June 30, 2020, an analysis of revenue operating days, revenues and voyage expenses and commissions per category of charter is presented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3980" w:type="dxa"/>
            <w:vAlign w:val="bottom"/>
            <w:gridSpan w:val="4"/>
          </w:tcPr>
          <w:p>
            <w:pPr>
              <w:jc w:val="right"/>
              <w:ind w:right="108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7260" w:type="dxa"/>
            <w:vAlign w:val="bottom"/>
          </w:tcPr>
          <w:p>
            <w:pPr>
              <w:spacing w:after="0"/>
              <w:rPr>
                <w:sz w:val="17"/>
                <w:szCs w:val="17"/>
                <w:color w:val="auto"/>
              </w:rPr>
            </w:pPr>
          </w:p>
        </w:tc>
        <w:tc>
          <w:tcPr>
            <w:tcW w:w="3980" w:type="dxa"/>
            <w:vAlign w:val="bottom"/>
            <w:gridSpan w:val="4"/>
          </w:tcPr>
          <w:p>
            <w:pPr>
              <w:jc w:val="right"/>
              <w:ind w:right="1580"/>
              <w:spacing w:after="0"/>
              <w:rPr>
                <w:sz w:val="20"/>
                <w:szCs w:val="20"/>
                <w:color w:val="auto"/>
              </w:rPr>
            </w:pPr>
            <w:r>
              <w:rPr>
                <w:rFonts w:ascii="Arial" w:cs="Arial" w:eastAsia="Arial" w:hAnsi="Arial"/>
                <w:sz w:val="16"/>
                <w:szCs w:val="16"/>
                <w:b w:val="1"/>
                <w:bCs w:val="1"/>
                <w:color w:val="auto"/>
              </w:rPr>
              <w:t>June 30, 2020</w:t>
            </w:r>
          </w:p>
        </w:tc>
      </w:tr>
      <w:tr>
        <w:trPr>
          <w:trHeight w:val="213"/>
        </w:trPr>
        <w:tc>
          <w:tcPr>
            <w:tcW w:w="726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20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Variable rate charters</w:t>
            </w:r>
          </w:p>
        </w:tc>
        <w:tc>
          <w:tcPr>
            <w:tcW w:w="19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Fixed rate charters</w:t>
            </w:r>
          </w:p>
        </w:tc>
      </w:tr>
      <w:tr>
        <w:trPr>
          <w:trHeight w:val="199"/>
        </w:trPr>
        <w:tc>
          <w:tcPr>
            <w:tcW w:w="7260" w:type="dxa"/>
            <w:vAlign w:val="bottom"/>
            <w:tcBorders>
              <w:top w:val="single" w:sz="8" w:color="E5FFFF"/>
            </w:tcBorders>
            <w:shd w:val="clear" w:color="auto" w:fill="E5FFFF"/>
          </w:tcPr>
          <w:p>
            <w:pPr>
              <w:spacing w:after="0" w:line="199" w:lineRule="exact"/>
              <w:rPr>
                <w:sz w:val="20"/>
                <w:szCs w:val="20"/>
                <w:color w:val="auto"/>
              </w:rPr>
            </w:pPr>
            <w:r>
              <w:rPr>
                <w:rFonts w:ascii="Arial" w:cs="Arial" w:eastAsia="Arial" w:hAnsi="Arial"/>
                <w:sz w:val="16"/>
                <w:szCs w:val="16"/>
                <w:color w:val="auto"/>
              </w:rPr>
              <w:t xml:space="preserve">Available days </w:t>
            </w:r>
            <w:r>
              <w:rPr>
                <w:rFonts w:ascii="Arial" w:cs="Arial" w:eastAsia="Arial" w:hAnsi="Arial"/>
                <w:sz w:val="21"/>
                <w:szCs w:val="21"/>
                <w:color w:val="auto"/>
                <w:vertAlign w:val="superscript"/>
              </w:rPr>
              <w:t>(*)</w:t>
            </w: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797</w:t>
            </w:r>
          </w:p>
        </w:tc>
        <w:tc>
          <w:tcPr>
            <w:tcW w:w="28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Borders>
              <w:top w:val="single" w:sz="8" w:color="E5FFFF"/>
            </w:tcBorders>
            <w:shd w:val="clear" w:color="auto" w:fill="E5FFFF"/>
          </w:tcPr>
          <w:p>
            <w:pPr>
              <w:spacing w:after="0"/>
              <w:rPr>
                <w:sz w:val="17"/>
                <w:szCs w:val="17"/>
                <w:color w:val="auto"/>
              </w:rPr>
            </w:pPr>
          </w:p>
        </w:tc>
      </w:tr>
      <w:tr>
        <w:trPr>
          <w:trHeight w:val="202"/>
        </w:trPr>
        <w:tc>
          <w:tcPr>
            <w:tcW w:w="7260" w:type="dxa"/>
            <w:vAlign w:val="bottom"/>
          </w:tcPr>
          <w:p>
            <w:pPr>
              <w:spacing w:after="0" w:line="203" w:lineRule="exact"/>
              <w:rPr>
                <w:sz w:val="20"/>
                <w:szCs w:val="20"/>
                <w:color w:val="auto"/>
              </w:rPr>
            </w:pPr>
            <w:r>
              <w:rPr>
                <w:rFonts w:ascii="Arial" w:cs="Arial" w:eastAsia="Arial" w:hAnsi="Arial"/>
                <w:sz w:val="16"/>
                <w:szCs w:val="16"/>
                <w:color w:val="auto"/>
              </w:rPr>
              <w:t>Revenue operating days</w:t>
            </w:r>
            <w:r>
              <w:rPr>
                <w:rFonts w:ascii="Arial" w:cs="Arial" w:eastAsia="Arial" w:hAnsi="Arial"/>
                <w:sz w:val="21"/>
                <w:szCs w:val="21"/>
                <w:color w:val="auto"/>
                <w:vertAlign w:val="superscript"/>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665</w:t>
            </w:r>
          </w:p>
        </w:tc>
        <w:tc>
          <w:tcPr>
            <w:tcW w:w="28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6"/>
                <w:szCs w:val="16"/>
                <w:color w:val="auto"/>
              </w:rPr>
              <w:t>1,793</w:t>
            </w:r>
          </w:p>
        </w:tc>
      </w:tr>
      <w:tr>
        <w:trPr>
          <w:trHeight w:val="203"/>
        </w:trPr>
        <w:tc>
          <w:tcPr>
            <w:tcW w:w="72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19,671</w:t>
            </w:r>
          </w:p>
        </w:tc>
        <w:tc>
          <w:tcPr>
            <w:tcW w:w="28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139,190</w:t>
            </w:r>
          </w:p>
        </w:tc>
      </w:tr>
      <w:tr>
        <w:trPr>
          <w:trHeight w:val="206"/>
        </w:trPr>
        <w:tc>
          <w:tcPr>
            <w:tcW w:w="726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2080" w:type="dxa"/>
            <w:vAlign w:val="bottom"/>
            <w:gridSpan w:val="2"/>
          </w:tcPr>
          <w:p>
            <w:pPr>
              <w:jc w:val="right"/>
              <w:ind w:right="220"/>
              <w:spacing w:after="0"/>
              <w:rPr>
                <w:sz w:val="20"/>
                <w:szCs w:val="20"/>
                <w:color w:val="auto"/>
              </w:rPr>
            </w:pPr>
            <w:r>
              <w:rPr>
                <w:rFonts w:ascii="Arial" w:cs="Arial" w:eastAsia="Arial" w:hAnsi="Arial"/>
                <w:sz w:val="16"/>
                <w:szCs w:val="16"/>
                <w:color w:val="auto"/>
              </w:rPr>
              <w:t>(3,293)</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(2,149)</w:t>
            </w:r>
          </w:p>
        </w:tc>
      </w:tr>
    </w:tbl>
    <w:p>
      <w:pPr>
        <w:spacing w:after="0" w:line="202" w:lineRule="exact"/>
        <w:rPr>
          <w:sz w:val="20"/>
          <w:szCs w:val="20"/>
          <w:color w:val="auto"/>
        </w:rPr>
      </w:pPr>
    </w:p>
    <w:p>
      <w:pPr>
        <w:ind w:right="160" w:firstLine="8"/>
        <w:spacing w:after="0" w:line="237" w:lineRule="auto"/>
        <w:tabs>
          <w:tab w:leader="none" w:pos="157" w:val="left"/>
        </w:tabs>
        <w:numPr>
          <w:ilvl w:val="0"/>
          <w:numId w:val="483"/>
        </w:numPr>
        <w:rPr>
          <w:rFonts w:ascii="Arial" w:cs="Arial" w:eastAsia="Arial" w:hAnsi="Arial"/>
          <w:sz w:val="21"/>
          <w:szCs w:val="21"/>
          <w:color w:val="auto"/>
          <w:vertAlign w:val="superscript"/>
        </w:rPr>
      </w:pPr>
      <w:r>
        <w:rPr>
          <w:rFonts w:ascii="Arial" w:cs="Arial" w:eastAsia="Arial" w:hAnsi="Arial"/>
          <w:sz w:val="15"/>
          <w:szCs w:val="15"/>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line="166" w:lineRule="exact"/>
        <w:rPr>
          <w:sz w:val="20"/>
          <w:szCs w:val="20"/>
          <w:color w:val="auto"/>
        </w:rPr>
      </w:pPr>
    </w:p>
    <w:p>
      <w:pPr>
        <w:ind w:left="220" w:hanging="212"/>
        <w:spacing w:after="0"/>
        <w:tabs>
          <w:tab w:leader="none" w:pos="220" w:val="left"/>
        </w:tabs>
        <w:numPr>
          <w:ilvl w:val="0"/>
          <w:numId w:val="484"/>
        </w:numPr>
        <w:rPr>
          <w:rFonts w:ascii="Arial" w:cs="Arial" w:eastAsia="Arial" w:hAnsi="Arial"/>
          <w:sz w:val="22"/>
          <w:szCs w:val="22"/>
          <w:color w:val="auto"/>
          <w:vertAlign w:val="superscript"/>
        </w:rPr>
      </w:pPr>
      <w:r>
        <w:rPr>
          <w:rFonts w:ascii="Arial" w:cs="Arial" w:eastAsia="Arial" w:hAnsi="Arial"/>
          <w:sz w:val="16"/>
          <w:szCs w:val="16"/>
          <w:color w:val="auto"/>
        </w:rPr>
        <w:t>Revenue operating days represent total available days after deducting unchartered days.</w:t>
      </w:r>
    </w:p>
    <w:p>
      <w:pPr>
        <w:spacing w:after="0" w:line="212"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In addition, GasLog recognized gross revenues and gross voyage expenses and commissions of $12.8 million and $3.4 million, respectively, from the operation of its vessels in the Cool Pool during the quarter ended June 30, 2019. Net pool allocation was a positive $2.7 million for the quarter ended June 30, 2019.</w:t>
      </w:r>
    </w:p>
    <w:p>
      <w:pPr>
        <w:spacing w:after="0" w:line="15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Voyage expenses and commissions were $5.4 million for the quarter ended June 30, 2020 ($5.9 million for the quarter ended June 30, 2019). The decrease resulted from the decreased bunkers’ consumption of our vessels operating in the spot market.</w:t>
      </w:r>
    </w:p>
    <w:p>
      <w:pPr>
        <w:spacing w:after="0" w:line="172"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 xml:space="preserve">Vessel operating and supervision costs were $32.6 million for the quarter ended June 30, 2020 ($33.4 million for the quarter ended June 30, 2019). The decrease in absolute terms was mainly attributable to the decrease in scheduled technical and maintenance costs related to engine maintenance, as well as the favorable movement of the Euro (“EUR”)/USD exchange rate in the second quarter of 2020 as compared to the prior quarter, which was partially offset by the increase of our fleet following the delivery of two vessels in the first half of 2020 and one vessel in the second half of 2019. Daily operating costs per vessel decreased from $14,099 per ownership day (excluding the </w:t>
      </w:r>
      <w:r>
        <w:rPr>
          <w:rFonts w:ascii="Arial" w:cs="Arial" w:eastAsia="Arial" w:hAnsi="Arial"/>
          <w:sz w:val="16"/>
          <w:szCs w:val="16"/>
          <w:i w:val="1"/>
          <w:iCs w:val="1"/>
          <w:color w:val="auto"/>
        </w:rPr>
        <w:t xml:space="preserve">Solaris </w:t>
      </w:r>
      <w:r>
        <w:rPr>
          <w:rFonts w:ascii="Arial" w:cs="Arial" w:eastAsia="Arial" w:hAnsi="Arial"/>
          <w:sz w:val="16"/>
          <w:szCs w:val="16"/>
          <w:color w:val="auto"/>
        </w:rPr>
        <w:t>which is managed by Shell) for the quarter ended June 30, 2019, to $12,550 per ownership day (excluding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which is managed by Shell) for the three-month period ended June 30, 2020.</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General and administrative expenses remained $11.2 million for the quarter ended June 30, 2020 ($11.2 million for the quarter ended June 30, 2019), before adjusting for restructuring costs in 2020. General and administrative expenses, excluding the effect of the restructuring costs of $1.1 million, were $10.1 million for the quarter ended June 30, 2020 and the running daily expenses decreased from $4,547 per ownership day (as defined above) for the quarter ended June 30, 2019, to $3,746 per ownership day (as defined above) for the quarter ended June 30, 2020. The decrease is mainly attributable to decreased travel and accommodation expenses mainly due to the COVID-19 related travel restrictions imposed during 2020 and to legal and other professional fees savings.</w:t>
      </w:r>
    </w:p>
    <w:p>
      <w:pPr>
        <w:spacing w:after="0" w:line="190"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Depreciation was $43.6 million for the quarter ended June 30, 2020 ($41.4 million for the quarter ended June 30, 2019). The increase in depreciation resulted mainly from the increase in the average number of vessels in our fleet in the quarter ended June 30, 2020, compared to the same quarter in 2019, which was partially offset by the impairment charges recognized in the fourth quarter of 2019, which reduced the carrying value of our Steam vessels.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 were $43.6 million for the quarter ended June 30, 2020 ($46.9 million for the quarter ended June 30, 2019). The decrease was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3" w:name="page214"/>
    <w:bookmarkEnd w:id="213"/>
    <w:p>
      <w:pPr>
        <w:jc w:val="both"/>
        <w:ind w:right="20"/>
        <w:spacing w:after="0" w:line="278" w:lineRule="auto"/>
        <w:rPr>
          <w:sz w:val="20"/>
          <w:szCs w:val="20"/>
          <w:color w:val="auto"/>
        </w:rPr>
      </w:pPr>
      <w:r>
        <w:rPr>
          <w:rFonts w:ascii="Arial" w:cs="Arial" w:eastAsia="Arial" w:hAnsi="Arial"/>
          <w:sz w:val="16"/>
          <w:szCs w:val="16"/>
          <w:color w:val="auto"/>
        </w:rPr>
        <w:t>mainly attributable to the decreased weighted average interest rate deriving from the downward movement of the LIBOR partially offset by increased other financial costs in relation to the $3.3 million of fees paid for our comprehensive plan to manage our cash collateral exposure placed with the swap banks as a result of the negative marked to market valuations of our interest rate and cross currency swaps. An analysis of the financial costs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92"/>
              </w:rPr>
              <w:t>June 30, 2019</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2"/>
              </w:rPr>
              <w:t>June 30, 2020</w:t>
            </w:r>
          </w:p>
        </w:tc>
      </w:tr>
      <w:tr>
        <w:trPr>
          <w:trHeight w:val="186"/>
        </w:trPr>
        <w:tc>
          <w:tcPr>
            <w:tcW w:w="7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Financial costs</w:t>
            </w:r>
          </w:p>
        </w:tc>
        <w:tc>
          <w:tcPr>
            <w:tcW w:w="220" w:type="dxa"/>
            <w:vAlign w:val="bottom"/>
            <w:tcBorders>
              <w:top w:val="single" w:sz="8" w:color="auto"/>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220" w:type="dxa"/>
            <w:vAlign w:val="bottom"/>
            <w:tcBorders>
              <w:top w:val="single" w:sz="8" w:color="auto"/>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Amortization and write-off of deferred loan/bond issuance costs/premium</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(3,224)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(3,697)</w:t>
            </w:r>
          </w:p>
        </w:tc>
      </w:tr>
      <w:tr>
        <w:trPr>
          <w:trHeight w:val="203"/>
        </w:trPr>
        <w:tc>
          <w:tcPr>
            <w:tcW w:w="794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loans</w:t>
            </w:r>
          </w:p>
        </w:tc>
        <w:tc>
          <w:tcPr>
            <w:tcW w:w="22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(32,383)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(25,147)</w:t>
            </w: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Interest expense on bonds and realized loss on cross-currency swaps (“CCS”)</w:t>
            </w:r>
          </w:p>
        </w:tc>
        <w:tc>
          <w:tcPr>
            <w:tcW w:w="220" w:type="dxa"/>
            <w:vAlign w:val="bottom"/>
          </w:tcPr>
          <w:p>
            <w:pPr>
              <w:spacing w:after="0"/>
              <w:rPr>
                <w:sz w:val="17"/>
                <w:szCs w:val="17"/>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(8,256)</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(8,856)</w:t>
            </w:r>
          </w:p>
        </w:tc>
      </w:tr>
      <w:tr>
        <w:trPr>
          <w:trHeight w:val="203"/>
        </w:trPr>
        <w:tc>
          <w:tcPr>
            <w:tcW w:w="7940" w:type="dxa"/>
            <w:vAlign w:val="bottom"/>
            <w:shd w:val="clear" w:color="auto" w:fill="E5FFFF"/>
          </w:tcPr>
          <w:p>
            <w:pPr>
              <w:spacing w:after="0"/>
              <w:rPr>
                <w:sz w:val="20"/>
                <w:szCs w:val="20"/>
                <w:color w:val="auto"/>
              </w:rPr>
            </w:pPr>
            <w:r>
              <w:rPr>
                <w:rFonts w:ascii="Arial" w:cs="Arial" w:eastAsia="Arial" w:hAnsi="Arial"/>
                <w:sz w:val="16"/>
                <w:szCs w:val="16"/>
                <w:color w:val="auto"/>
              </w:rPr>
              <w:t>Lease charge</w:t>
            </w:r>
          </w:p>
        </w:tc>
        <w:tc>
          <w:tcPr>
            <w:tcW w:w="22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(2,635)</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(2,526)</w:t>
            </w: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Other financial costs, net</w:t>
            </w:r>
          </w:p>
        </w:tc>
        <w:tc>
          <w:tcPr>
            <w:tcW w:w="220" w:type="dxa"/>
            <w:vAlign w:val="bottom"/>
          </w:tcPr>
          <w:p>
            <w:pPr>
              <w:spacing w:after="0"/>
              <w:rPr>
                <w:sz w:val="17"/>
                <w:szCs w:val="17"/>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(399)</w:t>
            </w:r>
          </w:p>
        </w:tc>
        <w:tc>
          <w:tcPr>
            <w:tcW w:w="22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(3,331)</w:t>
            </w:r>
          </w:p>
        </w:tc>
      </w:tr>
      <w:tr>
        <w:trPr>
          <w:trHeight w:val="207"/>
        </w:trPr>
        <w:tc>
          <w:tcPr>
            <w:tcW w:w="79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(46,897</w:t>
            </w:r>
          </w:p>
        </w:tc>
        <w:tc>
          <w:tcPr>
            <w:tcW w:w="28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(43,557</w:t>
            </w:r>
          </w:p>
        </w:tc>
        <w:tc>
          <w:tcPr>
            <w:tcW w:w="100" w:type="dxa"/>
            <w:vAlign w:val="bottom"/>
            <w:tcBorders>
              <w:top w:val="single" w:sz="8" w:color="E5FFFF"/>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spacing w:after="0" w:line="335" w:lineRule="auto"/>
        <w:rPr>
          <w:sz w:val="20"/>
          <w:szCs w:val="20"/>
          <w:color w:val="auto"/>
        </w:rPr>
      </w:pPr>
      <w:r>
        <w:rPr>
          <w:rFonts w:ascii="Arial" w:cs="Arial" w:eastAsia="Arial" w:hAnsi="Arial"/>
          <w:sz w:val="14"/>
          <w:szCs w:val="14"/>
          <w:color w:val="auto"/>
        </w:rPr>
        <w:t>Loss on derivatives was $13.5 million for the quarter ended June 30, 2020 ($30.8 million loss for the quarter ended June 30, 2019). The decrease in loss on derivatives in the second quarter of 2020, as compared to the second quarter of 2019, is mainly attributable to a decrease of $21.6 million in loss from marked-to-market valuation of our derivative financial instruments carried at fair value through profit or loss, derived from changes in the LIBOR curve. An analysis of loss on derivatives is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92"/>
              </w:rPr>
              <w:t>June 30, 2019</w:t>
            </w:r>
          </w:p>
        </w:tc>
        <w:tc>
          <w:tcPr>
            <w:tcW w:w="22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w w:val="92"/>
              </w:rPr>
              <w:t>June 30, 2020</w:t>
            </w:r>
          </w:p>
        </w:tc>
      </w:tr>
      <w:tr>
        <w:trPr>
          <w:trHeight w:val="186"/>
        </w:trPr>
        <w:tc>
          <w:tcPr>
            <w:tcW w:w="7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on derivatives</w:t>
            </w:r>
          </w:p>
        </w:tc>
        <w:tc>
          <w:tcPr>
            <w:tcW w:w="220" w:type="dxa"/>
            <w:vAlign w:val="bottom"/>
            <w:tcBorders>
              <w:top w:val="single" w:sz="8" w:color="auto"/>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220" w:type="dxa"/>
            <w:vAlign w:val="bottom"/>
            <w:tcBorders>
              <w:top w:val="single" w:sz="8" w:color="auto"/>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Realized gain/(loss) on derivatives held for trading</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99"/>
              <w:spacing w:after="0"/>
              <w:rPr>
                <w:sz w:val="20"/>
                <w:szCs w:val="20"/>
                <w:color w:val="auto"/>
              </w:rPr>
            </w:pPr>
            <w:r>
              <w:rPr>
                <w:rFonts w:ascii="Arial" w:cs="Arial" w:eastAsia="Arial" w:hAnsi="Arial"/>
                <w:sz w:val="16"/>
                <w:szCs w:val="16"/>
                <w:color w:val="auto"/>
              </w:rPr>
              <w:t>1,226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(2,731)</w:t>
            </w:r>
          </w:p>
        </w:tc>
      </w:tr>
      <w:tr>
        <w:trPr>
          <w:trHeight w:val="203"/>
        </w:trPr>
        <w:tc>
          <w:tcPr>
            <w:tcW w:w="7940" w:type="dxa"/>
            <w:vAlign w:val="bottom"/>
            <w:shd w:val="clear" w:color="auto" w:fill="E5FFFF"/>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22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(1,246)</w:t>
            </w:r>
          </w:p>
        </w:tc>
        <w:tc>
          <w:tcPr>
            <w:tcW w:w="2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(531)</w:t>
            </w: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Unrealized loss on derivative financial instruments held for trading</w:t>
            </w:r>
          </w:p>
        </w:tc>
        <w:tc>
          <w:tcPr>
            <w:tcW w:w="220" w:type="dxa"/>
            <w:vAlign w:val="bottom"/>
          </w:tcPr>
          <w:p>
            <w:pPr>
              <w:spacing w:after="0"/>
              <w:rPr>
                <w:sz w:val="17"/>
                <w:szCs w:val="17"/>
                <w:color w:val="auto"/>
              </w:rPr>
            </w:pPr>
          </w:p>
        </w:tc>
        <w:tc>
          <w:tcPr>
            <w:tcW w:w="1520" w:type="dxa"/>
            <w:vAlign w:val="bottom"/>
            <w:gridSpan w:val="2"/>
          </w:tcPr>
          <w:p>
            <w:pPr>
              <w:jc w:val="right"/>
              <w:ind w:right="139"/>
              <w:spacing w:after="0"/>
              <w:rPr>
                <w:sz w:val="20"/>
                <w:szCs w:val="20"/>
                <w:color w:val="auto"/>
              </w:rPr>
            </w:pPr>
            <w:r>
              <w:rPr>
                <w:rFonts w:ascii="Arial" w:cs="Arial" w:eastAsia="Arial" w:hAnsi="Arial"/>
                <w:sz w:val="16"/>
                <w:szCs w:val="16"/>
                <w:color w:val="auto"/>
              </w:rPr>
              <w:t>(30,781)</w:t>
            </w:r>
          </w:p>
        </w:tc>
        <w:tc>
          <w:tcPr>
            <w:tcW w:w="22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(9,140)</w:t>
            </w:r>
          </w:p>
        </w:tc>
      </w:tr>
      <w:tr>
        <w:trPr>
          <w:trHeight w:val="203"/>
        </w:trPr>
        <w:tc>
          <w:tcPr>
            <w:tcW w:w="794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22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2</w:t>
            </w:r>
          </w:p>
        </w:tc>
        <w:tc>
          <w:tcPr>
            <w:tcW w:w="2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(1,065)</w:t>
            </w:r>
          </w:p>
        </w:tc>
      </w:tr>
      <w:tr>
        <w:trPr>
          <w:trHeight w:val="207"/>
        </w:trPr>
        <w:tc>
          <w:tcPr>
            <w:tcW w:w="79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(30,799</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(13,467</w:t>
            </w:r>
          </w:p>
        </w:tc>
        <w:tc>
          <w:tcPr>
            <w:tcW w:w="1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Loss for the period was $13.3 million for the quarter ended June 30, 2020 (loss of $10.5 million for the quarter ended June 30, 2019). This increase in loss is mainly attributable to the impairment loss on vessels, partially offset by the favorable movement in non-cash marked-to-market valuations of our derivative financial instruments in the second quarter of 2020 and the decrease in finance costs.</w:t>
      </w:r>
    </w:p>
    <w:p>
      <w:pPr>
        <w:spacing w:after="0" w:line="184" w:lineRule="exact"/>
        <w:rPr>
          <w:sz w:val="20"/>
          <w:szCs w:val="20"/>
          <w:color w:val="auto"/>
        </w:rPr>
      </w:pPr>
    </w:p>
    <w:p>
      <w:pPr>
        <w:jc w:val="both"/>
        <w:ind w:right="200"/>
        <w:spacing w:after="0" w:line="241" w:lineRule="auto"/>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$24.6 million for the quarter ended June 30, 2020 ($20.5 million for the quarter ended June 30, 2019) adjusted for the effects of the impairment loss on vessels, the non-cash loss on derivatives, the swap amendment costs (with respect to cash collateral requirements), the restructuring costs, the loss on disposal of non-current assets, the foreign exchange losses, net and the net unrealized foreign exchange gains on cash and bonds.</w:t>
      </w:r>
    </w:p>
    <w:p>
      <w:pPr>
        <w:spacing w:after="0" w:line="212"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Loss attributable to the owners of GasLog was $21.3 million for the quarter ended June 30, 2020 ($26.0 million loss for the quarter ended June 30, 2019). The decrease in loss attributable to the owners of GasLog resulted mainly from the decrease in profit attributable to the non-controlling interests (non-controlling unitholders of GasLog Partners) following the decrease in the Partnership’s profit, partially offset by the increase in loss for the period 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$111.7 million for the quarter ended June 30, 2020 ($107.0 million for the quarter ended June 30, 2019).</w:t>
      </w:r>
    </w:p>
    <w:p>
      <w:pPr>
        <w:spacing w:after="0" w:line="177"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EPS was a loss of $0.30 for the quarter ended June 30, 2020 ($0.35 loss for the quarter ended June 30, 2019). The decrease in loss per share is mainly attributable to the respective movements in loss attributable to the owners of GasLog discussed above.</w:t>
      </w:r>
    </w:p>
    <w:p>
      <w:pPr>
        <w:spacing w:after="0" w:line="17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a gain of $0.02 for the quarter ended June 30, 2020 ($0.03 gain for the quarter ended June 30, 2019), adjusted for the effects of the impairment loss on vessels, the swap amendment costs (with respect to cash collateral requirements), the non-cash loss on derivatives, the restructuring costs, the loss on disposal of non-current assets, the foreign exchange losses, net and the net unrealized foreign exchange gains on cash and bonds.</w:t>
      </w:r>
    </w:p>
    <w:p>
      <w:pPr>
        <w:spacing w:after="0" w:line="203" w:lineRule="exact"/>
        <w:rPr>
          <w:sz w:val="20"/>
          <w:szCs w:val="20"/>
          <w:color w:val="auto"/>
        </w:rPr>
      </w:pPr>
    </w:p>
    <w:p>
      <w:pPr>
        <w:ind w:left="140" w:right="120" w:hanging="132"/>
        <w:spacing w:after="0" w:line="222" w:lineRule="auto"/>
        <w:tabs>
          <w:tab w:leader="none" w:pos="166" w:val="left"/>
        </w:tabs>
        <w:numPr>
          <w:ilvl w:val="0"/>
          <w:numId w:val="485"/>
        </w:numPr>
        <w:rPr>
          <w:rFonts w:ascii="Arial" w:cs="Arial" w:eastAsia="Arial" w:hAnsi="Arial"/>
          <w:sz w:val="19"/>
          <w:szCs w:val="19"/>
          <w:color w:val="auto"/>
          <w:vertAlign w:val="superscript"/>
        </w:rPr>
      </w:pPr>
      <w:r>
        <w:rPr>
          <w:rFonts w:ascii="Arial" w:cs="Arial" w:eastAsia="Arial" w:hAnsi="Arial"/>
          <w:sz w:val="13"/>
          <w:szCs w:val="13"/>
          <w:color w:val="auto"/>
        </w:rPr>
        <w:t>Adjusted Profit,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the total future firm contracted revenue stood at $3.7 billion</w:t>
      </w:r>
      <w:r>
        <w:rPr>
          <w:rFonts w:ascii="Arial" w:cs="Arial" w:eastAsia="Arial" w:hAnsi="Arial"/>
          <w:sz w:val="21"/>
          <w:szCs w:val="21"/>
          <w:color w:val="auto"/>
          <w:vertAlign w:val="superscript"/>
        </w:rPr>
        <w:t>(1)</w:t>
      </w:r>
      <w:r>
        <w:rPr>
          <w:rFonts w:ascii="Arial" w:cs="Arial" w:eastAsia="Arial" w:hAnsi="Arial"/>
          <w:sz w:val="16"/>
          <w:szCs w:val="16"/>
          <w:color w:val="auto"/>
        </w:rPr>
        <w:t>, including the 15 vessels currently owned by GasLog Partners.</w:t>
      </w:r>
    </w:p>
    <w:p>
      <w:pPr>
        <w:spacing w:after="0" w:line="168" w:lineRule="exact"/>
        <w:rPr>
          <w:sz w:val="20"/>
          <w:szCs w:val="20"/>
          <w:color w:val="auto"/>
        </w:rPr>
      </w:pPr>
    </w:p>
    <w:p>
      <w:pPr>
        <w:ind w:right="20" w:firstLine="8"/>
        <w:spacing w:after="0" w:line="579" w:lineRule="auto"/>
        <w:tabs>
          <w:tab w:leader="none" w:pos="127" w:val="left"/>
        </w:tabs>
        <w:numPr>
          <w:ilvl w:val="0"/>
          <w:numId w:val="486"/>
        </w:numPr>
        <w:rPr>
          <w:rFonts w:ascii="Arial" w:cs="Arial" w:eastAsia="Arial" w:hAnsi="Arial"/>
          <w:sz w:val="13"/>
          <w:szCs w:val="13"/>
          <w:color w:val="auto"/>
          <w:vertAlign w:val="superscript"/>
        </w:rPr>
      </w:pPr>
      <w:r>
        <w:rPr>
          <w:rFonts w:ascii="Arial" w:cs="Arial" w:eastAsia="Arial" w:hAnsi="Arial"/>
          <w:sz w:val="11"/>
          <w:szCs w:val="11"/>
          <w:color w:val="auto"/>
        </w:rPr>
        <w:t>Contracted revenue calculations assume: (a) 365 revenue days per annum, with 30 off-hire days when the ship undergoes scheduled dry-docking; (b) all LNG carriers on order are delivered on schedule; (c) no exercise of any option to extend the terms of charters; and (d) where charters are based on a variable rate of hire within an agreed range during the charter period, the lower end of the range.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39" w:lineRule="exact"/>
        <w:rPr>
          <w:sz w:val="20"/>
          <w:szCs w:val="20"/>
          <w:color w:val="auto"/>
        </w:rPr>
      </w:pPr>
    </w:p>
    <w:p>
      <w:pPr>
        <w:jc w:val="both"/>
        <w:ind w:right="440"/>
        <w:spacing w:after="0" w:line="278" w:lineRule="auto"/>
        <w:rPr>
          <w:sz w:val="20"/>
          <w:szCs w:val="20"/>
          <w:color w:val="auto"/>
        </w:rPr>
      </w:pPr>
      <w:r>
        <w:rPr>
          <w:rFonts w:ascii="Arial" w:cs="Arial" w:eastAsia="Arial" w:hAnsi="Arial"/>
          <w:sz w:val="16"/>
          <w:szCs w:val="16"/>
          <w:color w:val="auto"/>
        </w:rPr>
        <w:t>As of June 30, 2020, GasLog had $172.9 million of cash and cash equivalents, of which $44.5 million was held in time deposits and the remaining balance in current accounts. In addition, an amount of $71.1 million was held as cash collateral with respect to our derivative instruments and is included in Other non-current assets and Prepayments and other current assets. This amount has been further reduced to $44.8 million, following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14" w:name="page215"/>
    <w:bookmarkEnd w:id="214"/>
    <w:p>
      <w:pPr>
        <w:spacing w:after="0"/>
        <w:rPr>
          <w:sz w:val="20"/>
          <w:szCs w:val="20"/>
          <w:color w:val="auto"/>
        </w:rPr>
      </w:pPr>
      <w:r>
        <w:rPr>
          <w:rFonts w:ascii="Arial" w:cs="Arial" w:eastAsia="Arial" w:hAnsi="Arial"/>
          <w:sz w:val="16"/>
          <w:szCs w:val="16"/>
          <w:color w:val="auto"/>
        </w:rPr>
        <w:t>novation of certain swap agreements described below.</w:t>
      </w:r>
    </w:p>
    <w:p>
      <w:pPr>
        <w:spacing w:after="0" w:line="235"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On January 13, 2020, GasLog completed the partial exchange of $10.0 million of the outstanding 8.875% senior unsecured notes due 2022 (the “8.875% Senior Notes”) for new senior unsecured bonds due in 2024 (the “NOK 2024 Bonds”). On January 31, 2020, GasLog repurchased and cancelled NOK 434,000 of the outstanding senior unsecured bonds due May 2021 (the “NOK 2021 Bonds”) at a price of 104.0% of par value, resulting in a loss of $1.9 million.</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On February 13, 2020, on March 13, 2020 and on March 18, 2020, GasLog drew down $23.3 million, $50.7 million and $26.0 million, respectively under the revolving credit facility of up to $1.1 billion entered into on July 19, 2016 (the “Legacy Facility Refinancing”). On March 26, 2020 and on May 4, 2020, GasLog drew $152.5 million and $149.4 million, respectively, under the facility signed on December 12, 2019 with an Export Credit Agency-backed debt financing of $1.1 billion with 13 international banks to provide the debt funding for its current newbuilding program (the “Newbuilding Facility”), to partially finance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Wales</w:t>
      </w:r>
      <w:r>
        <w:rPr>
          <w:rFonts w:ascii="Arial" w:cs="Arial" w:eastAsia="Arial" w:hAnsi="Arial"/>
          <w:sz w:val="16"/>
          <w:szCs w:val="16"/>
          <w:color w:val="auto"/>
        </w:rPr>
        <w:t>.</w:t>
      </w:r>
    </w:p>
    <w:p>
      <w:pPr>
        <w:spacing w:after="0" w:line="190" w:lineRule="exact"/>
        <w:rPr>
          <w:sz w:val="20"/>
          <w:szCs w:val="20"/>
          <w:color w:val="auto"/>
        </w:rPr>
      </w:pPr>
    </w:p>
    <w:p>
      <w:pPr>
        <w:ind w:right="560"/>
        <w:spacing w:after="0" w:line="369" w:lineRule="auto"/>
        <w:rPr>
          <w:sz w:val="20"/>
          <w:szCs w:val="20"/>
          <w:color w:val="auto"/>
        </w:rPr>
      </w:pPr>
      <w:r>
        <w:rPr>
          <w:rFonts w:ascii="Arial" w:cs="Arial" w:eastAsia="Arial" w:hAnsi="Arial"/>
          <w:sz w:val="14"/>
          <w:szCs w:val="14"/>
          <w:color w:val="auto"/>
        </w:rPr>
        <w:t>On June 29, 2020, GasLog closed the sale of 14,400,000 common shares at a price of $2.50 per share for total gross proceeds of $36.0 million through the Private Placement. The net proceeds were used for general corporate purposes. This transaction increased liquidity and further strengthened the capital structure of GasLog.</w:t>
      </w:r>
    </w:p>
    <w:p>
      <w:pPr>
        <w:spacing w:after="0" w:line="126"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As of June 30, 2020, the total remaining balance of the contract prices of the five LNG carriers on order was $788.3 million (including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which was delivered on July 15, 2020), which GasLog expects to fund them with the Newbuilding Facility, cash balances and cash from operations. As of June 30, 2020, there was undrawn available capacity of $750.9 million under the Newbuilding Facility.</w:t>
      </w:r>
    </w:p>
    <w:p>
      <w:pPr>
        <w:spacing w:after="0" w:line="184"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As of June 30, 2020, GasLog had an aggregate of $3.4 billion of indebtedness outstanding under its credit facilities and bond agreements, of which $465.2 million was repayable within one year, and $200.7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$9.8 million was payable within one year</w:t>
      </w:r>
    </w:p>
    <w:p>
      <w:pPr>
        <w:spacing w:after="0" w:line="17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July 21, 2020 and July 31, 2020, the respective subsidiaries of GasLog drew down a total of $1,127.7 million under the new facilities entered into on July 16, 2020 and July 30, 2020 and prepaid in full their aggregate outstanding debt of $1,082.6 million, which would have been due in April and July 2021.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42.7% of its expected floating interest rate exposure on its outstanding debt (excluding the lease liability) as of June 30, 2020.</w:t>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Diversifying the list of hedging providers, GasLog has entered into novation agreements with Nordea Bank Finland (“Nordea”) and Standard Chartered Bank. Subsequently, two interest rate swaps originally held with Nordea and due to mature in 2022, have now been transferred to Standard Chartered Bank. The aggregate notional of the trades is $166.6 million. Furthermore, as part of the closing of the Partnership’s refinancing in July 2020, GasLog Partners entered into four new interest rate swap agreements with an aggregate notional amount of $133.3 million due in 2024 and 2025 with the facility lenders DNB Bank ASA, London Branch and ING Bank N.V., London Branch, all secured under the GasLog Partners’ $193.7 million facility agreement signed on July 16, 2020 in relation to the GAS-nineteen Ltd., the GAS-twenty Ltd. and the GAS-twenty seven Ltd., the vessel owning entities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Combined with favorable movements in marked-to-market valuations, this resulted in cash collateral with respect to our interest rate and cross-currency swap agreements decreasing to $44.8 million as of July 31, 2020.</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As of June 30, 2020, GasLog’s current assets totaled $249.8 million, while current liabilities totaled $662.5 million (including the $332.2 million of current debt refinanced in July 2020), resulting in a negative working capital position of $412.7 million. 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commercial and financial market conditions, we anticipate that our primary sources of funds over the next twelve months will be available cash, cash from operations and existing borrowings, including the credit agreements entered into on July 16, 2020 and July 30, 2020, which refinanced in full the debt maturities due in 2021. We believe that these anticipated sources of funds will be sufficient to meet our liquidity needs and to comply with our banking covenants for at least 12 months from the end of the reporting period and therefore it is appropriate to prepare the financial statements on a going concern basis. Additionally, we may enter into new debt facilities in the future, as well as public and/or private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that are beyond our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6"/>
                <w:szCs w:val="16"/>
                <w:b w:val="1"/>
                <w:bCs w:val="1"/>
                <w:color w:val="auto"/>
              </w:rPr>
              <w:t>Future Deliveries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6700" w:type="dxa"/>
            <w:vAlign w:val="bottom"/>
            <w:gridSpan w:val="1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7900" w:type="dxa"/>
            <w:vAlign w:val="bottom"/>
            <w:gridSpan w:val="11"/>
          </w:tcPr>
          <w:p>
            <w:pPr>
              <w:spacing w:after="0"/>
              <w:rPr>
                <w:sz w:val="20"/>
                <w:szCs w:val="20"/>
                <w:color w:val="auto"/>
              </w:rPr>
            </w:pPr>
            <w:r>
              <w:rPr>
                <w:rFonts w:ascii="Arial" w:cs="Arial" w:eastAsia="Arial" w:hAnsi="Arial"/>
                <w:sz w:val="16"/>
                <w:szCs w:val="16"/>
                <w:color w:val="auto"/>
                <w:w w:val="95"/>
              </w:rPr>
              <w:t>As of August 5, 2020, GasLog has four newbuildings on order at Samsung which are on schedule and within budget:</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Cargo</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Capacity</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Estimated Charter</w:t>
            </w:r>
          </w:p>
        </w:tc>
      </w:tr>
      <w:tr>
        <w:trPr>
          <w:trHeight w:val="216"/>
        </w:trPr>
        <w:tc>
          <w:tcPr>
            <w:tcW w:w="20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480" w:type="dxa"/>
            <w:vAlign w:val="bottom"/>
            <w:gridSpan w:val="2"/>
          </w:tcPr>
          <w:p>
            <w:pPr>
              <w:jc w:val="center"/>
              <w:ind w:right="220"/>
              <w:spacing w:after="0" w:line="217" w:lineRule="exact"/>
              <w:rPr>
                <w:sz w:val="20"/>
                <w:szCs w:val="20"/>
                <w:color w:val="auto"/>
              </w:rPr>
            </w:pPr>
            <w:r>
              <w:rPr>
                <w:rFonts w:ascii="Arial" w:cs="Arial" w:eastAsia="Arial" w:hAnsi="Arial"/>
                <w:sz w:val="16"/>
                <w:szCs w:val="16"/>
                <w:b w:val="1"/>
                <w:bCs w:val="1"/>
                <w:color w:val="auto"/>
                <w:w w:val="89"/>
              </w:rPr>
              <w:t>Year Built</w:t>
            </w:r>
            <w:r>
              <w:rPr>
                <w:rFonts w:ascii="Arial" w:cs="Arial" w:eastAsia="Arial" w:hAnsi="Arial"/>
                <w:sz w:val="21"/>
                <w:szCs w:val="21"/>
                <w:b w:val="1"/>
                <w:bCs w:val="1"/>
                <w:color w:val="auto"/>
                <w:w w:val="89"/>
                <w:vertAlign w:val="superscript"/>
              </w:rPr>
              <w:t>(1)</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Shipyard</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(cbm)</w:t>
            </w:r>
          </w:p>
        </w:tc>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Charterer</w:t>
            </w: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Propulsion</w:t>
            </w:r>
          </w:p>
        </w:tc>
        <w:tc>
          <w:tcPr>
            <w:tcW w:w="190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r>
      <w:tr>
        <w:trPr>
          <w:trHeight w:val="196"/>
        </w:trPr>
        <w:tc>
          <w:tcPr>
            <w:tcW w:w="182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6"/>
                <w:szCs w:val="16"/>
                <w:color w:val="auto"/>
              </w:rPr>
              <w:t>Hull No. 2300</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Q4 2020</w:t>
            </w:r>
          </w:p>
        </w:tc>
        <w:tc>
          <w:tcPr>
            <w:tcW w:w="24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Samsung</w:t>
            </w:r>
          </w:p>
        </w:tc>
        <w:tc>
          <w:tcPr>
            <w:tcW w:w="2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2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ind w:left="260"/>
              <w:spacing w:after="0" w:line="196" w:lineRule="exact"/>
              <w:rPr>
                <w:sz w:val="20"/>
                <w:szCs w:val="20"/>
                <w:color w:val="auto"/>
              </w:rPr>
            </w:pPr>
            <w:r>
              <w:rPr>
                <w:rFonts w:ascii="Arial" w:cs="Arial" w:eastAsia="Arial" w:hAnsi="Arial"/>
                <w:sz w:val="16"/>
                <w:szCs w:val="16"/>
                <w:color w:val="auto"/>
              </w:rPr>
              <w:t>Cheniere</w:t>
            </w:r>
            <w:r>
              <w:rPr>
                <w:rFonts w:ascii="Arial" w:cs="Arial" w:eastAsia="Arial" w:hAnsi="Arial"/>
                <w:sz w:val="21"/>
                <w:szCs w:val="21"/>
                <w:color w:val="auto"/>
                <w:vertAlign w:val="superscript"/>
              </w:rPr>
              <w:t>(3)</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22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2040" w:type="dxa"/>
            <w:vAlign w:val="bottom"/>
            <w:gridSpan w:val="3"/>
          </w:tcPr>
          <w:p>
            <w:pPr>
              <w:spacing w:after="0"/>
              <w:rPr>
                <w:sz w:val="20"/>
                <w:szCs w:val="20"/>
                <w:color w:val="auto"/>
              </w:rPr>
            </w:pPr>
            <w:r>
              <w:rPr>
                <w:rFonts w:ascii="Arial" w:cs="Arial" w:eastAsia="Arial" w:hAnsi="Arial"/>
                <w:sz w:val="16"/>
                <w:szCs w:val="16"/>
                <w:color w:val="auto"/>
              </w:rPr>
              <w:t>Hull No. 2301</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Q1 2021</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Samsung</w:t>
            </w: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200" w:type="dxa"/>
            <w:vAlign w:val="bottom"/>
          </w:tcPr>
          <w:p>
            <w:pPr>
              <w:spacing w:after="0"/>
              <w:rPr>
                <w:sz w:val="17"/>
                <w:szCs w:val="17"/>
                <w:color w:val="auto"/>
              </w:rPr>
            </w:pPr>
          </w:p>
        </w:tc>
        <w:tc>
          <w:tcPr>
            <w:tcW w:w="1460" w:type="dxa"/>
            <w:vAlign w:val="bottom"/>
            <w:gridSpan w:val="2"/>
          </w:tcPr>
          <w:p>
            <w:pPr>
              <w:ind w:left="260"/>
              <w:spacing w:after="0" w:line="203" w:lineRule="exact"/>
              <w:rPr>
                <w:sz w:val="20"/>
                <w:szCs w:val="20"/>
                <w:color w:val="auto"/>
              </w:rPr>
            </w:pPr>
            <w:r>
              <w:rPr>
                <w:rFonts w:ascii="Arial" w:cs="Arial" w:eastAsia="Arial" w:hAnsi="Arial"/>
                <w:sz w:val="16"/>
                <w:szCs w:val="16"/>
                <w:color w:val="auto"/>
              </w:rPr>
              <w:t>Cheniere</w:t>
            </w:r>
            <w:r>
              <w:rPr>
                <w:rFonts w:ascii="Arial" w:cs="Arial" w:eastAsia="Arial" w:hAnsi="Arial"/>
                <w:sz w:val="21"/>
                <w:szCs w:val="21"/>
                <w:color w:val="auto"/>
                <w:vertAlign w:val="superscript"/>
              </w:rPr>
              <w:t>(3)</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color w:val="auto"/>
              </w:rPr>
              <w:t>X-DF</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100" w:type="dxa"/>
            <w:vAlign w:val="bottom"/>
          </w:tcPr>
          <w:p>
            <w:pPr>
              <w:spacing w:after="0"/>
              <w:rPr>
                <w:sz w:val="17"/>
                <w:szCs w:val="17"/>
                <w:color w:val="auto"/>
              </w:rPr>
            </w:pPr>
          </w:p>
        </w:tc>
      </w:tr>
      <w:tr>
        <w:trPr>
          <w:trHeight w:val="203"/>
        </w:trPr>
        <w:tc>
          <w:tcPr>
            <w:tcW w:w="204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Hull No. 2311</w:t>
            </w:r>
          </w:p>
        </w:tc>
        <w:tc>
          <w:tcPr>
            <w:tcW w:w="148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1"/>
              </w:rPr>
              <w:t>Q2 2021</w:t>
            </w:r>
          </w:p>
        </w:tc>
        <w:tc>
          <w:tcPr>
            <w:tcW w:w="14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88"/>
              </w:rPr>
              <w:t>Samsung</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20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ind w:left="260"/>
              <w:spacing w:after="0" w:line="203" w:lineRule="exact"/>
              <w:rPr>
                <w:sz w:val="20"/>
                <w:szCs w:val="20"/>
                <w:color w:val="auto"/>
              </w:rPr>
            </w:pPr>
            <w:r>
              <w:rPr>
                <w:rFonts w:ascii="Arial" w:cs="Arial" w:eastAsia="Arial" w:hAnsi="Arial"/>
                <w:sz w:val="16"/>
                <w:szCs w:val="16"/>
                <w:color w:val="auto"/>
              </w:rPr>
              <w:t>Cheniere</w:t>
            </w:r>
            <w:r>
              <w:rPr>
                <w:rFonts w:ascii="Arial" w:cs="Arial" w:eastAsia="Arial" w:hAnsi="Arial"/>
                <w:sz w:val="21"/>
                <w:szCs w:val="21"/>
                <w:color w:val="auto"/>
                <w:vertAlign w:val="superscript"/>
              </w:rPr>
              <w:t>(3)</w:t>
            </w:r>
          </w:p>
        </w:tc>
        <w:tc>
          <w:tcPr>
            <w:tcW w:w="14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rPr>
              <w:t>X-DF</w:t>
            </w:r>
          </w:p>
        </w:tc>
        <w:tc>
          <w:tcPr>
            <w:tcW w:w="1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2028</w:t>
            </w:r>
          </w:p>
        </w:tc>
        <w:tc>
          <w:tcPr>
            <w:tcW w:w="100" w:type="dxa"/>
            <w:vAlign w:val="bottom"/>
            <w:shd w:val="clear" w:color="auto" w:fill="E5FFFF"/>
          </w:tcPr>
          <w:p>
            <w:pPr>
              <w:spacing w:after="0"/>
              <w:rPr>
                <w:sz w:val="17"/>
                <w:szCs w:val="17"/>
                <w:color w:val="auto"/>
              </w:rPr>
            </w:pPr>
          </w:p>
        </w:tc>
      </w:tr>
      <w:tr>
        <w:trPr>
          <w:trHeight w:val="213"/>
        </w:trPr>
        <w:tc>
          <w:tcPr>
            <w:tcW w:w="2040" w:type="dxa"/>
            <w:vAlign w:val="bottom"/>
            <w:gridSpan w:val="3"/>
          </w:tcPr>
          <w:p>
            <w:pPr>
              <w:spacing w:after="0"/>
              <w:rPr>
                <w:sz w:val="20"/>
                <w:szCs w:val="20"/>
                <w:color w:val="auto"/>
              </w:rPr>
            </w:pPr>
            <w:r>
              <w:rPr>
                <w:rFonts w:ascii="Arial" w:cs="Arial" w:eastAsia="Arial" w:hAnsi="Arial"/>
                <w:sz w:val="16"/>
                <w:szCs w:val="16"/>
                <w:color w:val="auto"/>
              </w:rPr>
              <w:t>Hull No. 2312</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Q3 2021</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Samsung</w:t>
            </w: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200" w:type="dxa"/>
            <w:vAlign w:val="bottom"/>
          </w:tcPr>
          <w:p>
            <w:pPr>
              <w:spacing w:after="0"/>
              <w:rPr>
                <w:sz w:val="18"/>
                <w:szCs w:val="18"/>
                <w:color w:val="auto"/>
              </w:rPr>
            </w:pPr>
          </w:p>
        </w:tc>
        <w:tc>
          <w:tcPr>
            <w:tcW w:w="1460" w:type="dxa"/>
            <w:vAlign w:val="bottom"/>
            <w:gridSpan w:val="2"/>
          </w:tcPr>
          <w:p>
            <w:pPr>
              <w:ind w:left="260"/>
              <w:spacing w:after="0" w:line="213" w:lineRule="exact"/>
              <w:rPr>
                <w:sz w:val="20"/>
                <w:szCs w:val="20"/>
                <w:color w:val="auto"/>
              </w:rPr>
            </w:pPr>
            <w:r>
              <w:rPr>
                <w:rFonts w:ascii="Arial" w:cs="Arial" w:eastAsia="Arial" w:hAnsi="Arial"/>
                <w:sz w:val="16"/>
                <w:szCs w:val="16"/>
                <w:color w:val="auto"/>
              </w:rPr>
              <w:t>Cheniere</w:t>
            </w:r>
            <w:r>
              <w:rPr>
                <w:rFonts w:ascii="Arial" w:cs="Arial" w:eastAsia="Arial" w:hAnsi="Arial"/>
                <w:sz w:val="21"/>
                <w:szCs w:val="21"/>
                <w:color w:val="auto"/>
                <w:vertAlign w:val="superscript"/>
              </w:rPr>
              <w:t>(3)</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color w:val="auto"/>
              </w:rPr>
              <w:t>X-DF</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100" w:type="dxa"/>
            <w:vAlign w:val="bottom"/>
          </w:tcPr>
          <w:p>
            <w:pPr>
              <w:spacing w:after="0"/>
              <w:rPr>
                <w:sz w:val="18"/>
                <w:szCs w:val="18"/>
                <w:color w:val="auto"/>
              </w:rPr>
            </w:pPr>
          </w:p>
        </w:tc>
      </w:tr>
    </w:tbl>
    <w:p>
      <w:pPr>
        <w:spacing w:after="0" w:line="221" w:lineRule="auto"/>
        <w:rPr>
          <w:sz w:val="20"/>
          <w:szCs w:val="20"/>
          <w:color w:val="auto"/>
        </w:rPr>
      </w:pPr>
      <w:r>
        <w:rPr>
          <w:rFonts w:ascii="Arial" w:cs="Arial" w:eastAsia="Arial" w:hAnsi="Arial"/>
          <w:sz w:val="22"/>
          <w:szCs w:val="22"/>
          <w:color w:val="auto"/>
        </w:rPr>
        <w:t>____________</w:t>
      </w:r>
    </w:p>
    <w:p>
      <w:pPr>
        <w:ind w:left="260" w:hanging="252"/>
        <w:spacing w:after="0" w:line="180" w:lineRule="auto"/>
        <w:tabs>
          <w:tab w:leader="none" w:pos="260" w:val="left"/>
        </w:tabs>
        <w:numPr>
          <w:ilvl w:val="0"/>
          <w:numId w:val="487"/>
        </w:numPr>
        <w:rPr>
          <w:rFonts w:ascii="Arial" w:cs="Arial" w:eastAsia="Arial" w:hAnsi="Arial"/>
          <w:sz w:val="18"/>
          <w:szCs w:val="18"/>
          <w:color w:val="auto"/>
          <w:vertAlign w:val="superscript"/>
        </w:rPr>
      </w:pPr>
      <w:r>
        <w:rPr>
          <w:rFonts w:ascii="Arial" w:cs="Arial" w:eastAsia="Arial" w:hAnsi="Arial"/>
          <w:sz w:val="14"/>
          <w:szCs w:val="14"/>
          <w:color w:val="auto"/>
        </w:rPr>
        <w:t>Expected delivery quarters are presented.</w:t>
      </w:r>
    </w:p>
    <w:p>
      <w:pPr>
        <w:ind w:left="260" w:hanging="252"/>
        <w:spacing w:after="0" w:line="182" w:lineRule="auto"/>
        <w:tabs>
          <w:tab w:leader="none" w:pos="260" w:val="left"/>
        </w:tabs>
        <w:numPr>
          <w:ilvl w:val="0"/>
          <w:numId w:val="487"/>
        </w:numPr>
        <w:rPr>
          <w:rFonts w:ascii="Arial" w:cs="Arial" w:eastAsia="Arial" w:hAnsi="Arial"/>
          <w:sz w:val="17"/>
          <w:szCs w:val="17"/>
          <w:color w:val="auto"/>
          <w:vertAlign w:val="superscript"/>
        </w:rPr>
      </w:pPr>
      <w:r>
        <w:rPr>
          <w:rFonts w:ascii="Arial" w:cs="Arial" w:eastAsia="Arial" w:hAnsi="Arial"/>
          <w:sz w:val="13"/>
          <w:szCs w:val="13"/>
          <w:color w:val="auto"/>
        </w:rPr>
        <w:t>Charter expiration to be determined based upon actual date of delivery.</w:t>
      </w:r>
    </w:p>
    <w:p>
      <w:pPr>
        <w:ind w:left="260" w:hanging="252"/>
        <w:spacing w:after="0" w:line="197" w:lineRule="auto"/>
        <w:tabs>
          <w:tab w:leader="none" w:pos="260" w:val="left"/>
        </w:tabs>
        <w:numPr>
          <w:ilvl w:val="0"/>
          <w:numId w:val="487"/>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a wholly-owned subsidiary of Cheniere Energy, Inc. (“Cheniere”).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00" w:lineRule="exact"/>
        <w:rPr>
          <w:sz w:val="20"/>
          <w:szCs w:val="20"/>
          <w:color w:val="auto"/>
        </w:rPr>
      </w:pPr>
    </w:p>
    <w:p>
      <w:pPr>
        <w:spacing w:after="0" w:line="255" w:lineRule="exact"/>
        <w:rPr>
          <w:sz w:val="20"/>
          <w:szCs w:val="20"/>
          <w:color w:val="auto"/>
        </w:rPr>
      </w:pPr>
    </w:p>
    <w:p>
      <w:pPr>
        <w:jc w:val="both"/>
        <w:ind w:right="320"/>
        <w:spacing w:after="0" w:line="278" w:lineRule="auto"/>
        <w:rPr>
          <w:sz w:val="20"/>
          <w:szCs w:val="20"/>
          <w:color w:val="auto"/>
        </w:rPr>
      </w:pPr>
      <w:r>
        <w:rPr>
          <w:rFonts w:ascii="Arial" w:cs="Arial" w:eastAsia="Arial" w:hAnsi="Arial"/>
          <w:sz w:val="16"/>
          <w:szCs w:val="16"/>
          <w:color w:val="auto"/>
        </w:rPr>
        <w:t>GasLog and GasLog Partners will host a joint conference call to discuss their results for the second quarter of 2020 at 8.30 a.m. EDT (3.30 p.m. EEST) on Wednesday, August 5, 2020. Senior management of GasLog and GasLog Partners will review the operational and financial performance of both companies. The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1796557</w:t>
      </w:r>
    </w:p>
    <w:p>
      <w:pPr>
        <w:spacing w:after="0" w:line="23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 live webcast of the conference call will also be available on the Investor Relations page of both the GasLog (</w:t>
      </w:r>
      <w:r>
        <w:rPr>
          <w:rFonts w:ascii="Arial" w:cs="Arial" w:eastAsia="Arial" w:hAnsi="Arial"/>
          <w:sz w:val="16"/>
          <w:szCs w:val="16"/>
          <w:u w:val="single" w:color="auto"/>
          <w:color w:val="0000FF"/>
        </w:rPr>
        <w:t>http://www.gaslogltd.com/investors</w:t>
      </w:r>
      <w:r>
        <w:rPr>
          <w:rFonts w:ascii="Arial" w:cs="Arial" w:eastAsia="Arial" w:hAnsi="Arial"/>
          <w:sz w:val="16"/>
          <w:szCs w:val="16"/>
          <w:color w:val="auto"/>
        </w:rPr>
        <w:t>) and GasLog Partners (</w:t>
      </w:r>
      <w:r>
        <w:rPr>
          <w:rFonts w:ascii="Arial" w:cs="Arial" w:eastAsia="Arial" w:hAnsi="Arial"/>
          <w:sz w:val="16"/>
          <w:szCs w:val="16"/>
          <w:u w:val="single" w:color="auto"/>
          <w:color w:val="0000FF"/>
        </w:rPr>
        <w:t>http://www.gaslogmlp.com/investors</w:t>
      </w:r>
      <w:r>
        <w:rPr>
          <w:rFonts w:ascii="Arial" w:cs="Arial" w:eastAsia="Arial" w:hAnsi="Arial"/>
          <w:sz w:val="16"/>
          <w:szCs w:val="16"/>
          <w:color w:val="auto"/>
        </w:rPr>
        <w:t>) websites.</w:t>
      </w:r>
    </w:p>
    <w:p>
      <w:pPr>
        <w:spacing w:after="0" w:line="17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pages of the companies websites as referenced above.</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w:t>
      </w:r>
    </w:p>
    <w:p>
      <w:pPr>
        <w:spacing w:after="0" w:line="239"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GasLog is an international owner, operator and manager of LNG carriers providing support to international energy companies as part of their LNG logistics chain. GasLog’s consolidated fleet consists of 35 LNG carriers. Of these vessels, 19 (15 on the water and four on order) are owned by GasLog, one has been sold to a subsidiary of Mitsui &amp; Co. Ltd. and leased back by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3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140" w:hanging="188"/>
        <w:spacing w:after="0" w:line="266" w:lineRule="auto"/>
        <w:tabs>
          <w:tab w:leader="none" w:pos="47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6" w:name="page217"/>
    <w:bookmarkEnd w:id="216"/>
    <w:p>
      <w:pPr>
        <w:ind w:left="520" w:right="80" w:hanging="196"/>
        <w:spacing w:after="0" w:line="265" w:lineRule="auto"/>
        <w:tabs>
          <w:tab w:leader="none" w:pos="474" w:val="left"/>
        </w:tabs>
        <w:numPr>
          <w:ilvl w:val="0"/>
          <w:numId w:val="489"/>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16"/>
          <w:szCs w:val="16"/>
          <w:color w:val="auto"/>
        </w:rPr>
      </w:pPr>
    </w:p>
    <w:p>
      <w:pPr>
        <w:ind w:left="480" w:hanging="156"/>
        <w:spacing w:after="0"/>
        <w:tabs>
          <w:tab w:leader="none" w:pos="48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global shutdown as a result of the COVID-19 pandemic;</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60" w:hanging="188"/>
        <w:spacing w:after="0" w:line="264" w:lineRule="auto"/>
        <w:tabs>
          <w:tab w:leader="none" w:pos="47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489"/>
        </w:numPr>
        <w:rPr>
          <w:rFonts w:ascii="Arial" w:cs="Arial" w:eastAsia="Arial" w:hAnsi="Arial"/>
          <w:sz w:val="15"/>
          <w:szCs w:val="15"/>
          <w:color w:val="auto"/>
        </w:rPr>
      </w:pPr>
      <w:r>
        <w:rPr>
          <w:rFonts w:ascii="Arial" w:cs="Arial" w:eastAsia="Arial" w:hAnsi="Arial"/>
          <w:sz w:val="15"/>
          <w:szCs w:val="15"/>
          <w:color w:val="auto"/>
        </w:rPr>
        <w:t>future, pending or recent acquisitions of or orders for ships or other assets, business strategy, areas of possible expansion and expected capital spending;</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260" w:hanging="188"/>
        <w:spacing w:after="0" w:line="264" w:lineRule="auto"/>
        <w:tabs>
          <w:tab w:leader="none" w:pos="47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the impact of environmental liabilities on us and the shipping industry, including climate change;</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89"/>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520" w:right="40" w:hanging="188"/>
        <w:spacing w:after="0" w:line="288" w:lineRule="auto"/>
        <w:tabs>
          <w:tab w:leader="none" w:pos="47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 xml:space="preserve">other risks and uncertainties described in the Company’s Annual Report on Form 20-F filed with the SEC on March 6, 2020 and Quarterly Report on Form 6-K filed with the SEC on May 7, 2020 and available at </w:t>
      </w:r>
      <w:r>
        <w:rPr>
          <w:rFonts w:ascii="Arial" w:cs="Arial" w:eastAsia="Arial" w:hAnsi="Arial"/>
          <w:sz w:val="16"/>
          <w:szCs w:val="16"/>
          <w:u w:val="single" w:color="auto"/>
          <w:color w:val="0000FF"/>
        </w:rPr>
        <w:t>http://www.sec.gov</w:t>
      </w:r>
      <w:r>
        <w:rPr>
          <w:rFonts w:ascii="Arial" w:cs="Arial" w:eastAsia="Arial" w:hAnsi="Arial"/>
          <w:sz w:val="16"/>
          <w:szCs w:val="16"/>
          <w:color w:val="auto"/>
        </w:rPr>
        <w:t>.</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+1 212-223-0643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5080" w:type="dxa"/>
            <w:vAlign w:val="bottom"/>
          </w:tcPr>
          <w:p>
            <w:pPr>
              <w:spacing w:after="0"/>
              <w:rPr>
                <w:sz w:val="20"/>
                <w:szCs w:val="20"/>
                <w:color w:val="auto"/>
              </w:rPr>
            </w:pPr>
            <w:r>
              <w:rPr>
                <w:rFonts w:ascii="Arial" w:cs="Arial" w:eastAsia="Arial" w:hAnsi="Arial"/>
                <w:sz w:val="16"/>
                <w:szCs w:val="16"/>
                <w:b w:val="1"/>
                <w:bCs w:val="1"/>
                <w:color w:val="auto"/>
                <w:w w:val="98"/>
              </w:rPr>
              <w:t>Unaudited condensed consolidated statements of financial position</w:t>
            </w: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As of December 31, 2019 and June 30, 2020</w:t>
            </w:r>
          </w:p>
        </w:tc>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8"/>
        </w:trPr>
        <w:tc>
          <w:tcPr>
            <w:tcW w:w="5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December 31, 2019</w:t>
            </w:r>
          </w:p>
        </w:tc>
        <w:tc>
          <w:tcPr>
            <w:tcW w:w="17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240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68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438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9,511</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21,620</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21,273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438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11,592</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24,221</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42,442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3,572</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Tangible fixed assets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4,427,065</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4,725,035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203,323</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175,969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Right-of-use assets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206,495</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207,753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24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4,907,399</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5,192,200</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2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24,900</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26,702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3,342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429</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Inventories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8,172</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8,821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13,475</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37,982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4,500</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263,747</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172,914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24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315,796</w:t>
            </w:r>
          </w:p>
        </w:tc>
        <w:tc>
          <w:tcPr>
            <w:tcW w:w="28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249,761</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24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5,223,195</w:t>
            </w:r>
          </w:p>
        </w:tc>
        <w:tc>
          <w:tcPr>
            <w:tcW w:w="280" w:type="dxa"/>
            <w:vAlign w:val="bottom"/>
            <w:tcBorders>
              <w:bottom w:val="single" w:sz="8" w:color="E5FFFF"/>
            </w:tcBorders>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5,441,961</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2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240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Preference shares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Contributed surplus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760,671</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774,378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16,799</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14,839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rPr>
                <w:sz w:val="20"/>
                <w:szCs w:val="20"/>
                <w:color w:val="auto"/>
              </w:rPr>
            </w:pPr>
            <w:r>
              <w:rPr>
                <w:rFonts w:ascii="Arial" w:cs="Arial" w:eastAsia="Arial" w:hAnsi="Arial"/>
                <w:sz w:val="16"/>
                <w:szCs w:val="16"/>
                <w:color w:val="auto"/>
              </w:rPr>
              <w:t>Treasury shares</w:t>
            </w:r>
          </w:p>
        </w:tc>
        <w:tc>
          <w:tcPr>
            <w:tcW w:w="4380" w:type="dxa"/>
            <w:vAlign w:val="bottom"/>
            <w:gridSpan w:val="3"/>
          </w:tcPr>
          <w:p>
            <w:pPr>
              <w:jc w:val="right"/>
              <w:ind w:right="240"/>
              <w:spacing w:after="0"/>
              <w:rPr>
                <w:sz w:val="20"/>
                <w:szCs w:val="20"/>
                <w:color w:val="auto"/>
              </w:rPr>
            </w:pPr>
            <w:r>
              <w:rPr>
                <w:rFonts w:ascii="Arial" w:cs="Arial" w:eastAsia="Arial" w:hAnsi="Arial"/>
                <w:sz w:val="16"/>
                <w:szCs w:val="16"/>
                <w:color w:val="auto"/>
              </w:rPr>
              <w:t>(2,159)</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(1,718)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Accumulated deficit</w:t>
            </w:r>
          </w:p>
        </w:tc>
        <w:tc>
          <w:tcPr>
            <w:tcW w:w="438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(87,832)</w:t>
            </w:r>
          </w:p>
        </w:tc>
        <w:tc>
          <w:tcPr>
            <w:tcW w:w="17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(160,659)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24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688,335</w:t>
            </w:r>
          </w:p>
        </w:tc>
        <w:tc>
          <w:tcPr>
            <w:tcW w:w="28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627,840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961,518</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943,138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24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1,649,853</w:t>
            </w:r>
          </w:p>
        </w:tc>
        <w:tc>
          <w:tcPr>
            <w:tcW w:w="28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1,570,978</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2400" w:type="dxa"/>
            <w:vAlign w:val="bottom"/>
            <w:shd w:val="clear" w:color="auto" w:fill="E5FFFF"/>
          </w:tcPr>
          <w:p>
            <w:pPr>
              <w:spacing w:after="0"/>
              <w:rPr>
                <w:sz w:val="15"/>
                <w:szCs w:val="15"/>
                <w:color w:val="auto"/>
              </w:rPr>
            </w:pPr>
          </w:p>
        </w:tc>
        <w:tc>
          <w:tcPr>
            <w:tcW w:w="17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6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Trade accounts payable</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27,615</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37,303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601</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8,095</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34,616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136,242</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114,785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255,422</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465,200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9,363</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9,769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24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437,538</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662,535</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2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41,837</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102,855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2,891,973</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2,907,842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41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195,567</w:t>
            </w:r>
          </w:p>
        </w:tc>
        <w:tc>
          <w:tcPr>
            <w:tcW w:w="28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190,924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6,427</w:t>
            </w:r>
          </w:p>
        </w:tc>
        <w:tc>
          <w:tcPr>
            <w:tcW w:w="28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6,827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24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3,135,804</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3,208,448</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24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5,223,195</w:t>
            </w:r>
          </w:p>
        </w:tc>
        <w:tc>
          <w:tcPr>
            <w:tcW w:w="2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5,441,961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0" w:type="dxa"/>
            <w:vAlign w:val="bottom"/>
            <w:vMerge w:val="restart"/>
          </w:tcPr>
          <w:p>
            <w:pPr>
              <w:jc w:val="right"/>
              <w:ind w:right="1699"/>
              <w:spacing w:after="0"/>
              <w:rPr>
                <w:sz w:val="20"/>
                <w:szCs w:val="20"/>
                <w:color w:val="auto"/>
              </w:rPr>
            </w:pPr>
            <w:r>
              <w:rPr>
                <w:rFonts w:ascii="Arial" w:cs="Arial" w:eastAsia="Arial" w:hAnsi="Arial"/>
                <w:sz w:val="14"/>
                <w:szCs w:val="14"/>
                <w:color w:val="auto"/>
              </w:rPr>
              <w:t>15</w:t>
            </w: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0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28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six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154,251</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158,861</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320,798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324,758</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2,658</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39"/>
              <w:spacing w:after="0"/>
              <w:rPr>
                <w:sz w:val="20"/>
                <w:szCs w:val="20"/>
                <w:color w:val="auto"/>
              </w:rPr>
            </w:pPr>
            <w:r>
              <w:rPr>
                <w:rFonts w:ascii="Arial" w:cs="Arial" w:eastAsia="Arial" w:hAnsi="Arial"/>
                <w:sz w:val="16"/>
                <w:szCs w:val="16"/>
                <w:color w:val="auto"/>
              </w:rPr>
              <w:t>(4,080)</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(5,867)</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(5,442)</w:t>
            </w:r>
          </w:p>
        </w:tc>
        <w:tc>
          <w:tcPr>
            <w:tcW w:w="16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(12,784)</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(12,915)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(33,358)</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(32,605)</w:t>
            </w:r>
          </w:p>
        </w:tc>
        <w:tc>
          <w:tcPr>
            <w:tcW w:w="1620" w:type="dxa"/>
            <w:vAlign w:val="bottom"/>
            <w:gridSpan w:val="2"/>
          </w:tcPr>
          <w:p>
            <w:pPr>
              <w:jc w:val="right"/>
              <w:ind w:right="139"/>
              <w:spacing w:after="0"/>
              <w:rPr>
                <w:sz w:val="20"/>
                <w:szCs w:val="20"/>
                <w:color w:val="auto"/>
              </w:rPr>
            </w:pPr>
            <w:r>
              <w:rPr>
                <w:rFonts w:ascii="Arial" w:cs="Arial" w:eastAsia="Arial" w:hAnsi="Arial"/>
                <w:sz w:val="16"/>
                <w:szCs w:val="16"/>
                <w:color w:val="auto"/>
              </w:rPr>
              <w:t>(66,328)</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(67,657)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(41,350)</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(43,647)</w:t>
            </w:r>
          </w:p>
        </w:tc>
        <w:tc>
          <w:tcPr>
            <w:tcW w:w="16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(80,949)</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(85,144)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(572)</w:t>
            </w:r>
          </w:p>
        </w:tc>
        <w:tc>
          <w:tcPr>
            <w:tcW w:w="162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(22,454)</w:t>
            </w:r>
          </w:p>
        </w:tc>
        <w:tc>
          <w:tcPr>
            <w:tcW w:w="1620" w:type="dxa"/>
            <w:vAlign w:val="bottom"/>
            <w:gridSpan w:val="2"/>
            <w:shd w:val="clear" w:color="auto" w:fill="E5FFFF"/>
          </w:tcPr>
          <w:p>
            <w:pPr>
              <w:jc w:val="right"/>
              <w:ind w:right="199"/>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(22,454)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(11,172)</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(11,154)</w:t>
            </w:r>
          </w:p>
        </w:tc>
        <w:tc>
          <w:tcPr>
            <w:tcW w:w="1620" w:type="dxa"/>
            <w:vAlign w:val="bottom"/>
            <w:gridSpan w:val="2"/>
          </w:tcPr>
          <w:p>
            <w:pPr>
              <w:jc w:val="right"/>
              <w:ind w:right="139"/>
              <w:spacing w:after="0"/>
              <w:rPr>
                <w:sz w:val="20"/>
                <w:szCs w:val="20"/>
                <w:color w:val="auto"/>
              </w:rPr>
            </w:pPr>
            <w:r>
              <w:rPr>
                <w:rFonts w:ascii="Arial" w:cs="Arial" w:eastAsia="Arial" w:hAnsi="Arial"/>
                <w:sz w:val="16"/>
                <w:szCs w:val="16"/>
                <w:color w:val="auto"/>
              </w:rPr>
              <w:t>(21,549)</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(20,775)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65,162</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42,987</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135,108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115,241</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(46,897)</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(43,557)</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(92,404)</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(84,998)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1,709</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177</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3,168</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Loss on derivatives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(30,799)</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(13,467)</w:t>
            </w:r>
          </w:p>
        </w:tc>
        <w:tc>
          <w:tcPr>
            <w:tcW w:w="1620" w:type="dxa"/>
            <w:vAlign w:val="bottom"/>
            <w:gridSpan w:val="2"/>
          </w:tcPr>
          <w:p>
            <w:pPr>
              <w:jc w:val="right"/>
              <w:ind w:right="139"/>
              <w:spacing w:after="0"/>
              <w:rPr>
                <w:sz w:val="20"/>
                <w:szCs w:val="20"/>
                <w:color w:val="auto"/>
              </w:rPr>
            </w:pPr>
            <w:r>
              <w:rPr>
                <w:rFonts w:ascii="Arial" w:cs="Arial" w:eastAsia="Arial" w:hAnsi="Arial"/>
                <w:sz w:val="16"/>
                <w:szCs w:val="16"/>
                <w:color w:val="auto"/>
              </w:rPr>
              <w:t>(51,043)</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(84,591)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313</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522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558</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(75,674)</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(56,325)</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(139,721)</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(168,016)</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(10,512)</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(13,338)</w:t>
            </w:r>
          </w:p>
        </w:tc>
        <w:tc>
          <w:tcPr>
            <w:tcW w:w="2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(4,613)</w:t>
            </w:r>
          </w:p>
        </w:tc>
        <w:tc>
          <w:tcPr>
            <w:tcW w:w="2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(52,775)</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(25,998)</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(21,348)</w:t>
            </w:r>
          </w:p>
        </w:tc>
        <w:tc>
          <w:tcPr>
            <w:tcW w:w="16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(36,945)</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(72,827)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360" w:type="dxa"/>
            <w:vAlign w:val="bottom"/>
          </w:tcPr>
          <w:p>
            <w:pPr>
              <w:jc w:val="right"/>
              <w:spacing w:after="0"/>
              <w:rPr>
                <w:sz w:val="20"/>
                <w:szCs w:val="20"/>
                <w:color w:val="auto"/>
              </w:rPr>
            </w:pPr>
            <w:r>
              <w:rPr>
                <w:rFonts w:ascii="Arial" w:cs="Arial" w:eastAsia="Arial" w:hAnsi="Arial"/>
                <w:sz w:val="16"/>
                <w:szCs w:val="16"/>
                <w:color w:val="auto"/>
              </w:rPr>
              <w:t>15,486</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8,010</w:t>
            </w:r>
          </w:p>
        </w:tc>
        <w:tc>
          <w:tcPr>
            <w:tcW w:w="1340" w:type="dxa"/>
            <w:vAlign w:val="bottom"/>
          </w:tcPr>
          <w:p>
            <w:pPr>
              <w:jc w:val="right"/>
              <w:spacing w:after="0"/>
              <w:rPr>
                <w:sz w:val="20"/>
                <w:szCs w:val="20"/>
                <w:color w:val="auto"/>
              </w:rPr>
            </w:pPr>
            <w:r>
              <w:rPr>
                <w:rFonts w:ascii="Arial" w:cs="Arial" w:eastAsia="Arial" w:hAnsi="Arial"/>
                <w:sz w:val="16"/>
                <w:szCs w:val="16"/>
                <w:color w:val="auto"/>
              </w:rPr>
              <w:t>32,332</w:t>
            </w:r>
          </w:p>
        </w:tc>
        <w:tc>
          <w:tcPr>
            <w:tcW w:w="2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20,052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(10,512)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(13,338)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(4,613</w:t>
            </w:r>
          </w:p>
        </w:tc>
        <w:tc>
          <w:tcPr>
            <w:tcW w:w="28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(52,775</w:t>
            </w:r>
          </w:p>
        </w:tc>
        <w:tc>
          <w:tcPr>
            <w:tcW w:w="100" w:type="dxa"/>
            <w:vAlign w:val="bottom"/>
            <w:tcBorders>
              <w:top w:val="single" w:sz="8" w:color="E5FFFF"/>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Loss per share – basic and diluted</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(0.35)</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(0.30)</w:t>
            </w:r>
          </w:p>
        </w:tc>
        <w:tc>
          <w:tcPr>
            <w:tcW w:w="162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b w:val="1"/>
                <w:bCs w:val="1"/>
                <w:color w:val="auto"/>
              </w:rPr>
              <w:t>(0.52)</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(0.96)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4900" w:type="dxa"/>
            <w:vAlign w:val="bottom"/>
          </w:tcPr>
          <w:p>
            <w:pPr>
              <w:spacing w:after="0"/>
              <w:rPr>
                <w:sz w:val="24"/>
                <w:szCs w:val="24"/>
                <w:color w:val="auto"/>
              </w:rPr>
            </w:pPr>
          </w:p>
        </w:tc>
        <w:tc>
          <w:tcPr>
            <w:tcW w:w="1360" w:type="dxa"/>
            <w:vAlign w:val="bottom"/>
          </w:tcPr>
          <w:p>
            <w:pPr>
              <w:jc w:val="right"/>
              <w:ind w:right="480"/>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219" w:name="page220"/>
    <w:bookmarkEnd w:id="219"/>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308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six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Loss for the period</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(4,613)</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(52,775)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80,949</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85,144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22,454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(558)</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(3,168)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(645)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92,404</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84,998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Unrealized foreign exchange (gains)/losses on cash and cash equivalents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(122)</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 on derivative financial instruments held for trading including ineffective portion of cash flow hedges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51,882</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80,254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2,587</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2,992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219,361</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222,066</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Movements in working capital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(37,897)</w:t>
            </w:r>
          </w:p>
        </w:tc>
        <w:tc>
          <w:tcPr>
            <w:tcW w:w="2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(64,220)</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181,464</w:t>
            </w:r>
          </w:p>
        </w:tc>
        <w:tc>
          <w:tcPr>
            <w:tcW w:w="28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157,846</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(82,691)</w:t>
            </w:r>
          </w:p>
        </w:tc>
        <w:tc>
          <w:tcPr>
            <w:tcW w:w="2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(84,998)</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98,773</w:t>
            </w:r>
          </w:p>
        </w:tc>
        <w:tc>
          <w:tcPr>
            <w:tcW w:w="28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72,848</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(256,888)</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(374,605)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5,629</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(158)</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Payments for right-of-use assets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(232)</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(2,738)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538</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(54,000)</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35,000</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2,960</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(267,151)</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(371,179)</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bank loans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677,680</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401,911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Bank loan and bond repayments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(445,604)</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(150,508)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Payment for bond repurchase at a premium</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(1,937)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Payment for interest rate swaps termination</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(10,811)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Proceeds from entering into interest rate swaps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10,770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(9,175)</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(7,605)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(894)</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Proceeds from private placement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36,000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(82,111)</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(55,955)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Payment for CCS termination</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(4,051)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(13,673)</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Payments for lease liability</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(4,770)</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(5,182)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121,453</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209,621</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2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(46,803)</w:t>
            </w:r>
          </w:p>
        </w:tc>
        <w:tc>
          <w:tcPr>
            <w:tcW w:w="28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(90,833)</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342,594</w:t>
            </w:r>
          </w:p>
        </w:tc>
        <w:tc>
          <w:tcPr>
            <w:tcW w:w="2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263,747</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295,791</w:t>
            </w:r>
          </w:p>
        </w:tc>
        <w:tc>
          <w:tcPr>
            <w:tcW w:w="2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172,914</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5560"/>
              <w:spacing w:after="0"/>
              <w:rPr>
                <w:sz w:val="20"/>
                <w:szCs w:val="20"/>
                <w:color w:val="auto"/>
              </w:rPr>
            </w:pPr>
            <w:r>
              <w:rPr>
                <w:rFonts w:ascii="Arial" w:cs="Arial" w:eastAsia="Arial" w:hAnsi="Arial"/>
                <w:sz w:val="14"/>
                <w:szCs w:val="14"/>
                <w:color w:val="auto"/>
              </w:rPr>
              <w:t>17</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220" w:name="page221"/>
    <w:bookmarkEnd w:id="220"/>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Adjusted Profit and Adjusted EPS</w:t>
      </w:r>
    </w:p>
    <w:p>
      <w:pPr>
        <w:spacing w:after="0" w:line="239" w:lineRule="exact"/>
        <w:rPr>
          <w:sz w:val="20"/>
          <w:szCs w:val="20"/>
          <w:color w:val="auto"/>
        </w:rPr>
      </w:pPr>
    </w:p>
    <w:p>
      <w:pPr>
        <w:ind w:right="200"/>
        <w:spacing w:after="0" w:line="303"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impairment loss on vessels, gain/loss on disposal of non-current assets and restructuring costs. Adjusted Profit represents earnings before write-off and accelerated amortization of unamortized loan fees/bond fees and premium, foreign exchange gains/losses, unrealized foreign exchange losses on cash and bond, impairment loss on vessels, gain/loss on disposal of non-current assets, restructuring costs and non-cash gain/loss on derivatives that includes (if any)</w:t>
      </w:r>
    </w:p>
    <w:p>
      <w:pPr>
        <w:spacing w:after="0" w:line="1" w:lineRule="exact"/>
        <w:rPr>
          <w:sz w:val="20"/>
          <w:szCs w:val="20"/>
          <w:color w:val="auto"/>
        </w:rPr>
      </w:pPr>
    </w:p>
    <w:p>
      <w:pPr>
        <w:ind w:right="80" w:firstLine="8"/>
        <w:spacing w:after="0" w:line="304" w:lineRule="auto"/>
        <w:tabs>
          <w:tab w:leader="none" w:pos="22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unrealized gain/loss on derivative financial instruments held for trading, (b) recycled loss of cash flow hedges reclassified to profit or loss and (c) ineffective portion of cash flow hedges. Adjusted EPS represents earnings attributable to owners of the Group before write-off and accelerated amortization of unamortized loan/bond fees and premium, foreign exchange gains/losses, unrealized foreign exchange losses on cash and bond, impairment loss on vessels attributable to the owners of the Group, the swap amendment costs (with respect to cash collateral requirements), gain/loss on disposal of non-current assets, restructuring costs and non-cash gain/loss on derivatives as defined above,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on vessels, gain/loss on disposal of non-current assets and restructuring costs; and in the case of Adjusted Profit and Adjusted EPS, write-off and accelerated amortization of unamortized loan/bond fees and premium, foreign exchange gains/losses, unrealized foreign exchange losses on cash and bond, impairment loss on vessels, swap amendment costs (with respect to cash collateral requirements), gain/loss on disposal of non-current assets, restructuring costs and non-cash gain/loss on derivatives, which items are affected by various and possibly changing financing methods, financial market conditions, capital structure and historical cost basis, and which items may significantly affect results of operations between periods. In the current period, impairment loss on vessels, gain/loss on disposal of non-current assets, swap amendment costs (with respect to cash collateral requirements) and restructuring costs in particular are excluded from Adjusted EBITDA, Adjusted Profit and Adjusted EPS because impairments of long-lived assets and gain/loss on disposal of non-current assets , which represent the excess of their carrying amount over the amount that is expected to be recovered from them in the future, and swap amendment costs (with respect to cash collateral requirements) and restructuring costs, which reflect specific actions taken by management to improve the Group’s future liquidity and profitability, are non-cash charges and items not considered to be reflective of the ongoing operations of the company, respectively, that we believe reduce the comparability of our operating and business performance across periods. In addition, unrealized foreign exchange losses on cash and bond, are separately adjusted in the current period, while in the past foreign exchange losses on cash were included in foreign exchange gains/losses and unrealized foreign exchange losses on bond did not exist.</w:t>
      </w:r>
    </w:p>
    <w:p>
      <w:pPr>
        <w:spacing w:after="0" w:line="38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2"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Loss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328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six months ended</w:t>
            </w:r>
          </w:p>
        </w:tc>
        <w:tc>
          <w:tcPr>
            <w:tcW w:w="40" w:type="dxa"/>
            <w:vAlign w:val="bottom"/>
          </w:tcPr>
          <w:p>
            <w:pPr>
              <w:spacing w:after="0"/>
              <w:rPr>
                <w:sz w:val="18"/>
                <w:szCs w:val="18"/>
                <w:color w:val="auto"/>
              </w:rPr>
            </w:pPr>
          </w:p>
        </w:tc>
      </w:tr>
      <w:tr>
        <w:trPr>
          <w:trHeight w:val="259"/>
        </w:trPr>
        <w:tc>
          <w:tcPr>
            <w:tcW w:w="4900" w:type="dxa"/>
            <w:vAlign w:val="bottom"/>
          </w:tcPr>
          <w:p>
            <w:pPr>
              <w:spacing w:after="0"/>
              <w:rPr>
                <w:sz w:val="22"/>
                <w:szCs w:val="22"/>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22"/>
                <w:szCs w:val="22"/>
                <w:color w:val="auto"/>
              </w:rPr>
            </w:pP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(10,512)</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(4,613)</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(52,775)</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Depreciation</w:t>
            </w:r>
          </w:p>
        </w:tc>
        <w:tc>
          <w:tcPr>
            <w:tcW w:w="1360" w:type="dxa"/>
            <w:vAlign w:val="bottom"/>
          </w:tcPr>
          <w:p>
            <w:pPr>
              <w:jc w:val="right"/>
              <w:spacing w:after="0"/>
              <w:rPr>
                <w:sz w:val="20"/>
                <w:szCs w:val="20"/>
                <w:color w:val="auto"/>
              </w:rPr>
            </w:pPr>
            <w:r>
              <w:rPr>
                <w:rFonts w:ascii="Arial" w:cs="Arial" w:eastAsia="Arial" w:hAnsi="Arial"/>
                <w:sz w:val="16"/>
                <w:szCs w:val="16"/>
                <w:color w:val="auto"/>
              </w:rPr>
              <w:t>41,350</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43,647</w:t>
            </w:r>
          </w:p>
        </w:tc>
        <w:tc>
          <w:tcPr>
            <w:tcW w:w="1340" w:type="dxa"/>
            <w:vAlign w:val="bottom"/>
          </w:tcPr>
          <w:p>
            <w:pPr>
              <w:jc w:val="right"/>
              <w:spacing w:after="0"/>
              <w:rPr>
                <w:sz w:val="20"/>
                <w:szCs w:val="20"/>
                <w:color w:val="auto"/>
              </w:rPr>
            </w:pPr>
            <w:r>
              <w:rPr>
                <w:rFonts w:ascii="Arial" w:cs="Arial" w:eastAsia="Arial" w:hAnsi="Arial"/>
                <w:sz w:val="16"/>
                <w:szCs w:val="16"/>
                <w:color w:val="auto"/>
              </w:rPr>
              <w:t>80,949</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85,144</w:t>
            </w:r>
          </w:p>
        </w:tc>
        <w:tc>
          <w:tcPr>
            <w:tcW w:w="40" w:type="dxa"/>
            <w:vAlign w:val="bottom"/>
          </w:tcPr>
          <w:p>
            <w:pPr>
              <w:spacing w:after="0"/>
              <w:rPr>
                <w:sz w:val="17"/>
                <w:szCs w:val="17"/>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46,897</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43,557</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92,404</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84,998</w:t>
            </w:r>
          </w:p>
        </w:tc>
        <w:tc>
          <w:tcPr>
            <w:tcW w:w="40" w:type="dxa"/>
            <w:vAlign w:val="bottom"/>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(1,709)</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(177)</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(3,168)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(645)</w:t>
            </w:r>
          </w:p>
        </w:tc>
        <w:tc>
          <w:tcPr>
            <w:tcW w:w="40" w:type="dxa"/>
            <w:vAlign w:val="bottom"/>
          </w:tcPr>
          <w:p>
            <w:pPr>
              <w:spacing w:after="0"/>
              <w:rPr>
                <w:sz w:val="17"/>
                <w:szCs w:val="17"/>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30,799</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13,467</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51,043</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84,591</w:t>
            </w:r>
          </w:p>
        </w:tc>
        <w:tc>
          <w:tcPr>
            <w:tcW w:w="40" w:type="dxa"/>
            <w:vAlign w:val="bottom"/>
          </w:tcPr>
          <w:p>
            <w:pPr>
              <w:spacing w:after="0"/>
              <w:rPr>
                <w:sz w:val="17"/>
                <w:szCs w:val="17"/>
                <w:color w:val="auto"/>
              </w:rPr>
            </w:pPr>
          </w:p>
        </w:tc>
      </w:tr>
      <w:tr>
        <w:trPr>
          <w:trHeight w:val="196"/>
        </w:trPr>
        <w:tc>
          <w:tcPr>
            <w:tcW w:w="4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106,825</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87,156</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216,615</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201,313</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losses/(gains), net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218</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402</w:t>
            </w: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368</w:t>
            </w: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Restructuring costs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1,081</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1,526</w:t>
            </w:r>
          </w:p>
        </w:tc>
        <w:tc>
          <w:tcPr>
            <w:tcW w:w="40" w:type="dxa"/>
            <w:vAlign w:val="bottom"/>
          </w:tcPr>
          <w:p>
            <w:pPr>
              <w:spacing w:after="0"/>
              <w:rPr>
                <w:sz w:val="17"/>
                <w:szCs w:val="17"/>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non-current assets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572</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22,454</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22,454</w:t>
            </w:r>
          </w:p>
        </w:tc>
        <w:tc>
          <w:tcPr>
            <w:tcW w:w="40" w:type="dxa"/>
            <w:vAlign w:val="bottom"/>
          </w:tcPr>
          <w:p>
            <w:pPr>
              <w:spacing w:after="0"/>
              <w:rPr>
                <w:sz w:val="17"/>
                <w:szCs w:val="17"/>
                <w:color w:val="auto"/>
              </w:rPr>
            </w:pPr>
          </w:p>
        </w:tc>
      </w:tr>
      <w:tr>
        <w:trPr>
          <w:trHeight w:val="196"/>
        </w:trPr>
        <w:tc>
          <w:tcPr>
            <w:tcW w:w="4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EBITDA</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107,043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111,665</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216,983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225,635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1360" w:type="dxa"/>
            <w:vAlign w:val="bottom"/>
          </w:tcPr>
          <w:p>
            <w:pPr>
              <w:jc w:val="right"/>
              <w:ind w:right="480"/>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9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221" w:name="page222"/>
    <w:bookmarkEnd w:id="221"/>
    <w:p>
      <w:pPr>
        <w:spacing w:after="0"/>
        <w:rPr>
          <w:sz w:val="20"/>
          <w:szCs w:val="20"/>
          <w:color w:val="auto"/>
        </w:rPr>
      </w:pPr>
      <w:r>
        <w:rPr>
          <w:rFonts w:ascii="Arial" w:cs="Arial" w:eastAsia="Arial" w:hAnsi="Arial"/>
          <w:sz w:val="16"/>
          <w:szCs w:val="16"/>
          <w:b w:val="1"/>
          <w:bCs w:val="1"/>
          <w:color w:val="auto"/>
        </w:rPr>
        <w:t>Reconciliation of Loss to Adjusted Profit: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328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2"/>
                <w:szCs w:val="22"/>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(10,512)</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(13,338)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(4,613)</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(52,775)</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Non-cash loss on derivatives</w:t>
            </w:r>
          </w:p>
        </w:tc>
        <w:tc>
          <w:tcPr>
            <w:tcW w:w="1360" w:type="dxa"/>
            <w:vAlign w:val="bottom"/>
          </w:tcPr>
          <w:p>
            <w:pPr>
              <w:jc w:val="right"/>
              <w:spacing w:after="0"/>
              <w:rPr>
                <w:sz w:val="20"/>
                <w:szCs w:val="20"/>
                <w:color w:val="auto"/>
              </w:rPr>
            </w:pPr>
            <w:r>
              <w:rPr>
                <w:rFonts w:ascii="Arial" w:cs="Arial" w:eastAsia="Arial" w:hAnsi="Arial"/>
                <w:sz w:val="16"/>
                <w:szCs w:val="16"/>
                <w:color w:val="auto"/>
              </w:rPr>
              <w:t>30,779</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10,205</w:t>
            </w:r>
          </w:p>
        </w:tc>
        <w:tc>
          <w:tcPr>
            <w:tcW w:w="1340" w:type="dxa"/>
            <w:vAlign w:val="bottom"/>
          </w:tcPr>
          <w:p>
            <w:pPr>
              <w:jc w:val="right"/>
              <w:spacing w:after="0"/>
              <w:rPr>
                <w:sz w:val="20"/>
                <w:szCs w:val="20"/>
                <w:color w:val="auto"/>
              </w:rPr>
            </w:pPr>
            <w:r>
              <w:rPr>
                <w:rFonts w:ascii="Arial" w:cs="Arial" w:eastAsia="Arial" w:hAnsi="Arial"/>
                <w:sz w:val="16"/>
                <w:szCs w:val="16"/>
                <w:color w:val="auto"/>
              </w:rPr>
              <w:t>51,882</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80,254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w w:val="99"/>
              </w:rPr>
              <w:t>Write-off and accelerated amortization of unamortized loan/bond fees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988</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color w:val="auto"/>
              </w:rPr>
              <w:t>Foreign exchange losses/(gains), net</w:t>
            </w:r>
          </w:p>
        </w:tc>
        <w:tc>
          <w:tcPr>
            <w:tcW w:w="1360" w:type="dxa"/>
            <w:vAlign w:val="bottom"/>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402</w:t>
            </w:r>
          </w:p>
        </w:tc>
        <w:tc>
          <w:tcPr>
            <w:tcW w:w="1340" w:type="dxa"/>
            <w:vAlign w:val="bottom"/>
          </w:tcPr>
          <w:p>
            <w:pPr>
              <w:jc w:val="right"/>
              <w:spacing w:after="0"/>
              <w:rPr>
                <w:sz w:val="20"/>
                <w:szCs w:val="20"/>
                <w:color w:val="auto"/>
              </w:rPr>
            </w:pPr>
            <w:r>
              <w:rPr>
                <w:rFonts w:ascii="Arial" w:cs="Arial" w:eastAsia="Arial" w:hAnsi="Arial"/>
                <w:sz w:val="16"/>
                <w:szCs w:val="16"/>
                <w:color w:val="auto"/>
              </w:rPr>
              <w:t>368</w:t>
            </w:r>
          </w:p>
        </w:tc>
        <w:tc>
          <w:tcPr>
            <w:tcW w:w="2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1,081</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Unrealized foreign exchange gains, net on cash and bonds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(99)</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(4,050)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w w:val="98"/>
              </w:rPr>
              <w:t>Swap amendment costs (with respect to cash collateral requirements)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3,319</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572</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22,454</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22,454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b w:val="1"/>
                <w:bCs w:val="1"/>
                <w:color w:val="auto"/>
              </w:rPr>
              <w:t>Adjusted Profit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20,485</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24,596</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48,625</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51,386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b w:val="1"/>
                <w:bCs w:val="1"/>
                <w:color w:val="auto"/>
                <w:w w:val="97"/>
              </w:rPr>
              <w:t>Reconciliation of Loss Per Share to Adjusted Earnings Per Share:</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9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40" w:type="dxa"/>
            <w:vAlign w:val="bottom"/>
            <w:gridSpan w:val="3"/>
          </w:tcPr>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900" w:type="dxa"/>
            <w:vAlign w:val="bottom"/>
          </w:tcPr>
          <w:p>
            <w:pPr>
              <w:spacing w:after="0"/>
              <w:rPr>
                <w:sz w:val="24"/>
                <w:szCs w:val="24"/>
                <w:color w:val="auto"/>
              </w:rPr>
            </w:pPr>
          </w:p>
        </w:tc>
        <w:tc>
          <w:tcPr>
            <w:tcW w:w="328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2"/>
                <w:szCs w:val="22"/>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 attributable to owners of the Group</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(25,998)</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(21,348)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(36,945)</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(72,827)</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Plus: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Dividend on preference shares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(2,516)</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(2,516)</w:t>
            </w: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(5,031)</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line="173" w:lineRule="exact"/>
              <w:rPr>
                <w:sz w:val="20"/>
                <w:szCs w:val="20"/>
                <w:color w:val="auto"/>
              </w:rPr>
            </w:pPr>
            <w:r>
              <w:rPr>
                <w:rFonts w:ascii="Arial" w:cs="Arial" w:eastAsia="Arial" w:hAnsi="Arial"/>
                <w:sz w:val="16"/>
                <w:szCs w:val="16"/>
                <w:color w:val="auto"/>
              </w:rPr>
              <w:t>Loss for the period attributable to owners of the Group used in EPS</w:t>
            </w: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6"/>
                <w:szCs w:val="16"/>
                <w:color w:val="auto"/>
              </w:rPr>
              <w:t>calculation</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(28,514)</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(23,864)</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(41,976)</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(77,859)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80,847,127</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80,848,314</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80,836,442</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80,777,161</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Loss per share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(0.35)</w:t>
            </w:r>
          </w:p>
        </w:tc>
        <w:tc>
          <w:tcPr>
            <w:tcW w:w="28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(0.30)</w:t>
            </w:r>
          </w:p>
        </w:tc>
        <w:tc>
          <w:tcPr>
            <w:tcW w:w="28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(0.52)</w:t>
            </w:r>
          </w:p>
        </w:tc>
        <w:tc>
          <w:tcPr>
            <w:tcW w:w="28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(0.96)</w:t>
            </w:r>
          </w:p>
        </w:tc>
        <w:tc>
          <w:tcPr>
            <w:tcW w:w="100" w:type="dxa"/>
            <w:vAlign w:val="bottom"/>
            <w:tcBorders>
              <w:bottom w:val="single" w:sz="8" w:color="E5FF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900" w:type="dxa"/>
            <w:vAlign w:val="bottom"/>
            <w:shd w:val="clear" w:color="auto" w:fill="E5FFFF"/>
          </w:tcPr>
          <w:p>
            <w:pPr>
              <w:spacing w:after="0" w:line="146" w:lineRule="exact"/>
              <w:rPr>
                <w:sz w:val="20"/>
                <w:szCs w:val="20"/>
                <w:color w:val="auto"/>
              </w:rPr>
            </w:pPr>
            <w:r>
              <w:rPr>
                <w:rFonts w:ascii="Arial" w:cs="Arial" w:eastAsia="Arial" w:hAnsi="Arial"/>
                <w:sz w:val="16"/>
                <w:szCs w:val="16"/>
                <w:color w:val="auto"/>
              </w:rPr>
              <w:t>Loss for the period attributable to owners of the Group used in EPS</w:t>
            </w:r>
          </w:p>
        </w:tc>
        <w:tc>
          <w:tcPr>
            <w:tcW w:w="13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3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34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3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calculation</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(28,514)</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(23,864)</w:t>
            </w: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(41,976)</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(77,859)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Plus: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Non-cash loss on derivatives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30,779</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10,205</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51,882</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80,254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20"/>
                <w:szCs w:val="20"/>
                <w:color w:val="auto"/>
              </w:rPr>
            </w:pPr>
            <w:r>
              <w:rPr>
                <w:rFonts w:ascii="Arial" w:cs="Arial" w:eastAsia="Arial" w:hAnsi="Arial"/>
                <w:sz w:val="16"/>
                <w:szCs w:val="16"/>
                <w:color w:val="auto"/>
                <w:w w:val="99"/>
              </w:rPr>
              <w:t>Write-off and accelerated amortization of unamortized loan fees/bond</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6"/>
                <w:szCs w:val="16"/>
                <w:color w:val="auto"/>
              </w:rPr>
              <w:t>fees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988</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 attributable to the owners of the Group</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9,688</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572</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w w:val="98"/>
              </w:rPr>
              <w:t>Swap amendment costs (with respect to cash collateral requirements)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3,319</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Foreign exchange losses/(gains), net</w:t>
            </w:r>
          </w:p>
        </w:tc>
        <w:tc>
          <w:tcPr>
            <w:tcW w:w="1360" w:type="dxa"/>
            <w:vAlign w:val="bottom"/>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402</w:t>
            </w:r>
          </w:p>
        </w:tc>
        <w:tc>
          <w:tcPr>
            <w:tcW w:w="1340" w:type="dxa"/>
            <w:vAlign w:val="bottom"/>
          </w:tcPr>
          <w:p>
            <w:pPr>
              <w:jc w:val="right"/>
              <w:spacing w:after="0"/>
              <w:rPr>
                <w:sz w:val="20"/>
                <w:szCs w:val="20"/>
                <w:color w:val="auto"/>
              </w:rPr>
            </w:pPr>
            <w:r>
              <w:rPr>
                <w:rFonts w:ascii="Arial" w:cs="Arial" w:eastAsia="Arial" w:hAnsi="Arial"/>
                <w:sz w:val="16"/>
                <w:szCs w:val="16"/>
                <w:color w:val="auto"/>
              </w:rPr>
              <w:t>368</w:t>
            </w:r>
          </w:p>
        </w:tc>
        <w:tc>
          <w:tcPr>
            <w:tcW w:w="2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Unrealized foreign exchange gains, net on cash and bonds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(99)</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(4,050)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Restructuring costs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1,081</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Adjusted profit attributable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2,483</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1,304</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11,262</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13,536</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80,847,127</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80,848,314</w:t>
            </w:r>
          </w:p>
        </w:tc>
        <w:tc>
          <w:tcPr>
            <w:tcW w:w="2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80,836,442</w:t>
            </w:r>
          </w:p>
        </w:tc>
        <w:tc>
          <w:tcPr>
            <w:tcW w:w="28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80,777,161</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earnings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0.03</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0.02</w:t>
            </w:r>
          </w:p>
        </w:tc>
        <w:tc>
          <w:tcPr>
            <w:tcW w:w="2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0.14</w:t>
            </w:r>
          </w:p>
        </w:tc>
        <w:tc>
          <w:tcPr>
            <w:tcW w:w="2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0.17</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1360" w:type="dxa"/>
            <w:vAlign w:val="bottom"/>
          </w:tcPr>
          <w:p>
            <w:pPr>
              <w:jc w:val="right"/>
              <w:ind w:right="479"/>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and Six Months Ended June 30, 2020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firstLine="356"/>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 and six-month periods ended June 30, 2019 and June 30, 2020.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U.S. Securities and Exchange Commission (the “SEC”) on March 6, 2020.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2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140" w:hanging="188"/>
        <w:spacing w:after="0" w:line="266" w:lineRule="auto"/>
        <w:tabs>
          <w:tab w:leader="none" w:pos="47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520" w:right="140" w:hanging="196"/>
        <w:spacing w:after="0" w:line="264" w:lineRule="auto"/>
        <w:tabs>
          <w:tab w:leader="none" w:pos="474" w:val="left"/>
        </w:tabs>
        <w:numPr>
          <w:ilvl w:val="0"/>
          <w:numId w:val="491"/>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ind w:left="480" w:hanging="156"/>
        <w:spacing w:after="0"/>
        <w:tabs>
          <w:tab w:leader="none" w:pos="4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global shutdown as a result of the COVID-19 pandemic;</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120" w:hanging="188"/>
        <w:spacing w:after="0" w:line="264" w:lineRule="auto"/>
        <w:tabs>
          <w:tab w:leader="none" w:pos="47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future, pending or recent acquisitions of or orders for ships or other assets, business strategy, areas of possible expansion and expected capital spending;</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320" w:hanging="188"/>
        <w:spacing w:after="0" w:line="264" w:lineRule="auto"/>
        <w:tabs>
          <w:tab w:leader="none" w:pos="47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impact of environmental liabilities on us and the shipping industry, including climate change;</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520" w:right="100" w:hanging="188"/>
        <w:spacing w:after="0" w:line="288" w:lineRule="auto"/>
        <w:tabs>
          <w:tab w:leader="none" w:pos="47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other risks and uncertainties described in the Company’s Annual Report on Form 20-F filed with the SEC on March 6, 2020 and Quarterly Report on Form 6-K filed with the SEC on May 7, 2020 and available at </w:t>
      </w:r>
      <w:r>
        <w:rPr>
          <w:rFonts w:ascii="Arial" w:cs="Arial" w:eastAsia="Arial" w:hAnsi="Arial"/>
          <w:sz w:val="16"/>
          <w:szCs w:val="16"/>
          <w:u w:val="single" w:color="auto"/>
          <w:color w:val="0000FF"/>
        </w:rPr>
        <w:t>http://www.sec.gov</w:t>
      </w:r>
      <w:r>
        <w:rPr>
          <w:rFonts w:ascii="Arial" w:cs="Arial" w:eastAsia="Arial" w:hAnsi="Arial"/>
          <w:sz w:val="16"/>
          <w:szCs w:val="16"/>
          <w:color w:val="auto"/>
        </w:rPr>
        <w:t>.</w:t>
      </w:r>
    </w:p>
    <w:p>
      <w:pPr>
        <w:spacing w:after="0" w:line="176" w:lineRule="exact"/>
        <w:rPr>
          <w:sz w:val="20"/>
          <w:szCs w:val="20"/>
          <w:color w:val="auto"/>
        </w:rPr>
      </w:pPr>
    </w:p>
    <w:p>
      <w:pPr>
        <w:jc w:val="both"/>
        <w:ind w:right="600" w:firstLine="324"/>
        <w:spacing w:after="0" w:line="369" w:lineRule="auto"/>
        <w:rPr>
          <w:sz w:val="20"/>
          <w:szCs w:val="20"/>
          <w:color w:val="auto"/>
        </w:rPr>
      </w:pPr>
      <w:r>
        <w:rPr>
          <w:rFonts w:ascii="Arial" w:cs="Arial" w:eastAsia="Arial" w:hAnsi="Arial"/>
          <w:sz w:val="14"/>
          <w:szCs w:val="14"/>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3" w:name="page224"/>
    <w:bookmarkEnd w:id="223"/>
    <w:p>
      <w:pPr>
        <w:ind w:right="6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6"/>
          <w:szCs w:val="16"/>
          <w:color w:val="auto"/>
        </w:rPr>
        <w:t>However, given the current uncertainty in relation to COVID-19 and in an effort to facilitate robust disclosure, we have identified the following risks and uncertainties or updated the risk factors described in the Company’s Annual Report on Form 20-F filed with the SEC on March 6, 2020 and the Quarterly Report on Form 6-K filed with the SEC on May 7,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control the outbreak of the COVID-19 virus is negatively affecting the global economy, energy demand and our business.</w:t>
      </w:r>
    </w:p>
    <w:p>
      <w:pPr>
        <w:spacing w:after="0" w:line="235" w:lineRule="exact"/>
        <w:rPr>
          <w:sz w:val="20"/>
          <w:szCs w:val="20"/>
          <w:color w:val="auto"/>
        </w:rPr>
      </w:pPr>
    </w:p>
    <w:p>
      <w:pPr>
        <w:ind w:firstLine="405"/>
        <w:spacing w:after="0" w:line="305" w:lineRule="auto"/>
        <w:rPr>
          <w:sz w:val="20"/>
          <w:szCs w:val="20"/>
          <w:color w:val="auto"/>
        </w:rPr>
      </w:pPr>
      <w:r>
        <w:rPr>
          <w:rFonts w:ascii="Arial" w:cs="Arial" w:eastAsia="Arial" w:hAnsi="Arial"/>
          <w:sz w:val="14"/>
          <w:szCs w:val="14"/>
          <w:color w:val="auto"/>
        </w:rPr>
        <w:t xml:space="preserve">The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have fallen by approximately 35% since the end of 2019. Natural gas prices in the primary European and Asian markets for LNG have fallen to an even greater extent. Together with reduced economic activity as a result of the COVID-19 virus, the decline in oil and gas prices has disincentivized trading of LNG and reduced the demand for LNG carriers and may continue to do so in the future. In the financial markets, the virus, and the responses of governments around the world to manage the impact of the virus, have led to lower interest rates and extreme volatility in the prices of equities, bonds, commodities and their respective derivatives. Our share price has declined significantly this year, due in part to the impact of the COVID-19 virus. Record low interest rates and exchange rates, especially the U.S. dollar/Norwegian Kroner exchange rate, have required us to post $71.1 million of cash collateral against our current marked-to-market derivative liabilities. The ongoing spread of the COVID-19 virus may negatively affect our business and operations, including our newbuildings under construction in South Korea, the health of our crews and the availability of our fleet, particularly if crew members contract COVID-19, as well as our financial position and prospects. The reduction in LNG demand and the closure of, or restricted access to, ports and terminals in regions affected by the virus may lead to further reduced chartering activity and, in the extreme, an inability of our charterers to meet their obligations under the terms of their term charters. Furthermore, we may be unable to secure charters for our vessels at rates that are sufficient to meet our financial obligations, particularly for the vessels that are coming off charter in the next twelve months (the </w:t>
      </w:r>
      <w:r>
        <w:rPr>
          <w:rFonts w:ascii="Arial" w:cs="Arial" w:eastAsia="Arial" w:hAnsi="Arial"/>
          <w:sz w:val="14"/>
          <w:szCs w:val="14"/>
          <w:i w:val="1"/>
          <w:iCs w:val="1"/>
          <w:color w:val="auto"/>
        </w:rPr>
        <w:t>Methane Lydon Volney</w:t>
      </w:r>
      <w:r>
        <w:rPr>
          <w:rFonts w:ascii="Arial" w:cs="Arial" w:eastAsia="Arial" w:hAnsi="Arial"/>
          <w:sz w:val="14"/>
          <w:szCs w:val="14"/>
          <w:color w:val="auto"/>
        </w:rPr>
        <w:t xml:space="preserve"> in October 2020 and the </w:t>
      </w:r>
      <w:r>
        <w:rPr>
          <w:rFonts w:ascii="Arial" w:cs="Arial" w:eastAsia="Arial" w:hAnsi="Arial"/>
          <w:sz w:val="14"/>
          <w:szCs w:val="14"/>
          <w:i w:val="1"/>
          <w:iCs w:val="1"/>
          <w:color w:val="auto"/>
        </w:rPr>
        <w:t>GasLog Salem</w:t>
      </w:r>
      <w:r>
        <w:rPr>
          <w:rFonts w:ascii="Arial" w:cs="Arial" w:eastAsia="Arial" w:hAnsi="Arial"/>
          <w:sz w:val="14"/>
          <w:szCs w:val="14"/>
          <w:color w:val="auto"/>
        </w:rPr>
        <w:t xml:space="preserve"> in March 2021 for GasLog and the </w:t>
      </w:r>
      <w:r>
        <w:rPr>
          <w:rFonts w:ascii="Arial" w:cs="Arial" w:eastAsia="Arial" w:hAnsi="Arial"/>
          <w:sz w:val="14"/>
          <w:szCs w:val="14"/>
          <w:i w:val="1"/>
          <w:iCs w:val="1"/>
          <w:color w:val="auto"/>
        </w:rPr>
        <w:t xml:space="preserve">Methane Jane Elizabeth </w:t>
      </w:r>
      <w:r>
        <w:rPr>
          <w:rFonts w:ascii="Arial" w:cs="Arial" w:eastAsia="Arial" w:hAnsi="Arial"/>
          <w:sz w:val="14"/>
          <w:szCs w:val="14"/>
          <w:color w:val="auto"/>
        </w:rPr>
        <w:t>in November 2020, the</w:t>
      </w:r>
      <w:r>
        <w:rPr>
          <w:rFonts w:ascii="Arial" w:cs="Arial" w:eastAsia="Arial" w:hAnsi="Arial"/>
          <w:sz w:val="14"/>
          <w:szCs w:val="14"/>
          <w:i w:val="1"/>
          <w:iCs w:val="1"/>
          <w:color w:val="auto"/>
        </w:rPr>
        <w:t xml:space="preserve"> Methane Heather Sally </w:t>
      </w:r>
      <w:r>
        <w:rPr>
          <w:rFonts w:ascii="Arial" w:cs="Arial" w:eastAsia="Arial" w:hAnsi="Arial"/>
          <w:sz w:val="14"/>
          <w:szCs w:val="14"/>
          <w:color w:val="auto"/>
        </w:rPr>
        <w:t>in December 2020, the</w:t>
      </w:r>
      <w:r>
        <w:rPr>
          <w:rFonts w:ascii="Arial" w:cs="Arial" w:eastAsia="Arial" w:hAnsi="Arial"/>
          <w:sz w:val="14"/>
          <w:szCs w:val="14"/>
          <w:i w:val="1"/>
          <w:iCs w:val="1"/>
          <w:color w:val="auto"/>
        </w:rPr>
        <w:t xml:space="preserve"> GasLog Seattle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Solaris </w:t>
      </w:r>
      <w:r>
        <w:rPr>
          <w:rFonts w:ascii="Arial" w:cs="Arial" w:eastAsia="Arial" w:hAnsi="Arial"/>
          <w:sz w:val="14"/>
          <w:szCs w:val="14"/>
          <w:color w:val="auto"/>
        </w:rPr>
        <w:t>in June 2021 for the Partnership). We have</w:t>
      </w:r>
      <w:r>
        <w:rPr>
          <w:rFonts w:ascii="Arial" w:cs="Arial" w:eastAsia="Arial" w:hAnsi="Arial"/>
          <w:sz w:val="14"/>
          <w:szCs w:val="14"/>
          <w:i w:val="1"/>
          <w:iCs w:val="1"/>
          <w:color w:val="auto"/>
        </w:rPr>
        <w:t xml:space="preserve"> </w:t>
      </w:r>
      <w:r>
        <w:rPr>
          <w:rFonts w:ascii="Arial" w:cs="Arial" w:eastAsia="Arial" w:hAnsi="Arial"/>
          <w:sz w:val="14"/>
          <w:szCs w:val="14"/>
          <w:color w:val="auto"/>
        </w:rPr>
        <w:t>eight vessels in the spot market, and these vessels are currently experiencing reduced spot charter rates and demand. Continued exposure to the spot market or extended periods of idle time between charters could adversely affect our future liquidity, results of operations and cash flows. Failure to control the spread of the virus could significantly impact economic activity and demand for LNG and LNG shipping which could further negatively affect our business, financial condition and results of operations. Should the COVID-19 pandemic continue to negatively impact market rates in the long-term, there would be a significant negative impact on our liquidity and financial condition, as well as the future carrying values of our vessels could be further affected due to a potential unfavorable permanent impact in the key assumptions, such as the estimates of future charter rates for non-contracted revenue days and the discount rate in our future impairment assessments.</w:t>
      </w:r>
    </w:p>
    <w:p>
      <w:pPr>
        <w:spacing w:after="0" w:line="377" w:lineRule="exact"/>
        <w:rPr>
          <w:sz w:val="20"/>
          <w:szCs w:val="20"/>
          <w:color w:val="auto"/>
        </w:rPr>
      </w:pPr>
    </w:p>
    <w:p>
      <w:pPr>
        <w:ind w:right="160" w:firstLine="405"/>
        <w:spacing w:after="0" w:line="305" w:lineRule="auto"/>
        <w:rPr>
          <w:sz w:val="20"/>
          <w:szCs w:val="20"/>
          <w:color w:val="auto"/>
        </w:rPr>
      </w:pPr>
      <w:r>
        <w:rPr>
          <w:rFonts w:ascii="Arial" w:cs="Arial" w:eastAsia="Arial" w:hAnsi="Arial"/>
          <w:sz w:val="15"/>
          <w:szCs w:val="15"/>
          <w:color w:val="auto"/>
        </w:rPr>
        <w:t>Although we have taken extensive measures to limit the impact of COVID-19 on business continuity, including implementation of a strict “work from home” policy for shore based employees, as required depending on each location and the commencement of select rotations of offshore personnel where possible, giving effect to local restrictions on the movement of offshore staff, these may not be sufficient to protect our business against the impact of COVID-19.</w:t>
      </w:r>
    </w:p>
    <w:p>
      <w:pPr>
        <w:spacing w:after="0" w:line="166"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b w:val="1"/>
          <w:bCs w:val="1"/>
          <w:i w:val="1"/>
          <w:iCs w:val="1"/>
          <w:color w:val="auto"/>
        </w:rPr>
        <w:t>In the remaining months of 2020, five of our vessels are scheduled to be dry-docked and, in 2021, five of our vessels are scheduled to be dry-docked. The dry-dockings for six of these vessels (five in 2020 and one in 2021) will be longer and more costly than normal as a result of the need to install ballast water treatment systems (“BWTS”) on each vessel in order to comply with regulatory requirements. Any delay or cost overrun of the dry-docking could have a material adverse effect on our business, results of operations and financial condition.</w:t>
      </w:r>
    </w:p>
    <w:p>
      <w:pPr>
        <w:spacing w:after="0" w:line="189" w:lineRule="exact"/>
        <w:rPr>
          <w:sz w:val="20"/>
          <w:szCs w:val="20"/>
          <w:color w:val="auto"/>
        </w:rPr>
      </w:pPr>
    </w:p>
    <w:p>
      <w:pPr>
        <w:ind w:right="20" w:firstLine="405"/>
        <w:spacing w:after="0" w:line="288" w:lineRule="auto"/>
        <w:rPr>
          <w:sz w:val="20"/>
          <w:szCs w:val="20"/>
          <w:color w:val="auto"/>
        </w:rPr>
      </w:pPr>
      <w:r>
        <w:rPr>
          <w:rFonts w:ascii="Arial" w:cs="Arial" w:eastAsia="Arial" w:hAnsi="Arial"/>
          <w:sz w:val="15"/>
          <w:szCs w:val="15"/>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2020 and 2021, some of the dry-dockings will be longer and more costly than normal as a result of the need to install BWTS on each vessel in order to comply with regulatory requirements. Furthermore, the COVID-19 virus, including the recent “stop work” order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cash flows could be adversely affected. The upcoming dry-dockings of our vessels are expected to be carried out in 2020 (five vessels), 2021 (five vessels) and 2023 (eight vessels).</w:t>
      </w:r>
    </w:p>
    <w:p>
      <w:pPr>
        <w:spacing w:after="0" w:line="180"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b w:val="1"/>
          <w:bCs w:val="1"/>
          <w:i w:val="1"/>
          <w:iCs w:val="1"/>
          <w:color w:val="auto"/>
        </w:rPr>
        <w:t>Our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 common shares may make it difficult or impossible for us to access the equity or equity-linked capital markets. The recent fall in U.S. interest rates and the depreciation of the Norwegian Kroner against the U.S. dollar, has required us to post significant cash collateral against our current marked-to-market derivative liabilities. To the extent that we are unable to finance these obligations and expenditures with cash from operations or incremental bank loans or by issuing debt or equity securities, our liquidity will be reduced and our financial leverage may increase. Our business may be adversely affected if we need to access sources of funding which are more expensive and/or more restrictive.</w:t>
      </w:r>
    </w:p>
    <w:p>
      <w:pPr>
        <w:spacing w:after="0" w:line="167"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24" w:name="page225"/>
    <w:bookmarkEnd w:id="224"/>
    <w:p>
      <w:pPr>
        <w:ind w:right="160"/>
        <w:spacing w:after="0" w:line="273" w:lineRule="auto"/>
        <w:rPr>
          <w:sz w:val="20"/>
          <w:szCs w:val="20"/>
          <w:color w:val="auto"/>
        </w:rPr>
      </w:pPr>
      <w:r>
        <w:rPr>
          <w:rFonts w:ascii="Arial" w:cs="Arial" w:eastAsia="Arial" w:hAnsi="Arial"/>
          <w:sz w:val="16"/>
          <w:szCs w:val="16"/>
          <w:color w:val="auto"/>
        </w:rPr>
        <w:t>and future financial and operating performance will be affected by prevailing economic conditions and financial, business, regulatory and other factors, many of which are beyond our control. The COVID-19 virus is having a significant negative impact on global financial markets. If we are unable to access the capital markets or raise additional bank financing or generate sufficient cash flow to meet our debt, capital expenditure, minimum liquidity and other business requirements, we may be forced to take actions such as:</w:t>
      </w:r>
    </w:p>
    <w:p>
      <w:pPr>
        <w:spacing w:after="0" w:line="189" w:lineRule="exact"/>
        <w:rPr>
          <w:sz w:val="20"/>
          <w:szCs w:val="20"/>
          <w:color w:val="auto"/>
        </w:rPr>
      </w:pPr>
    </w:p>
    <w:p>
      <w:pPr>
        <w:ind w:left="940" w:hanging="284"/>
        <w:spacing w:after="0"/>
        <w:tabs>
          <w:tab w:leader="none" w:pos="94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seeking waivers or consents from our creditors;</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restructuring our debt</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seeking additional debt or equity capital;</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selling assets;</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reducing, delaying or cancelling business activities, acquisitions, investments or capital expenditures; or</w:t>
      </w:r>
    </w:p>
    <w:p>
      <w:pPr>
        <w:spacing w:after="0" w:line="234" w:lineRule="exact"/>
        <w:rPr>
          <w:rFonts w:ascii="Arial" w:cs="Arial" w:eastAsia="Arial" w:hAnsi="Arial"/>
          <w:sz w:val="16"/>
          <w:szCs w:val="16"/>
          <w:color w:val="auto"/>
        </w:rPr>
      </w:pPr>
    </w:p>
    <w:p>
      <w:pPr>
        <w:ind w:left="940" w:hanging="284"/>
        <w:spacing w:after="0"/>
        <w:tabs>
          <w:tab w:leader="none" w:pos="94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seeking bankruptcy protection.</w:t>
      </w:r>
    </w:p>
    <w:p>
      <w:pPr>
        <w:spacing w:after="0" w:line="235" w:lineRule="exact"/>
        <w:rPr>
          <w:sz w:val="20"/>
          <w:szCs w:val="20"/>
          <w:color w:val="auto"/>
        </w:rPr>
      </w:pPr>
    </w:p>
    <w:p>
      <w:pPr>
        <w:ind w:right="20" w:firstLine="405"/>
        <w:spacing w:after="0" w:line="268"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Our ability to obtain bank financing or to access the capital markets may be limited by our financial condition at the time of any such financing or offering as well as by adverse market conditions. Following the recent significant fall in the value of our common shares, we may not be able to access the equity or equity-linked capital markets. Even if we are successful in obtaining the necessary funds, the terms of such financings could limit our ability to operate our business as currently conducted. In addition, incurring additional debt may significantly increase our interest expense and financial leverage. Despite the recent refinancing of the Group’s debt maturities due in 2021 and $36.0 million private placement, our liquidity position could be challenged in the future, and we may need to raise additional equity in order to remain in compliance with the financial covenants within our loan and bond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Debt Refinancing</w:t>
      </w:r>
    </w:p>
    <w:p>
      <w:pPr>
        <w:spacing w:after="0" w:line="239" w:lineRule="exact"/>
        <w:rPr>
          <w:sz w:val="20"/>
          <w:szCs w:val="20"/>
          <w:color w:val="auto"/>
        </w:rPr>
      </w:pPr>
    </w:p>
    <w:p>
      <w:pPr>
        <w:ind w:right="80" w:firstLine="383"/>
        <w:spacing w:after="0" w:line="289" w:lineRule="auto"/>
        <w:rPr>
          <w:sz w:val="20"/>
          <w:szCs w:val="20"/>
          <w:color w:val="auto"/>
        </w:rPr>
      </w:pPr>
      <w:r>
        <w:rPr>
          <w:rFonts w:ascii="Arial" w:cs="Arial" w:eastAsia="Arial" w:hAnsi="Arial"/>
          <w:sz w:val="15"/>
          <w:szCs w:val="15"/>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instalments of $8.6 million beginning in January 2021, with a final balloon amount of $174.3 million payable concurrently with the last installment in July 2025. Interest on the facility will be payable at a rate of U.S. dollar (“USD”) London Interbank Offered Rate (“LIBOR”) plus a margin. The relevant amount of $260.3 million was drawn on July 21, 2020, out of which $258.5 million was used to refinance the outstanding indebtedness of GAS-twenty Ltd., GAS-seven Ltd. and GAS-eight Ltd., the respective entities owning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Seattle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Solaris</w:t>
      </w:r>
      <w:r>
        <w:rPr>
          <w:rFonts w:ascii="Arial" w:cs="Arial" w:eastAsia="Arial" w:hAnsi="Arial"/>
          <w:sz w:val="15"/>
          <w:szCs w:val="15"/>
          <w:color w:val="auto"/>
        </w:rPr>
        <w:t>. The facility includes customary restrictive covenants aligned with the ones in the existing bank credit facilities of the Partnership.</w:t>
      </w:r>
    </w:p>
    <w:p>
      <w:pPr>
        <w:spacing w:after="0" w:line="180" w:lineRule="exact"/>
        <w:rPr>
          <w:sz w:val="20"/>
          <w:szCs w:val="20"/>
          <w:color w:val="auto"/>
        </w:rPr>
      </w:pPr>
    </w:p>
    <w:p>
      <w:pPr>
        <w:ind w:firstLine="383"/>
        <w:spacing w:after="0" w:line="288" w:lineRule="auto"/>
        <w:rPr>
          <w:sz w:val="20"/>
          <w:szCs w:val="20"/>
          <w:color w:val="auto"/>
        </w:rPr>
      </w:pPr>
      <w:r>
        <w:rPr>
          <w:rFonts w:ascii="Arial" w:cs="Arial" w:eastAsia="Arial" w:hAnsi="Arial"/>
          <w:sz w:val="15"/>
          <w:szCs w:val="15"/>
          <w:color w:val="auto"/>
        </w:rPr>
        <w:t xml:space="preserve">Also, on July 16, 2020, GasLog Partners entered into a credit agreement of $193.7 million with DNB Bank ASA, London Branch, and ING Bank N.V., London Branch, each an original lender, with DNB Bank ASA, London Branch acting as security agent and trustee for and on behalf of the other finance parties mentioned above, in order to refinance the existing indebtedness due in 2021 on three of its vessels. The facility will amortize over ten equal semi-annual instalments of $8.6 million beginning in January 2021, with a final balloon amount of $107.7 million payable concurrently with the last instalment in July 2025. Interest on the facility will be payable at a rate of USD LIBOR plus a margin. DNB Bank ASA, London Branch and ING Bank N.V., London Branch were also registered as hedging providers under the facility. The relevant amount of $193.7 million was drawn on July 21, 2020, out of which $174.9 million was used to refinance the outstanding indebtedness of GAS-nineteen Ltd., GAS-twenty one Ltd. and GAS-twenty seven Ltd., the respective entities owning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Becki Anne</w:t>
      </w:r>
      <w:r>
        <w:rPr>
          <w:rFonts w:ascii="Arial" w:cs="Arial" w:eastAsia="Arial" w:hAnsi="Arial"/>
          <w:sz w:val="15"/>
          <w:szCs w:val="15"/>
          <w:color w:val="auto"/>
        </w:rPr>
        <w:t>. The facility includes customary restrictive covenants aligned with the ones in the existing bank credit facilities of the Partnership.</w:t>
      </w:r>
    </w:p>
    <w:p>
      <w:pPr>
        <w:spacing w:after="0" w:line="180" w:lineRule="exact"/>
        <w:rPr>
          <w:sz w:val="20"/>
          <w:szCs w:val="20"/>
          <w:color w:val="auto"/>
        </w:rPr>
      </w:pPr>
    </w:p>
    <w:p>
      <w:pPr>
        <w:ind w:right="20" w:firstLine="383"/>
        <w:spacing w:after="0" w:line="286" w:lineRule="auto"/>
        <w:rPr>
          <w:sz w:val="20"/>
          <w:szCs w:val="20"/>
          <w:color w:val="auto"/>
        </w:rPr>
      </w:pPr>
      <w:r>
        <w:rPr>
          <w:rFonts w:ascii="Arial" w:cs="Arial" w:eastAsia="Arial" w:hAnsi="Arial"/>
          <w:sz w:val="15"/>
          <w:szCs w:val="15"/>
          <w:color w:val="auto"/>
        </w:rPr>
        <w:t xml:space="preserve">GasLog has concurrently refinanced the existing indebtedness due in 2021 for the </w:t>
      </w:r>
      <w:r>
        <w:rPr>
          <w:rFonts w:ascii="Arial" w:cs="Arial" w:eastAsia="Arial" w:hAnsi="Arial"/>
          <w:sz w:val="15"/>
          <w:szCs w:val="15"/>
          <w:i w:val="1"/>
          <w:iCs w:val="1"/>
          <w:color w:val="auto"/>
        </w:rPr>
        <w:t>GasLog Savannah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Singapore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Skagen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Saratoga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Salem</w:t>
      </w:r>
      <w:r>
        <w:rPr>
          <w:rFonts w:ascii="Arial" w:cs="Arial" w:eastAsia="Arial" w:hAnsi="Arial"/>
          <w:sz w:val="15"/>
          <w:szCs w:val="15"/>
          <w:color w:val="auto"/>
        </w:rPr>
        <w:t>, and the</w:t>
      </w:r>
      <w:r>
        <w:rPr>
          <w:rFonts w:ascii="Arial" w:cs="Arial" w:eastAsia="Arial" w:hAnsi="Arial"/>
          <w:sz w:val="15"/>
          <w:szCs w:val="15"/>
          <w:i w:val="1"/>
          <w:iCs w:val="1"/>
          <w:color w:val="auto"/>
        </w:rPr>
        <w:t xml:space="preserve"> Methane Lydon Volney </w:t>
      </w:r>
      <w:r>
        <w:rPr>
          <w:rFonts w:ascii="Arial" w:cs="Arial" w:eastAsia="Arial" w:hAnsi="Arial"/>
          <w:sz w:val="15"/>
          <w:szCs w:val="15"/>
          <w:color w:val="auto"/>
        </w:rPr>
        <w:t>by entering into a credit agreement of $576.9 million. ABN AMRO Bank N.V., Citigroup Global Markets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Limited and Nordea Bank ABP, Filial I Norge acted as global coordinators and bookrunners, while HSBC Bank plc acted as mandated lead arrangers; Credit Agricole Corporate and Investment Bank acted as lead arranger and Unicredit Bank AG and National Bank of Australia Limited acted as arrangers, each of those being an original lender. ABN AMRO Bank N.V. was appointed by the other finance parties in this syndicate as security agent and trustee. The facility comprises of a $494.5 million Term Loan Facility which will amortize on a quarterly basis (following an initial repayment six months after initial drawdown equal to the sum of two quarterly repayments), with a final balloon amount payable concurrently with the last installment in June 2025; and a $82.4 million revolving loan facility which also matures in June 2025. Interest on the facility will be payable at a rate of USD LIBOR plus a margin. An amount of $576.9 million was drawn on July 21, 2020, out of which $557.0 million was used to refinance the outstanding indebtedness of GAS-one Ltd., GAS-two Ltd., GAS-six Ltd., GAS-nine Ltd., GAS-ten Ltd., and GAS-eighteen Ltd., the respective entities owning the </w:t>
      </w:r>
      <w:r>
        <w:rPr>
          <w:rFonts w:ascii="Arial" w:cs="Arial" w:eastAsia="Arial" w:hAnsi="Arial"/>
          <w:sz w:val="15"/>
          <w:szCs w:val="15"/>
          <w:i w:val="1"/>
          <w:iCs w:val="1"/>
          <w:color w:val="auto"/>
        </w:rPr>
        <w:t>GasLog Savannah</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Singapore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Skagen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Salem</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Lydon Volney</w:t>
      </w:r>
      <w:r>
        <w:rPr>
          <w:rFonts w:ascii="Arial" w:cs="Arial" w:eastAsia="Arial" w:hAnsi="Arial"/>
          <w:sz w:val="15"/>
          <w:szCs w:val="15"/>
          <w:color w:val="auto"/>
        </w:rPr>
        <w:t>. The balance of the proceeds will be used for general corporate and working capital purposes.</w:t>
      </w:r>
    </w:p>
    <w:p>
      <w:pPr>
        <w:spacing w:after="0" w:line="183" w:lineRule="exact"/>
        <w:rPr>
          <w:sz w:val="20"/>
          <w:szCs w:val="20"/>
          <w:color w:val="auto"/>
        </w:rPr>
      </w:pPr>
    </w:p>
    <w:p>
      <w:pPr>
        <w:ind w:right="240" w:firstLine="383"/>
        <w:spacing w:after="0" w:line="293" w:lineRule="auto"/>
        <w:rPr>
          <w:sz w:val="20"/>
          <w:szCs w:val="20"/>
          <w:color w:val="auto"/>
        </w:rPr>
      </w:pPr>
      <w:r>
        <w:rPr>
          <w:rFonts w:ascii="Arial" w:cs="Arial" w:eastAsia="Arial" w:hAnsi="Arial"/>
          <w:sz w:val="16"/>
          <w:szCs w:val="16"/>
          <w:color w:val="auto"/>
        </w:rPr>
        <w:t xml:space="preserve">On July 30, 2020, GasLog entered into a credit agreement with National Bank of Greece S.A. for the refinancing of GAS-fifteen Ltd, the entity owning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Chelsea</w:t>
      </w:r>
      <w:r>
        <w:rPr>
          <w:rFonts w:ascii="Arial" w:cs="Arial" w:eastAsia="Arial" w:hAnsi="Arial"/>
          <w:sz w:val="16"/>
          <w:szCs w:val="16"/>
          <w:color w:val="auto"/>
        </w:rPr>
        <w:t>. Funded on July 31, 2020, the facility provides $96.8 million of additional financing, refinancing the $92.3 million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25" w:name="page226"/>
    <w:bookmarkEnd w:id="225"/>
    <w:p>
      <w:pPr>
        <w:ind w:right="60"/>
        <w:spacing w:after="0" w:line="278" w:lineRule="auto"/>
        <w:rPr>
          <w:sz w:val="20"/>
          <w:szCs w:val="20"/>
          <w:color w:val="auto"/>
        </w:rPr>
      </w:pPr>
      <w:r>
        <w:rPr>
          <w:rFonts w:ascii="Arial" w:cs="Arial" w:eastAsia="Arial" w:hAnsi="Arial"/>
          <w:sz w:val="16"/>
          <w:szCs w:val="16"/>
          <w:color w:val="auto"/>
        </w:rPr>
        <w:t xml:space="preserve">of outstanding indebtedness of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contributing to the $30.2 million of incremental liquidity for general corporate and working capital purposes referenced above. National Bank of Greece S.A. is acting as the sole original lender. The facility will amortize on a quarterly basis, with a final balloon amount payable concurrently with the last instalment in July 2025.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COVID-19 Update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GasLog’s focus continues to be on ensuring the health and safety of our employees while providing safe and reliable operations for our customers.</w:t>
      </w:r>
    </w:p>
    <w:p>
      <w:pPr>
        <w:spacing w:after="0" w:line="248" w:lineRule="exact"/>
        <w:rPr>
          <w:sz w:val="20"/>
          <w:szCs w:val="20"/>
          <w:color w:val="auto"/>
        </w:rPr>
      </w:pPr>
    </w:p>
    <w:p>
      <w:pPr>
        <w:jc w:val="both"/>
        <w:ind w:left="660" w:hanging="328"/>
        <w:spacing w:after="0" w:line="257" w:lineRule="auto"/>
        <w:tabs>
          <w:tab w:leader="none" w:pos="745" w:val="left"/>
        </w:tabs>
        <w:numPr>
          <w:ilvl w:val="0"/>
          <w:numId w:val="493"/>
        </w:numPr>
        <w:rPr>
          <w:rFonts w:ascii="Arial" w:cs="Arial" w:eastAsia="Arial" w:hAnsi="Arial"/>
          <w:sz w:val="18"/>
          <w:szCs w:val="18"/>
          <w:color w:val="auto"/>
        </w:rPr>
      </w:pPr>
      <w:r>
        <w:rPr>
          <w:rFonts w:ascii="Arial" w:cs="Arial" w:eastAsia="Arial" w:hAnsi="Arial"/>
          <w:sz w:val="16"/>
          <w:szCs w:val="16"/>
          <w:color w:val="auto"/>
        </w:rPr>
        <w:t>Beginning on June 1, 2020, employees at our Piraeus, Greece location returned to the office on a rotational basis at a capacity of approximately 50.0%. Piraeus office personnel have been provided with the appropriate personal protective equipment and modifications were made to the office’s floor plan to ensure social distancing; plexiglass dividers were installed and enhanced cleaning procedures have been enacted. All other onshore locations continue under a “work from home” policy in accordance with local guidelines and regulations;</w:t>
      </w:r>
    </w:p>
    <w:p>
      <w:pPr>
        <w:spacing w:after="0" w:line="10" w:lineRule="exact"/>
        <w:rPr>
          <w:rFonts w:ascii="Arial" w:cs="Arial" w:eastAsia="Arial" w:hAnsi="Arial"/>
          <w:sz w:val="18"/>
          <w:szCs w:val="18"/>
          <w:color w:val="auto"/>
        </w:rPr>
      </w:pPr>
    </w:p>
    <w:p>
      <w:pPr>
        <w:ind w:left="660" w:hanging="328"/>
        <w:spacing w:after="0" w:line="266" w:lineRule="auto"/>
        <w:tabs>
          <w:tab w:leader="none" w:pos="624" w:val="left"/>
        </w:tabs>
        <w:numPr>
          <w:ilvl w:val="0"/>
          <w:numId w:val="493"/>
        </w:numPr>
        <w:rPr>
          <w:rFonts w:ascii="Arial" w:cs="Arial" w:eastAsia="Arial" w:hAnsi="Arial"/>
          <w:sz w:val="17"/>
          <w:szCs w:val="17"/>
          <w:color w:val="auto"/>
        </w:rPr>
      </w:pPr>
      <w:r>
        <w:rPr>
          <w:rFonts w:ascii="Arial" w:cs="Arial" w:eastAsia="Arial" w:hAnsi="Arial"/>
          <w:sz w:val="15"/>
          <w:szCs w:val="15"/>
          <w:color w:val="auto"/>
        </w:rPr>
        <w:t>Crew changes continue to be planned at every opportunity and to date GasLog has been able to rotate approximately 80.0% of the officers and a smaller percentage of the other ranks. The majority of the crew rotation difficulties we face, are due to continued lockdowns in Singapore and the Philippines;</w:t>
      </w:r>
    </w:p>
    <w:p>
      <w:pPr>
        <w:spacing w:after="0" w:line="10" w:lineRule="exact"/>
        <w:rPr>
          <w:rFonts w:ascii="Arial" w:cs="Arial" w:eastAsia="Arial" w:hAnsi="Arial"/>
          <w:sz w:val="17"/>
          <w:szCs w:val="17"/>
          <w:color w:val="auto"/>
        </w:rPr>
      </w:pPr>
    </w:p>
    <w:p>
      <w:pPr>
        <w:jc w:val="both"/>
        <w:ind w:left="660" w:hanging="328"/>
        <w:spacing w:after="0" w:line="289" w:lineRule="auto"/>
        <w:tabs>
          <w:tab w:leader="none" w:pos="678" w:val="left"/>
        </w:tabs>
        <w:numPr>
          <w:ilvl w:val="0"/>
          <w:numId w:val="493"/>
        </w:numPr>
        <w:rPr>
          <w:rFonts w:ascii="Arial" w:cs="Arial" w:eastAsia="Arial" w:hAnsi="Arial"/>
          <w:sz w:val="16"/>
          <w:szCs w:val="16"/>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Savannah</w:t>
      </w:r>
      <w:r>
        <w:rPr>
          <w:rFonts w:ascii="Arial" w:cs="Arial" w:eastAsia="Arial" w:hAnsi="Arial"/>
          <w:sz w:val="14"/>
          <w:szCs w:val="14"/>
          <w:color w:val="auto"/>
        </w:rPr>
        <w:t xml:space="preserve"> is expected to complete her scheduled dry-docking by the end of August 2020. The vessel began its dry-docking in Singapore on April 9, 2020; however, COVID-19 related lockdown measures were enacted soon thereafter and extended through early July, preventing its scheduled completion and, as a result, the </w:t>
      </w:r>
      <w:r>
        <w:rPr>
          <w:rFonts w:ascii="Arial" w:cs="Arial" w:eastAsia="Arial" w:hAnsi="Arial"/>
          <w:sz w:val="14"/>
          <w:szCs w:val="14"/>
          <w:i w:val="1"/>
          <w:iCs w:val="1"/>
          <w:color w:val="auto"/>
        </w:rPr>
        <w:t>GasLog Savannah</w:t>
      </w:r>
      <w:r>
        <w:rPr>
          <w:rFonts w:ascii="Arial" w:cs="Arial" w:eastAsia="Arial" w:hAnsi="Arial"/>
          <w:sz w:val="14"/>
          <w:szCs w:val="14"/>
          <w:color w:val="auto"/>
        </w:rPr>
        <w:t xml:space="preserve"> was off-charter for a total of 90 days and approximately 60 days during the second and third quarters of 2020, respectively; and</w:t>
      </w:r>
    </w:p>
    <w:p>
      <w:pPr>
        <w:spacing w:after="0" w:line="11" w:lineRule="exact"/>
        <w:rPr>
          <w:rFonts w:ascii="Arial" w:cs="Arial" w:eastAsia="Arial" w:hAnsi="Arial"/>
          <w:sz w:val="16"/>
          <w:szCs w:val="16"/>
          <w:color w:val="auto"/>
        </w:rPr>
      </w:pPr>
    </w:p>
    <w:p>
      <w:pPr>
        <w:ind w:left="660" w:hanging="328"/>
        <w:spacing w:after="0" w:line="263" w:lineRule="auto"/>
        <w:tabs>
          <w:tab w:leader="none" w:pos="678" w:val="left"/>
        </w:tabs>
        <w:numPr>
          <w:ilvl w:val="0"/>
          <w:numId w:val="493"/>
        </w:numPr>
        <w:rPr>
          <w:rFonts w:ascii="Arial" w:cs="Arial" w:eastAsia="Arial" w:hAnsi="Arial"/>
          <w:sz w:val="18"/>
          <w:szCs w:val="18"/>
          <w:color w:val="auto"/>
        </w:rPr>
      </w:pPr>
      <w:r>
        <w:rPr>
          <w:rFonts w:ascii="Arial" w:cs="Arial" w:eastAsia="Arial" w:hAnsi="Arial"/>
          <w:sz w:val="16"/>
          <w:szCs w:val="16"/>
          <w:color w:val="auto"/>
        </w:rPr>
        <w:t xml:space="preserve">As a result of these measures and the dedication of our employees onshore and aboard our vessels, excluding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approximately 100.0% of our fleet continues to be available for commercial use.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COVID-19 placed downward pressure on economic activity and energy demand during the second quarter and there remains significant uncertainty regarding near-term future LNG demand and, therefore, LNG shipping requirements.</w:t>
      </w:r>
    </w:p>
    <w:p>
      <w:pPr>
        <w:spacing w:after="0" w:line="185" w:lineRule="exact"/>
        <w:rPr>
          <w:sz w:val="20"/>
          <w:szCs w:val="20"/>
          <w:color w:val="auto"/>
        </w:rPr>
      </w:pPr>
    </w:p>
    <w:p>
      <w:pPr>
        <w:ind w:left="620" w:hanging="288"/>
        <w:spacing w:after="0"/>
        <w:tabs>
          <w:tab w:leader="none" w:pos="620" w:val="left"/>
        </w:tabs>
        <w:numPr>
          <w:ilvl w:val="0"/>
          <w:numId w:val="494"/>
        </w:numPr>
        <w:rPr>
          <w:rFonts w:ascii="Arial" w:cs="Arial" w:eastAsia="Arial" w:hAnsi="Arial"/>
          <w:sz w:val="18"/>
          <w:szCs w:val="18"/>
          <w:color w:val="auto"/>
        </w:rPr>
      </w:pPr>
      <w:r>
        <w:rPr>
          <w:rFonts w:ascii="Arial" w:cs="Arial" w:eastAsia="Arial" w:hAnsi="Arial"/>
          <w:sz w:val="16"/>
          <w:szCs w:val="16"/>
          <w:color w:val="auto"/>
        </w:rPr>
        <w:t>The Group’s charter coverage for the remainder of 2020 is 82%;</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786" w:val="left"/>
        </w:tabs>
        <w:numPr>
          <w:ilvl w:val="0"/>
          <w:numId w:val="494"/>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has led to greater volatility in spot rates and to lower utilization of vessels trading in the spot and short-term markets;</w:t>
      </w:r>
    </w:p>
    <w:p>
      <w:pPr>
        <w:spacing w:after="0" w:line="11" w:lineRule="exact"/>
        <w:rPr>
          <w:rFonts w:ascii="Arial" w:cs="Arial" w:eastAsia="Arial" w:hAnsi="Arial"/>
          <w:sz w:val="18"/>
          <w:szCs w:val="18"/>
          <w:color w:val="auto"/>
        </w:rPr>
      </w:pPr>
    </w:p>
    <w:p>
      <w:pPr>
        <w:ind w:left="620" w:hanging="288"/>
        <w:spacing w:after="0"/>
        <w:tabs>
          <w:tab w:leader="none" w:pos="620" w:val="left"/>
        </w:tabs>
        <w:numPr>
          <w:ilvl w:val="0"/>
          <w:numId w:val="494"/>
        </w:numPr>
        <w:rPr>
          <w:rFonts w:ascii="Arial" w:cs="Arial" w:eastAsia="Arial" w:hAnsi="Arial"/>
          <w:sz w:val="17"/>
          <w:szCs w:val="17"/>
          <w:color w:val="auto"/>
        </w:rPr>
      </w:pPr>
      <w:r>
        <w:rPr>
          <w:rFonts w:ascii="Arial" w:cs="Arial" w:eastAsia="Arial" w:hAnsi="Arial"/>
          <w:sz w:val="15"/>
          <w:szCs w:val="15"/>
          <w:color w:val="auto"/>
        </w:rPr>
        <w:t>The utilization and earnings of our vessels trading in the spot market may be materially lower than their earnings under their initial multi-year charters; and</w:t>
      </w:r>
    </w:p>
    <w:p>
      <w:pPr>
        <w:spacing w:after="0" w:line="20" w:lineRule="exact"/>
        <w:rPr>
          <w:rFonts w:ascii="Arial" w:cs="Arial" w:eastAsia="Arial" w:hAnsi="Arial"/>
          <w:sz w:val="17"/>
          <w:szCs w:val="17"/>
          <w:color w:val="auto"/>
        </w:rPr>
      </w:pPr>
    </w:p>
    <w:p>
      <w:pPr>
        <w:jc w:val="both"/>
        <w:ind w:left="660" w:hanging="328"/>
        <w:spacing w:after="0" w:line="263" w:lineRule="auto"/>
        <w:tabs>
          <w:tab w:leader="none" w:pos="651" w:val="left"/>
        </w:tabs>
        <w:numPr>
          <w:ilvl w:val="0"/>
          <w:numId w:val="494"/>
        </w:numPr>
        <w:rPr>
          <w:rFonts w:ascii="Arial" w:cs="Arial" w:eastAsia="Arial" w:hAnsi="Arial"/>
          <w:sz w:val="18"/>
          <w:szCs w:val="18"/>
          <w:color w:val="auto"/>
        </w:rPr>
      </w:pPr>
      <w:r>
        <w:rPr>
          <w:rFonts w:ascii="Arial" w:cs="Arial" w:eastAsia="Arial" w:hAnsi="Arial"/>
          <w:sz w:val="16"/>
          <w:szCs w:val="16"/>
          <w:color w:val="auto"/>
        </w:rPr>
        <w:t xml:space="preserve">On September 4, 2019, GasLog announced a new 10-year time charter with Sinolam LNG Terminal, S.A. (“Sinolam LNG”)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for use as a floating storage unit (“FSU”) in support of a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delayed by 6 months, the result of COVID-19 related impacts to the construction schedule. GasLog has received approval to defer conversion 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until the first quarter of 2021 to align more closely with the project’s new expected start date. All other terms of the charter party agreement remain in effect.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COVID-19 has had a sustained impact on global capital and bank credit markets, affecting access, timing and cost of capital.</w:t>
      </w:r>
    </w:p>
    <w:p>
      <w:pPr>
        <w:spacing w:after="0" w:line="248" w:lineRule="exact"/>
        <w:rPr>
          <w:sz w:val="20"/>
          <w:szCs w:val="20"/>
          <w:color w:val="auto"/>
        </w:rPr>
      </w:pPr>
    </w:p>
    <w:p>
      <w:pPr>
        <w:ind w:left="660" w:hanging="328"/>
        <w:spacing w:after="0" w:line="250" w:lineRule="auto"/>
        <w:tabs>
          <w:tab w:leader="none" w:pos="664" w:val="left"/>
        </w:tabs>
        <w:numPr>
          <w:ilvl w:val="0"/>
          <w:numId w:val="495"/>
        </w:numPr>
        <w:rPr>
          <w:rFonts w:ascii="Arial" w:cs="Arial" w:eastAsia="Arial" w:hAnsi="Arial"/>
          <w:sz w:val="18"/>
          <w:szCs w:val="18"/>
          <w:color w:val="auto"/>
        </w:rPr>
      </w:pPr>
      <w:r>
        <w:rPr>
          <w:rFonts w:ascii="Arial" w:cs="Arial" w:eastAsia="Arial" w:hAnsi="Arial"/>
          <w:sz w:val="16"/>
          <w:szCs w:val="16"/>
          <w:color w:val="auto"/>
        </w:rPr>
        <w:t>Notwithstanding COVID-19, we have refinanced the Group’s debt maturities due in 2021 with four new credit facilities representing a total of approximately $1.1 billion, strengthening the balance sheet and delivering $30.2 million of incremental liquidity to the Group.;</w:t>
      </w:r>
    </w:p>
    <w:p>
      <w:pPr>
        <w:spacing w:after="0" w:line="11" w:lineRule="exact"/>
        <w:rPr>
          <w:rFonts w:ascii="Arial" w:cs="Arial" w:eastAsia="Arial" w:hAnsi="Arial"/>
          <w:sz w:val="18"/>
          <w:szCs w:val="18"/>
          <w:color w:val="auto"/>
        </w:rPr>
      </w:pPr>
    </w:p>
    <w:p>
      <w:pPr>
        <w:jc w:val="both"/>
        <w:ind w:left="660" w:hanging="328"/>
        <w:spacing w:after="0" w:line="255" w:lineRule="auto"/>
        <w:tabs>
          <w:tab w:leader="none" w:pos="759" w:val="left"/>
        </w:tabs>
        <w:numPr>
          <w:ilvl w:val="0"/>
          <w:numId w:val="495"/>
        </w:numPr>
        <w:rPr>
          <w:rFonts w:ascii="Arial" w:cs="Arial" w:eastAsia="Arial" w:hAnsi="Arial"/>
          <w:sz w:val="18"/>
          <w:szCs w:val="18"/>
          <w:color w:val="auto"/>
        </w:rPr>
      </w:pPr>
      <w:r>
        <w:rPr>
          <w:rFonts w:ascii="Arial" w:cs="Arial" w:eastAsia="Arial" w:hAnsi="Arial"/>
          <w:sz w:val="16"/>
          <w:szCs w:val="16"/>
          <w:color w:val="auto"/>
        </w:rPr>
        <w:t>Following recent amendments with several counterparties to our interest rate swap agreements as well a strengthening of the Norwegian Kroner versus the U.S Dollar since late March, our cash collateral with respect to our interest rate and cross-currency swap agreements was $44.8 million as of July 31, 2020, down from $71.1 million as of June 30, 2020 and $81.2 million as of March 31, 2020; and</w:t>
      </w:r>
    </w:p>
    <w:p>
      <w:pPr>
        <w:spacing w:after="0" w:line="10" w:lineRule="exact"/>
        <w:rPr>
          <w:rFonts w:ascii="Arial" w:cs="Arial" w:eastAsia="Arial" w:hAnsi="Arial"/>
          <w:sz w:val="18"/>
          <w:szCs w:val="18"/>
          <w:color w:val="auto"/>
        </w:rPr>
      </w:pPr>
    </w:p>
    <w:p>
      <w:pPr>
        <w:ind w:left="660" w:hanging="328"/>
        <w:spacing w:after="0" w:line="263" w:lineRule="auto"/>
        <w:tabs>
          <w:tab w:leader="none" w:pos="678" w:val="left"/>
        </w:tabs>
        <w:numPr>
          <w:ilvl w:val="0"/>
          <w:numId w:val="495"/>
        </w:numPr>
        <w:rPr>
          <w:rFonts w:ascii="Arial" w:cs="Arial" w:eastAsia="Arial" w:hAnsi="Arial"/>
          <w:sz w:val="18"/>
          <w:szCs w:val="18"/>
          <w:color w:val="auto"/>
        </w:rPr>
      </w:pPr>
      <w:r>
        <w:rPr>
          <w:rFonts w:ascii="Arial" w:cs="Arial" w:eastAsia="Arial" w:hAnsi="Arial"/>
          <w:sz w:val="16"/>
          <w:szCs w:val="16"/>
          <w:color w:val="auto"/>
        </w:rPr>
        <w:t>As of June 30, 2020, we recognized a non-cash impairment loss of $22.5 million in aggregate on certain of our steam turbine propulsion (“Steam”) vessels due to the uncertainty regarding the effects of COVID-19 in the short-term spot market, as discussed in the Commercial update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26" w:name="page227"/>
    <w:bookmarkEnd w:id="226"/>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Windsor</w:t>
      </w:r>
    </w:p>
    <w:p>
      <w:pPr>
        <w:spacing w:after="0" w:line="239" w:lineRule="exact"/>
        <w:rPr>
          <w:sz w:val="20"/>
          <w:szCs w:val="20"/>
          <w:color w:val="auto"/>
        </w:rPr>
      </w:pPr>
    </w:p>
    <w:p>
      <w:pPr>
        <w:jc w:val="both"/>
        <w:ind w:right="500" w:firstLine="383"/>
        <w:spacing w:after="0" w:line="305" w:lineRule="auto"/>
        <w:rPr>
          <w:sz w:val="20"/>
          <w:szCs w:val="20"/>
          <w:color w:val="auto"/>
        </w:rPr>
      </w:pPr>
      <w:r>
        <w:rPr>
          <w:rFonts w:ascii="Arial" w:cs="Arial" w:eastAsia="Arial" w:hAnsi="Arial"/>
          <w:sz w:val="15"/>
          <w:szCs w:val="15"/>
          <w:color w:val="auto"/>
        </w:rPr>
        <w:t xml:space="preserve">On April 1, 2020, GasLog took delivery of the </w:t>
      </w:r>
      <w:r>
        <w:rPr>
          <w:rFonts w:ascii="Arial" w:cs="Arial" w:eastAsia="Arial" w:hAnsi="Arial"/>
          <w:sz w:val="15"/>
          <w:szCs w:val="15"/>
          <w:i w:val="1"/>
          <w:iCs w:val="1"/>
          <w:color w:val="auto"/>
        </w:rPr>
        <w:t>GasLog Windsor</w:t>
      </w:r>
      <w:r>
        <w:rPr>
          <w:rFonts w:ascii="Arial" w:cs="Arial" w:eastAsia="Arial" w:hAnsi="Arial"/>
          <w:sz w:val="15"/>
          <w:szCs w:val="15"/>
          <w:color w:val="auto"/>
        </w:rPr>
        <w:t>, a 180,000 cbm LNG carrier with dual fuel medium speed propulsion (“X-DF”) constructed by Samsung Heavy Industries Co., Ltd. (“Samsung”). Despite the disruption in South Korea caused by the COVID-19 outbreak, the vessel was delivered on time and on budget. Upon delivery, the vessel immediately commenced its seven-year charter with a wholly-owned subsidiary of Centrica plc. (“Centrica”).</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Wales</w:t>
      </w:r>
    </w:p>
    <w:p>
      <w:pPr>
        <w:spacing w:after="0" w:line="239" w:lineRule="exact"/>
        <w:rPr>
          <w:sz w:val="20"/>
          <w:szCs w:val="20"/>
          <w:color w:val="auto"/>
        </w:rPr>
      </w:pPr>
    </w:p>
    <w:p>
      <w:pPr>
        <w:ind w:right="40" w:firstLine="383"/>
        <w:spacing w:after="0" w:line="278" w:lineRule="auto"/>
        <w:rPr>
          <w:sz w:val="20"/>
          <w:szCs w:val="20"/>
          <w:color w:val="auto"/>
        </w:rPr>
      </w:pPr>
      <w:r>
        <w:rPr>
          <w:rFonts w:ascii="Arial" w:cs="Arial" w:eastAsia="Arial" w:hAnsi="Arial"/>
          <w:sz w:val="16"/>
          <w:szCs w:val="16"/>
          <w:color w:val="auto"/>
        </w:rPr>
        <w:t xml:space="preserve">On May 11, 2020, GasLog took delivery of the </w:t>
      </w:r>
      <w:r>
        <w:rPr>
          <w:rFonts w:ascii="Arial" w:cs="Arial" w:eastAsia="Arial" w:hAnsi="Arial"/>
          <w:sz w:val="16"/>
          <w:szCs w:val="16"/>
          <w:i w:val="1"/>
          <w:iCs w:val="1"/>
          <w:color w:val="auto"/>
        </w:rPr>
        <w:t>GasLog Wales</w:t>
      </w:r>
      <w:r>
        <w:rPr>
          <w:rFonts w:ascii="Arial" w:cs="Arial" w:eastAsia="Arial" w:hAnsi="Arial"/>
          <w:sz w:val="16"/>
          <w:szCs w:val="16"/>
          <w:color w:val="auto"/>
        </w:rPr>
        <w:t>, a 180,000 cbm LNG carrier with X-DF propulsion constructed by Samsung. Despite the disruption in South Korea caused by the COVID-19 outbreak, the vessel was delivered on time and on budget. Upon delivery, the vessel immediately commenced its 12-year charter with JERA Co. Inc (“JERA”).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Private Placement of Common Shares</w:t>
      </w:r>
    </w:p>
    <w:p>
      <w:pPr>
        <w:spacing w:after="0" w:line="239" w:lineRule="exact"/>
        <w:rPr>
          <w:sz w:val="20"/>
          <w:szCs w:val="20"/>
          <w:color w:val="auto"/>
        </w:rPr>
      </w:pPr>
    </w:p>
    <w:p>
      <w:pPr>
        <w:ind w:right="20" w:firstLine="383"/>
        <w:spacing w:after="0" w:line="293" w:lineRule="auto"/>
        <w:rPr>
          <w:sz w:val="20"/>
          <w:szCs w:val="20"/>
          <w:color w:val="auto"/>
        </w:rPr>
      </w:pPr>
      <w:r>
        <w:rPr>
          <w:rFonts w:ascii="Arial" w:cs="Arial" w:eastAsia="Arial" w:hAnsi="Arial"/>
          <w:sz w:val="15"/>
          <w:szCs w:val="15"/>
          <w:color w:val="auto"/>
        </w:rPr>
        <w:t>On June 29, 2020, GasLog completed the sale of 14,400,000 common shares at a price of $2.50 per share for total gross proceeds of $36.0 million through a private placement of unregistered common shares (the “Private Placement”). The net proceeds were used for general corporate purposes. Approximately 75% of shares issued in the Private Placement were purchased by GasLog’s directors and affiliates, including 6,500,000 common shares purchased by Blenheim Holdings Ltd., wholly-owned by the Livanos family and 4,000,000 common shares purchased by a wholly-owned affiliate of the Onassis Foundation. In addition, members of the Tung family, whose roots in shipping date back over 70 years, purchased common shares in the Private Placement.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Westminster</w:t>
      </w:r>
    </w:p>
    <w:p>
      <w:pPr>
        <w:spacing w:after="0" w:line="239" w:lineRule="exact"/>
        <w:rPr>
          <w:sz w:val="20"/>
          <w:szCs w:val="20"/>
          <w:color w:val="auto"/>
        </w:rPr>
      </w:pPr>
    </w:p>
    <w:p>
      <w:pPr>
        <w:jc w:val="both"/>
        <w:ind w:firstLine="383"/>
        <w:spacing w:after="0" w:line="278" w:lineRule="auto"/>
        <w:rPr>
          <w:sz w:val="20"/>
          <w:szCs w:val="20"/>
          <w:color w:val="auto"/>
        </w:rPr>
      </w:pPr>
      <w:r>
        <w:rPr>
          <w:rFonts w:ascii="Arial" w:cs="Arial" w:eastAsia="Arial" w:hAnsi="Arial"/>
          <w:sz w:val="16"/>
          <w:szCs w:val="16"/>
          <w:color w:val="auto"/>
        </w:rPr>
        <w:t xml:space="preserve">Post quarter-end, on July 15, 2020, GasLog took delivery of the </w:t>
      </w:r>
      <w:r>
        <w:rPr>
          <w:rFonts w:ascii="Arial" w:cs="Arial" w:eastAsia="Arial" w:hAnsi="Arial"/>
          <w:sz w:val="16"/>
          <w:szCs w:val="16"/>
          <w:i w:val="1"/>
          <w:iCs w:val="1"/>
          <w:color w:val="auto"/>
        </w:rPr>
        <w:t>GasLog Westminster</w:t>
      </w:r>
      <w:r>
        <w:rPr>
          <w:rFonts w:ascii="Arial" w:cs="Arial" w:eastAsia="Arial" w:hAnsi="Arial"/>
          <w:sz w:val="16"/>
          <w:szCs w:val="16"/>
          <w:color w:val="auto"/>
        </w:rPr>
        <w:t>, a 180,000 cbm LNG carrier with X-DF propulsion constructed by Samsung. Despite the disruption in South Korea caused by the COVID-19 outbreak, the vessel was delivered on time and on budget. Upon delivery, the vessel immediately commenced its seven-year charter with Centrica.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239"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On May 14, 2020, the board of directors declared a dividend on the Series A Preference Shares of $0.546875 per share, or $2.5 million in the aggregate, payable on July 1, 2020 to holders of record as of June 30, 2020. GasLog paid the declared dividend to the transfer agent on July 1, 2020.</w:t>
      </w:r>
    </w:p>
    <w:p>
      <w:pPr>
        <w:spacing w:after="0" w:line="17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August 4, 2020, the board of directors declared a quarterly cash dividend of $0.05 per common share, or $4.0 million in the aggregate, payable on August 27, 2020 to shareholders of record as of August 17, 2020.</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b w:val="1"/>
          <w:bCs w:val="1"/>
          <w:u w:val="single" w:color="auto"/>
          <w:color w:val="auto"/>
        </w:rPr>
        <w:t>Organizational Update</w:t>
      </w:r>
    </w:p>
    <w:p>
      <w:pPr>
        <w:spacing w:after="0" w:line="23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6"/>
          <w:szCs w:val="16"/>
          <w:color w:val="auto"/>
        </w:rPr>
        <w:t>In November 2019, GasLog announced plans to relocate more of its employees, including several members of senior management, to our main operating office in Piraeus, Greece, to enhance business efficiency, operational excellence and to reduce overheads. By the end of 2020, we will have concluded these organizational changes, having closed the Monaco Office and reduced the number of employees in our London office. These measures will result in annualized general and administrative (“G&amp;A”) savings of $6.0 million with effect from 2021. In the three months ended June 30, 2020, additional restructuring costs of $1.1 million were recognized ($1.5 million for the six months ended June 30, 2020).</w:t>
      </w:r>
    </w:p>
    <w:p>
      <w:pPr>
        <w:spacing w:after="0" w:line="190" w:lineRule="exact"/>
        <w:rPr>
          <w:sz w:val="20"/>
          <w:szCs w:val="20"/>
          <w:color w:val="auto"/>
        </w:rPr>
      </w:pPr>
    </w:p>
    <w:p>
      <w:pPr>
        <w:ind w:right="100" w:firstLine="401"/>
        <w:spacing w:after="0" w:line="293" w:lineRule="auto"/>
        <w:rPr>
          <w:sz w:val="20"/>
          <w:szCs w:val="20"/>
          <w:color w:val="auto"/>
        </w:rPr>
      </w:pPr>
      <w:r>
        <w:rPr>
          <w:rFonts w:ascii="Arial" w:cs="Arial" w:eastAsia="Arial" w:hAnsi="Arial"/>
          <w:sz w:val="15"/>
          <w:szCs w:val="15"/>
          <w:color w:val="auto"/>
        </w:rPr>
        <w:t>As the next phase in our strategy to enhance efficiency and reduce costs, we have now decided to include GasLog Partners and our Stamford office in this initiative. Andrew Orekar, CEO of GasLog Partners, has informed the Company that, as a result of the relocation of his role to Piraeus, Greece, he will step down from his position on September 15, 2020. Paul Wogan, currently CEO of GasLog, will assume the responsibilities of CEO of GasLog Partners on September 16, 2020. Please see today’s separate press release on this matter. In addition, we will reduce the size of the Partnership’s board of directors from seven to five members and will close our Stamford, Connecticut office. This plan is expected to generate annualized G&amp;A savings of $3.0 million per annum starting in 2021.</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When taken together with the organizational changes already announced, we expect to reduce our G&amp;A expenses by $9.0 million in aggregate beginning in 2021.</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Share/Unit Repurchase Programme</w:t>
      </w:r>
    </w:p>
    <w:p>
      <w:pPr>
        <w:spacing w:after="0" w:line="239" w:lineRule="exact"/>
        <w:rPr>
          <w:sz w:val="20"/>
          <w:szCs w:val="20"/>
          <w:color w:val="auto"/>
        </w:rPr>
      </w:pPr>
    </w:p>
    <w:p>
      <w:pPr>
        <w:ind w:right="200" w:firstLine="383"/>
        <w:spacing w:after="0" w:line="335" w:lineRule="auto"/>
        <w:rPr>
          <w:sz w:val="20"/>
          <w:szCs w:val="20"/>
          <w:color w:val="auto"/>
        </w:rPr>
      </w:pPr>
      <w:r>
        <w:rPr>
          <w:rFonts w:ascii="Arial" w:cs="Arial" w:eastAsia="Arial" w:hAnsi="Arial"/>
          <w:sz w:val="14"/>
          <w:szCs w:val="14"/>
          <w:color w:val="auto"/>
        </w:rPr>
        <w:t>On November 28, 2018, the Company announced that its board of directors had approved a share repurchase programme of up to $50.0 million of the Company’s common shares, covering the period from January 1, 2019 to December 31, 2021. In the six months ended June 30, 2020, 323,919 shares have been acquired at a total cost of $2.0 million and are included in treasury shares. The average cost of the repurchase was $6.17 per share inclusive of all fees and commissions.</w:t>
      </w:r>
    </w:p>
    <w:p>
      <w:pPr>
        <w:spacing w:after="0" w:line="149" w:lineRule="exact"/>
        <w:rPr>
          <w:sz w:val="20"/>
          <w:szCs w:val="20"/>
          <w:color w:val="auto"/>
        </w:rPr>
      </w:pPr>
    </w:p>
    <w:p>
      <w:pPr>
        <w:ind w:right="280" w:firstLine="383"/>
        <w:spacing w:after="0" w:line="273" w:lineRule="auto"/>
        <w:rPr>
          <w:sz w:val="20"/>
          <w:szCs w:val="20"/>
          <w:color w:val="auto"/>
        </w:rPr>
      </w:pPr>
      <w:r>
        <w:rPr>
          <w:rFonts w:ascii="Arial" w:cs="Arial" w:eastAsia="Arial" w:hAnsi="Arial"/>
          <w:sz w:val="16"/>
          <w:szCs w:val="16"/>
          <w:color w:val="auto"/>
        </w:rPr>
        <w:t>On February 5, 2020, the board of directors of GasLog Partners authorized a renewal of the Partnership’s unit repurchase programme, taking the total authority outstanding under the programme to $25.0 million which may be utilized from February 10, 2020 to December 31, 2021. In the six months ended June 30, 2020, GasLog Partners repurchased and cancelled 191,490 of the Partnership’s common units at a weighted average price of $5.18 per common unit for a total amount of $1.0 million, including commissions.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40" w:firstLine="356"/>
        <w:spacing w:after="0" w:line="289" w:lineRule="auto"/>
        <w:rPr>
          <w:sz w:val="20"/>
          <w:szCs w:val="20"/>
          <w:color w:val="auto"/>
        </w:rPr>
      </w:pPr>
      <w:r>
        <w:rPr>
          <w:rFonts w:ascii="Arial" w:cs="Arial" w:eastAsia="Arial" w:hAnsi="Arial"/>
          <w:sz w:val="15"/>
          <w:szCs w:val="15"/>
          <w:color w:val="auto"/>
        </w:rPr>
        <w:t>We are an international owner, operator and manager of LNG carriers. Our wholly-owned fleet as of August 5, 2020, consists of 19 LNG carriers, including 15 ships in operation and four LNG carriers on order at Samsung. GasLog is also the general and controlling partner in GasLog Partners, a publicly traded master limited partnership, which owns 15 LNG carriers. In addition, GasLog has leased back under a bareboat charter one vessel sold to Lepta Shipping Co., Ltd. (“Lepta Shipping”), a subsidiary of Mitsui &amp; Co., Ltd. (“Mitsui”) in February 2016, for a period of up to 20 years. GasLog has the option to repurchase the vessel on pre-agreed terms no earlier than the end of year ten and no later than the end of year 17 of the bareboat charter. We currently manage and operate 30 LNG carriers including our 15 wholly-owned ships in operation, 14 of the 15 ships contributed or sold to the Partnership (the other one is managed by a subsidiary of Royal Dutch Shell plc (“Shell”)), the bareboat vessel and one LNG carrier owned by an entity in which we have a 25% interest. We are also supervising the construction of our newbuildings.</w:t>
      </w:r>
    </w:p>
    <w:p>
      <w:pPr>
        <w:spacing w:after="0" w:line="18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 xml:space="preserve">We have a 25% interest in a vessel, the </w:t>
      </w:r>
      <w:r>
        <w:rPr>
          <w:rFonts w:ascii="Arial" w:cs="Arial" w:eastAsia="Arial" w:hAnsi="Arial"/>
          <w:sz w:val="16"/>
          <w:szCs w:val="16"/>
          <w:i w:val="1"/>
          <w:iCs w:val="1"/>
          <w:color w:val="auto"/>
        </w:rPr>
        <w:t>Methane Nile Eagle</w:t>
      </w:r>
      <w:r>
        <w:rPr>
          <w:rFonts w:ascii="Arial" w:cs="Arial" w:eastAsia="Arial" w:hAnsi="Arial"/>
          <w:sz w:val="16"/>
          <w:szCs w:val="16"/>
          <w:color w:val="auto"/>
        </w:rPr>
        <w:t>, a 2007-built LNG carrier owned by Egypt LNG Shipping Ltd. (“Egypt LNG”) and technically managed by us. It is currently operating under a 20-year time charter to a subsidiary of Shell.</w:t>
      </w:r>
    </w:p>
    <w:p>
      <w:pPr>
        <w:spacing w:after="0" w:line="172" w:lineRule="exact"/>
        <w:rPr>
          <w:sz w:val="20"/>
          <w:szCs w:val="20"/>
          <w:color w:val="auto"/>
        </w:rPr>
      </w:pPr>
    </w:p>
    <w:p>
      <w:pPr>
        <w:jc w:val="both"/>
        <w:ind w:right="460" w:firstLine="356"/>
        <w:spacing w:after="0" w:line="278" w:lineRule="auto"/>
        <w:rPr>
          <w:sz w:val="20"/>
          <w:szCs w:val="20"/>
          <w:color w:val="auto"/>
        </w:rPr>
      </w:pPr>
      <w:r>
        <w:rPr>
          <w:rFonts w:ascii="Arial" w:cs="Arial" w:eastAsia="Arial" w:hAnsi="Arial"/>
          <w:sz w:val="16"/>
          <w:szCs w:val="16"/>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wholly-owned subsidiary GasLog LNG Services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August 5, 2020, our wholly-owned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5"/>
              </w:rPr>
              <w:t>Cargo</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Capacity</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260" w:type="dxa"/>
            <w:vAlign w:val="bottom"/>
          </w:tcPr>
          <w:p>
            <w:pPr>
              <w:ind w:left="320"/>
              <w:spacing w:after="0"/>
              <w:rPr>
                <w:sz w:val="20"/>
                <w:szCs w:val="20"/>
                <w:color w:val="auto"/>
              </w:rPr>
            </w:pPr>
            <w:r>
              <w:rPr>
                <w:rFonts w:ascii="Arial" w:cs="Arial" w:eastAsia="Arial" w:hAnsi="Arial"/>
                <w:sz w:val="16"/>
                <w:szCs w:val="16"/>
                <w:b w:val="1"/>
                <w:bCs w:val="1"/>
                <w:color w:val="auto"/>
              </w:rPr>
              <w:t>Optional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020" w:type="dxa"/>
            <w:vAlign w:val="bottom"/>
            <w:gridSpan w:val="2"/>
          </w:tcPr>
          <w:p>
            <w:pPr>
              <w:ind w:left="860"/>
              <w:spacing w:after="0"/>
              <w:rPr>
                <w:sz w:val="20"/>
                <w:szCs w:val="20"/>
                <w:color w:val="auto"/>
              </w:rPr>
            </w:pPr>
            <w:r>
              <w:rPr>
                <w:rFonts w:ascii="Arial" w:cs="Arial" w:eastAsia="Arial" w:hAnsi="Arial"/>
                <w:sz w:val="16"/>
                <w:szCs w:val="16"/>
                <w:b w:val="1"/>
                <w:bCs w:val="1"/>
                <w:color w:val="auto"/>
              </w:rPr>
              <w:t>Vessel Name</w:t>
            </w:r>
          </w:p>
        </w:tc>
        <w:tc>
          <w:tcPr>
            <w:tcW w:w="720" w:type="dxa"/>
            <w:vAlign w:val="bottom"/>
            <w:gridSpan w:val="2"/>
          </w:tcPr>
          <w:p>
            <w:pPr>
              <w:ind w:left="120"/>
              <w:spacing w:after="0"/>
              <w:rPr>
                <w:sz w:val="20"/>
                <w:szCs w:val="20"/>
                <w:color w:val="auto"/>
              </w:rPr>
            </w:pPr>
            <w:r>
              <w:rPr>
                <w:rFonts w:ascii="Arial" w:cs="Arial" w:eastAsia="Arial" w:hAnsi="Arial"/>
                <w:sz w:val="16"/>
                <w:szCs w:val="16"/>
                <w:b w:val="1"/>
                <w:bCs w:val="1"/>
                <w:color w:val="auto"/>
              </w:rPr>
              <w:t>Built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00" w:type="dxa"/>
            <w:vAlign w:val="bottom"/>
          </w:tcPr>
          <w:p>
            <w:pPr>
              <w:spacing w:after="0"/>
              <w:rPr>
                <w:sz w:val="18"/>
                <w:szCs w:val="18"/>
                <w:color w:val="auto"/>
              </w:rPr>
            </w:pPr>
          </w:p>
        </w:tc>
        <w:tc>
          <w:tcPr>
            <w:tcW w:w="2060" w:type="dxa"/>
            <w:vAlign w:val="bottom"/>
            <w:gridSpan w:val="2"/>
          </w:tcPr>
          <w:p>
            <w:pPr>
              <w:jc w:val="center"/>
              <w:ind w:right="12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26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00" w:type="dxa"/>
            <w:vAlign w:val="bottom"/>
            <w:tcBorders>
              <w:top w:val="single" w:sz="8" w:color="auto"/>
            </w:tcBorders>
            <w:shd w:val="clear" w:color="auto" w:fill="E5FFFF"/>
          </w:tcPr>
          <w:p>
            <w:pPr>
              <w:ind w:left="120"/>
              <w:spacing w:after="0"/>
              <w:rPr>
                <w:sz w:val="20"/>
                <w:szCs w:val="20"/>
                <w:color w:val="auto"/>
              </w:rPr>
            </w:pPr>
            <w:r>
              <w:rPr>
                <w:rFonts w:ascii="Arial" w:cs="Arial" w:eastAsia="Arial" w:hAnsi="Arial"/>
                <w:sz w:val="16"/>
                <w:szCs w:val="16"/>
                <w:i w:val="1"/>
                <w:iCs w:val="1"/>
                <w:color w:val="auto"/>
              </w:rPr>
              <w:t>GasLog Chelsea</w:t>
            </w:r>
          </w:p>
        </w:tc>
        <w:tc>
          <w:tcPr>
            <w:tcW w:w="12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2010</w:t>
            </w:r>
          </w:p>
        </w:tc>
        <w:tc>
          <w:tcPr>
            <w:tcW w:w="14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153,600</w:t>
            </w: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Spot Market</w:t>
            </w:r>
          </w:p>
        </w:tc>
        <w:tc>
          <w:tcPr>
            <w:tcW w:w="1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2</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Saratoga</w:t>
            </w:r>
          </w:p>
        </w:tc>
        <w:tc>
          <w:tcPr>
            <w:tcW w:w="580" w:type="dxa"/>
            <w:vAlign w:val="bottom"/>
          </w:tcPr>
          <w:p>
            <w:pPr>
              <w:ind w:left="14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Salem</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89"/>
              </w:rPr>
              <w:t>Gunvor</w:t>
            </w:r>
            <w:r>
              <w:rPr>
                <w:rFonts w:ascii="Arial" w:cs="Arial" w:eastAsia="Arial" w:hAnsi="Arial"/>
                <w:sz w:val="21"/>
                <w:szCs w:val="21"/>
                <w:color w:val="auto"/>
                <w:w w:val="89"/>
                <w:vertAlign w:val="superscript"/>
              </w:rPr>
              <w:t>(3)</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March 2021</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4</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Savannah</w:t>
            </w:r>
          </w:p>
        </w:tc>
        <w:tc>
          <w:tcPr>
            <w:tcW w:w="580" w:type="dxa"/>
            <w:vAlign w:val="bottom"/>
          </w:tcPr>
          <w:p>
            <w:pPr>
              <w:ind w:left="140"/>
              <w:spacing w:after="0"/>
              <w:rPr>
                <w:sz w:val="20"/>
                <w:szCs w:val="20"/>
                <w:color w:val="auto"/>
              </w:rPr>
            </w:pPr>
            <w:r>
              <w:rPr>
                <w:rFonts w:ascii="Arial" w:cs="Arial" w:eastAsia="Arial" w:hAnsi="Arial"/>
                <w:sz w:val="16"/>
                <w:szCs w:val="16"/>
                <w:color w:val="auto"/>
              </w:rPr>
              <w:t>2010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Skagen</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2013</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6</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Methane Lydon Volney</w:t>
            </w:r>
          </w:p>
        </w:tc>
        <w:tc>
          <w:tcPr>
            <w:tcW w:w="580" w:type="dxa"/>
            <w:vAlign w:val="bottom"/>
          </w:tcPr>
          <w:p>
            <w:pPr>
              <w:ind w:left="140"/>
              <w:spacing w:after="0"/>
              <w:rPr>
                <w:sz w:val="20"/>
                <w:szCs w:val="20"/>
                <w:color w:val="auto"/>
              </w:rPr>
            </w:pPr>
            <w:r>
              <w:rPr>
                <w:rFonts w:ascii="Arial" w:cs="Arial" w:eastAsia="Arial" w:hAnsi="Arial"/>
                <w:sz w:val="16"/>
                <w:szCs w:val="16"/>
                <w:color w:val="auto"/>
              </w:rPr>
              <w:t>2006</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October 2020</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3020" w:type="dxa"/>
            <w:vAlign w:val="bottom"/>
            <w:gridSpan w:val="2"/>
            <w:vMerge w:val="restart"/>
            <w:shd w:val="clear" w:color="auto" w:fill="E5FFFF"/>
          </w:tcPr>
          <w:p>
            <w:pPr>
              <w:ind w:left="120"/>
              <w:spacing w:after="0"/>
              <w:rPr>
                <w:sz w:val="20"/>
                <w:szCs w:val="20"/>
                <w:color w:val="auto"/>
              </w:rPr>
            </w:pPr>
            <w:r>
              <w:rPr>
                <w:rFonts w:ascii="Arial" w:cs="Arial" w:eastAsia="Arial" w:hAnsi="Arial"/>
                <w:sz w:val="16"/>
                <w:szCs w:val="16"/>
                <w:i w:val="1"/>
                <w:iCs w:val="1"/>
                <w:color w:val="auto"/>
              </w:rPr>
              <w:t>GasLog Warsaw</w:t>
            </w:r>
          </w:p>
        </w:tc>
        <w:tc>
          <w:tcPr>
            <w:tcW w:w="580" w:type="dxa"/>
            <w:vAlign w:val="bottom"/>
            <w:vMerge w:val="restart"/>
            <w:shd w:val="clear" w:color="auto" w:fill="E5FFFF"/>
          </w:tcPr>
          <w:p>
            <w:pPr>
              <w:ind w:left="14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E5FFFF"/>
          </w:tcPr>
          <w:p>
            <w:pPr>
              <w:spacing w:after="0"/>
              <w:rPr>
                <w:sz w:val="16"/>
                <w:szCs w:val="16"/>
                <w:color w:val="auto"/>
              </w:rPr>
            </w:pPr>
          </w:p>
        </w:tc>
        <w:tc>
          <w:tcPr>
            <w:tcW w:w="96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6"/>
                <w:szCs w:val="16"/>
                <w:color w:val="auto"/>
              </w:rPr>
            </w:pPr>
          </w:p>
        </w:tc>
        <w:tc>
          <w:tcPr>
            <w:tcW w:w="1580" w:type="dxa"/>
            <w:vAlign w:val="bottom"/>
            <w:gridSpan w:val="2"/>
            <w:shd w:val="clear" w:color="auto" w:fill="E5FFFF"/>
          </w:tcPr>
          <w:p>
            <w:pPr>
              <w:jc w:val="center"/>
              <w:ind w:right="120"/>
              <w:spacing w:after="0" w:line="193" w:lineRule="exact"/>
              <w:rPr>
                <w:sz w:val="20"/>
                <w:szCs w:val="20"/>
                <w:color w:val="auto"/>
              </w:rPr>
            </w:pPr>
            <w:r>
              <w:rPr>
                <w:rFonts w:ascii="Arial" w:cs="Arial" w:eastAsia="Arial" w:hAnsi="Arial"/>
                <w:sz w:val="16"/>
                <w:szCs w:val="16"/>
                <w:color w:val="auto"/>
                <w:w w:val="85"/>
              </w:rPr>
              <w:t>Cheniere</w:t>
            </w:r>
            <w:r>
              <w:rPr>
                <w:rFonts w:ascii="Arial" w:cs="Arial" w:eastAsia="Arial" w:hAnsi="Arial"/>
                <w:sz w:val="21"/>
                <w:szCs w:val="21"/>
                <w:color w:val="auto"/>
                <w:w w:val="85"/>
                <w:vertAlign w:val="superscript"/>
              </w:rPr>
              <w:t>(4)</w:t>
            </w:r>
          </w:p>
        </w:tc>
        <w:tc>
          <w:tcPr>
            <w:tcW w:w="112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6"/>
                <w:szCs w:val="16"/>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2021</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00" w:type="dxa"/>
            <w:vAlign w:val="bottom"/>
            <w:vMerge w:val="continue"/>
            <w:shd w:val="clear" w:color="auto" w:fill="E5FFFF"/>
          </w:tcPr>
          <w:p>
            <w:pPr>
              <w:spacing w:after="0"/>
              <w:rPr>
                <w:sz w:val="8"/>
                <w:szCs w:val="8"/>
                <w:color w:val="auto"/>
              </w:rPr>
            </w:pPr>
          </w:p>
        </w:tc>
        <w:tc>
          <w:tcPr>
            <w:tcW w:w="3020" w:type="dxa"/>
            <w:vAlign w:val="bottom"/>
            <w:gridSpan w:val="2"/>
            <w:vMerge w:val="continue"/>
            <w:shd w:val="clear" w:color="auto" w:fill="E5FFFF"/>
          </w:tcPr>
          <w:p>
            <w:pPr>
              <w:spacing w:after="0"/>
              <w:rPr>
                <w:sz w:val="8"/>
                <w:szCs w:val="8"/>
                <w:color w:val="auto"/>
              </w:rPr>
            </w:pPr>
          </w:p>
        </w:tc>
        <w:tc>
          <w:tcPr>
            <w:tcW w:w="580" w:type="dxa"/>
            <w:vAlign w:val="bottom"/>
            <w:vMerge w:val="continue"/>
            <w:shd w:val="clear" w:color="auto" w:fill="E5FFFF"/>
          </w:tcPr>
          <w:p>
            <w:pPr>
              <w:spacing w:after="0"/>
              <w:rPr>
                <w:sz w:val="8"/>
                <w:szCs w:val="8"/>
                <w:color w:val="auto"/>
              </w:rPr>
            </w:pPr>
          </w:p>
        </w:tc>
        <w:tc>
          <w:tcPr>
            <w:tcW w:w="140" w:type="dxa"/>
            <w:vAlign w:val="bottom"/>
            <w:shd w:val="clear" w:color="auto" w:fill="E5FFFF"/>
          </w:tcPr>
          <w:p>
            <w:pPr>
              <w:spacing w:after="0"/>
              <w:rPr>
                <w:sz w:val="8"/>
                <w:szCs w:val="8"/>
                <w:color w:val="auto"/>
              </w:rPr>
            </w:pPr>
          </w:p>
        </w:tc>
        <w:tc>
          <w:tcPr>
            <w:tcW w:w="960" w:type="dxa"/>
            <w:vAlign w:val="bottom"/>
            <w:vMerge w:val="continue"/>
            <w:shd w:val="clear" w:color="auto" w:fill="E5FFFF"/>
          </w:tcPr>
          <w:p>
            <w:pPr>
              <w:spacing w:after="0"/>
              <w:rPr>
                <w:sz w:val="8"/>
                <w:szCs w:val="8"/>
                <w:color w:val="auto"/>
              </w:rPr>
            </w:pPr>
          </w:p>
        </w:tc>
        <w:tc>
          <w:tcPr>
            <w:tcW w:w="120" w:type="dxa"/>
            <w:vAlign w:val="bottom"/>
            <w:shd w:val="clear" w:color="auto" w:fill="E5FFFF"/>
          </w:tcPr>
          <w:p>
            <w:pPr>
              <w:spacing w:after="0"/>
              <w:rPr>
                <w:sz w:val="8"/>
                <w:szCs w:val="8"/>
                <w:color w:val="auto"/>
              </w:rPr>
            </w:pPr>
          </w:p>
        </w:tc>
        <w:tc>
          <w:tcPr>
            <w:tcW w:w="1580" w:type="dxa"/>
            <w:vAlign w:val="bottom"/>
            <w:gridSpan w:val="2"/>
            <w:vMerge w:val="restart"/>
            <w:shd w:val="clear" w:color="auto" w:fill="E5FFFF"/>
          </w:tcPr>
          <w:p>
            <w:pPr>
              <w:jc w:val="center"/>
              <w:ind w:right="100"/>
              <w:spacing w:after="0" w:line="213" w:lineRule="exact"/>
              <w:rPr>
                <w:sz w:val="20"/>
                <w:szCs w:val="20"/>
                <w:color w:val="auto"/>
              </w:rPr>
            </w:pPr>
            <w:r>
              <w:rPr>
                <w:rFonts w:ascii="Arial" w:cs="Arial" w:eastAsia="Arial" w:hAnsi="Arial"/>
                <w:sz w:val="16"/>
                <w:szCs w:val="16"/>
                <w:color w:val="auto"/>
                <w:w w:val="84"/>
              </w:rPr>
              <w:t>Endesa</w:t>
            </w:r>
            <w:r>
              <w:rPr>
                <w:rFonts w:ascii="Arial" w:cs="Arial" w:eastAsia="Arial" w:hAnsi="Arial"/>
                <w:sz w:val="21"/>
                <w:szCs w:val="21"/>
                <w:color w:val="auto"/>
                <w:w w:val="84"/>
                <w:vertAlign w:val="superscript"/>
              </w:rPr>
              <w:t>(5)</w:t>
            </w:r>
          </w:p>
        </w:tc>
        <w:tc>
          <w:tcPr>
            <w:tcW w:w="1120" w:type="dxa"/>
            <w:vAlign w:val="bottom"/>
            <w:vMerge w:val="continue"/>
            <w:shd w:val="clear" w:color="auto" w:fill="E5FFFF"/>
          </w:tcPr>
          <w:p>
            <w:pPr>
              <w:spacing w:after="0"/>
              <w:rPr>
                <w:sz w:val="8"/>
                <w:szCs w:val="8"/>
                <w:color w:val="auto"/>
              </w:rPr>
            </w:pPr>
          </w:p>
        </w:tc>
        <w:tc>
          <w:tcPr>
            <w:tcW w:w="100" w:type="dxa"/>
            <w:vAlign w:val="bottom"/>
            <w:shd w:val="clear" w:color="auto" w:fill="E5FFFF"/>
          </w:tcPr>
          <w:p>
            <w:pPr>
              <w:spacing w:after="0"/>
              <w:rPr>
                <w:sz w:val="8"/>
                <w:szCs w:val="8"/>
                <w:color w:val="auto"/>
              </w:rPr>
            </w:pPr>
          </w:p>
        </w:tc>
        <w:tc>
          <w:tcPr>
            <w:tcW w:w="2060" w:type="dxa"/>
            <w:vAlign w:val="bottom"/>
            <w:gridSpan w:val="2"/>
            <w:vMerge w:val="restart"/>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2029</w:t>
            </w:r>
          </w:p>
        </w:tc>
        <w:tc>
          <w:tcPr>
            <w:tcW w:w="126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w w:val="91"/>
              </w:rPr>
              <w:t>2035-2041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5FFFF"/>
          </w:tcPr>
          <w:p>
            <w:pPr>
              <w:spacing w:after="0"/>
              <w:rPr>
                <w:sz w:val="9"/>
                <w:szCs w:val="9"/>
                <w:color w:val="auto"/>
              </w:rPr>
            </w:pPr>
          </w:p>
        </w:tc>
        <w:tc>
          <w:tcPr>
            <w:tcW w:w="290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580" w:type="dxa"/>
            <w:vAlign w:val="bottom"/>
            <w:shd w:val="clear" w:color="auto" w:fill="E5FFFF"/>
          </w:tcPr>
          <w:p>
            <w:pPr>
              <w:spacing w:after="0"/>
              <w:rPr>
                <w:sz w:val="9"/>
                <w:szCs w:val="9"/>
                <w:color w:val="auto"/>
              </w:rPr>
            </w:pPr>
          </w:p>
        </w:tc>
        <w:tc>
          <w:tcPr>
            <w:tcW w:w="140" w:type="dxa"/>
            <w:vAlign w:val="bottom"/>
            <w:shd w:val="clear" w:color="auto" w:fill="E5FFFF"/>
          </w:tcPr>
          <w:p>
            <w:pPr>
              <w:spacing w:after="0"/>
              <w:rPr>
                <w:sz w:val="9"/>
                <w:szCs w:val="9"/>
                <w:color w:val="auto"/>
              </w:rPr>
            </w:pPr>
          </w:p>
        </w:tc>
        <w:tc>
          <w:tcPr>
            <w:tcW w:w="960" w:type="dxa"/>
            <w:vAlign w:val="bottom"/>
            <w:shd w:val="clear" w:color="auto" w:fill="E5FFFF"/>
          </w:tcPr>
          <w:p>
            <w:pPr>
              <w:spacing w:after="0"/>
              <w:rPr>
                <w:sz w:val="9"/>
                <w:szCs w:val="9"/>
                <w:color w:val="auto"/>
              </w:rPr>
            </w:pPr>
          </w:p>
        </w:tc>
        <w:tc>
          <w:tcPr>
            <w:tcW w:w="120" w:type="dxa"/>
            <w:vAlign w:val="bottom"/>
            <w:shd w:val="clear" w:color="auto" w:fill="E5FFFF"/>
          </w:tcPr>
          <w:p>
            <w:pPr>
              <w:spacing w:after="0"/>
              <w:rPr>
                <w:sz w:val="9"/>
                <w:szCs w:val="9"/>
                <w:color w:val="auto"/>
              </w:rPr>
            </w:pPr>
          </w:p>
        </w:tc>
        <w:tc>
          <w:tcPr>
            <w:tcW w:w="1580" w:type="dxa"/>
            <w:vAlign w:val="bottom"/>
            <w:gridSpan w:val="2"/>
            <w:vMerge w:val="continue"/>
            <w:shd w:val="clear" w:color="auto" w:fill="E5FFFF"/>
          </w:tcPr>
          <w:p>
            <w:pPr>
              <w:spacing w:after="0"/>
              <w:rPr>
                <w:sz w:val="9"/>
                <w:szCs w:val="9"/>
                <w:color w:val="auto"/>
              </w:rPr>
            </w:pPr>
          </w:p>
        </w:tc>
        <w:tc>
          <w:tcPr>
            <w:tcW w:w="1120" w:type="dxa"/>
            <w:vAlign w:val="bottom"/>
            <w:shd w:val="clear" w:color="auto" w:fill="E5FFFF"/>
          </w:tcPr>
          <w:p>
            <w:pPr>
              <w:spacing w:after="0"/>
              <w:rPr>
                <w:sz w:val="9"/>
                <w:szCs w:val="9"/>
                <w:color w:val="auto"/>
              </w:rPr>
            </w:pPr>
          </w:p>
        </w:tc>
        <w:tc>
          <w:tcPr>
            <w:tcW w:w="100" w:type="dxa"/>
            <w:vAlign w:val="bottom"/>
            <w:shd w:val="clear" w:color="auto" w:fill="E5FFFF"/>
          </w:tcPr>
          <w:p>
            <w:pPr>
              <w:spacing w:after="0"/>
              <w:rPr>
                <w:sz w:val="9"/>
                <w:szCs w:val="9"/>
                <w:color w:val="auto"/>
              </w:rPr>
            </w:pPr>
          </w:p>
        </w:tc>
        <w:tc>
          <w:tcPr>
            <w:tcW w:w="2060" w:type="dxa"/>
            <w:vAlign w:val="bottom"/>
            <w:gridSpan w:val="2"/>
            <w:vMerge w:val="continue"/>
            <w:shd w:val="clear" w:color="auto" w:fill="E5FFFF"/>
          </w:tcPr>
          <w:p>
            <w:pPr>
              <w:spacing w:after="0"/>
              <w:rPr>
                <w:sz w:val="9"/>
                <w:szCs w:val="9"/>
                <w:color w:val="auto"/>
              </w:rPr>
            </w:pPr>
          </w:p>
        </w:tc>
        <w:tc>
          <w:tcPr>
            <w:tcW w:w="1260" w:type="dxa"/>
            <w:vAlign w:val="bottom"/>
            <w:vMerge w:val="continue"/>
            <w:shd w:val="clear" w:color="auto" w:fill="E5FF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8</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Hong Kong</w:t>
            </w:r>
          </w:p>
        </w:tc>
        <w:tc>
          <w:tcPr>
            <w:tcW w:w="580" w:type="dxa"/>
            <w:vAlign w:val="bottom"/>
          </w:tcPr>
          <w:p>
            <w:pPr>
              <w:ind w:left="1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58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3"/>
              </w:rPr>
              <w:t xml:space="preserve">Total </w:t>
            </w:r>
            <w:r>
              <w:rPr>
                <w:rFonts w:ascii="Arial" w:cs="Arial" w:eastAsia="Arial" w:hAnsi="Arial"/>
                <w:sz w:val="21"/>
                <w:szCs w:val="21"/>
                <w:color w:val="auto"/>
                <w:w w:val="83"/>
                <w:vertAlign w:val="superscript"/>
              </w:rPr>
              <w:t>(6)</w:t>
            </w:r>
          </w:p>
        </w:tc>
        <w:tc>
          <w:tcPr>
            <w:tcW w:w="1120" w:type="dxa"/>
            <w:vAlign w:val="bottom"/>
          </w:tcPr>
          <w:p>
            <w:pPr>
              <w:jc w:val="center"/>
              <w:spacing w:after="0"/>
              <w:rPr>
                <w:sz w:val="20"/>
                <w:szCs w:val="20"/>
                <w:color w:val="auto"/>
              </w:rPr>
            </w:pPr>
            <w:r>
              <w:rPr>
                <w:rFonts w:ascii="Arial" w:cs="Arial" w:eastAsia="Arial" w:hAnsi="Arial"/>
                <w:sz w:val="16"/>
                <w:szCs w:val="16"/>
                <w:color w:val="auto"/>
              </w:rPr>
              <w:t>X-DF</w:t>
            </w:r>
          </w:p>
        </w:tc>
        <w:tc>
          <w:tcPr>
            <w:tcW w:w="10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2025</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Genoa</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March 2027</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2030-2033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Houston</w:t>
            </w:r>
          </w:p>
        </w:tc>
        <w:tc>
          <w:tcPr>
            <w:tcW w:w="580" w:type="dxa"/>
            <w:vAlign w:val="bottom"/>
          </w:tcPr>
          <w:p>
            <w:pPr>
              <w:ind w:left="1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tcPr>
          <w:p>
            <w:pPr>
              <w:jc w:val="center"/>
              <w:spacing w:after="0"/>
              <w:rPr>
                <w:sz w:val="20"/>
                <w:szCs w:val="20"/>
                <w:color w:val="auto"/>
              </w:rPr>
            </w:pPr>
            <w:r>
              <w:rPr>
                <w:rFonts w:ascii="Arial" w:cs="Arial" w:eastAsia="Arial" w:hAnsi="Arial"/>
                <w:sz w:val="16"/>
                <w:szCs w:val="16"/>
                <w:color w:val="auto"/>
              </w:rPr>
              <w:t>X-DF</w:t>
            </w:r>
          </w:p>
        </w:tc>
        <w:tc>
          <w:tcPr>
            <w:tcW w:w="10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2028</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2031-2034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Gladstone</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8"/>
              </w:rPr>
              <w:t>January 2029</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2032-2035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0" w:type="dxa"/>
            <w:vAlign w:val="bottom"/>
            <w:vMerge w:val="restart"/>
          </w:tcPr>
          <w:p>
            <w:pPr>
              <w:spacing w:after="0"/>
              <w:rPr>
                <w:sz w:val="20"/>
                <w:szCs w:val="20"/>
                <w:color w:val="auto"/>
              </w:rPr>
            </w:pPr>
            <w:r>
              <w:rPr>
                <w:rFonts w:ascii="Arial" w:cs="Arial" w:eastAsia="Arial" w:hAnsi="Arial"/>
                <w:sz w:val="16"/>
                <w:szCs w:val="16"/>
                <w:b w:val="1"/>
                <w:bCs w:val="1"/>
                <w:color w:val="auto"/>
              </w:rPr>
              <w:t>12</w:t>
            </w:r>
          </w:p>
        </w:tc>
        <w:tc>
          <w:tcPr>
            <w:tcW w:w="3020" w:type="dxa"/>
            <w:vAlign w:val="bottom"/>
            <w:gridSpan w:val="2"/>
            <w:vMerge w:val="restart"/>
          </w:tcPr>
          <w:p>
            <w:pPr>
              <w:ind w:left="120"/>
              <w:spacing w:after="0"/>
              <w:rPr>
                <w:sz w:val="20"/>
                <w:szCs w:val="20"/>
                <w:color w:val="auto"/>
              </w:rPr>
            </w:pPr>
            <w:r>
              <w:rPr>
                <w:rFonts w:ascii="Arial" w:cs="Arial" w:eastAsia="Arial" w:hAnsi="Arial"/>
                <w:sz w:val="16"/>
                <w:szCs w:val="16"/>
                <w:i w:val="1"/>
                <w:iCs w:val="1"/>
                <w:color w:val="auto"/>
              </w:rPr>
              <w:t>GasLog Singapore</w:t>
            </w:r>
          </w:p>
        </w:tc>
        <w:tc>
          <w:tcPr>
            <w:tcW w:w="580" w:type="dxa"/>
            <w:vAlign w:val="bottom"/>
            <w:vMerge w:val="restart"/>
          </w:tcPr>
          <w:p>
            <w:pPr>
              <w:ind w:left="140"/>
              <w:spacing w:after="0"/>
              <w:rPr>
                <w:sz w:val="20"/>
                <w:szCs w:val="20"/>
                <w:color w:val="auto"/>
              </w:rPr>
            </w:pPr>
            <w:r>
              <w:rPr>
                <w:rFonts w:ascii="Arial" w:cs="Arial" w:eastAsia="Arial" w:hAnsi="Arial"/>
                <w:sz w:val="16"/>
                <w:szCs w:val="16"/>
                <w:color w:val="auto"/>
              </w:rPr>
              <w:t>2010</w:t>
            </w:r>
          </w:p>
        </w:tc>
        <w:tc>
          <w:tcPr>
            <w:tcW w:w="14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Spot Market</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300" w:type="dxa"/>
            <w:vAlign w:val="bottom"/>
            <w:vMerge w:val="continue"/>
          </w:tcPr>
          <w:p>
            <w:pPr>
              <w:spacing w:after="0"/>
              <w:rPr>
                <w:sz w:val="8"/>
                <w:szCs w:val="8"/>
                <w:color w:val="auto"/>
              </w:rPr>
            </w:pPr>
          </w:p>
        </w:tc>
        <w:tc>
          <w:tcPr>
            <w:tcW w:w="30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restart"/>
          </w:tcPr>
          <w:p>
            <w:pPr>
              <w:jc w:val="center"/>
              <w:ind w:right="100"/>
              <w:spacing w:after="0" w:line="213" w:lineRule="exact"/>
              <w:rPr>
                <w:sz w:val="20"/>
                <w:szCs w:val="20"/>
                <w:color w:val="auto"/>
              </w:rPr>
            </w:pPr>
            <w:r>
              <w:rPr>
                <w:rFonts w:ascii="Arial" w:cs="Arial" w:eastAsia="Arial" w:hAnsi="Arial"/>
                <w:sz w:val="16"/>
                <w:szCs w:val="16"/>
                <w:color w:val="auto"/>
                <w:w w:val="92"/>
              </w:rPr>
              <w:t xml:space="preserve">Sinolam LNG </w:t>
            </w:r>
            <w:r>
              <w:rPr>
                <w:rFonts w:ascii="Arial" w:cs="Arial" w:eastAsia="Arial" w:hAnsi="Arial"/>
                <w:sz w:val="21"/>
                <w:szCs w:val="21"/>
                <w:color w:val="auto"/>
                <w:w w:val="92"/>
                <w:vertAlign w:val="superscript"/>
              </w:rPr>
              <w:t>(7)</w:t>
            </w: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7"/>
              </w:rPr>
              <w:t>April 2031</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Windsor</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0"/>
              </w:rPr>
              <w:t>Centrica</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7"/>
              </w:rPr>
              <w:t>April 2027</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2029-2033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14</w:t>
            </w:r>
          </w:p>
        </w:tc>
        <w:tc>
          <w:tcPr>
            <w:tcW w:w="3020" w:type="dxa"/>
            <w:vAlign w:val="bottom"/>
            <w:gridSpan w:val="2"/>
          </w:tcPr>
          <w:p>
            <w:pPr>
              <w:ind w:left="120"/>
              <w:spacing w:after="0"/>
              <w:rPr>
                <w:sz w:val="20"/>
                <w:szCs w:val="20"/>
                <w:color w:val="auto"/>
              </w:rPr>
            </w:pPr>
            <w:r>
              <w:rPr>
                <w:rFonts w:ascii="Arial" w:cs="Arial" w:eastAsia="Arial" w:hAnsi="Arial"/>
                <w:sz w:val="16"/>
                <w:szCs w:val="16"/>
                <w:i w:val="1"/>
                <w:iCs w:val="1"/>
                <w:color w:val="auto"/>
              </w:rPr>
              <w:t>GasLog Wales</w:t>
            </w:r>
          </w:p>
        </w:tc>
        <w:tc>
          <w:tcPr>
            <w:tcW w:w="580" w:type="dxa"/>
            <w:vAlign w:val="bottom"/>
          </w:tcPr>
          <w:p>
            <w:pPr>
              <w:ind w:left="14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JERA</w:t>
            </w:r>
          </w:p>
        </w:tc>
        <w:tc>
          <w:tcPr>
            <w:tcW w:w="1120" w:type="dxa"/>
            <w:vAlign w:val="bottom"/>
          </w:tcPr>
          <w:p>
            <w:pPr>
              <w:jc w:val="center"/>
              <w:spacing w:after="0"/>
              <w:rPr>
                <w:sz w:val="20"/>
                <w:szCs w:val="20"/>
                <w:color w:val="auto"/>
              </w:rPr>
            </w:pPr>
            <w:r>
              <w:rPr>
                <w:rFonts w:ascii="Arial" w:cs="Arial" w:eastAsia="Arial" w:hAnsi="Arial"/>
                <w:sz w:val="16"/>
                <w:szCs w:val="16"/>
                <w:color w:val="auto"/>
              </w:rPr>
              <w:t>X-DF</w:t>
            </w:r>
          </w:p>
        </w:tc>
        <w:tc>
          <w:tcPr>
            <w:tcW w:w="10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2032</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2034-2036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15</w:t>
            </w:r>
          </w:p>
        </w:tc>
        <w:tc>
          <w:tcPr>
            <w:tcW w:w="3020" w:type="dxa"/>
            <w:vAlign w:val="bottom"/>
            <w:gridSpan w:val="2"/>
            <w:shd w:val="clear" w:color="auto" w:fill="E5FFFF"/>
          </w:tcPr>
          <w:p>
            <w:pPr>
              <w:ind w:left="120"/>
              <w:spacing w:after="0"/>
              <w:rPr>
                <w:sz w:val="20"/>
                <w:szCs w:val="20"/>
                <w:color w:val="auto"/>
              </w:rPr>
            </w:pPr>
            <w:r>
              <w:rPr>
                <w:rFonts w:ascii="Arial" w:cs="Arial" w:eastAsia="Arial" w:hAnsi="Arial"/>
                <w:sz w:val="16"/>
                <w:szCs w:val="16"/>
                <w:i w:val="1"/>
                <w:iCs w:val="1"/>
                <w:color w:val="auto"/>
              </w:rPr>
              <w:t>GasLog Westminster</w:t>
            </w:r>
          </w:p>
        </w:tc>
        <w:tc>
          <w:tcPr>
            <w:tcW w:w="580" w:type="dxa"/>
            <w:vAlign w:val="bottom"/>
            <w:shd w:val="clear" w:color="auto" w:fill="E5FFFF"/>
          </w:tcPr>
          <w:p>
            <w:pPr>
              <w:ind w:left="14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0"/>
              </w:rPr>
              <w:t>Centrica</w:t>
            </w:r>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7"/>
                <w:szCs w:val="17"/>
                <w:color w:val="auto"/>
              </w:rPr>
            </w:pPr>
          </w:p>
        </w:tc>
        <w:tc>
          <w:tcPr>
            <w:tcW w:w="20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0"/>
              </w:rPr>
              <w:t>July 2027</w:t>
            </w:r>
          </w:p>
        </w:tc>
        <w:tc>
          <w:tcPr>
            <w:tcW w:w="12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2029-2033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gridSpan w:val="2"/>
          </w:tcPr>
          <w:p>
            <w:pPr>
              <w:jc w:val="right"/>
              <w:ind w:right="81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376" w:gutter="0" w:footer="0" w:header="0"/>
        </w:sectPr>
      </w:pPr>
    </w:p>
    <w:bookmarkStart w:id="228" w:name="page229"/>
    <w:bookmarkEnd w:id="228"/>
    <w:p>
      <w:pPr>
        <w:ind w:left="360"/>
        <w:spacing w:after="0"/>
        <w:rPr>
          <w:sz w:val="20"/>
          <w:szCs w:val="20"/>
          <w:color w:val="auto"/>
        </w:rPr>
      </w:pPr>
      <w:r>
        <w:rPr>
          <w:rFonts w:ascii="Arial" w:cs="Arial" w:eastAsia="Arial" w:hAnsi="Arial"/>
          <w:sz w:val="16"/>
          <w:szCs w:val="16"/>
          <w:color w:val="auto"/>
        </w:rPr>
        <w:t>As of August 5, 2020, the Partnership’s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2"/>
              </w:rPr>
              <w:t>Year</w:t>
            </w:r>
          </w:p>
        </w:tc>
        <w:tc>
          <w:tcPr>
            <w:tcW w:w="9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Charter</w:t>
            </w: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Optional</w:t>
            </w:r>
          </w:p>
        </w:tc>
      </w:tr>
      <w:tr>
        <w:trPr>
          <w:trHeight w:val="216"/>
        </w:trPr>
        <w:tc>
          <w:tcPr>
            <w:tcW w:w="300" w:type="dxa"/>
            <w:vAlign w:val="bottom"/>
          </w:tcPr>
          <w:p>
            <w:pPr>
              <w:spacing w:after="0"/>
              <w:rPr>
                <w:sz w:val="18"/>
                <w:szCs w:val="18"/>
                <w:color w:val="auto"/>
              </w:rPr>
            </w:pPr>
          </w:p>
        </w:tc>
        <w:tc>
          <w:tcPr>
            <w:tcW w:w="2920" w:type="dxa"/>
            <w:vAlign w:val="bottom"/>
            <w:gridSpan w:val="3"/>
          </w:tcPr>
          <w:p>
            <w:pPr>
              <w:ind w:left="760"/>
              <w:spacing w:after="0"/>
              <w:rPr>
                <w:sz w:val="20"/>
                <w:szCs w:val="20"/>
                <w:color w:val="auto"/>
              </w:rPr>
            </w:pPr>
            <w:r>
              <w:rPr>
                <w:rFonts w:ascii="Arial" w:cs="Arial" w:eastAsia="Arial" w:hAnsi="Arial"/>
                <w:sz w:val="16"/>
                <w:szCs w:val="16"/>
                <w:b w:val="1"/>
                <w:bCs w:val="1"/>
                <w:color w:val="auto"/>
              </w:rPr>
              <w:t>Vessel Name</w:t>
            </w:r>
          </w:p>
        </w:tc>
        <w:tc>
          <w:tcPr>
            <w:tcW w:w="100" w:type="dxa"/>
            <w:vAlign w:val="bottom"/>
          </w:tcPr>
          <w:p>
            <w:pPr>
              <w:spacing w:after="0"/>
              <w:rPr>
                <w:sz w:val="18"/>
                <w:szCs w:val="18"/>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5"/>
              </w:rPr>
              <w:t>Built</w:t>
            </w:r>
          </w:p>
        </w:tc>
        <w:tc>
          <w:tcPr>
            <w:tcW w:w="9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5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Propulsion</w:t>
            </w:r>
          </w:p>
        </w:tc>
        <w:tc>
          <w:tcPr>
            <w:tcW w:w="2160" w:type="dxa"/>
            <w:vAlign w:val="bottom"/>
            <w:gridSpan w:val="3"/>
          </w:tcPr>
          <w:p>
            <w:pPr>
              <w:jc w:val="center"/>
              <w:ind w:right="12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(1)</w:t>
            </w:r>
          </w:p>
        </w:tc>
        <w:tc>
          <w:tcPr>
            <w:tcW w:w="1160" w:type="dxa"/>
            <w:vAlign w:val="bottom"/>
          </w:tcPr>
          <w:p>
            <w:pPr>
              <w:ind w:left="2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r>
      <w:tr>
        <w:trPr>
          <w:trHeight w:val="196"/>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660" w:type="dxa"/>
            <w:vAlign w:val="bottom"/>
            <w:tcBorders>
              <w:top w:val="single" w:sz="8" w:color="auto"/>
            </w:tcBorders>
            <w:shd w:val="clear" w:color="auto" w:fill="E5FFFF"/>
          </w:tcPr>
          <w:p>
            <w:pPr>
              <w:ind w:left="120"/>
              <w:spacing w:after="0"/>
              <w:rPr>
                <w:sz w:val="20"/>
                <w:szCs w:val="20"/>
                <w:color w:val="auto"/>
              </w:rPr>
            </w:pPr>
            <w:r>
              <w:rPr>
                <w:rFonts w:ascii="Arial" w:cs="Arial" w:eastAsia="Arial" w:hAnsi="Arial"/>
                <w:sz w:val="16"/>
                <w:szCs w:val="16"/>
                <w:i w:val="1"/>
                <w:iCs w:val="1"/>
                <w:color w:val="auto"/>
              </w:rPr>
              <w:t>Methane Alison Victoria</w:t>
            </w:r>
          </w:p>
        </w:tc>
        <w:tc>
          <w:tcPr>
            <w:tcW w:w="2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auto"/>
            </w:tcBorders>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2007</w:t>
            </w:r>
          </w:p>
        </w:tc>
        <w:tc>
          <w:tcPr>
            <w:tcW w:w="14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color w:val="auto"/>
                <w:w w:val="95"/>
              </w:rPr>
              <w:t>Spot Market</w:t>
            </w:r>
          </w:p>
        </w:tc>
        <w:tc>
          <w:tcPr>
            <w:tcW w:w="6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60" w:type="dxa"/>
            <w:vAlign w:val="bottom"/>
            <w:tcBorders>
              <w:top w:val="single" w:sz="8" w:color="auto"/>
            </w:tcBorders>
            <w:gridSpan w:val="2"/>
            <w:shd w:val="clear" w:color="auto" w:fill="E5FFFF"/>
          </w:tcPr>
          <w:p>
            <w:pPr>
              <w:jc w:val="center"/>
              <w:ind w:right="20"/>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2</w:t>
            </w:r>
          </w:p>
        </w:tc>
        <w:tc>
          <w:tcPr>
            <w:tcW w:w="2920" w:type="dxa"/>
            <w:vAlign w:val="bottom"/>
            <w:gridSpan w:val="3"/>
          </w:tcPr>
          <w:p>
            <w:pPr>
              <w:ind w:left="120"/>
              <w:spacing w:after="0"/>
              <w:rPr>
                <w:sz w:val="20"/>
                <w:szCs w:val="20"/>
                <w:color w:val="auto"/>
              </w:rPr>
            </w:pPr>
            <w:r>
              <w:rPr>
                <w:rFonts w:ascii="Arial" w:cs="Arial" w:eastAsia="Arial" w:hAnsi="Arial"/>
                <w:sz w:val="16"/>
                <w:szCs w:val="16"/>
                <w:i w:val="1"/>
                <w:iCs w:val="1"/>
                <w:color w:val="auto"/>
              </w:rPr>
              <w:t>Methane Rita Andrea</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Spot Market</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86"/>
              </w:rPr>
              <w:t>Steam</w:t>
            </w: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92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Methane Shirley Elisabeth</w:t>
            </w:r>
          </w:p>
        </w:tc>
        <w:tc>
          <w:tcPr>
            <w:tcW w:w="68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2007</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center"/>
              <w:ind w:right="100"/>
              <w:spacing w:after="0" w:line="202" w:lineRule="exact"/>
              <w:rPr>
                <w:sz w:val="20"/>
                <w:szCs w:val="20"/>
                <w:color w:val="auto"/>
              </w:rPr>
            </w:pPr>
            <w:r>
              <w:rPr>
                <w:rFonts w:ascii="Arial" w:cs="Arial" w:eastAsia="Arial" w:hAnsi="Arial"/>
                <w:sz w:val="23"/>
                <w:szCs w:val="23"/>
                <w:color w:val="auto"/>
                <w:vertAlign w:val="subscript"/>
              </w:rPr>
              <w:t>JOVO</w:t>
            </w:r>
            <w:r>
              <w:rPr>
                <w:rFonts w:ascii="Arial" w:cs="Arial" w:eastAsia="Arial" w:hAnsi="Arial"/>
                <w:sz w:val="9"/>
                <w:szCs w:val="9"/>
                <w:color w:val="auto"/>
              </w:rPr>
              <w:t>(10)</w:t>
            </w:r>
          </w:p>
        </w:tc>
        <w:tc>
          <w:tcPr>
            <w:tcW w:w="1180" w:type="dxa"/>
            <w:vAlign w:val="bottom"/>
            <w:gridSpan w:val="3"/>
            <w:shd w:val="clear" w:color="auto" w:fill="E5FFFF"/>
          </w:tcPr>
          <w:p>
            <w:pPr>
              <w:jc w:val="center"/>
              <w:ind w:right="140"/>
              <w:spacing w:after="0"/>
              <w:rPr>
                <w:sz w:val="20"/>
                <w:szCs w:val="20"/>
                <w:color w:val="auto"/>
              </w:rPr>
            </w:pPr>
            <w:r>
              <w:rPr>
                <w:rFonts w:ascii="Arial" w:cs="Arial" w:eastAsia="Arial" w:hAnsi="Arial"/>
                <w:sz w:val="16"/>
                <w:szCs w:val="16"/>
                <w:color w:val="auto"/>
                <w:w w:val="86"/>
              </w:rPr>
              <w:t>Steam</w:t>
            </w:r>
          </w:p>
        </w:tc>
        <w:tc>
          <w:tcPr>
            <w:tcW w:w="2160" w:type="dxa"/>
            <w:vAlign w:val="bottom"/>
            <w:gridSpan w:val="3"/>
            <w:shd w:val="clear" w:color="auto" w:fill="E5FFFF"/>
          </w:tcPr>
          <w:p>
            <w:pPr>
              <w:jc w:val="center"/>
              <w:ind w:right="120"/>
              <w:spacing w:after="0"/>
              <w:rPr>
                <w:sz w:val="20"/>
                <w:szCs w:val="20"/>
                <w:color w:val="auto"/>
              </w:rPr>
            </w:pPr>
            <w:r>
              <w:rPr>
                <w:rFonts w:ascii="Arial" w:cs="Arial" w:eastAsia="Arial" w:hAnsi="Arial"/>
                <w:sz w:val="16"/>
                <w:szCs w:val="16"/>
                <w:color w:val="auto"/>
                <w:w w:val="93"/>
              </w:rPr>
              <w:t>August 2022</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4</w:t>
            </w:r>
          </w:p>
        </w:tc>
        <w:tc>
          <w:tcPr>
            <w:tcW w:w="2920" w:type="dxa"/>
            <w:vAlign w:val="bottom"/>
            <w:gridSpan w:val="3"/>
          </w:tcPr>
          <w:p>
            <w:pPr>
              <w:ind w:left="120"/>
              <w:spacing w:after="0"/>
              <w:rPr>
                <w:sz w:val="20"/>
                <w:szCs w:val="20"/>
                <w:color w:val="auto"/>
              </w:rPr>
            </w:pPr>
            <w:r>
              <w:rPr>
                <w:rFonts w:ascii="Arial" w:cs="Arial" w:eastAsia="Arial" w:hAnsi="Arial"/>
                <w:sz w:val="16"/>
                <w:szCs w:val="16"/>
                <w:i w:val="1"/>
                <w:iCs w:val="1"/>
                <w:color w:val="auto"/>
              </w:rPr>
              <w:t>GasLog Sydney</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Spot Market</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92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Methane Jane Elizabeth</w:t>
            </w:r>
          </w:p>
        </w:tc>
        <w:tc>
          <w:tcPr>
            <w:tcW w:w="68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2006</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91"/>
              </w:rPr>
              <w:t>Trafigura</w:t>
            </w:r>
            <w:r>
              <w:rPr>
                <w:rFonts w:ascii="Arial" w:cs="Arial" w:eastAsia="Arial" w:hAnsi="Arial"/>
                <w:sz w:val="21"/>
                <w:szCs w:val="21"/>
                <w:color w:val="auto"/>
                <w:w w:val="91"/>
                <w:vertAlign w:val="superscript"/>
              </w:rPr>
              <w:t>(8)</w:t>
            </w:r>
          </w:p>
        </w:tc>
        <w:tc>
          <w:tcPr>
            <w:tcW w:w="1180" w:type="dxa"/>
            <w:vAlign w:val="bottom"/>
            <w:gridSpan w:val="3"/>
            <w:shd w:val="clear" w:color="auto" w:fill="E5FFFF"/>
          </w:tcPr>
          <w:p>
            <w:pPr>
              <w:jc w:val="center"/>
              <w:ind w:right="140"/>
              <w:spacing w:after="0"/>
              <w:rPr>
                <w:sz w:val="20"/>
                <w:szCs w:val="20"/>
                <w:color w:val="auto"/>
              </w:rPr>
            </w:pPr>
            <w:r>
              <w:rPr>
                <w:rFonts w:ascii="Arial" w:cs="Arial" w:eastAsia="Arial" w:hAnsi="Arial"/>
                <w:sz w:val="16"/>
                <w:szCs w:val="16"/>
                <w:color w:val="auto"/>
                <w:w w:val="86"/>
              </w:rPr>
              <w:t>Steam</w:t>
            </w:r>
          </w:p>
        </w:tc>
        <w:tc>
          <w:tcPr>
            <w:tcW w:w="2160" w:type="dxa"/>
            <w:vAlign w:val="bottom"/>
            <w:gridSpan w:val="3"/>
            <w:shd w:val="clear" w:color="auto" w:fill="E5FFFF"/>
          </w:tcPr>
          <w:p>
            <w:pPr>
              <w:jc w:val="center"/>
              <w:ind w:right="120"/>
              <w:spacing w:after="0"/>
              <w:rPr>
                <w:sz w:val="20"/>
                <w:szCs w:val="20"/>
                <w:color w:val="auto"/>
              </w:rPr>
            </w:pPr>
            <w:r>
              <w:rPr>
                <w:rFonts w:ascii="Arial" w:cs="Arial" w:eastAsia="Arial" w:hAnsi="Arial"/>
                <w:sz w:val="16"/>
                <w:szCs w:val="16"/>
                <w:color w:val="auto"/>
                <w:w w:val="91"/>
              </w:rPr>
              <w:t>November 2020</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6</w:t>
            </w:r>
          </w:p>
        </w:tc>
        <w:tc>
          <w:tcPr>
            <w:tcW w:w="2920" w:type="dxa"/>
            <w:vAlign w:val="bottom"/>
            <w:gridSpan w:val="3"/>
          </w:tcPr>
          <w:p>
            <w:pPr>
              <w:ind w:left="120"/>
              <w:spacing w:after="0"/>
              <w:rPr>
                <w:sz w:val="20"/>
                <w:szCs w:val="20"/>
                <w:color w:val="auto"/>
              </w:rPr>
            </w:pPr>
            <w:r>
              <w:rPr>
                <w:rFonts w:ascii="Arial" w:cs="Arial" w:eastAsia="Arial" w:hAnsi="Arial"/>
                <w:sz w:val="16"/>
                <w:szCs w:val="16"/>
                <w:i w:val="1"/>
                <w:iCs w:val="1"/>
                <w:color w:val="auto"/>
              </w:rPr>
              <w:t>Methane Heather Sally</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2007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86"/>
              </w:rPr>
              <w:t>Steam</w:t>
            </w: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December 2020</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92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Seattle</w:t>
            </w:r>
          </w:p>
        </w:tc>
        <w:tc>
          <w:tcPr>
            <w:tcW w:w="68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2013</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shd w:val="clear" w:color="auto" w:fill="E5FFFF"/>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2021</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8</w:t>
            </w:r>
          </w:p>
        </w:tc>
        <w:tc>
          <w:tcPr>
            <w:tcW w:w="2920" w:type="dxa"/>
            <w:vAlign w:val="bottom"/>
            <w:gridSpan w:val="3"/>
          </w:tcPr>
          <w:p>
            <w:pPr>
              <w:ind w:left="120"/>
              <w:spacing w:after="0"/>
              <w:rPr>
                <w:sz w:val="20"/>
                <w:szCs w:val="20"/>
                <w:color w:val="auto"/>
              </w:rPr>
            </w:pPr>
            <w:r>
              <w:rPr>
                <w:rFonts w:ascii="Arial" w:cs="Arial" w:eastAsia="Arial" w:hAnsi="Arial"/>
                <w:sz w:val="16"/>
                <w:szCs w:val="16"/>
                <w:i w:val="1"/>
                <w:iCs w:val="1"/>
                <w:color w:val="auto"/>
              </w:rPr>
              <w:t>Solaris</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tcPr>
          <w:p>
            <w:pPr>
              <w:jc w:val="center"/>
              <w:ind w:right="100"/>
              <w:spacing w:after="0"/>
              <w:rPr>
                <w:sz w:val="20"/>
                <w:szCs w:val="20"/>
                <w:color w:val="auto"/>
              </w:rPr>
            </w:pPr>
            <w:r>
              <w:rPr>
                <w:rFonts w:ascii="Arial" w:cs="Arial" w:eastAsia="Arial" w:hAnsi="Arial"/>
                <w:sz w:val="16"/>
                <w:szCs w:val="16"/>
                <w:color w:val="auto"/>
                <w:w w:val="88"/>
              </w:rPr>
              <w:t>June 2021</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92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Santiago</w:t>
            </w:r>
          </w:p>
        </w:tc>
        <w:tc>
          <w:tcPr>
            <w:tcW w:w="68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2013</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center"/>
              <w:ind w:right="100"/>
              <w:spacing w:after="0"/>
              <w:rPr>
                <w:sz w:val="20"/>
                <w:szCs w:val="20"/>
                <w:color w:val="auto"/>
              </w:rPr>
            </w:pPr>
            <w:r>
              <w:rPr>
                <w:rFonts w:ascii="Arial" w:cs="Arial" w:eastAsia="Arial" w:hAnsi="Arial"/>
                <w:sz w:val="16"/>
                <w:szCs w:val="16"/>
                <w:color w:val="auto"/>
                <w:w w:val="96"/>
              </w:rPr>
              <w:t>Trafigura</w:t>
            </w:r>
          </w:p>
        </w:tc>
        <w:tc>
          <w:tcPr>
            <w:tcW w:w="1180" w:type="dxa"/>
            <w:vAlign w:val="bottom"/>
            <w:gridSpan w:val="3"/>
            <w:shd w:val="clear" w:color="auto" w:fill="E5FFFF"/>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shd w:val="clear" w:color="auto" w:fill="E5FFFF"/>
          </w:tcPr>
          <w:p>
            <w:pPr>
              <w:jc w:val="center"/>
              <w:ind w:right="120"/>
              <w:spacing w:after="0"/>
              <w:rPr>
                <w:sz w:val="20"/>
                <w:szCs w:val="20"/>
                <w:color w:val="auto"/>
              </w:rPr>
            </w:pPr>
            <w:r>
              <w:rPr>
                <w:rFonts w:ascii="Arial" w:cs="Arial" w:eastAsia="Arial" w:hAnsi="Arial"/>
                <w:sz w:val="16"/>
                <w:szCs w:val="16"/>
                <w:color w:val="auto"/>
                <w:w w:val="91"/>
              </w:rPr>
              <w:t>December 2021</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4"/>
              </w:rPr>
              <w:t>2022-2028</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920" w:type="dxa"/>
            <w:vAlign w:val="bottom"/>
            <w:gridSpan w:val="3"/>
          </w:tcPr>
          <w:p>
            <w:pPr>
              <w:ind w:left="120"/>
              <w:spacing w:after="0"/>
              <w:rPr>
                <w:sz w:val="20"/>
                <w:szCs w:val="20"/>
                <w:color w:val="auto"/>
              </w:rPr>
            </w:pPr>
            <w:r>
              <w:rPr>
                <w:rFonts w:ascii="Arial" w:cs="Arial" w:eastAsia="Arial" w:hAnsi="Arial"/>
                <w:sz w:val="16"/>
                <w:szCs w:val="16"/>
                <w:i w:val="1"/>
                <w:iCs w:val="1"/>
                <w:color w:val="auto"/>
              </w:rPr>
              <w:t>GasLog Shanghai</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center"/>
              <w:ind w:right="100"/>
              <w:spacing w:after="0" w:line="203" w:lineRule="exact"/>
              <w:rPr>
                <w:sz w:val="20"/>
                <w:szCs w:val="20"/>
                <w:color w:val="auto"/>
              </w:rPr>
            </w:pPr>
            <w:r>
              <w:rPr>
                <w:rFonts w:ascii="Arial" w:cs="Arial" w:eastAsia="Arial" w:hAnsi="Arial"/>
                <w:sz w:val="16"/>
                <w:szCs w:val="16"/>
                <w:color w:val="auto"/>
                <w:w w:val="89"/>
              </w:rPr>
              <w:t>Gunvor</w:t>
            </w:r>
            <w:r>
              <w:rPr>
                <w:rFonts w:ascii="Arial" w:cs="Arial" w:eastAsia="Arial" w:hAnsi="Arial"/>
                <w:sz w:val="21"/>
                <w:szCs w:val="21"/>
                <w:color w:val="auto"/>
                <w:w w:val="89"/>
                <w:vertAlign w:val="superscript"/>
              </w:rPr>
              <w:t>(3)</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November 2022</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92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Geneva</w:t>
            </w:r>
          </w:p>
        </w:tc>
        <w:tc>
          <w:tcPr>
            <w:tcW w:w="68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2016</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shd w:val="clear" w:color="auto" w:fill="E5FFFF"/>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shd w:val="clear" w:color="auto" w:fill="E5FFFF"/>
          </w:tcPr>
          <w:p>
            <w:pPr>
              <w:jc w:val="center"/>
              <w:ind w:right="100"/>
              <w:spacing w:after="0"/>
              <w:rPr>
                <w:sz w:val="20"/>
                <w:szCs w:val="20"/>
                <w:color w:val="auto"/>
              </w:rPr>
            </w:pPr>
            <w:r>
              <w:rPr>
                <w:rFonts w:ascii="Arial" w:cs="Arial" w:eastAsia="Arial" w:hAnsi="Arial"/>
                <w:sz w:val="16"/>
                <w:szCs w:val="16"/>
                <w:color w:val="auto"/>
                <w:w w:val="89"/>
              </w:rPr>
              <w:t>September 2023</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4"/>
              </w:rPr>
              <w:t>2028-2031</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12</w:t>
            </w:r>
          </w:p>
        </w:tc>
        <w:tc>
          <w:tcPr>
            <w:tcW w:w="2920" w:type="dxa"/>
            <w:vAlign w:val="bottom"/>
            <w:gridSpan w:val="3"/>
          </w:tcPr>
          <w:p>
            <w:pPr>
              <w:ind w:left="120"/>
              <w:spacing w:after="0"/>
              <w:rPr>
                <w:sz w:val="20"/>
                <w:szCs w:val="20"/>
                <w:color w:val="auto"/>
              </w:rPr>
            </w:pPr>
            <w:r>
              <w:rPr>
                <w:rFonts w:ascii="Arial" w:cs="Arial" w:eastAsia="Arial" w:hAnsi="Arial"/>
                <w:sz w:val="16"/>
                <w:szCs w:val="16"/>
                <w:i w:val="1"/>
                <w:iCs w:val="1"/>
                <w:color w:val="auto"/>
              </w:rPr>
              <w:t>GasLog Gibraltar</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October 2023</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2028-2031</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292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Methane Becki Anne</w:t>
            </w:r>
          </w:p>
        </w:tc>
        <w:tc>
          <w:tcPr>
            <w:tcW w:w="68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2010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shd w:val="clear" w:color="auto" w:fill="E5FFFF"/>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2024</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4"/>
              </w:rPr>
              <w:t>2027-2029</w:t>
            </w:r>
          </w:p>
        </w:tc>
      </w:tr>
      <w:tr>
        <w:trPr>
          <w:trHeight w:val="203"/>
        </w:trPr>
        <w:tc>
          <w:tcPr>
            <w:tcW w:w="300" w:type="dxa"/>
            <w:vAlign w:val="bottom"/>
          </w:tcPr>
          <w:p>
            <w:pPr>
              <w:spacing w:after="0"/>
              <w:rPr>
                <w:sz w:val="20"/>
                <w:szCs w:val="20"/>
                <w:color w:val="auto"/>
              </w:rPr>
            </w:pPr>
            <w:r>
              <w:rPr>
                <w:rFonts w:ascii="Arial" w:cs="Arial" w:eastAsia="Arial" w:hAnsi="Arial"/>
                <w:sz w:val="16"/>
                <w:szCs w:val="16"/>
                <w:b w:val="1"/>
                <w:bCs w:val="1"/>
                <w:color w:val="auto"/>
              </w:rPr>
              <w:t>14</w:t>
            </w:r>
          </w:p>
        </w:tc>
        <w:tc>
          <w:tcPr>
            <w:tcW w:w="2920" w:type="dxa"/>
            <w:vAlign w:val="bottom"/>
            <w:gridSpan w:val="3"/>
          </w:tcPr>
          <w:p>
            <w:pPr>
              <w:ind w:left="120"/>
              <w:spacing w:after="0"/>
              <w:rPr>
                <w:sz w:val="20"/>
                <w:szCs w:val="20"/>
                <w:color w:val="auto"/>
              </w:rPr>
            </w:pPr>
            <w:r>
              <w:rPr>
                <w:rFonts w:ascii="Arial" w:cs="Arial" w:eastAsia="Arial" w:hAnsi="Arial"/>
                <w:sz w:val="16"/>
                <w:szCs w:val="16"/>
                <w:i w:val="1"/>
                <w:iCs w:val="1"/>
                <w:color w:val="auto"/>
              </w:rPr>
              <w:t>GasLog Greece</w:t>
            </w:r>
          </w:p>
        </w:tc>
        <w:tc>
          <w:tcPr>
            <w:tcW w:w="68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2016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March 2026</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203"/>
        </w:trPr>
        <w:tc>
          <w:tcPr>
            <w:tcW w:w="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15</w:t>
            </w:r>
          </w:p>
        </w:tc>
        <w:tc>
          <w:tcPr>
            <w:tcW w:w="2920" w:type="dxa"/>
            <w:vAlign w:val="bottom"/>
            <w:gridSpan w:val="3"/>
            <w:shd w:val="clear" w:color="auto" w:fill="E5FFFF"/>
          </w:tcPr>
          <w:p>
            <w:pPr>
              <w:ind w:left="120"/>
              <w:spacing w:after="0"/>
              <w:rPr>
                <w:sz w:val="20"/>
                <w:szCs w:val="20"/>
                <w:color w:val="auto"/>
              </w:rPr>
            </w:pPr>
            <w:r>
              <w:rPr>
                <w:rFonts w:ascii="Arial" w:cs="Arial" w:eastAsia="Arial" w:hAnsi="Arial"/>
                <w:sz w:val="16"/>
                <w:szCs w:val="16"/>
                <w:i w:val="1"/>
                <w:iCs w:val="1"/>
                <w:color w:val="auto"/>
              </w:rPr>
              <w:t>GasLog Glasgow</w:t>
            </w:r>
          </w:p>
        </w:tc>
        <w:tc>
          <w:tcPr>
            <w:tcW w:w="680" w:type="dxa"/>
            <w:vAlign w:val="bottom"/>
            <w:gridSpan w:val="2"/>
            <w:shd w:val="clear" w:color="auto" w:fill="E5FFFF"/>
          </w:tcPr>
          <w:p>
            <w:pPr>
              <w:jc w:val="center"/>
              <w:ind w:left="79"/>
              <w:spacing w:after="0"/>
              <w:rPr>
                <w:sz w:val="20"/>
                <w:szCs w:val="20"/>
                <w:color w:val="auto"/>
              </w:rPr>
            </w:pPr>
            <w:r>
              <w:rPr>
                <w:rFonts w:ascii="Arial" w:cs="Arial" w:eastAsia="Arial" w:hAnsi="Arial"/>
                <w:sz w:val="16"/>
                <w:szCs w:val="16"/>
                <w:color w:val="auto"/>
                <w:w w:val="89"/>
              </w:rPr>
              <w:t>2016</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180" w:type="dxa"/>
            <w:vAlign w:val="bottom"/>
            <w:gridSpan w:val="3"/>
            <w:shd w:val="clear" w:color="auto" w:fill="E5FFFF"/>
          </w:tcPr>
          <w:p>
            <w:pPr>
              <w:jc w:val="center"/>
              <w:ind w:right="140"/>
              <w:spacing w:after="0"/>
              <w:rPr>
                <w:sz w:val="20"/>
                <w:szCs w:val="20"/>
                <w:color w:val="auto"/>
              </w:rPr>
            </w:pPr>
            <w:r>
              <w:rPr>
                <w:rFonts w:ascii="Arial" w:cs="Arial" w:eastAsia="Arial" w:hAnsi="Arial"/>
                <w:sz w:val="16"/>
                <w:szCs w:val="16"/>
                <w:color w:val="auto"/>
                <w:w w:val="95"/>
              </w:rPr>
              <w:t>TFDE</w:t>
            </w:r>
          </w:p>
        </w:tc>
        <w:tc>
          <w:tcPr>
            <w:tcW w:w="2160" w:type="dxa"/>
            <w:vAlign w:val="bottom"/>
            <w:gridSpan w:val="3"/>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2026</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r>
      <w:tr>
        <w:trPr>
          <w:trHeight w:val="413"/>
        </w:trPr>
        <w:tc>
          <w:tcPr>
            <w:tcW w:w="322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1"/>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5"/>
              </w:rPr>
              <w:t>Cargo</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2"/>
              </w:rPr>
              <w:t>Year</w:t>
            </w:r>
          </w:p>
        </w:tc>
        <w:tc>
          <w:tcPr>
            <w:tcW w:w="9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Capacity</w:t>
            </w: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Charter</w:t>
            </w: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Optional</w:t>
            </w:r>
          </w:p>
        </w:tc>
      </w:tr>
      <w:tr>
        <w:trPr>
          <w:trHeight w:val="216"/>
        </w:trPr>
        <w:tc>
          <w:tcPr>
            <w:tcW w:w="300" w:type="dxa"/>
            <w:vAlign w:val="bottom"/>
          </w:tcPr>
          <w:p>
            <w:pPr>
              <w:spacing w:after="0"/>
              <w:rPr>
                <w:sz w:val="18"/>
                <w:szCs w:val="18"/>
                <w:color w:val="auto"/>
              </w:rPr>
            </w:pPr>
          </w:p>
        </w:tc>
        <w:tc>
          <w:tcPr>
            <w:tcW w:w="2920" w:type="dxa"/>
            <w:vAlign w:val="bottom"/>
            <w:gridSpan w:val="3"/>
          </w:tcPr>
          <w:p>
            <w:pPr>
              <w:ind w:left="860"/>
              <w:spacing w:after="0"/>
              <w:rPr>
                <w:sz w:val="20"/>
                <w:szCs w:val="20"/>
                <w:color w:val="auto"/>
              </w:rPr>
            </w:pPr>
            <w:r>
              <w:rPr>
                <w:rFonts w:ascii="Arial" w:cs="Arial" w:eastAsia="Arial" w:hAnsi="Arial"/>
                <w:sz w:val="16"/>
                <w:szCs w:val="16"/>
                <w:b w:val="1"/>
                <w:bCs w:val="1"/>
                <w:color w:val="auto"/>
              </w:rPr>
              <w:t>Vessel Name</w:t>
            </w:r>
          </w:p>
        </w:tc>
        <w:tc>
          <w:tcPr>
            <w:tcW w:w="100" w:type="dxa"/>
            <w:vAlign w:val="bottom"/>
          </w:tcPr>
          <w:p>
            <w:pPr>
              <w:spacing w:after="0"/>
              <w:rPr>
                <w:sz w:val="18"/>
                <w:szCs w:val="18"/>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5"/>
              </w:rPr>
              <w:t>Built</w:t>
            </w:r>
          </w:p>
        </w:tc>
        <w:tc>
          <w:tcPr>
            <w:tcW w:w="9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(cbm)</w:t>
            </w:r>
          </w:p>
        </w:tc>
        <w:tc>
          <w:tcPr>
            <w:tcW w:w="15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7"/>
              </w:rPr>
              <w:t>Charterer</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Propulsion</w:t>
            </w:r>
          </w:p>
        </w:tc>
        <w:tc>
          <w:tcPr>
            <w:tcW w:w="2160" w:type="dxa"/>
            <w:vAlign w:val="bottom"/>
            <w:gridSpan w:val="3"/>
          </w:tcPr>
          <w:p>
            <w:pPr>
              <w:jc w:val="center"/>
              <w:ind w:right="22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160" w:type="dxa"/>
            <w:vAlign w:val="bottom"/>
          </w:tcPr>
          <w:p>
            <w:pPr>
              <w:jc w:val="center"/>
              <w:ind w:right="19"/>
              <w:spacing w:after="0" w:line="217" w:lineRule="exact"/>
              <w:rPr>
                <w:sz w:val="20"/>
                <w:szCs w:val="20"/>
                <w:color w:val="auto"/>
              </w:rPr>
            </w:pPr>
            <w:r>
              <w:rPr>
                <w:rFonts w:ascii="Arial" w:cs="Arial" w:eastAsia="Arial" w:hAnsi="Arial"/>
                <w:sz w:val="16"/>
                <w:szCs w:val="16"/>
                <w:b w:val="1"/>
                <w:bCs w:val="1"/>
                <w:color w:val="auto"/>
                <w:w w:val="86"/>
              </w:rPr>
              <w:t>Period</w:t>
            </w:r>
            <w:r>
              <w:rPr>
                <w:rFonts w:ascii="Arial" w:cs="Arial" w:eastAsia="Arial" w:hAnsi="Arial"/>
                <w:sz w:val="21"/>
                <w:szCs w:val="21"/>
                <w:b w:val="1"/>
                <w:bCs w:val="1"/>
                <w:color w:val="auto"/>
                <w:w w:val="86"/>
                <w:vertAlign w:val="superscript"/>
              </w:rPr>
              <w:t>(2)</w:t>
            </w:r>
          </w:p>
        </w:tc>
      </w:tr>
      <w:tr>
        <w:trPr>
          <w:trHeight w:val="196"/>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00" w:type="dxa"/>
            <w:vAlign w:val="bottom"/>
            <w:tcBorders>
              <w:top w:val="single" w:sz="8" w:color="auto"/>
            </w:tcBorders>
            <w:gridSpan w:val="2"/>
            <w:shd w:val="clear" w:color="auto" w:fill="E5FFFF"/>
          </w:tcPr>
          <w:p>
            <w:pPr>
              <w:ind w:left="120"/>
              <w:spacing w:after="0" w:line="196"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1"/>
                <w:szCs w:val="21"/>
                <w:color w:val="auto"/>
                <w:vertAlign w:val="superscript"/>
              </w:rPr>
              <w:t>(9)</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center"/>
              <w:ind w:right="79"/>
              <w:spacing w:after="0"/>
              <w:rPr>
                <w:sz w:val="20"/>
                <w:szCs w:val="20"/>
                <w:color w:val="auto"/>
              </w:rPr>
            </w:pPr>
            <w:r>
              <w:rPr>
                <w:rFonts w:ascii="Arial" w:cs="Arial" w:eastAsia="Arial" w:hAnsi="Arial"/>
                <w:sz w:val="16"/>
                <w:szCs w:val="16"/>
                <w:color w:val="auto"/>
                <w:w w:val="89"/>
              </w:rPr>
              <w:t>170,000</w:t>
            </w: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center"/>
              <w:ind w:right="1"/>
              <w:spacing w:after="0"/>
              <w:rPr>
                <w:sz w:val="20"/>
                <w:szCs w:val="20"/>
                <w:color w:val="auto"/>
              </w:rPr>
            </w:pPr>
            <w:r>
              <w:rPr>
                <w:rFonts w:ascii="Arial" w:cs="Arial" w:eastAsia="Arial" w:hAnsi="Arial"/>
                <w:sz w:val="16"/>
                <w:szCs w:val="16"/>
                <w:color w:val="auto"/>
                <w:w w:val="95"/>
              </w:rPr>
              <w:t>Shell</w:t>
            </w:r>
          </w:p>
        </w:tc>
        <w:tc>
          <w:tcPr>
            <w:tcW w:w="100" w:type="dxa"/>
            <w:vAlign w:val="bottom"/>
            <w:tcBorders>
              <w:top w:val="single" w:sz="8" w:color="E5FFFF"/>
            </w:tcBorders>
            <w:gridSpan w:val="2"/>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080" w:type="dxa"/>
            <w:vAlign w:val="bottom"/>
            <w:tcBorders>
              <w:top w:val="single" w:sz="8" w:color="auto"/>
            </w:tcBorders>
            <w:gridSpan w:val="2"/>
            <w:shd w:val="clear" w:color="auto" w:fill="E5FFFF"/>
          </w:tcPr>
          <w:p>
            <w:pPr>
              <w:jc w:val="center"/>
              <w:ind w:right="40"/>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March 2026</w:t>
            </w:r>
          </w:p>
        </w:tc>
        <w:tc>
          <w:tcPr>
            <w:tcW w:w="1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ind w:right="19"/>
              <w:spacing w:after="0"/>
              <w:rPr>
                <w:sz w:val="20"/>
                <w:szCs w:val="20"/>
                <w:color w:val="auto"/>
              </w:rPr>
            </w:pPr>
            <w:r>
              <w:rPr>
                <w:rFonts w:ascii="Arial" w:cs="Arial" w:eastAsia="Arial" w:hAnsi="Arial"/>
                <w:sz w:val="16"/>
                <w:szCs w:val="16"/>
                <w:color w:val="auto"/>
                <w:w w:val="91"/>
              </w:rPr>
              <w:t>2029-2031</w:t>
            </w:r>
          </w:p>
        </w:tc>
      </w:tr>
    </w:tbl>
    <w:p>
      <w:pPr>
        <w:spacing w:after="0" w:line="151" w:lineRule="exact"/>
        <w:rPr>
          <w:sz w:val="20"/>
          <w:szCs w:val="20"/>
          <w:color w:val="auto"/>
        </w:rPr>
      </w:pPr>
    </w:p>
    <w:p>
      <w:pPr>
        <w:ind w:left="200" w:hanging="192"/>
        <w:spacing w:after="0"/>
        <w:tabs>
          <w:tab w:leader="none" w:pos="200" w:val="left"/>
        </w:tabs>
        <w:numPr>
          <w:ilvl w:val="0"/>
          <w:numId w:val="496"/>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term.</w:t>
      </w:r>
    </w:p>
    <w:p>
      <w:pPr>
        <w:ind w:left="200" w:right="20" w:hanging="192"/>
        <w:spacing w:after="0" w:line="232" w:lineRule="auto"/>
        <w:tabs>
          <w:tab w:leader="none" w:pos="191" w:val="left"/>
        </w:tabs>
        <w:numPr>
          <w:ilvl w:val="0"/>
          <w:numId w:val="496"/>
        </w:numPr>
        <w:rPr>
          <w:rFonts w:ascii="Arial" w:cs="Arial" w:eastAsia="Arial" w:hAnsi="Arial"/>
          <w:sz w:val="17"/>
          <w:szCs w:val="17"/>
          <w:color w:val="auto"/>
          <w:vertAlign w:val="superscript"/>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Gladstone</w:t>
      </w:r>
      <w:r>
        <w:rPr>
          <w:rFonts w:ascii="Arial" w:cs="Arial" w:eastAsia="Arial" w:hAnsi="Arial"/>
          <w:sz w:val="13"/>
          <w:szCs w:val="13"/>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has the right to extend the charter for a period of three years, provided that the charterer provides us with advance notice of declaration. The charterer of the </w:t>
      </w:r>
      <w:r>
        <w:rPr>
          <w:rFonts w:ascii="Arial" w:cs="Arial" w:eastAsia="Arial" w:hAnsi="Arial"/>
          <w:sz w:val="13"/>
          <w:szCs w:val="13"/>
          <w:i w:val="1"/>
          <w:iCs w:val="1"/>
          <w:color w:val="auto"/>
        </w:rPr>
        <w:t>GasLog Warsaw</w:t>
      </w:r>
      <w:r>
        <w:rPr>
          <w:rFonts w:ascii="Arial" w:cs="Arial" w:eastAsia="Arial" w:hAnsi="Arial"/>
          <w:sz w:val="13"/>
          <w:szCs w:val="13"/>
          <w:color w:val="auto"/>
        </w:rPr>
        <w:t xml:space="preserve"> has the right to extend the charter by two additional periods of six years, provided that the charterer provides us with advance notice of declaration. The charterer of the </w:t>
      </w:r>
      <w:r>
        <w:rPr>
          <w:rFonts w:ascii="Arial" w:cs="Arial" w:eastAsia="Arial" w:hAnsi="Arial"/>
          <w:sz w:val="13"/>
          <w:szCs w:val="13"/>
          <w:i w:val="1"/>
          <w:iCs w:val="1"/>
          <w:color w:val="auto"/>
        </w:rPr>
        <w:t>GasLog Windsor</w:t>
      </w:r>
      <w:r>
        <w:rPr>
          <w:rFonts w:ascii="Arial" w:cs="Arial" w:eastAsia="Arial" w:hAnsi="Arial"/>
          <w:sz w:val="13"/>
          <w:szCs w:val="13"/>
          <w:color w:val="auto"/>
        </w:rPr>
        <w:t xml:space="preserve"> has the right to extend the charter by three additional periods of two years, provided that the charterer provides us with advance notice of declaration. The charterer of the </w:t>
      </w:r>
      <w:r>
        <w:rPr>
          <w:rFonts w:ascii="Arial" w:cs="Arial" w:eastAsia="Arial" w:hAnsi="Arial"/>
          <w:sz w:val="13"/>
          <w:szCs w:val="13"/>
          <w:i w:val="1"/>
          <w:iCs w:val="1"/>
          <w:color w:val="auto"/>
        </w:rPr>
        <w:t>GasLog Wales</w:t>
      </w:r>
      <w:r>
        <w:rPr>
          <w:rFonts w:ascii="Arial" w:cs="Arial" w:eastAsia="Arial" w:hAnsi="Arial"/>
          <w:sz w:val="13"/>
          <w:szCs w:val="13"/>
          <w:color w:val="auto"/>
        </w:rPr>
        <w:t xml:space="preserve"> has the right to extend the charter by two additional periods of two years, provided that the charterer provides us with advance notice of declaration. The charterer of the </w:t>
      </w:r>
      <w:r>
        <w:rPr>
          <w:rFonts w:ascii="Arial" w:cs="Arial" w:eastAsia="Arial" w:hAnsi="Arial"/>
          <w:sz w:val="13"/>
          <w:szCs w:val="13"/>
          <w:i w:val="1"/>
          <w:iCs w:val="1"/>
          <w:color w:val="auto"/>
        </w:rPr>
        <w:t>GasLog Westminster</w:t>
      </w:r>
      <w:r>
        <w:rPr>
          <w:rFonts w:ascii="Arial" w:cs="Arial" w:eastAsia="Arial" w:hAnsi="Arial"/>
          <w:sz w:val="13"/>
          <w:szCs w:val="13"/>
          <w:color w:val="auto"/>
        </w:rPr>
        <w:t xml:space="preserve"> has the right to extend the charter by three additional periods of two years, provided that the charterer provides us with advance notice of declaration.</w:t>
      </w:r>
    </w:p>
    <w:p>
      <w:pPr>
        <w:spacing w:after="0" w:line="3" w:lineRule="exact"/>
        <w:rPr>
          <w:rFonts w:ascii="Arial" w:cs="Arial" w:eastAsia="Arial" w:hAnsi="Arial"/>
          <w:sz w:val="17"/>
          <w:szCs w:val="17"/>
          <w:color w:val="auto"/>
          <w:vertAlign w:val="superscript"/>
        </w:rPr>
      </w:pPr>
    </w:p>
    <w:p>
      <w:pPr>
        <w:ind w:left="200" w:hanging="192"/>
        <w:spacing w:after="0" w:line="182" w:lineRule="auto"/>
        <w:tabs>
          <w:tab w:leader="none" w:pos="200" w:val="left"/>
        </w:tabs>
        <w:numPr>
          <w:ilvl w:val="0"/>
          <w:numId w:val="496"/>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Clearlake Shipping Pte. Ltd., a subsidiary of Gunvor Group Ltd. (“Gunvor”).</w:t>
      </w:r>
    </w:p>
    <w:p>
      <w:pPr>
        <w:ind w:left="200" w:hanging="192"/>
        <w:spacing w:after="0" w:line="182" w:lineRule="auto"/>
        <w:tabs>
          <w:tab w:leader="none" w:pos="200" w:val="left"/>
        </w:tabs>
        <w:numPr>
          <w:ilvl w:val="0"/>
          <w:numId w:val="496"/>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Cheniere Marketing International LLP, a wholly-owned subsidiary of Cheniere Energy, Inc. (“Cheniere”).</w:t>
      </w:r>
    </w:p>
    <w:p>
      <w:pPr>
        <w:ind w:left="180" w:hanging="172"/>
        <w:spacing w:after="0" w:line="182" w:lineRule="auto"/>
        <w:tabs>
          <w:tab w:leader="none" w:pos="180" w:val="left"/>
        </w:tabs>
        <w:numPr>
          <w:ilvl w:val="0"/>
          <w:numId w:val="496"/>
        </w:numPr>
        <w:rPr>
          <w:rFonts w:ascii="Arial" w:cs="Arial" w:eastAsia="Arial" w:hAnsi="Arial"/>
          <w:sz w:val="17"/>
          <w:szCs w:val="17"/>
          <w:color w:val="auto"/>
          <w:vertAlign w:val="superscript"/>
        </w:rPr>
      </w:pPr>
      <w:r>
        <w:rPr>
          <w:rFonts w:ascii="Arial" w:cs="Arial" w:eastAsia="Arial" w:hAnsi="Arial"/>
          <w:sz w:val="13"/>
          <w:szCs w:val="13"/>
          <w:color w:val="auto"/>
        </w:rPr>
        <w:t>“Endesa” refers to Endesa S.A.</w:t>
      </w:r>
    </w:p>
    <w:p>
      <w:pPr>
        <w:ind w:left="160" w:hanging="152"/>
        <w:spacing w:after="0" w:line="182" w:lineRule="auto"/>
        <w:tabs>
          <w:tab w:leader="none" w:pos="160" w:val="left"/>
        </w:tabs>
        <w:numPr>
          <w:ilvl w:val="0"/>
          <w:numId w:val="496"/>
        </w:numPr>
        <w:rPr>
          <w:rFonts w:ascii="Arial" w:cs="Arial" w:eastAsia="Arial" w:hAnsi="Arial"/>
          <w:sz w:val="17"/>
          <w:szCs w:val="17"/>
          <w:color w:val="auto"/>
          <w:vertAlign w:val="superscript"/>
        </w:rPr>
      </w:pPr>
      <w:r>
        <w:rPr>
          <w:rFonts w:ascii="Arial" w:cs="Arial" w:eastAsia="Arial" w:hAnsi="Arial"/>
          <w:sz w:val="13"/>
          <w:szCs w:val="13"/>
          <w:color w:val="auto"/>
        </w:rPr>
        <w:t>“Total” refers to Total Gas &amp; Power Chartering Limited, a wholly-owned subsidiary of Total S.A.</w:t>
      </w:r>
    </w:p>
    <w:p>
      <w:pPr>
        <w:ind w:left="200" w:right="420" w:hanging="192"/>
        <w:spacing w:after="0" w:line="193" w:lineRule="auto"/>
        <w:tabs>
          <w:tab w:leader="none" w:pos="182" w:val="left"/>
        </w:tabs>
        <w:numPr>
          <w:ilvl w:val="0"/>
          <w:numId w:val="496"/>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trading in the spot market and has been chartered to Sinolam LNG for the provision of an FSU. The charter is expected to commence in April 2021, after the dry-docking and conversion of the vessel to an FSU.</w:t>
      </w:r>
    </w:p>
    <w:p>
      <w:pPr>
        <w:spacing w:after="0" w:line="1" w:lineRule="exact"/>
        <w:rPr>
          <w:rFonts w:ascii="Arial" w:cs="Arial" w:eastAsia="Arial" w:hAnsi="Arial"/>
          <w:sz w:val="18"/>
          <w:szCs w:val="18"/>
          <w:color w:val="auto"/>
          <w:vertAlign w:val="superscript"/>
        </w:rPr>
      </w:pPr>
    </w:p>
    <w:p>
      <w:pPr>
        <w:ind w:left="180" w:hanging="172"/>
        <w:spacing w:after="0" w:line="182" w:lineRule="auto"/>
        <w:tabs>
          <w:tab w:leader="none" w:pos="180" w:val="left"/>
        </w:tabs>
        <w:numPr>
          <w:ilvl w:val="0"/>
          <w:numId w:val="496"/>
        </w:numPr>
        <w:rPr>
          <w:rFonts w:ascii="Arial" w:cs="Arial" w:eastAsia="Arial" w:hAnsi="Arial"/>
          <w:sz w:val="17"/>
          <w:szCs w:val="17"/>
          <w:color w:val="auto"/>
          <w:vertAlign w:val="superscript"/>
        </w:rPr>
      </w:pPr>
      <w:r>
        <w:rPr>
          <w:rFonts w:ascii="Arial" w:cs="Arial" w:eastAsia="Arial" w:hAnsi="Arial"/>
          <w:sz w:val="13"/>
          <w:szCs w:val="13"/>
          <w:color w:val="auto"/>
        </w:rPr>
        <w:t>“Trafigura” refers to Trafigura Maritime Logistics PTE Ltd.</w:t>
      </w:r>
    </w:p>
    <w:p>
      <w:pPr>
        <w:ind w:left="200" w:hanging="192"/>
        <w:spacing w:after="0" w:line="221" w:lineRule="auto"/>
        <w:tabs>
          <w:tab w:leader="none" w:pos="182" w:val="left"/>
        </w:tabs>
        <w:numPr>
          <w:ilvl w:val="0"/>
          <w:numId w:val="496"/>
        </w:numPr>
        <w:rPr>
          <w:rFonts w:ascii="Arial" w:cs="Arial" w:eastAsia="Arial" w:hAnsi="Arial"/>
          <w:sz w:val="17"/>
          <w:szCs w:val="17"/>
          <w:color w:val="auto"/>
          <w:vertAlign w:val="superscript"/>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 w:lineRule="exact"/>
        <w:rPr>
          <w:rFonts w:ascii="Arial" w:cs="Arial" w:eastAsia="Arial" w:hAnsi="Arial"/>
          <w:sz w:val="17"/>
          <w:szCs w:val="17"/>
          <w:color w:val="auto"/>
          <w:vertAlign w:val="superscript"/>
        </w:rPr>
      </w:pPr>
    </w:p>
    <w:p>
      <w:pPr>
        <w:ind w:left="200" w:hanging="192"/>
        <w:spacing w:after="0" w:line="222" w:lineRule="auto"/>
        <w:tabs>
          <w:tab w:leader="none" w:pos="200" w:val="left"/>
        </w:tabs>
        <w:numPr>
          <w:ilvl w:val="0"/>
          <w:numId w:val="496"/>
        </w:numPr>
        <w:rPr>
          <w:rFonts w:ascii="Arial" w:cs="Arial" w:eastAsia="Arial" w:hAnsi="Arial"/>
          <w:sz w:val="16"/>
          <w:szCs w:val="16"/>
          <w:color w:val="auto"/>
          <w:vertAlign w:val="superscript"/>
        </w:rPr>
      </w:pPr>
      <w:r>
        <w:rPr>
          <w:rFonts w:ascii="Arial" w:cs="Arial" w:eastAsia="Arial" w:hAnsi="Arial"/>
          <w:sz w:val="13"/>
          <w:szCs w:val="13"/>
          <w:color w:val="auto"/>
        </w:rPr>
        <w:t>The vessel is chartered to Singapore Carbon Hydrogen Energy Pte. Ltd., a wholly-owned subsidiary of JOVO Group (“JOVO”). The charter commenced on July 12, 2020.</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Under the omnibus agreement entered into with GasLog Partners and certain of its subsidiaries in connection with the Partnership’s initial</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29" w:name="page230"/>
    <w:bookmarkEnd w:id="229"/>
    <w:p>
      <w:pPr>
        <w:ind w:right="160"/>
        <w:spacing w:after="0" w:line="278" w:lineRule="auto"/>
        <w:rPr>
          <w:sz w:val="20"/>
          <w:szCs w:val="20"/>
          <w:color w:val="auto"/>
        </w:rPr>
      </w:pPr>
      <w:r>
        <w:rPr>
          <w:rFonts w:ascii="Arial" w:cs="Arial" w:eastAsia="Arial" w:hAnsi="Arial"/>
          <w:sz w:val="16"/>
          <w:szCs w:val="16"/>
          <w:color w:val="auto"/>
        </w:rPr>
        <w:t xml:space="preserve">public offering, as amended, GasLog Partners has the option to purchase from us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each within 30 days following receipt of notice from GasLog that the vessel has commenced its multi-year charter (being at least five years in length). GasLog Partners’ option to purchase is at fair market value as determined pursuant to the omnibus agreement.</w:t>
      </w:r>
    </w:p>
    <w:p>
      <w:pPr>
        <w:spacing w:after="0" w:line="184" w:lineRule="exact"/>
        <w:rPr>
          <w:sz w:val="20"/>
          <w:szCs w:val="20"/>
          <w:color w:val="auto"/>
        </w:rPr>
      </w:pPr>
    </w:p>
    <w:p>
      <w:pPr>
        <w:ind w:right="120" w:firstLine="356"/>
        <w:spacing w:after="0" w:line="291" w:lineRule="auto"/>
        <w:rPr>
          <w:sz w:val="20"/>
          <w:szCs w:val="20"/>
          <w:color w:val="auto"/>
        </w:rPr>
      </w:pPr>
      <w:r>
        <w:rPr>
          <w:rFonts w:ascii="Arial" w:cs="Arial" w:eastAsia="Arial" w:hAnsi="Arial"/>
          <w:sz w:val="15"/>
          <w:szCs w:val="15"/>
          <w:color w:val="auto"/>
        </w:rPr>
        <w:t>GasLog Partners also has a right of first offer from us to purchase any other LNG carriers with cargo capacity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our four newbuildings (Hull Nos. 2300, 2301, 2311 and 2312)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are due to come off charter in October 2020, November 2020 and December 2020, respectively, each plus or minus 30 days, while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are due to come off charter in March 2021, June 2021 and June 2021 respectively. GasLog Partners has secured a two-year charter for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GasLog Partners and GasLog continue to pursue opportunities for new term charters with third parties and will trade the vessels in the spot/short-term charter market, pursuing the most advantageous redeployment depending on evolving market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Three-month period ended June 30, 2019 compared to the three-month period ended June 30, 2020</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08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49"/>
        </w:trPr>
        <w:tc>
          <w:tcPr>
            <w:tcW w:w="8160" w:type="dxa"/>
            <w:vAlign w:val="bottom"/>
          </w:tcPr>
          <w:p>
            <w:pPr>
              <w:spacing w:after="0"/>
              <w:rPr>
                <w:sz w:val="21"/>
                <w:szCs w:val="21"/>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81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154,251</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158,861</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Net pool allocation</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2,658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(5,867)</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(5,442)</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(33,358)</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(32,605)</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(41,350)</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(43,647)</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(11,172)</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(11,154)</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non-current assets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(22,454)</w:t>
            </w:r>
          </w:p>
        </w:tc>
        <w:tc>
          <w:tcPr>
            <w:tcW w:w="0" w:type="dxa"/>
            <w:vAlign w:val="bottom"/>
          </w:tcPr>
          <w:p>
            <w:pPr>
              <w:spacing w:after="0"/>
              <w:rPr>
                <w:sz w:val="1"/>
                <w:szCs w:val="1"/>
                <w:color w:val="auto"/>
              </w:rPr>
            </w:pPr>
          </w:p>
        </w:tc>
      </w:tr>
      <w:tr>
        <w:trPr>
          <w:trHeight w:val="196"/>
        </w:trPr>
        <w:tc>
          <w:tcPr>
            <w:tcW w:w="8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65,162</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42,987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(46,897)</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1,709</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Loss on derivatives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(30,799)</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(13,467)</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313</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(75,674)</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(56,325)</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(10,512</w:t>
            </w:r>
          </w:p>
        </w:tc>
        <w:tc>
          <w:tcPr>
            <w:tcW w:w="280" w:type="dxa"/>
            <w:vAlign w:val="bottom"/>
            <w:tcBorders>
              <w:bottom w:val="single" w:sz="8" w:color="E5FFFF"/>
            </w:tcBorders>
            <w:shd w:val="clear" w:color="auto" w:fill="E5FFFF"/>
          </w:tcPr>
          <w:p>
            <w:pPr>
              <w:jc w:val="right"/>
              <w:ind w:right="200"/>
              <w:spacing w:after="0"/>
              <w:rPr>
                <w:sz w:val="20"/>
                <w:szCs w:val="20"/>
                <w:color w:val="auto"/>
              </w:rPr>
            </w:pPr>
            <w:r>
              <w:rPr>
                <w:rFonts w:ascii="Arial" w:cs="Arial" w:eastAsia="Arial" w:hAnsi="Arial"/>
                <w:sz w:val="8"/>
                <w:szCs w:val="8"/>
                <w:color w:val="auto"/>
                <w:w w:val="73"/>
              </w:rPr>
              <w: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(13,338</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16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tcBorders>
              <w:bottom w:val="single" w:sz="8" w:color="E5FFFF"/>
            </w:tcBorders>
            <w:vMerge w:val="continue"/>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(15,486)</w:t>
            </w:r>
          </w:p>
        </w:tc>
        <w:tc>
          <w:tcPr>
            <w:tcW w:w="280" w:type="dxa"/>
            <w:vAlign w:val="bottom"/>
            <w:tcBorders>
              <w:bottom w:val="single" w:sz="8" w:color="E5FFFF"/>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(8,010)</w:t>
            </w:r>
          </w:p>
        </w:tc>
        <w:tc>
          <w:tcPr>
            <w:tcW w:w="10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attributable to owners of the Group</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(25,998</w:t>
            </w:r>
          </w:p>
        </w:tc>
        <w:tc>
          <w:tcPr>
            <w:tcW w:w="280" w:type="dxa"/>
            <w:vAlign w:val="bottom"/>
            <w:tcBorders>
              <w:bottom w:val="single" w:sz="8" w:color="E5FFFF"/>
            </w:tcBorders>
            <w:shd w:val="clear" w:color="auto" w:fill="E5FFFF"/>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(21,348</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20" w:firstLine="405"/>
        <w:spacing w:after="0" w:line="297" w:lineRule="auto"/>
        <w:rPr>
          <w:sz w:val="20"/>
          <w:szCs w:val="20"/>
          <w:color w:val="auto"/>
        </w:rPr>
      </w:pPr>
      <w:r>
        <w:rPr>
          <w:rFonts w:ascii="Arial" w:cs="Arial" w:eastAsia="Arial" w:hAnsi="Arial"/>
          <w:sz w:val="15"/>
          <w:szCs w:val="15"/>
          <w:color w:val="auto"/>
        </w:rPr>
        <w:t>During the three-month period ended June 30, 2019 we had an average of 27.0 ships operating in our owned and bareboat fleet (including ships owned by the Partnership), having 2,409 operating days and an average of 27.0 ships operating under our technical management (including our 26.0 owned and bareboat ships). During the three-month period ended June 30, 2020, we had an average of 30.0 ships operating in our owned and bareboat fleet (including ships owned by the Partnership), having 2,458 operating days and an average of 30.0 ships operating under our technical management (including 29.0 of our owned and bareboat ships).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firstLine="427"/>
        <w:spacing w:after="0" w:line="291" w:lineRule="auto"/>
        <w:rPr>
          <w:sz w:val="20"/>
          <w:szCs w:val="20"/>
          <w:color w:val="auto"/>
        </w:rPr>
      </w:pPr>
      <w:r>
        <w:rPr>
          <w:rFonts w:ascii="Arial" w:cs="Arial" w:eastAsia="Arial" w:hAnsi="Arial"/>
          <w:sz w:val="15"/>
          <w:szCs w:val="15"/>
          <w:color w:val="auto"/>
        </w:rPr>
        <w:t xml:space="preserve">Revenues increased by 3.0%, or $4.6 million, from $154.3 million during the three-month period ended June 30, 2019 to $158.9 million during the three-month period ended June 30, 2020. The increase in revenues is mainly attributable to an increase in revenues of $17.8 million due to the deliveries of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the </w:t>
      </w:r>
      <w:r>
        <w:rPr>
          <w:rFonts w:ascii="Arial" w:cs="Arial" w:eastAsia="Arial" w:hAnsi="Arial"/>
          <w:sz w:val="15"/>
          <w:szCs w:val="15"/>
          <w:i w:val="1"/>
          <w:iCs w:val="1"/>
          <w:color w:val="auto"/>
        </w:rPr>
        <w:t xml:space="preserve">GasLog Windsor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Wales</w:t>
      </w:r>
      <w:r>
        <w:rPr>
          <w:rFonts w:ascii="Arial" w:cs="Arial" w:eastAsia="Arial" w:hAnsi="Arial"/>
          <w:sz w:val="15"/>
          <w:szCs w:val="15"/>
          <w:color w:val="auto"/>
        </w:rPr>
        <w:t>, on July 31, 2019, April 1, 2020 and May 11, 2020, respectively. This increase was partially offset by an aggregate decrease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revenues of 13.4 million due to the expiration of the time charters of four of our vessels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 xml:space="preserve">GasLog Sydney) </w:t>
      </w:r>
      <w:r>
        <w:rPr>
          <w:rFonts w:ascii="Arial" w:cs="Arial" w:eastAsia="Arial" w:hAnsi="Arial"/>
          <w:sz w:val="15"/>
          <w:szCs w:val="15"/>
          <w:color w:val="auto"/>
        </w:rPr>
        <w:t>and their subsequent trading in the current weak spot market impacted by the COVID-19 pandemic during the three months ended June 30, 2020</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daily hire rate increased from $63,955 for the three-month period ended June 30, 2019 to $64,549 for the quarter ended June 30,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0" w:name="page231"/>
    <w:bookmarkEnd w:id="230"/>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280" w:firstLine="383"/>
        <w:spacing w:after="0" w:line="293" w:lineRule="auto"/>
        <w:rPr>
          <w:sz w:val="20"/>
          <w:szCs w:val="20"/>
          <w:color w:val="auto"/>
        </w:rPr>
      </w:pPr>
      <w:r>
        <w:rPr>
          <w:rFonts w:ascii="Arial" w:cs="Arial" w:eastAsia="Arial" w:hAnsi="Arial"/>
          <w:sz w:val="16"/>
          <w:szCs w:val="16"/>
          <w:color w:val="auto"/>
        </w:rPr>
        <w:t>Net pool allocation decreased by $2.7 million, from a positive $2.7 million during the three-month period ended June 30, 2019 to $0 during the three-month period ended June 30, 2020, following the exit of GasLog’s vessels from the Cool Pool in July 2019.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firstLine="356"/>
        <w:spacing w:after="0" w:line="328" w:lineRule="auto"/>
        <w:rPr>
          <w:sz w:val="20"/>
          <w:szCs w:val="20"/>
          <w:color w:val="auto"/>
        </w:rPr>
      </w:pPr>
      <w:r>
        <w:rPr>
          <w:rFonts w:ascii="Arial" w:cs="Arial" w:eastAsia="Arial" w:hAnsi="Arial"/>
          <w:sz w:val="15"/>
          <w:szCs w:val="15"/>
          <w:color w:val="auto"/>
        </w:rPr>
        <w:t>Voyage expenses and commissions decreased by 8.5%, or $0.5 million, from $5.9 million during the three-month period ended June 30, 2019 to $5.4 million during the three-month period ended June 30, 2020. The decrease is primarily attributable to a decrease in bunkers consumption of our vessels operating in the spot market.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right="40" w:firstLine="356"/>
        <w:spacing w:after="0" w:line="291" w:lineRule="auto"/>
        <w:rPr>
          <w:sz w:val="20"/>
          <w:szCs w:val="20"/>
          <w:color w:val="auto"/>
        </w:rPr>
      </w:pPr>
      <w:r>
        <w:rPr>
          <w:rFonts w:ascii="Arial" w:cs="Arial" w:eastAsia="Arial" w:hAnsi="Arial"/>
          <w:sz w:val="15"/>
          <w:szCs w:val="15"/>
          <w:color w:val="auto"/>
        </w:rPr>
        <w:t xml:space="preserve">Vessel operating and supervision costs decreased marginally by 2.4%, or $0.8 million, from $33.4 million during the three-month period ended June 30, 2019 to $32.6 million during the three-month period ended June 30, 2020. The decrease was mainly attributable to decreased scheduled technical and maintenance costs related to engine maintenance and the favorable movement of the Euro (“EUR”)/USD exchange rate in the second quarter of 2020 as compared to the prior quarter, which was partially offset by the increase of crew wages following the delivery of two vessels in the first half of 2020 and one vessel in the second half of 2019. Daily operating costs per vessel decreased from $14,099 per ownership day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three-month period ended June 30, 2019 to $12,550 per ownership day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three-month period ended June 30, 2020.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20" w:firstLine="356"/>
        <w:spacing w:after="0" w:line="273" w:lineRule="auto"/>
        <w:rPr>
          <w:sz w:val="20"/>
          <w:szCs w:val="20"/>
          <w:color w:val="auto"/>
        </w:rPr>
      </w:pPr>
      <w:r>
        <w:rPr>
          <w:rFonts w:ascii="Arial" w:cs="Arial" w:eastAsia="Arial" w:hAnsi="Arial"/>
          <w:sz w:val="16"/>
          <w:szCs w:val="16"/>
          <w:color w:val="auto"/>
        </w:rPr>
        <w:t>Depreciation increased by 5.3%, or $2.2 million, from $41.4 million during the three-month period ended June 30, 2019 to $43.6 million during the three-month period ended June 30, 2020. The increase in depreciation resulted mainly from the increase in the average number of vessels in our fleet in the quarter ended June 30, 2020, compared to the same quarter in 2019, which was partially offset by the impairment charges recognized in the fourth quarter of 2019, which reduced the carrying value of the Steam vessels.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140" w:firstLine="356"/>
        <w:spacing w:after="0" w:line="293" w:lineRule="auto"/>
        <w:rPr>
          <w:sz w:val="20"/>
          <w:szCs w:val="20"/>
          <w:color w:val="auto"/>
        </w:rPr>
      </w:pPr>
      <w:r>
        <w:rPr>
          <w:rFonts w:ascii="Arial" w:cs="Arial" w:eastAsia="Arial" w:hAnsi="Arial"/>
          <w:sz w:val="15"/>
          <w:szCs w:val="15"/>
          <w:color w:val="auto"/>
        </w:rPr>
        <w:t>General and administrative expenses remained $11.2 million for the three-month period ended June 30, 2019 and the three-month period ended June 30, 2020, before adjusting for restructuring costs in 2020. General and administrative expenses, excluding the effect of the restructuring costs of $1.1 million, were $10.1 million for the quarter ended June 30, 2020 and the daily running expenses decreased from $4,547 per vessel ownership day for the three-month period ended June 30, 2019 to $3,746 per vessel ownership day for the three-month period ended June 30, 2020. The decrease is mainly attributable to decreased travel and accommodation expenses mainly due to the COVID-19 related travel restrictions imposed during 2020 and to legal and other professional fees savings.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Loss on Vessels:</w:t>
      </w:r>
    </w:p>
    <w:p>
      <w:pPr>
        <w:spacing w:after="0" w:line="235" w:lineRule="exact"/>
        <w:rPr>
          <w:sz w:val="20"/>
          <w:szCs w:val="20"/>
          <w:color w:val="auto"/>
        </w:rPr>
      </w:pPr>
    </w:p>
    <w:p>
      <w:pPr>
        <w:ind w:right="40" w:firstLine="472"/>
        <w:spacing w:after="0" w:line="273" w:lineRule="auto"/>
        <w:rPr>
          <w:sz w:val="20"/>
          <w:szCs w:val="20"/>
          <w:color w:val="auto"/>
        </w:rPr>
      </w:pPr>
      <w:r>
        <w:rPr>
          <w:rFonts w:ascii="Arial" w:cs="Arial" w:eastAsia="Arial" w:hAnsi="Arial"/>
          <w:sz w:val="16"/>
          <w:szCs w:val="16"/>
          <w:color w:val="auto"/>
        </w:rPr>
        <w:t xml:space="preserve">Impairment loss on vessels was nil for the three-month period ended June 30, 2019 and $22.5 million for the same period in 2020. The impairment loss recorded as of June 30, 2020 was recognized with respect to four of our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as a result of anticipated increases in volatility in the spot charter market over the near term from COVID-19 pandemic related impacts to LNG and</w:t>
      </w:r>
      <w:r>
        <w:rPr>
          <w:rFonts w:ascii="Arial" w:cs="Arial" w:eastAsia="Arial" w:hAnsi="Arial"/>
          <w:sz w:val="16"/>
          <w:szCs w:val="16"/>
          <w:i w:val="1"/>
          <w:iCs w:val="1"/>
          <w:color w:val="auto"/>
        </w:rPr>
        <w:t xml:space="preserve"> </w:t>
      </w:r>
      <w:r>
        <w:rPr>
          <w:rFonts w:ascii="Arial" w:cs="Arial" w:eastAsia="Arial" w:hAnsi="Arial"/>
          <w:sz w:val="16"/>
          <w:szCs w:val="16"/>
          <w:color w:val="auto"/>
        </w:rPr>
        <w:t>LNG shipping demand.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right="20" w:firstLine="356"/>
        <w:spacing w:after="0" w:line="313" w:lineRule="auto"/>
        <w:rPr>
          <w:sz w:val="20"/>
          <w:szCs w:val="20"/>
          <w:color w:val="auto"/>
        </w:rPr>
      </w:pPr>
      <w:r>
        <w:rPr>
          <w:rFonts w:ascii="Arial" w:cs="Arial" w:eastAsia="Arial" w:hAnsi="Arial"/>
          <w:sz w:val="14"/>
          <w:szCs w:val="14"/>
          <w:color w:val="auto"/>
        </w:rPr>
        <w:t>Financial costs decreased by 7.0%, or $3.3 million, from $46.9 million during the three-month period ended June 30, 2019 to $43.6 million during the three-month period ended June 30, 2020. The decrease is mainly attributable to a net decrease of $6.6 million in interest expense on loans, bonds and cash flow hedges, partially offset by an increase of 2.9 million in other financial costs mainly consisting of the $3.3 million of fees paid for our comprehensive plan to manage our cash collateral exposure placed with the swap banks as a result of the negative marked to market valuations of our interest rate and cross-currency swaps. During the quarter ended June 30, 2020, we had an average of $3,380.3 million of outstanding indebtedness, with a weighted average interest rate of 4.0%, while during the quarter ended June 30, 2019, we had an average of $3,079.3 million of outstanding indebtedness having an aggregate weighted average interest rate of 5.2%, due primarily to a decrease in LIBOR rates. These weighted average interest rates include interest expense on loans and cash flow hedges and interest expense on senior unsecured notes and cross-currency swaps.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Derivatives:</w:t>
      </w:r>
    </w:p>
    <w:p>
      <w:pPr>
        <w:spacing w:after="0" w:line="235" w:lineRule="exact"/>
        <w:rPr>
          <w:sz w:val="20"/>
          <w:szCs w:val="20"/>
          <w:color w:val="auto"/>
        </w:rPr>
      </w:pPr>
    </w:p>
    <w:p>
      <w:pPr>
        <w:ind w:right="80" w:firstLine="356"/>
        <w:spacing w:after="0" w:line="269" w:lineRule="auto"/>
        <w:rPr>
          <w:sz w:val="20"/>
          <w:szCs w:val="20"/>
          <w:color w:val="auto"/>
        </w:rPr>
      </w:pPr>
      <w:r>
        <w:rPr>
          <w:rFonts w:ascii="Arial" w:cs="Arial" w:eastAsia="Arial" w:hAnsi="Arial"/>
          <w:sz w:val="16"/>
          <w:szCs w:val="16"/>
          <w:color w:val="auto"/>
        </w:rPr>
        <w:t>Loss on derivatives decreased by $17.3 million, from a loss of $30.8 million during the three-month period ended June 30, 2019 to a loss of $13.5 million during the three-month period ended June 30, 2020. The decrease is attributable to a decrease of $21.6 million in loss from marked-to-market valuation of our derivative financial instruments carried at fair value through profit or loss which reflected a loss of $30.8 million in the three months ended June 30, 2019, as compared to a loss of $9.1 million in the three months ended June 30, 2020 and a decrease of $0.7 million in realized loss on forward foreign exchange contracts held for trading. The above movements were partially offset by a decrease of $4.0 million in realized gain from interest rate swaps held for trading and an increase of $1.1 million in the ineffective portion of cash flow hedges.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for the Period:</w:t>
      </w:r>
    </w:p>
    <w:p>
      <w:pPr>
        <w:spacing w:after="0" w:line="235" w:lineRule="exact"/>
        <w:rPr>
          <w:sz w:val="20"/>
          <w:szCs w:val="20"/>
          <w:color w:val="auto"/>
        </w:rPr>
      </w:pPr>
    </w:p>
    <w:p>
      <w:pPr>
        <w:ind w:right="140" w:firstLine="356"/>
        <w:spacing w:after="0" w:line="293" w:lineRule="auto"/>
        <w:rPr>
          <w:sz w:val="20"/>
          <w:szCs w:val="20"/>
          <w:color w:val="auto"/>
        </w:rPr>
      </w:pPr>
      <w:r>
        <w:rPr>
          <w:rFonts w:ascii="Arial" w:cs="Arial" w:eastAsia="Arial" w:hAnsi="Arial"/>
          <w:sz w:val="16"/>
          <w:szCs w:val="16"/>
          <w:color w:val="auto"/>
        </w:rPr>
        <w:t>Loss for the period increased by 26.7%, or $2.8 million, from a loss of $10.5 million for the three-month period ended June 30, 2019 to a loss of $13.3 million for the three-month period ended June 30, 2020, as a result of the aforementioned factors.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b w:val="1"/>
          <w:bCs w:val="1"/>
          <w:i w:val="1"/>
          <w:iCs w:val="1"/>
          <w:color w:val="auto"/>
        </w:rPr>
        <w:t>Loss Attributable to Owners of the Group:</w:t>
      </w:r>
    </w:p>
    <w:p>
      <w:pPr>
        <w:spacing w:after="0" w:line="235" w:lineRule="exact"/>
        <w:rPr>
          <w:sz w:val="20"/>
          <w:szCs w:val="20"/>
          <w:color w:val="auto"/>
        </w:rPr>
      </w:pPr>
    </w:p>
    <w:p>
      <w:pPr>
        <w:ind w:right="120" w:firstLine="356"/>
        <w:spacing w:after="0" w:line="273" w:lineRule="auto"/>
        <w:rPr>
          <w:sz w:val="20"/>
          <w:szCs w:val="20"/>
          <w:color w:val="auto"/>
        </w:rPr>
      </w:pPr>
      <w:r>
        <w:rPr>
          <w:rFonts w:ascii="Arial" w:cs="Arial" w:eastAsia="Arial" w:hAnsi="Arial"/>
          <w:sz w:val="16"/>
          <w:szCs w:val="16"/>
          <w:color w:val="auto"/>
        </w:rPr>
        <w:t>Loss attributable to owners of the Group decreased by 18.1%, or $4.7 million, from $26.0 million for the three-month period ended June 30, 2019 to $21.3 million for the three-month period ended June 30, 2020. The decrease in loss attributable to the owners of GasLog resulted mainly from the decrease in profit attributable to the non-controlling interests (non-controlling unitholders of GasLog Partners) following the decrease in the Partnership’s profit, partially offset by the increase in loss mentioned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spacing w:after="0"/>
              <w:rPr>
                <w:sz w:val="20"/>
                <w:szCs w:val="20"/>
                <w:color w:val="auto"/>
              </w:rPr>
            </w:pPr>
            <w:r>
              <w:rPr>
                <w:rFonts w:ascii="Arial" w:cs="Arial" w:eastAsia="Arial" w:hAnsi="Arial"/>
                <w:sz w:val="16"/>
                <w:szCs w:val="16"/>
                <w:b w:val="1"/>
                <w:bCs w:val="1"/>
                <w:i w:val="1"/>
                <w:iCs w:val="1"/>
                <w:color w:val="auto"/>
              </w:rPr>
              <w:t>Six-month period ended June 30, 2019 compared to the six-month period ended June 30, 2020</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160" w:type="dxa"/>
            <w:vAlign w:val="bottom"/>
          </w:tcPr>
          <w:p>
            <w:pPr>
              <w:spacing w:after="0"/>
              <w:rPr>
                <w:sz w:val="24"/>
                <w:szCs w:val="24"/>
                <w:color w:val="auto"/>
              </w:rPr>
            </w:pPr>
          </w:p>
        </w:tc>
        <w:tc>
          <w:tcPr>
            <w:tcW w:w="308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62"/>
        </w:trPr>
        <w:tc>
          <w:tcPr>
            <w:tcW w:w="8160" w:type="dxa"/>
            <w:vAlign w:val="bottom"/>
          </w:tcPr>
          <w:p>
            <w:pPr>
              <w:spacing w:after="0"/>
              <w:rPr>
                <w:sz w:val="22"/>
                <w:szCs w:val="2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June 30,</w:t>
            </w:r>
          </w:p>
        </w:tc>
        <w:tc>
          <w:tcPr>
            <w:tcW w:w="14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81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320,798</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324,758</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Net pool allocation</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(4,080)</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(12,784)</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(12,915)</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(66,328)</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(67,657)</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(80,949)</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(85,144)</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(21,549)</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(20,775)</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non-current assets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(22,454)</w:t>
            </w:r>
          </w:p>
        </w:tc>
        <w:tc>
          <w:tcPr>
            <w:tcW w:w="0" w:type="dxa"/>
            <w:vAlign w:val="bottom"/>
          </w:tcPr>
          <w:p>
            <w:pPr>
              <w:spacing w:after="0"/>
              <w:rPr>
                <w:sz w:val="1"/>
                <w:szCs w:val="1"/>
                <w:color w:val="auto"/>
              </w:rPr>
            </w:pPr>
          </w:p>
        </w:tc>
      </w:tr>
      <w:tr>
        <w:trPr>
          <w:trHeight w:val="196"/>
        </w:trPr>
        <w:tc>
          <w:tcPr>
            <w:tcW w:w="8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135,108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115,241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(92,404)</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(84,998)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3,168</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Loss on derivatives</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(51,043)</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(84,591)</w:t>
            </w:r>
          </w:p>
        </w:tc>
        <w:tc>
          <w:tcPr>
            <w:tcW w:w="0" w:type="dxa"/>
            <w:vAlign w:val="bottom"/>
          </w:tcPr>
          <w:p>
            <w:pPr>
              <w:spacing w:after="0"/>
              <w:rPr>
                <w:sz w:val="1"/>
                <w:szCs w:val="1"/>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64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558</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(139,721)</w:t>
            </w:r>
          </w:p>
        </w:tc>
        <w:tc>
          <w:tcPr>
            <w:tcW w:w="2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(168,016)</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(4,613</w:t>
            </w:r>
          </w:p>
        </w:tc>
        <w:tc>
          <w:tcPr>
            <w:tcW w:w="280" w:type="dxa"/>
            <w:vAlign w:val="bottom"/>
            <w:tcBorders>
              <w:bottom w:val="single" w:sz="8" w:color="E5FFFF"/>
            </w:tcBorders>
            <w:shd w:val="clear" w:color="auto" w:fill="E5FFFF"/>
          </w:tcPr>
          <w:p>
            <w:pPr>
              <w:jc w:val="right"/>
              <w:ind w:right="200"/>
              <w:spacing w:after="0"/>
              <w:rPr>
                <w:sz w:val="20"/>
                <w:szCs w:val="20"/>
                <w:color w:val="auto"/>
              </w:rPr>
            </w:pPr>
            <w:r>
              <w:rPr>
                <w:rFonts w:ascii="Arial" w:cs="Arial" w:eastAsia="Arial" w:hAnsi="Arial"/>
                <w:sz w:val="8"/>
                <w:szCs w:val="8"/>
                <w:color w:val="auto"/>
                <w:w w:val="73"/>
              </w:rPr>
              <w: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(52,775</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16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tcBorders>
              <w:bottom w:val="single" w:sz="8" w:color="E5FFFF"/>
            </w:tcBorders>
            <w:vMerge w:val="continue"/>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(32,332)</w:t>
            </w:r>
          </w:p>
        </w:tc>
        <w:tc>
          <w:tcPr>
            <w:tcW w:w="280" w:type="dxa"/>
            <w:vAlign w:val="bottom"/>
            <w:tcBorders>
              <w:bottom w:val="single" w:sz="8" w:color="E5FFFF"/>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(20,052)</w:t>
            </w:r>
          </w:p>
        </w:tc>
        <w:tc>
          <w:tcPr>
            <w:tcW w:w="10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1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attributable to owners of the Group</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(36,945</w:t>
            </w:r>
          </w:p>
        </w:tc>
        <w:tc>
          <w:tcPr>
            <w:tcW w:w="280" w:type="dxa"/>
            <w:vAlign w:val="bottom"/>
            <w:tcBorders>
              <w:bottom w:val="single" w:sz="8" w:color="E5FFFF"/>
            </w:tcBorders>
            <w:shd w:val="clear" w:color="auto" w:fill="E5FFFF"/>
          </w:tcPr>
          <w:p>
            <w:pPr>
              <w:jc w:val="right"/>
              <w:ind w:right="200"/>
              <w:spacing w:after="0"/>
              <w:rPr>
                <w:sz w:val="20"/>
                <w:szCs w:val="20"/>
                <w:color w:val="auto"/>
              </w:rPr>
            </w:pPr>
            <w:r>
              <w:rPr>
                <w:rFonts w:ascii="Arial" w:cs="Arial" w:eastAsia="Arial" w:hAnsi="Arial"/>
                <w:sz w:val="8"/>
                <w:szCs w:val="8"/>
                <w:color w:val="auto"/>
                <w:w w:val="73"/>
              </w:rPr>
              <w: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(72,827</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405"/>
        <w:spacing w:after="0" w:line="271" w:lineRule="auto"/>
        <w:rPr>
          <w:sz w:val="20"/>
          <w:szCs w:val="20"/>
          <w:color w:val="auto"/>
        </w:rPr>
      </w:pPr>
      <w:r>
        <w:rPr>
          <w:rFonts w:ascii="Arial" w:cs="Arial" w:eastAsia="Arial" w:hAnsi="Arial"/>
          <w:sz w:val="16"/>
          <w:szCs w:val="16"/>
          <w:color w:val="auto"/>
        </w:rPr>
        <w:t>During the six-month period ended June 30, 2019, we had an average of 26.6 ships operating in our owned and bareboat fleet (including ships owned by the Partnership), having 4,759 operating days and an average of 26.6 ships operating under our technical management (including an average of 25.6 of our owned and bareboat ships). During the six-month period ended June 30, 2020, we had an average of 29.0 ships operating in our owned and bareboat fleet (including ships owned by the Partnership), having 4,708 operating days, and an average of 29.0 ships operating under our technical management (including an average of 28.0 of our owned and bareboat ships).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right="140" w:firstLine="427"/>
        <w:spacing w:after="0" w:line="288" w:lineRule="auto"/>
        <w:rPr>
          <w:sz w:val="20"/>
          <w:szCs w:val="20"/>
          <w:color w:val="auto"/>
        </w:rPr>
      </w:pPr>
      <w:r>
        <w:rPr>
          <w:rFonts w:ascii="Arial" w:cs="Arial" w:eastAsia="Arial" w:hAnsi="Arial"/>
          <w:sz w:val="15"/>
          <w:szCs w:val="15"/>
          <w:color w:val="auto"/>
        </w:rPr>
        <w:t xml:space="preserve">Revenues increased by 1.2%, or $4.0 million, from $320.8 million during the six-month period ended June 30, 2019 to $324.8 million during the six-month period ended June 30, 2020. The increase in revenues is mainly attributable to an increase in revenues of $32.3 million due to the deliveries of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Windsor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Wales</w:t>
      </w:r>
      <w:r>
        <w:rPr>
          <w:rFonts w:ascii="Arial" w:cs="Arial" w:eastAsia="Arial" w:hAnsi="Arial"/>
          <w:sz w:val="15"/>
          <w:szCs w:val="15"/>
          <w:color w:val="auto"/>
        </w:rPr>
        <w:t>, on July 31, 2019, April 1, 2020 and May 11, 2020, respectively, and the operation for the full six-month period of the</w:t>
      </w:r>
      <w:r>
        <w:rPr>
          <w:rFonts w:ascii="Arial" w:cs="Arial" w:eastAsia="Arial" w:hAnsi="Arial"/>
          <w:sz w:val="15"/>
          <w:szCs w:val="15"/>
          <w:i w:val="1"/>
          <w:iCs w:val="1"/>
          <w:color w:val="auto"/>
        </w:rPr>
        <w:t xml:space="preserve"> GasLog Gladstone</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delivered on March 15, 2019. These deliveries resulted in an increase in operating days. The above increase was partially offset by an aggregate decrease in revenues of $26.2 million due to the expiration of the multi-year time charters of four of our vessels and their subsequent trading in the spot market (the </w:t>
      </w:r>
      <w:r>
        <w:rPr>
          <w:rFonts w:ascii="Arial" w:cs="Arial" w:eastAsia="Arial" w:hAnsi="Arial"/>
          <w:sz w:val="15"/>
          <w:szCs w:val="15"/>
          <w:i w:val="1"/>
          <w:iCs w:val="1"/>
          <w:color w:val="auto"/>
        </w:rPr>
        <w:t>Gaslog Saratoga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Alison Victoria, </w:t>
      </w:r>
      <w:r>
        <w:rPr>
          <w:rFonts w:ascii="Arial" w:cs="Arial" w:eastAsia="Arial" w:hAnsi="Arial"/>
          <w:sz w:val="15"/>
          <w:szCs w:val="15"/>
          <w:color w:val="auto"/>
        </w:rPr>
        <w:t>the</w:t>
      </w:r>
      <w:r>
        <w:rPr>
          <w:rFonts w:ascii="Arial" w:cs="Arial" w:eastAsia="Arial" w:hAnsi="Arial"/>
          <w:sz w:val="15"/>
          <w:szCs w:val="15"/>
          <w:i w:val="1"/>
          <w:iCs w:val="1"/>
          <w:color w:val="auto"/>
        </w:rPr>
        <w:t xml:space="preserve"> Methane Rita Andrea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Sydney) </w:t>
      </w:r>
      <w:r>
        <w:rPr>
          <w:rFonts w:ascii="Arial" w:cs="Arial" w:eastAsia="Arial" w:hAnsi="Arial"/>
          <w:sz w:val="15"/>
          <w:szCs w:val="15"/>
          <w:color w:val="auto"/>
        </w:rPr>
        <w:t>and the rechartering of the</w:t>
      </w:r>
      <w:r>
        <w:rPr>
          <w:rFonts w:ascii="Arial" w:cs="Arial" w:eastAsia="Arial" w:hAnsi="Arial"/>
          <w:sz w:val="15"/>
          <w:szCs w:val="15"/>
          <w:i w:val="1"/>
          <w:iCs w:val="1"/>
          <w:color w:val="auto"/>
        </w:rPr>
        <w:t xml:space="preserve"> Methane Jane Elizabeth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Shirley Elisabeth </w:t>
      </w:r>
      <w:r>
        <w:rPr>
          <w:rFonts w:ascii="Arial" w:cs="Arial" w:eastAsia="Arial" w:hAnsi="Arial"/>
          <w:sz w:val="15"/>
          <w:szCs w:val="15"/>
          <w:color w:val="auto"/>
        </w:rPr>
        <w:t>under a new one-year charter with Trafigura and a two-year charter with JOVO, respectively. The average daily hire rate increased from $67,329 for the six-month period ended June 30, 2019 to $68,897 for the six-month period ended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120" w:firstLine="383"/>
        <w:spacing w:after="0" w:line="293" w:lineRule="auto"/>
        <w:rPr>
          <w:sz w:val="20"/>
          <w:szCs w:val="20"/>
          <w:color w:val="auto"/>
        </w:rPr>
      </w:pPr>
      <w:r>
        <w:rPr>
          <w:rFonts w:ascii="Arial" w:cs="Arial" w:eastAsia="Arial" w:hAnsi="Arial"/>
          <w:sz w:val="16"/>
          <w:szCs w:val="16"/>
          <w:color w:val="auto"/>
        </w:rPr>
        <w:t>Net pool allocation increased by $4.1 million, from a negative $4.1 million during the six-month period ended June 30, 2019 to $0 during the six-month period ended June 30, 2020. The variance was attributable to the exit of GasLog’ vessels from the Cool Pool since July 2019.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right="480" w:firstLine="356"/>
        <w:spacing w:after="0" w:line="293" w:lineRule="auto"/>
        <w:rPr>
          <w:sz w:val="20"/>
          <w:szCs w:val="20"/>
          <w:color w:val="auto"/>
        </w:rPr>
      </w:pPr>
      <w:r>
        <w:rPr>
          <w:rFonts w:ascii="Arial" w:cs="Arial" w:eastAsia="Arial" w:hAnsi="Arial"/>
          <w:sz w:val="16"/>
          <w:szCs w:val="16"/>
          <w:color w:val="auto"/>
        </w:rPr>
        <w:t>Voyage expenses and commissions increased marginally by 0.8%, or $0.1 million, from $12.8 million during the six-month period ended June 30, 2019 to $12.9 million during the six-month period ended June 30,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right="20" w:firstLine="356"/>
        <w:spacing w:after="0" w:line="293" w:lineRule="auto"/>
        <w:rPr>
          <w:sz w:val="20"/>
          <w:szCs w:val="20"/>
          <w:color w:val="auto"/>
        </w:rPr>
      </w:pPr>
      <w:r>
        <w:rPr>
          <w:rFonts w:ascii="Arial" w:cs="Arial" w:eastAsia="Arial" w:hAnsi="Arial"/>
          <w:sz w:val="15"/>
          <w:szCs w:val="15"/>
          <w:color w:val="auto"/>
        </w:rPr>
        <w:t xml:space="preserve">Vessel operating and supervision costs increased by 2.1%, or $1.4 million, from $66.3 million during the six-month period ended June 30, 2019 to $67.7 million during the six-month period ended June 30, 2020. The increase was mainly attributable to the increase in crew wages due to the new deliveries in our fleet and increased scheduled technical and maintenance costs related to engine maintenance and dry-docking costs, partially offset by the favorable movement of the EUR/USD exchange rate. Daily operating costs per vessel decreased from $14,319 per ownership day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six-month period ended June 30, 2019 to $13,384 per ownership day (excluding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managed by Shell) for the six-month period ended June 30,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2" w:name="page233"/>
    <w:bookmarkEnd w:id="232"/>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firstLine="356"/>
        <w:spacing w:after="0" w:line="273" w:lineRule="auto"/>
        <w:rPr>
          <w:sz w:val="20"/>
          <w:szCs w:val="20"/>
          <w:color w:val="auto"/>
        </w:rPr>
      </w:pPr>
      <w:r>
        <w:rPr>
          <w:rFonts w:ascii="Arial" w:cs="Arial" w:eastAsia="Arial" w:hAnsi="Arial"/>
          <w:sz w:val="16"/>
          <w:szCs w:val="16"/>
          <w:color w:val="auto"/>
        </w:rPr>
        <w:t>Depreciation increased by 5.2%, or $4.2 million, from $80.9 million during the six-month period ended June 30, 2019 to $85.1 million during the six-month period ended June 30, 2020. The increase in depreciation resulted mainly from the increase in the average number of vessels in our fleet in the six months ended June 30, 2020, compared to the same period in 2019, which was partially offset by the impairment charges recognized in the fourth quarter of 2019, which reduced the carrying value of the Steam vessels.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60" w:firstLine="356"/>
        <w:spacing w:after="0" w:line="269" w:lineRule="auto"/>
        <w:rPr>
          <w:sz w:val="20"/>
          <w:szCs w:val="20"/>
          <w:color w:val="auto"/>
        </w:rPr>
      </w:pPr>
      <w:r>
        <w:rPr>
          <w:rFonts w:ascii="Arial" w:cs="Arial" w:eastAsia="Arial" w:hAnsi="Arial"/>
          <w:sz w:val="16"/>
          <w:szCs w:val="16"/>
          <w:color w:val="auto"/>
        </w:rPr>
        <w:t>General and administrative expenses decreased by 3.3%, or $0.7 million, from $21.5 million during the six-month period ended June 30, 2019 to $20.8 million during the six-month period ended June 30, 2020, before adjusting for restructuring costs in 2020. General and administrative expenses, excluding the effect of the restructuring costs of $1.5 million, were $19.3 million for the six-month period ending June 30, 2020 and the daily running expenses decreased from $4,477 per vessel ownership day for the six-month period ended June 30, 2019 to $3,676 per vessel ownership day for the six-month period ended June 30, 2020. The decrease, excluding the effect of the restructuring costs is mainly attributable to reduced travel and accommodation expenses, mainly due to the COVID-19 related travel restrictions imposed during 2020, a decrease in foreign exchange losses and to legal and other professional fees savings.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Loss on Vessels:</w:t>
      </w:r>
    </w:p>
    <w:p>
      <w:pPr>
        <w:spacing w:after="0" w:line="235" w:lineRule="exact"/>
        <w:rPr>
          <w:sz w:val="20"/>
          <w:szCs w:val="20"/>
          <w:color w:val="auto"/>
        </w:rPr>
      </w:pPr>
    </w:p>
    <w:p>
      <w:pPr>
        <w:ind w:right="20" w:firstLine="391"/>
        <w:spacing w:after="0" w:line="273" w:lineRule="auto"/>
        <w:rPr>
          <w:sz w:val="20"/>
          <w:szCs w:val="20"/>
          <w:color w:val="auto"/>
        </w:rPr>
      </w:pPr>
      <w:r>
        <w:rPr>
          <w:rFonts w:ascii="Arial" w:cs="Arial" w:eastAsia="Arial" w:hAnsi="Arial"/>
          <w:sz w:val="16"/>
          <w:szCs w:val="16"/>
          <w:color w:val="auto"/>
        </w:rPr>
        <w:t xml:space="preserve">Impairment loss on vessels was nil for the six-month period ended June 30, 2019 and $22.5 million for the same period in 2020. The impairment loss recorded as of June 30, 2020 was recognized with respect to four of our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as a result of anticipated increases in volatility in the spot charter market over the near term from COVID-19 pandemic related impacts to LNG and</w:t>
      </w:r>
      <w:r>
        <w:rPr>
          <w:rFonts w:ascii="Arial" w:cs="Arial" w:eastAsia="Arial" w:hAnsi="Arial"/>
          <w:sz w:val="16"/>
          <w:szCs w:val="16"/>
          <w:i w:val="1"/>
          <w:iCs w:val="1"/>
          <w:color w:val="auto"/>
        </w:rPr>
        <w:t xml:space="preserve"> </w:t>
      </w:r>
      <w:r>
        <w:rPr>
          <w:rFonts w:ascii="Arial" w:cs="Arial" w:eastAsia="Arial" w:hAnsi="Arial"/>
          <w:sz w:val="16"/>
          <w:szCs w:val="16"/>
          <w:color w:val="auto"/>
        </w:rPr>
        <w:t>LNG shipping demand.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right="120" w:firstLine="356"/>
        <w:spacing w:after="0" w:line="311" w:lineRule="auto"/>
        <w:rPr>
          <w:sz w:val="20"/>
          <w:szCs w:val="20"/>
          <w:color w:val="auto"/>
        </w:rPr>
      </w:pPr>
      <w:r>
        <w:rPr>
          <w:rFonts w:ascii="Arial" w:cs="Arial" w:eastAsia="Arial" w:hAnsi="Arial"/>
          <w:sz w:val="14"/>
          <w:szCs w:val="14"/>
          <w:color w:val="auto"/>
        </w:rPr>
        <w:t>Financial costs decreased by 8.0%, or $7.4 million, from $92.4 million during the six-month period ended June 30, 2019 to $85.0 million during the six-month period ended June 30, 2020. The decrease is mainly attributable to a net decrease of $8.4 million in interest expense on loans, bonds and cash flow hedges and a net decrease of $0.9 million in other financial costs (consisting of $4.1 million net unrealized foreign exchange gains on cash and bonds, partially offset by an increase of $3.3 million of fees paid for our comprehensive plan to manage our cash collateral exposure placed with the swap banks as a result of the negative marked to market valuations of our interest rate and cross-currency swaps), which is partially offset by an increase of $1.9 million in loss arising on bond repurchase at premium. During the six-month period ended June 30, 2020, we had an average of $3,259.3 million of outstanding indebtedness, with a weighted average interest rate of 4.3%, while during the six-month period ended June 30, 2019, we had an average of $2,977.9 million of outstanding indebtedness having an aggregate weighted average interest rate of 5.3%. These weighted average interest rates include interest expense on loans and cash flow hedges and interest expense on senior unsecured notes and cross-currency swaps.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Derivatives:</w:t>
      </w:r>
    </w:p>
    <w:p>
      <w:pPr>
        <w:spacing w:after="0" w:line="235" w:lineRule="exact"/>
        <w:rPr>
          <w:sz w:val="20"/>
          <w:szCs w:val="20"/>
          <w:color w:val="auto"/>
        </w:rPr>
      </w:pPr>
    </w:p>
    <w:p>
      <w:pPr>
        <w:ind w:right="20" w:firstLine="356"/>
        <w:spacing w:after="0" w:line="293" w:lineRule="auto"/>
        <w:rPr>
          <w:sz w:val="20"/>
          <w:szCs w:val="20"/>
          <w:color w:val="auto"/>
        </w:rPr>
      </w:pPr>
      <w:r>
        <w:rPr>
          <w:rFonts w:ascii="Arial" w:cs="Arial" w:eastAsia="Arial" w:hAnsi="Arial"/>
          <w:sz w:val="15"/>
          <w:szCs w:val="15"/>
          <w:color w:val="auto"/>
        </w:rPr>
        <w:t>Loss on derivatives increased by 65.9%, or $33.6 million, from $51.0 million during the six-month period ended June 30, 2019 to $84.6 million during the six-month period ended June 30, 2020. The increase is attributable to an increase of $28.5 million in loss from marked-to-market valuation of our derivative financial instruments carried at fair value through profit or loss which reflected a loss of $51.9 million in the six months ended June 30, 2019, as compared to a loss of $80.5 million in the six months ended June 30, 2020 and a decrease of $6.6 million in realized gain from interest rate swaps held for trading, partially offset by a decrease of $1.4 million in realized loss on forward foreign exchange contracts held for trading and an increase of $0.1 million in the ineffective portion of cash flow hedges.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for the Period:</w:t>
      </w:r>
    </w:p>
    <w:p>
      <w:pPr>
        <w:spacing w:after="0" w:line="235" w:lineRule="exact"/>
        <w:rPr>
          <w:sz w:val="20"/>
          <w:szCs w:val="20"/>
          <w:color w:val="auto"/>
        </w:rPr>
      </w:pPr>
    </w:p>
    <w:p>
      <w:pPr>
        <w:ind w:right="240" w:firstLine="356"/>
        <w:spacing w:after="0" w:line="293" w:lineRule="auto"/>
        <w:rPr>
          <w:sz w:val="20"/>
          <w:szCs w:val="20"/>
          <w:color w:val="auto"/>
        </w:rPr>
      </w:pPr>
      <w:r>
        <w:rPr>
          <w:rFonts w:ascii="Arial" w:cs="Arial" w:eastAsia="Arial" w:hAnsi="Arial"/>
          <w:sz w:val="16"/>
          <w:szCs w:val="16"/>
          <w:color w:val="auto"/>
        </w:rPr>
        <w:t>Loss for the period increased by $48.2 million, from a loss of $4.6 million for the six-month period ended June 30, 2019 to a loss of $52.8 million for the six-month period ended June 30, 2020,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Attributable to Owners of the Group:</w:t>
      </w:r>
    </w:p>
    <w:p>
      <w:pPr>
        <w:spacing w:after="0" w:line="235" w:lineRule="exact"/>
        <w:rPr>
          <w:sz w:val="20"/>
          <w:szCs w:val="20"/>
          <w:color w:val="auto"/>
        </w:rPr>
      </w:pPr>
    </w:p>
    <w:p>
      <w:pPr>
        <w:ind w:right="320" w:firstLine="356"/>
        <w:spacing w:after="0" w:line="328" w:lineRule="auto"/>
        <w:rPr>
          <w:sz w:val="20"/>
          <w:szCs w:val="20"/>
          <w:color w:val="auto"/>
        </w:rPr>
      </w:pPr>
      <w:r>
        <w:rPr>
          <w:rFonts w:ascii="Arial" w:cs="Arial" w:eastAsia="Arial" w:hAnsi="Arial"/>
          <w:sz w:val="15"/>
          <w:szCs w:val="15"/>
          <w:color w:val="auto"/>
        </w:rPr>
        <w:t>Loss attributable to owners of the Group increased by $35.9 million, from $36.9 million for the six-month period ended June 30, 2019 to $72.8 million for the six-month period ended June 30, 2020. The increase in loss attributable to the owners of GasLog resulted mainly from the increase in loss mentioned above.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39" w:lineRule="exact"/>
        <w:rPr>
          <w:sz w:val="20"/>
          <w:szCs w:val="20"/>
          <w:color w:val="auto"/>
        </w:rPr>
      </w:pPr>
    </w:p>
    <w:p>
      <w:pPr>
        <w:ind w:right="100" w:firstLine="356"/>
        <w:spacing w:after="0" w:line="297" w:lineRule="auto"/>
        <w:rPr>
          <w:sz w:val="20"/>
          <w:szCs w:val="20"/>
          <w:color w:val="auto"/>
        </w:rPr>
      </w:pPr>
      <w:r>
        <w:rPr>
          <w:rFonts w:ascii="Arial" w:cs="Arial" w:eastAsia="Arial" w:hAnsi="Arial"/>
          <w:sz w:val="15"/>
          <w:szCs w:val="15"/>
          <w:color w:val="auto"/>
        </w:rPr>
        <w:t>For the six-month period ended June 30, 2020, we received 63.1% of our revenues from Shell, 26.7% of our revenues from major LNG producers, 10.1% of our revenues from various charterers in the spot/short-term market and 0.1% of our revenues from Egypt LNG, an entity in which we have a 25% ownership interest. For the six-month period ended June 30, 2019, we received 73.9% of our revenues from Shell, 14.0% of our revenues from various charterers in the spot/short-term market, 12.0% of our revenues from major LNG producers and 0.1% of our revenues from Egypt LNG, an entity in which we have a 25% ownership interest.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120" w:firstLine="356"/>
        <w:spacing w:after="0" w:line="273" w:lineRule="auto"/>
        <w:rPr>
          <w:sz w:val="20"/>
          <w:szCs w:val="20"/>
          <w:color w:val="auto"/>
        </w:rPr>
      </w:pPr>
      <w:r>
        <w:rPr>
          <w:rFonts w:ascii="Arial" w:cs="Arial" w:eastAsia="Arial" w:hAnsi="Arial"/>
          <w:sz w:val="16"/>
          <w:szCs w:val="16"/>
          <w:color w:val="auto"/>
        </w:rPr>
        <w:t>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33" w:name="page234"/>
    <w:bookmarkEnd w:id="233"/>
    <w:p>
      <w:pPr>
        <w:ind w:right="100" w:firstLine="356"/>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balancing investment returns in order to maintain appropriate liquidity. Cash and cash equivalents are held primarily in USD.</w:t>
      </w:r>
    </w:p>
    <w:p>
      <w:pPr>
        <w:spacing w:after="0" w:line="172" w:lineRule="exact"/>
        <w:rPr>
          <w:sz w:val="20"/>
          <w:szCs w:val="20"/>
          <w:color w:val="auto"/>
        </w:rPr>
      </w:pPr>
    </w:p>
    <w:p>
      <w:pPr>
        <w:ind w:right="160" w:firstLine="356"/>
        <w:spacing w:after="0" w:line="335" w:lineRule="auto"/>
        <w:rPr>
          <w:sz w:val="20"/>
          <w:szCs w:val="20"/>
          <w:color w:val="auto"/>
        </w:rPr>
      </w:pPr>
      <w:r>
        <w:rPr>
          <w:rFonts w:ascii="Arial" w:cs="Arial" w:eastAsia="Arial" w:hAnsi="Arial"/>
          <w:sz w:val="14"/>
          <w:szCs w:val="14"/>
          <w:color w:val="auto"/>
        </w:rPr>
        <w:t>As of June 30, 2020, GasLog had $172.9 million of cash and cash equivalents, of which $44.5 million was held in time deposits and the remaining balance in current accounts. In addition, an amount of $71.1 million was held as cash collateral with respect to our derivative instruments and is included in Other non-current assets and Prepayments and other current assets. This amount has been further reduced to $44.8 million, following the novation of certain swap agreements described below.</w:t>
      </w:r>
    </w:p>
    <w:p>
      <w:pPr>
        <w:spacing w:after="0" w:line="149" w:lineRule="exact"/>
        <w:rPr>
          <w:sz w:val="20"/>
          <w:szCs w:val="20"/>
          <w:color w:val="auto"/>
        </w:rPr>
      </w:pPr>
    </w:p>
    <w:p>
      <w:pPr>
        <w:ind w:right="160" w:firstLine="356"/>
        <w:spacing w:after="0" w:line="305" w:lineRule="auto"/>
        <w:rPr>
          <w:sz w:val="20"/>
          <w:szCs w:val="20"/>
          <w:color w:val="auto"/>
        </w:rPr>
      </w:pPr>
      <w:r>
        <w:rPr>
          <w:rFonts w:ascii="Arial" w:cs="Arial" w:eastAsia="Arial" w:hAnsi="Arial"/>
          <w:sz w:val="15"/>
          <w:szCs w:val="15"/>
          <w:color w:val="auto"/>
        </w:rPr>
        <w:t>On January 13, 2020, GasLog completed the partial exchange of $10.0 million of the outstanding 8.875% senior unsecured notes due 2022 (the “8.875% Senior Notes”) for new senior unsecured bonds due in 2024 (the “NOK 2024 Bonds”). On January 31, 2020, GasLog repurchased and cancelled NOK 434,000 of the outstanding senior unsecured bonds due May 2021 (the “NOK 2021 Bonds”) at a price of 104.0% of par value, resulting in a loss of $1.9 million.</w:t>
      </w:r>
    </w:p>
    <w:p>
      <w:pPr>
        <w:spacing w:after="0" w:line="166" w:lineRule="exact"/>
        <w:rPr>
          <w:sz w:val="20"/>
          <w:szCs w:val="20"/>
          <w:color w:val="auto"/>
        </w:rPr>
      </w:pPr>
    </w:p>
    <w:p>
      <w:pPr>
        <w:ind w:right="20" w:firstLine="356"/>
        <w:spacing w:after="0" w:line="271" w:lineRule="auto"/>
        <w:rPr>
          <w:sz w:val="20"/>
          <w:szCs w:val="20"/>
          <w:color w:val="auto"/>
        </w:rPr>
      </w:pPr>
      <w:r>
        <w:rPr>
          <w:rFonts w:ascii="Arial" w:cs="Arial" w:eastAsia="Arial" w:hAnsi="Arial"/>
          <w:sz w:val="16"/>
          <w:szCs w:val="16"/>
          <w:color w:val="auto"/>
        </w:rPr>
        <w:t xml:space="preserve">On February 13, 2020, on March 13, 2020 and on March 18, 2020, GasLog drew down $23.3 million, $50.7 million and $26.0 million, respectively under the revolving credit facility of up to $1.1 billion entered into on July 19, 2016 (the “Legacy Facility Refinancing”). On March 26, 2020 and on May 4, 2020, GasLog drew $152.5 million and $149.4 million, respectively under the facility signed on December 12, 2019 with an Export Credit Agency-backed debt financing of $1.1 billion with 13 international banks to provide the debt funding for its current newbuilding program (the “Newbuilding Facility”), to partially finance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Wales</w:t>
      </w:r>
      <w:r>
        <w:rPr>
          <w:rFonts w:ascii="Arial" w:cs="Arial" w:eastAsia="Arial" w:hAnsi="Arial"/>
          <w:sz w:val="16"/>
          <w:szCs w:val="16"/>
          <w:color w:val="auto"/>
        </w:rPr>
        <w:t>.</w:t>
      </w:r>
    </w:p>
    <w:p>
      <w:pPr>
        <w:spacing w:after="0" w:line="190" w:lineRule="exact"/>
        <w:rPr>
          <w:sz w:val="20"/>
          <w:szCs w:val="20"/>
          <w:color w:val="auto"/>
        </w:rPr>
      </w:pPr>
    </w:p>
    <w:p>
      <w:pPr>
        <w:ind w:right="360" w:firstLine="356"/>
        <w:spacing w:after="0" w:line="369" w:lineRule="auto"/>
        <w:rPr>
          <w:sz w:val="20"/>
          <w:szCs w:val="20"/>
          <w:color w:val="auto"/>
        </w:rPr>
      </w:pPr>
      <w:r>
        <w:rPr>
          <w:rFonts w:ascii="Arial" w:cs="Arial" w:eastAsia="Arial" w:hAnsi="Arial"/>
          <w:sz w:val="14"/>
          <w:szCs w:val="14"/>
          <w:color w:val="auto"/>
        </w:rPr>
        <w:t>On June 29, 2020, GasLog closed the sale of 14,400,000 common shares at a price of $2.50 per share for total gross proceeds of $36.0 million through the Private Placement. The net proceeds were used for general corporate purposes. This transaction increased liquidity and further strengthened the capital structure of GasLog.</w:t>
      </w:r>
    </w:p>
    <w:p>
      <w:pPr>
        <w:spacing w:after="0" w:line="126" w:lineRule="exact"/>
        <w:rPr>
          <w:sz w:val="20"/>
          <w:szCs w:val="20"/>
          <w:color w:val="auto"/>
        </w:rPr>
      </w:pPr>
    </w:p>
    <w:p>
      <w:pPr>
        <w:jc w:val="both"/>
        <w:ind w:right="20" w:firstLine="356"/>
        <w:spacing w:after="0" w:line="278" w:lineRule="auto"/>
        <w:rPr>
          <w:sz w:val="20"/>
          <w:szCs w:val="20"/>
          <w:color w:val="auto"/>
        </w:rPr>
      </w:pPr>
      <w:r>
        <w:rPr>
          <w:rFonts w:ascii="Arial" w:cs="Arial" w:eastAsia="Arial" w:hAnsi="Arial"/>
          <w:sz w:val="16"/>
          <w:szCs w:val="16"/>
          <w:color w:val="auto"/>
        </w:rPr>
        <w:t xml:space="preserve">As of June 30, 2020, the total remaining balance of the contract prices of the five LNG carriers on order was $788.3 million (including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which was delivered on July 15, 2020), which GasLog expects to fund them with the Newbuilding Facility, cash balances and cash from operations. As of June 30, 2020, there was undrawn available capacity of $750.9 million under the Newbuilding Facility.</w:t>
      </w:r>
    </w:p>
    <w:p>
      <w:pPr>
        <w:spacing w:after="0" w:line="184" w:lineRule="exact"/>
        <w:rPr>
          <w:sz w:val="20"/>
          <w:szCs w:val="20"/>
          <w:color w:val="auto"/>
        </w:rPr>
      </w:pPr>
    </w:p>
    <w:p>
      <w:pPr>
        <w:ind w:right="40" w:firstLine="356"/>
        <w:spacing w:after="0" w:line="293" w:lineRule="auto"/>
        <w:rPr>
          <w:sz w:val="20"/>
          <w:szCs w:val="20"/>
          <w:color w:val="auto"/>
        </w:rPr>
      </w:pPr>
      <w:r>
        <w:rPr>
          <w:rFonts w:ascii="Arial" w:cs="Arial" w:eastAsia="Arial" w:hAnsi="Arial"/>
          <w:sz w:val="16"/>
          <w:szCs w:val="16"/>
          <w:color w:val="auto"/>
        </w:rPr>
        <w:t>As of June 30, 2020, GasLog had an aggregate of $3.4 billion of indebtedness outstanding under its credit facilities and bond agreements, of which $465.2 million was repayable within one year, and $200.7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$9.8 million was payable within one year.</w:t>
      </w:r>
    </w:p>
    <w:p>
      <w:pPr>
        <w:spacing w:after="0" w:line="172" w:lineRule="exact"/>
        <w:rPr>
          <w:sz w:val="20"/>
          <w:szCs w:val="20"/>
          <w:color w:val="auto"/>
        </w:rPr>
      </w:pPr>
    </w:p>
    <w:p>
      <w:pPr>
        <w:ind w:right="60" w:firstLine="356"/>
        <w:spacing w:after="0" w:line="293" w:lineRule="auto"/>
        <w:rPr>
          <w:sz w:val="20"/>
          <w:szCs w:val="20"/>
          <w:color w:val="auto"/>
        </w:rPr>
      </w:pPr>
      <w:r>
        <w:rPr>
          <w:rFonts w:ascii="Arial" w:cs="Arial" w:eastAsia="Arial" w:hAnsi="Arial"/>
          <w:sz w:val="16"/>
          <w:szCs w:val="16"/>
          <w:color w:val="auto"/>
        </w:rPr>
        <w:t>On July 21, 2020 and July 31, 2020, the respective subsidiaries of GasLog drew down a total of $1,127.7 million under the new facilities entered into on July 16, 2020 and July 30, 2020 and prepaid in full their aggregate outstanding debt of $1,082.6 million, which would have been due in April and July 2021.</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GasLog has hedged 42.7% of its expected floating interest rate exposure on its outstanding debt (excluding the lease liability) as of June 30, 2020.</w:t>
      </w:r>
    </w:p>
    <w:p>
      <w:pPr>
        <w:spacing w:after="0" w:line="235" w:lineRule="exact"/>
        <w:rPr>
          <w:sz w:val="20"/>
          <w:szCs w:val="20"/>
          <w:color w:val="auto"/>
        </w:rPr>
      </w:pPr>
    </w:p>
    <w:p>
      <w:pPr>
        <w:ind w:firstLine="356"/>
        <w:spacing w:after="0" w:line="268" w:lineRule="auto"/>
        <w:rPr>
          <w:sz w:val="20"/>
          <w:szCs w:val="20"/>
          <w:color w:val="auto"/>
        </w:rPr>
      </w:pPr>
      <w:r>
        <w:rPr>
          <w:rFonts w:ascii="Arial" w:cs="Arial" w:eastAsia="Arial" w:hAnsi="Arial"/>
          <w:sz w:val="16"/>
          <w:szCs w:val="16"/>
          <w:color w:val="auto"/>
        </w:rPr>
        <w:t xml:space="preserve">Diversifying the list of hedging providers, GasLog has entered into novation agreements with Nordea Bank Finland (“Nordea”) and Standard Chartered Bank. Subsequently, two interest rate swaps originally held with Nordea and due to mature in 2022, have now been transferred to Standard Chartered Bank. The aggregate notional amount of the trades is $166.6 million. Furthermore, as part of the closing of the Partnership’s refinancing in July 2020, GasLog Partners entered into four new interest rate swap agreements with an aggregate notional amount of $133.3 million due in 2024 and 2025 with the facility lenders DNB Bank ASA, London Branch and ING Bank N.V., London Branch, all secured under the GasLog Partners’ $193.7 million facility agreement signed on July 16, 2020 in relation to the GAS-nineteen Ltd., the GAS-twenty Ltd. and the GAS-twenty seven Ltd., the vessel owning entities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Combined with favorable movements in marked-to-market valuations, this resulted in cash collateral with respect to our interest rate and cross-currency swap agreements decreasing to $44.8 million as of July 31, 2020.</w:t>
      </w:r>
    </w:p>
    <w:p>
      <w:pPr>
        <w:spacing w:after="0" w:line="192" w:lineRule="exact"/>
        <w:rPr>
          <w:sz w:val="20"/>
          <w:szCs w:val="20"/>
          <w:color w:val="auto"/>
        </w:rPr>
      </w:pPr>
    </w:p>
    <w:p>
      <w:pPr>
        <w:ind w:right="160" w:firstLine="356"/>
        <w:spacing w:after="0" w:line="293"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March 6, 2020 and Note 9 of our unaudited condensed consolidated financial statements included elsewhere in this report.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34" w:name="page235"/>
    <w:bookmarkEnd w:id="234"/>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460" w:firstLine="383"/>
        <w:spacing w:after="0" w:line="293" w:lineRule="auto"/>
        <w:rPr>
          <w:sz w:val="20"/>
          <w:szCs w:val="20"/>
          <w:color w:val="auto"/>
        </w:rPr>
      </w:pPr>
      <w:r>
        <w:rPr>
          <w:rFonts w:ascii="Arial" w:cs="Arial" w:eastAsia="Arial" w:hAnsi="Arial"/>
          <w:sz w:val="16"/>
          <w:szCs w:val="16"/>
          <w:color w:val="auto"/>
        </w:rPr>
        <w:t>As of June 30, 2020, GasLog’s current assets totaled $249.8 million, while current liabilities totaled $662.5 million (including the $332.2 million of current debt refinanced in July 2020), resulting in a negative working capital position of $412.7 million.</w:t>
      </w:r>
    </w:p>
    <w:p>
      <w:pPr>
        <w:spacing w:after="0" w:line="172" w:lineRule="exact"/>
        <w:rPr>
          <w:sz w:val="20"/>
          <w:szCs w:val="20"/>
          <w:color w:val="auto"/>
        </w:rPr>
      </w:pPr>
    </w:p>
    <w:p>
      <w:pPr>
        <w:ind w:firstLine="486"/>
        <w:spacing w:after="0" w:line="267" w:lineRule="auto"/>
        <w:rPr>
          <w:sz w:val="20"/>
          <w:szCs w:val="20"/>
          <w:color w:val="auto"/>
        </w:rPr>
      </w:pPr>
      <w:r>
        <w:rPr>
          <w:rFonts w:ascii="Arial" w:cs="Arial" w:eastAsia="Arial" w:hAnsi="Arial"/>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commercial and financial market conditions, we anticipate that our primary sources of funds over the next twelve months will be available cash, cash from operations and existing borrowings, including the credit agreements entered into on July 16, 2020 and July 30, 2020, which refinanced in full the debt maturities due in 2021. We believe that these anticipated sources of funds will be sufficient to meet our liquidity needs and to comply with our banking covenants for at least 12 months from the end of the reporting period and therefore it is appropriate to prepare the financial statements on a going concern basis. Additionally, we may enter into new debt facilities in the future, as well as public and/or private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that are beyond our control.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Six-month period ended June 30, 2019, compared to the six-month period ended June 30, 2020</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94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For the six months ended</w:t>
            </w:r>
          </w:p>
        </w:tc>
      </w:tr>
      <w:tr>
        <w:trPr>
          <w:trHeight w:val="270"/>
        </w:trPr>
        <w:tc>
          <w:tcPr>
            <w:tcW w:w="5260" w:type="dxa"/>
            <w:vAlign w:val="bottom"/>
          </w:tcPr>
          <w:p>
            <w:pPr>
              <w:spacing w:after="0"/>
              <w:rPr>
                <w:sz w:val="23"/>
                <w:szCs w:val="23"/>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June 30, 2020</w:t>
            </w:r>
          </w:p>
        </w:tc>
      </w:tr>
      <w:tr>
        <w:trPr>
          <w:trHeight w:val="209"/>
        </w:trPr>
        <w:tc>
          <w:tcPr>
            <w:tcW w:w="526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2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500" w:type="dxa"/>
            <w:vAlign w:val="bottom"/>
            <w:tcBorders>
              <w:bottom w:val="single" w:sz="8" w:color="E5FFFF"/>
            </w:tcBorders>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98,773</w:t>
            </w:r>
          </w:p>
        </w:tc>
        <w:tc>
          <w:tcPr>
            <w:tcW w:w="134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72,848</w:t>
            </w:r>
          </w:p>
        </w:tc>
        <w:tc>
          <w:tcPr>
            <w:tcW w:w="100" w:type="dxa"/>
            <w:vAlign w:val="bottom"/>
            <w:tcBorders>
              <w:bottom w:val="single" w:sz="8" w:color="E5FFFF"/>
            </w:tcBorders>
            <w:shd w:val="clear" w:color="auto" w:fill="E5FFFF"/>
          </w:tcPr>
          <w:p>
            <w:pPr>
              <w:spacing w:after="0"/>
              <w:rPr>
                <w:sz w:val="20"/>
                <w:szCs w:val="20"/>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(267,151)</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(371,179)</w:t>
            </w:r>
          </w:p>
        </w:tc>
      </w:tr>
      <w:tr>
        <w:trPr>
          <w:trHeight w:val="33"/>
        </w:trPr>
        <w:tc>
          <w:tcPr>
            <w:tcW w:w="5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26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financing activities</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121,453</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209,621</w:t>
            </w:r>
          </w:p>
        </w:tc>
        <w:tc>
          <w:tcPr>
            <w:tcW w:w="100" w:type="dxa"/>
            <w:vAlign w:val="bottom"/>
            <w:shd w:val="clear" w:color="auto" w:fill="E5FFFF"/>
          </w:tcPr>
          <w:p>
            <w:pPr>
              <w:spacing w:after="0"/>
              <w:rPr>
                <w:sz w:val="19"/>
                <w:szCs w:val="19"/>
                <w:color w:val="auto"/>
              </w:rPr>
            </w:pPr>
          </w:p>
        </w:tc>
      </w:tr>
      <w:tr>
        <w:trPr>
          <w:trHeight w:val="33"/>
        </w:trPr>
        <w:tc>
          <w:tcPr>
            <w:tcW w:w="5260" w:type="dxa"/>
            <w:vAlign w:val="bottom"/>
            <w:shd w:val="clear" w:color="auto" w:fill="E5FFFF"/>
          </w:tcPr>
          <w:p>
            <w:pPr>
              <w:spacing w:after="0"/>
              <w:rPr>
                <w:sz w:val="2"/>
                <w:szCs w:val="2"/>
                <w:color w:val="auto"/>
              </w:rPr>
            </w:pPr>
          </w:p>
        </w:tc>
        <w:tc>
          <w:tcPr>
            <w:tcW w:w="134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134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235" w:lineRule="exact"/>
        <w:rPr>
          <w:sz w:val="20"/>
          <w:szCs w:val="20"/>
          <w:color w:val="auto"/>
        </w:rPr>
      </w:pPr>
    </w:p>
    <w:p>
      <w:pPr>
        <w:ind w:right="140" w:firstLine="198"/>
        <w:spacing w:after="0" w:line="297" w:lineRule="auto"/>
        <w:rPr>
          <w:sz w:val="20"/>
          <w:szCs w:val="20"/>
          <w:color w:val="auto"/>
        </w:rPr>
      </w:pPr>
      <w:r>
        <w:rPr>
          <w:rFonts w:ascii="Arial" w:cs="Arial" w:eastAsia="Arial" w:hAnsi="Arial"/>
          <w:sz w:val="15"/>
          <w:szCs w:val="15"/>
          <w:color w:val="auto"/>
        </w:rPr>
        <w:t>Net cash provided by operating activities decreased by $26.0 million, from $98.8 million during the six-month period ended June 30, 2019 to $72.8 million during the six-month period ended June 30, 2020. The decrease is mainly attributable to a decrease of $26.4 million movements of the working capital accounts (mainly driven by the $26.5 million increase in movements of cash collateral relating to swaps), a decrease of $23.5 million in movements of balances with related parties, mainly due to the collection of balances due from the Cool Pool partially offset by $20.9 million due to the movements in unearned revenue collected).</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35" w:lineRule="exact"/>
        <w:rPr>
          <w:sz w:val="20"/>
          <w:szCs w:val="20"/>
          <w:color w:val="auto"/>
        </w:rPr>
      </w:pPr>
    </w:p>
    <w:p>
      <w:pPr>
        <w:ind w:right="40" w:firstLine="228"/>
        <w:spacing w:after="0" w:line="324" w:lineRule="auto"/>
        <w:rPr>
          <w:sz w:val="20"/>
          <w:szCs w:val="20"/>
          <w:color w:val="auto"/>
        </w:rPr>
      </w:pPr>
      <w:r>
        <w:rPr>
          <w:rFonts w:ascii="Arial" w:cs="Arial" w:eastAsia="Arial" w:hAnsi="Arial"/>
          <w:sz w:val="14"/>
          <w:szCs w:val="14"/>
          <w:color w:val="auto"/>
        </w:rPr>
        <w:t>Net cash used in investing activities increased by $104.0 million, from $267,2 million in the six-month period ended June 30, 2019 to $371.2 million in the six-month period ended June 30, 2020. The increase is mainly attributable to an increase of $123.3 million in net cash used in payments for the construction costs of newbuildings and other fixed assets, an increase of $2.5 million in net cash used in payments for right-of-use assets and a decrease of $2.2 million in cash from interest income, partially offset by a net decrease of $23.5 million in cash from short-term investments in the six-month period ended June 30, 2020 compared to the same period of 2019.</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ind w:firstLine="356"/>
        <w:spacing w:after="0" w:line="269" w:lineRule="auto"/>
        <w:rPr>
          <w:sz w:val="20"/>
          <w:szCs w:val="20"/>
          <w:color w:val="auto"/>
        </w:rPr>
      </w:pPr>
      <w:r>
        <w:rPr>
          <w:rFonts w:ascii="Arial" w:cs="Arial" w:eastAsia="Arial" w:hAnsi="Arial"/>
          <w:sz w:val="16"/>
          <w:szCs w:val="16"/>
          <w:color w:val="auto"/>
        </w:rPr>
        <w:t>Net cash provided by financing activities increased by $88.1 million, from $121.5 million in the six-month period ended June 30, 2019 to $209.6 million in the six-month period ended June 30, 2020. The increase is mainly attributable to a decrease of $295.1 million bank loan and bond repayments, an increase of $36.0 million in proceeds from the Private Placement, a decrease of $26.2 million in dividend payments, a decrease of $10.7 million in cash used for purchases of treasury shares, an increase of $10.7 million in proceeds from entering into interest rate swaps, a decrease of $1.6 million in payments of loan issuance costs and a decrease of $0.9 million in payments for equity raising costs, partially offset by a decrease of $275.8 million in proceeds from borrowings, an increase of $10.8 million relating to the payment for an interest rate swap termination, an increase of $4.1 million in payments for cross currency swaps’ termination, an increase of $1.9 million in payments for bond repurchase at a premium and an increase of $0.4 million in payments for lease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 and Days from Time Charters</w:t>
      </w:r>
    </w:p>
    <w:p>
      <w:pPr>
        <w:spacing w:after="0" w:line="239" w:lineRule="exact"/>
        <w:rPr>
          <w:sz w:val="20"/>
          <w:szCs w:val="20"/>
          <w:color w:val="auto"/>
        </w:rPr>
      </w:pPr>
    </w:p>
    <w:p>
      <w:pPr>
        <w:ind w:right="100" w:firstLine="356"/>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contract cover after June 30, 2020.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w w:val="96"/>
              </w:rPr>
              <w:t>Contracted Charter Revenues and Days from Time Charters</w:t>
            </w:r>
          </w:p>
        </w:tc>
        <w:tc>
          <w:tcPr>
            <w:tcW w:w="1440" w:type="dxa"/>
            <w:vAlign w:val="bottom"/>
          </w:tcPr>
          <w:p>
            <w:pPr>
              <w:spacing w:after="0"/>
              <w:rPr>
                <w:sz w:val="18"/>
                <w:szCs w:val="18"/>
                <w:color w:val="auto"/>
              </w:rPr>
            </w:pPr>
          </w:p>
        </w:tc>
      </w:tr>
      <w:tr>
        <w:trPr>
          <w:trHeight w:val="411"/>
        </w:trPr>
        <w:tc>
          <w:tcPr>
            <w:tcW w:w="3380" w:type="dxa"/>
            <w:vAlign w:val="bottom"/>
          </w:tcPr>
          <w:p>
            <w:pPr>
              <w:spacing w:after="0"/>
              <w:rPr>
                <w:sz w:val="24"/>
                <w:szCs w:val="24"/>
                <w:color w:val="auto"/>
              </w:rPr>
            </w:pPr>
          </w:p>
        </w:tc>
        <w:tc>
          <w:tcPr>
            <w:tcW w:w="1360" w:type="dxa"/>
            <w:vAlign w:val="bottom"/>
          </w:tcPr>
          <w:p>
            <w:pPr>
              <w:jc w:val="right"/>
              <w:ind w:right="399"/>
              <w:spacing w:after="0"/>
              <w:rPr>
                <w:sz w:val="20"/>
                <w:szCs w:val="20"/>
                <w:color w:val="auto"/>
              </w:rPr>
            </w:pPr>
            <w:r>
              <w:rPr>
                <w:rFonts w:ascii="Arial" w:cs="Arial" w:eastAsia="Arial" w:hAnsi="Arial"/>
                <w:sz w:val="16"/>
                <w:szCs w:val="16"/>
                <w:b w:val="1"/>
                <w:bCs w:val="1"/>
                <w:color w:val="auto"/>
              </w:rPr>
              <w:t>After June</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3"/>
        </w:trPr>
        <w:tc>
          <w:tcPr>
            <w:tcW w:w="3380" w:type="dxa"/>
            <w:vAlign w:val="bottom"/>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30,</w:t>
            </w:r>
          </w:p>
        </w:tc>
        <w:tc>
          <w:tcPr>
            <w:tcW w:w="12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For the years ending December 31,</w:t>
            </w:r>
          </w:p>
        </w:tc>
        <w:tc>
          <w:tcPr>
            <w:tcW w:w="1440" w:type="dxa"/>
            <w:vAlign w:val="bottom"/>
            <w:tcBorders>
              <w:bottom w:val="single" w:sz="8" w:color="auto"/>
            </w:tcBorders>
          </w:tcPr>
          <w:p>
            <w:pPr>
              <w:spacing w:after="0"/>
              <w:rPr>
                <w:sz w:val="18"/>
                <w:szCs w:val="18"/>
                <w:color w:val="auto"/>
              </w:rPr>
            </w:pPr>
          </w:p>
        </w:tc>
      </w:tr>
      <w:tr>
        <w:trPr>
          <w:trHeight w:val="199"/>
        </w:trPr>
        <w:tc>
          <w:tcPr>
            <w:tcW w:w="3380" w:type="dxa"/>
            <w:vAlign w:val="bottom"/>
          </w:tcPr>
          <w:p>
            <w:pPr>
              <w:spacing w:after="0"/>
              <w:rPr>
                <w:sz w:val="17"/>
                <w:szCs w:val="17"/>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2024-2032</w:t>
            </w:r>
          </w:p>
        </w:tc>
        <w:tc>
          <w:tcPr>
            <w:tcW w:w="14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Total</w:t>
            </w:r>
          </w:p>
        </w:tc>
      </w:tr>
      <w:tr>
        <w:trPr>
          <w:trHeight w:val="196"/>
        </w:trPr>
        <w:tc>
          <w:tcPr>
            <w:tcW w:w="3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6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w w:val="97"/>
              </w:rPr>
              <w:t>(in millions of U.S. dollars, except days and percentages)</w:t>
            </w:r>
          </w:p>
        </w:tc>
        <w:tc>
          <w:tcPr>
            <w:tcW w:w="1440" w:type="dxa"/>
            <w:vAlign w:val="bottom"/>
          </w:tcPr>
          <w:p>
            <w:pPr>
              <w:spacing w:after="0"/>
              <w:rPr>
                <w:sz w:val="17"/>
                <w:szCs w:val="17"/>
                <w:color w:val="auto"/>
              </w:rPr>
            </w:pPr>
          </w:p>
        </w:tc>
      </w:tr>
      <w:tr>
        <w:trPr>
          <w:trHeight w:val="203"/>
        </w:trPr>
        <w:tc>
          <w:tcPr>
            <w:tcW w:w="33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w:t>
            </w:r>
          </w:p>
        </w:tc>
        <w:tc>
          <w:tcPr>
            <w:tcW w:w="136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294.9</w:t>
            </w:r>
          </w:p>
        </w:tc>
        <w:tc>
          <w:tcPr>
            <w:tcW w:w="126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559.8</w:t>
            </w:r>
          </w:p>
        </w:tc>
        <w:tc>
          <w:tcPr>
            <w:tcW w:w="124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545.6</w:t>
            </w:r>
          </w:p>
        </w:tc>
        <w:tc>
          <w:tcPr>
            <w:tcW w:w="116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511.3</w:t>
            </w:r>
          </w:p>
        </w:tc>
        <w:tc>
          <w:tcPr>
            <w:tcW w:w="140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1,771.6</w:t>
            </w:r>
          </w:p>
        </w:tc>
        <w:tc>
          <w:tcPr>
            <w:tcW w:w="1440" w:type="dxa"/>
            <w:vAlign w:val="bottom"/>
            <w:shd w:val="clear" w:color="auto" w:fill="E5FFFF"/>
          </w:tcPr>
          <w:p>
            <w:pPr>
              <w:jc w:val="right"/>
              <w:ind w:right="479"/>
              <w:spacing w:after="0"/>
              <w:rPr>
                <w:sz w:val="20"/>
                <w:szCs w:val="20"/>
                <w:color w:val="auto"/>
              </w:rPr>
            </w:pPr>
            <w:r>
              <w:rPr>
                <w:rFonts w:ascii="Arial" w:cs="Arial" w:eastAsia="Arial" w:hAnsi="Arial"/>
                <w:sz w:val="16"/>
                <w:szCs w:val="16"/>
                <w:color w:val="auto"/>
              </w:rPr>
              <w:t>3,683.2</w:t>
            </w: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4,574</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7,926</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7,492</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6,692</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23,704</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50,388</w:t>
            </w:r>
          </w:p>
        </w:tc>
      </w:tr>
      <w:tr>
        <w:trPr>
          <w:trHeight w:val="203"/>
        </w:trPr>
        <w:tc>
          <w:tcPr>
            <w:tcW w:w="33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(2)</w:t>
            </w:r>
          </w:p>
        </w:tc>
        <w:tc>
          <w:tcPr>
            <w:tcW w:w="1360" w:type="dxa"/>
            <w:vAlign w:val="bottom"/>
            <w:shd w:val="clear" w:color="auto" w:fill="E5FFFF"/>
          </w:tcPr>
          <w:p>
            <w:pPr>
              <w:jc w:val="right"/>
              <w:ind w:right="259"/>
              <w:spacing w:after="0"/>
              <w:rPr>
                <w:sz w:val="20"/>
                <w:szCs w:val="20"/>
                <w:color w:val="auto"/>
              </w:rPr>
            </w:pPr>
            <w:r>
              <w:rPr>
                <w:rFonts w:ascii="Arial" w:cs="Arial" w:eastAsia="Arial" w:hAnsi="Arial"/>
                <w:sz w:val="16"/>
                <w:szCs w:val="16"/>
                <w:color w:val="auto"/>
              </w:rPr>
              <w:t>5,567</w:t>
            </w:r>
          </w:p>
        </w:tc>
        <w:tc>
          <w:tcPr>
            <w:tcW w:w="126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12,214</w:t>
            </w:r>
          </w:p>
        </w:tc>
        <w:tc>
          <w:tcPr>
            <w:tcW w:w="1240" w:type="dxa"/>
            <w:vAlign w:val="bottom"/>
            <w:shd w:val="clear" w:color="auto" w:fill="E5FFFF"/>
          </w:tcPr>
          <w:p>
            <w:pPr>
              <w:jc w:val="right"/>
              <w:ind w:right="279"/>
              <w:spacing w:after="0"/>
              <w:rPr>
                <w:sz w:val="20"/>
                <w:szCs w:val="20"/>
                <w:color w:val="auto"/>
              </w:rPr>
            </w:pPr>
            <w:r>
              <w:rPr>
                <w:rFonts w:ascii="Arial" w:cs="Arial" w:eastAsia="Arial" w:hAnsi="Arial"/>
                <w:sz w:val="16"/>
                <w:szCs w:val="16"/>
                <w:color w:val="auto"/>
              </w:rPr>
              <w:t>12,775</w:t>
            </w:r>
          </w:p>
        </w:tc>
        <w:tc>
          <w:tcPr>
            <w:tcW w:w="116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12,535</w:t>
            </w:r>
          </w:p>
        </w:tc>
        <w:tc>
          <w:tcPr>
            <w:tcW w:w="140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113,250</w:t>
            </w:r>
          </w:p>
        </w:tc>
        <w:tc>
          <w:tcPr>
            <w:tcW w:w="1440" w:type="dxa"/>
            <w:vAlign w:val="bottom"/>
            <w:shd w:val="clear" w:color="auto" w:fill="E5FFFF"/>
          </w:tcPr>
          <w:p>
            <w:pPr>
              <w:jc w:val="right"/>
              <w:ind w:right="479"/>
              <w:spacing w:after="0"/>
              <w:rPr>
                <w:sz w:val="20"/>
                <w:szCs w:val="20"/>
                <w:color w:val="auto"/>
              </w:rPr>
            </w:pPr>
            <w:r>
              <w:rPr>
                <w:rFonts w:ascii="Arial" w:cs="Arial" w:eastAsia="Arial" w:hAnsi="Arial"/>
                <w:sz w:val="16"/>
                <w:szCs w:val="16"/>
                <w:color w:val="auto"/>
              </w:rPr>
              <w:t>156,341</w:t>
            </w: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(3)</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993</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4,288</w:t>
            </w: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5,283</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5,843</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89,546</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105,953</w:t>
            </w:r>
          </w:p>
        </w:tc>
      </w:tr>
      <w:tr>
        <w:trPr>
          <w:trHeight w:val="193"/>
        </w:trPr>
        <w:tc>
          <w:tcPr>
            <w:tcW w:w="338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w:t>
            </w:r>
          </w:p>
        </w:tc>
        <w:tc>
          <w:tcPr>
            <w:tcW w:w="136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16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r>
      <w:tr>
        <w:trPr>
          <w:trHeight w:val="212"/>
        </w:trPr>
        <w:tc>
          <w:tcPr>
            <w:tcW w:w="33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available days</w:t>
            </w:r>
          </w:p>
        </w:tc>
        <w:tc>
          <w:tcPr>
            <w:tcW w:w="136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82.2%</w:t>
            </w:r>
          </w:p>
        </w:tc>
        <w:tc>
          <w:tcPr>
            <w:tcW w:w="126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64.9%</w:t>
            </w:r>
          </w:p>
        </w:tc>
        <w:tc>
          <w:tcPr>
            <w:tcW w:w="124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58.6%</w:t>
            </w:r>
          </w:p>
        </w:tc>
        <w:tc>
          <w:tcPr>
            <w:tcW w:w="116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53.4%</w:t>
            </w:r>
          </w:p>
        </w:tc>
        <w:tc>
          <w:tcPr>
            <w:tcW w:w="14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20.9%</w:t>
            </w:r>
          </w:p>
        </w:tc>
        <w:tc>
          <w:tcPr>
            <w:tcW w:w="1440" w:type="dxa"/>
            <w:vAlign w:val="bottom"/>
            <w:shd w:val="clear" w:color="auto" w:fill="E5FFFF"/>
          </w:tcPr>
          <w:p>
            <w:pPr>
              <w:jc w:val="right"/>
              <w:ind w:right="339"/>
              <w:spacing w:after="0"/>
              <w:rPr>
                <w:sz w:val="20"/>
                <w:szCs w:val="20"/>
                <w:color w:val="auto"/>
              </w:rPr>
            </w:pPr>
            <w:r>
              <w:rPr>
                <w:rFonts w:ascii="Arial" w:cs="Arial" w:eastAsia="Arial" w:hAnsi="Arial"/>
                <w:sz w:val="16"/>
                <w:szCs w:val="16"/>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858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100" w:hanging="192"/>
        <w:spacing w:after="0" w:line="260" w:lineRule="auto"/>
        <w:tabs>
          <w:tab w:leader="none" w:pos="191" w:val="left"/>
        </w:tabs>
        <w:numPr>
          <w:ilvl w:val="0"/>
          <w:numId w:val="497"/>
        </w:numPr>
        <w:rPr>
          <w:rFonts w:ascii="Arial" w:cs="Arial" w:eastAsia="Arial" w:hAnsi="Arial"/>
          <w:sz w:val="15"/>
          <w:szCs w:val="15"/>
          <w:color w:val="auto"/>
          <w:vertAlign w:val="superscript"/>
        </w:rPr>
      </w:pPr>
      <w:r>
        <w:rPr>
          <w:rFonts w:ascii="Arial" w:cs="Arial" w:eastAsia="Arial" w:hAnsi="Arial"/>
          <w:sz w:val="12"/>
          <w:szCs w:val="12"/>
          <w:color w:val="auto"/>
        </w:rPr>
        <w:t xml:space="preserve">Reflects time charter revenues and contracted days for thirteen of our currently wholly-owned ships, the 15 ships currently owned by the Partnership, the bareboat vessel and the five newbuildings on order for which we have secured time charters. Does not include charter revenues for the </w:t>
      </w:r>
      <w:r>
        <w:rPr>
          <w:rFonts w:ascii="Arial" w:cs="Arial" w:eastAsia="Arial" w:hAnsi="Arial"/>
          <w:sz w:val="12"/>
          <w:szCs w:val="12"/>
          <w:i w:val="1"/>
          <w:iCs w:val="1"/>
          <w:color w:val="auto"/>
        </w:rPr>
        <w:t>Methane Nile Eagle</w:t>
      </w:r>
      <w:r>
        <w:rPr>
          <w:rFonts w:ascii="Arial" w:cs="Arial" w:eastAsia="Arial" w:hAnsi="Arial"/>
          <w:sz w:val="12"/>
          <w:szCs w:val="12"/>
          <w:color w:val="auto"/>
        </w:rPr>
        <w:t>, in which we hold a 25%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50" w:lineRule="exact"/>
        <w:rPr>
          <w:rFonts w:ascii="Arial" w:cs="Arial" w:eastAsia="Arial" w:hAnsi="Arial"/>
          <w:sz w:val="15"/>
          <w:szCs w:val="15"/>
          <w:color w:val="auto"/>
          <w:vertAlign w:val="superscript"/>
        </w:rPr>
      </w:pPr>
    </w:p>
    <w:p>
      <w:pPr>
        <w:ind w:left="200" w:right="260" w:hanging="192"/>
        <w:spacing w:after="0" w:line="215" w:lineRule="auto"/>
        <w:tabs>
          <w:tab w:leader="none" w:pos="191" w:val="left"/>
        </w:tabs>
        <w:numPr>
          <w:ilvl w:val="0"/>
          <w:numId w:val="497"/>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61" w:lineRule="exact"/>
        <w:rPr>
          <w:rFonts w:ascii="Arial" w:cs="Arial" w:eastAsia="Arial" w:hAnsi="Arial"/>
          <w:sz w:val="18"/>
          <w:szCs w:val="18"/>
          <w:color w:val="auto"/>
          <w:vertAlign w:val="superscript"/>
        </w:rPr>
      </w:pPr>
    </w:p>
    <w:p>
      <w:pPr>
        <w:ind w:left="200" w:right="420" w:hanging="192"/>
        <w:spacing w:after="0" w:line="215" w:lineRule="auto"/>
        <w:tabs>
          <w:tab w:leader="none" w:pos="191" w:val="left"/>
        </w:tabs>
        <w:numPr>
          <w:ilvl w:val="0"/>
          <w:numId w:val="497"/>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381" w:lineRule="exact"/>
        <w:rPr>
          <w:sz w:val="20"/>
          <w:szCs w:val="20"/>
          <w:color w:val="auto"/>
        </w:rPr>
      </w:pPr>
    </w:p>
    <w:p>
      <w:pPr>
        <w:ind w:firstLine="356"/>
        <w:spacing w:after="0" w:line="306" w:lineRule="auto"/>
        <w:rPr>
          <w:sz w:val="20"/>
          <w:szCs w:val="20"/>
          <w:color w:val="auto"/>
        </w:rPr>
      </w:pPr>
      <w:r>
        <w:rPr>
          <w:rFonts w:ascii="Arial" w:cs="Arial" w:eastAsia="Arial" w:hAnsi="Arial"/>
          <w:sz w:val="14"/>
          <w:szCs w:val="14"/>
          <w:color w:val="auto"/>
        </w:rPr>
        <w:t>Other than the assumptions reflected in the footnotes to the table, including our assumption that our newbuildings are delivered on schedule, the table does not reflect events occurring after June 30, 2020.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vessels that are operating in the spot term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6, 2020.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39" w:lineRule="exact"/>
        <w:rPr>
          <w:sz w:val="20"/>
          <w:szCs w:val="20"/>
          <w:color w:val="auto"/>
        </w:rPr>
      </w:pPr>
    </w:p>
    <w:p>
      <w:pPr>
        <w:ind w:right="340" w:firstLine="356"/>
        <w:spacing w:after="0" w:line="328" w:lineRule="auto"/>
        <w:rPr>
          <w:sz w:val="20"/>
          <w:szCs w:val="20"/>
          <w:color w:val="auto"/>
        </w:rPr>
      </w:pPr>
      <w:r>
        <w:rPr>
          <w:rFonts w:ascii="Arial" w:cs="Arial" w:eastAsia="Arial" w:hAnsi="Arial"/>
          <w:sz w:val="15"/>
          <w:szCs w:val="15"/>
          <w:color w:val="auto"/>
        </w:rPr>
        <w:t>For a description of all of our significant accounting policies, see Note 2 of our annual audited consolidated financial statements included in our Annual Report on Form 20-F filed on March 6, 2020 and Note 2 of our unaudited condensed consolidated financial statements included elsewhere in this report.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6" w:name="page237"/>
    <w:bookmarkEnd w:id="236"/>
    <w:p>
      <w:pPr>
        <w:jc w:val="center"/>
        <w:ind w:right="40"/>
        <w:spacing w:after="0"/>
        <w:rPr>
          <w:sz w:val="20"/>
          <w:szCs w:val="20"/>
          <w:color w:val="auto"/>
        </w:rPr>
      </w:pPr>
      <w:r>
        <w:rPr>
          <w:rFonts w:ascii="Arial" w:cs="Arial" w:eastAsia="Arial" w:hAnsi="Arial"/>
          <w:sz w:val="16"/>
          <w:szCs w:val="16"/>
          <w:b w:val="1"/>
          <w:bCs w:val="1"/>
          <w:color w:val="auto"/>
        </w:rPr>
        <w:t>GASLOG LTD.</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INDEX TO UNAUDITED CONDENSED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c>
          <w:tcPr>
            <w:tcW w:w="40" w:type="dxa"/>
            <w:vAlign w:val="bottom"/>
          </w:tcPr>
          <w:p>
            <w:pPr>
              <w:spacing w:after="0"/>
              <w:rPr>
                <w:sz w:val="18"/>
                <w:szCs w:val="18"/>
                <w:color w:val="auto"/>
              </w:rPr>
            </w:pPr>
          </w:p>
        </w:tc>
      </w:tr>
      <w:tr>
        <w:trPr>
          <w:trHeight w:val="212"/>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0120" w:type="dxa"/>
            <w:vAlign w:val="bottom"/>
            <w:shd w:val="clear" w:color="auto" w:fill="E5FFFF"/>
          </w:tcPr>
          <w:p>
            <w:pPr>
              <w:spacing w:after="0"/>
              <w:rPr>
                <w:rFonts w:ascii="Arial" w:cs="Arial" w:eastAsia="Arial" w:hAnsi="Arial"/>
                <w:sz w:val="16"/>
                <w:szCs w:val="16"/>
                <w:u w:val="single" w:color="auto"/>
                <w:color w:val="0000EE"/>
              </w:rPr>
            </w:pPr>
            <w:hyperlink w:anchor="page238">
              <w:r>
                <w:rPr>
                  <w:rFonts w:ascii="Arial" w:cs="Arial" w:eastAsia="Arial" w:hAnsi="Arial"/>
                  <w:sz w:val="16"/>
                  <w:szCs w:val="16"/>
                  <w:u w:val="single" w:color="auto"/>
                  <w:color w:val="0000EE"/>
                </w:rPr>
                <w:t>Unaudited condensed consolidated statements of financial position as of December 31, 2019 and June 30, 2020</w:t>
              </w:r>
            </w:hyperlink>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F-2</w:t>
            </w:r>
          </w:p>
        </w:tc>
        <w:tc>
          <w:tcPr>
            <w:tcW w:w="40" w:type="dxa"/>
            <w:vAlign w:val="bottom"/>
          </w:tcPr>
          <w:p>
            <w:pPr>
              <w:spacing w:after="0"/>
              <w:rPr>
                <w:sz w:val="17"/>
                <w:szCs w:val="17"/>
                <w:color w:val="auto"/>
              </w:rPr>
            </w:pPr>
          </w:p>
        </w:tc>
      </w:tr>
      <w:tr>
        <w:trPr>
          <w:trHeight w:val="203"/>
        </w:trPr>
        <w:tc>
          <w:tcPr>
            <w:tcW w:w="10120" w:type="dxa"/>
            <w:vAlign w:val="bottom"/>
          </w:tcPr>
          <w:p>
            <w:pPr>
              <w:spacing w:after="0"/>
              <w:rPr>
                <w:rFonts w:ascii="Arial" w:cs="Arial" w:eastAsia="Arial" w:hAnsi="Arial"/>
                <w:sz w:val="16"/>
                <w:szCs w:val="16"/>
                <w:u w:val="single" w:color="auto"/>
                <w:color w:val="0000EE"/>
              </w:rPr>
            </w:pPr>
            <w:hyperlink w:anchor="page239">
              <w:r>
                <w:rPr>
                  <w:rFonts w:ascii="Arial" w:cs="Arial" w:eastAsia="Arial" w:hAnsi="Arial"/>
                  <w:sz w:val="16"/>
                  <w:szCs w:val="16"/>
                  <w:u w:val="single" w:color="auto"/>
                  <w:color w:val="0000EE"/>
                </w:rPr>
                <w:t>Unaudited condensed consolidated statements of profit or loss for the three and six months ended June 30, 2019 and 2020</w:t>
              </w:r>
            </w:hyperlink>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F-3</w:t>
            </w:r>
          </w:p>
        </w:tc>
        <w:tc>
          <w:tcPr>
            <w:tcW w:w="40" w:type="dxa"/>
            <w:vAlign w:val="bottom"/>
          </w:tcPr>
          <w:p>
            <w:pPr>
              <w:spacing w:after="0"/>
              <w:rPr>
                <w:sz w:val="17"/>
                <w:szCs w:val="17"/>
                <w:color w:val="auto"/>
              </w:rPr>
            </w:pPr>
          </w:p>
        </w:tc>
      </w:tr>
      <w:tr>
        <w:trPr>
          <w:trHeight w:val="203"/>
        </w:trPr>
        <w:tc>
          <w:tcPr>
            <w:tcW w:w="10120" w:type="dxa"/>
            <w:vAlign w:val="bottom"/>
            <w:shd w:val="clear" w:color="auto" w:fill="E5FFFF"/>
          </w:tcPr>
          <w:p>
            <w:pPr>
              <w:spacing w:after="0"/>
              <w:rPr>
                <w:rFonts w:ascii="Arial" w:cs="Arial" w:eastAsia="Arial" w:hAnsi="Arial"/>
                <w:sz w:val="16"/>
                <w:szCs w:val="16"/>
                <w:u w:val="single" w:color="auto"/>
                <w:color w:val="0000EE"/>
              </w:rPr>
            </w:pPr>
            <w:hyperlink w:anchor="page240">
              <w:r>
                <w:rPr>
                  <w:rFonts w:ascii="Arial" w:cs="Arial" w:eastAsia="Arial" w:hAnsi="Arial"/>
                  <w:sz w:val="16"/>
                  <w:szCs w:val="16"/>
                  <w:u w:val="single" w:color="auto"/>
                  <w:color w:val="0000EE"/>
                </w:rPr>
                <w:t>Unaudited condensed consolidated statements of comprehensive income or loss for the three and six months ended June 30, 2019 and 2020</w:t>
              </w:r>
            </w:hyperlink>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F-4</w:t>
            </w:r>
          </w:p>
        </w:tc>
        <w:tc>
          <w:tcPr>
            <w:tcW w:w="40" w:type="dxa"/>
            <w:vAlign w:val="bottom"/>
          </w:tcPr>
          <w:p>
            <w:pPr>
              <w:spacing w:after="0"/>
              <w:rPr>
                <w:sz w:val="17"/>
                <w:szCs w:val="17"/>
                <w:color w:val="auto"/>
              </w:rPr>
            </w:pPr>
          </w:p>
        </w:tc>
      </w:tr>
      <w:tr>
        <w:trPr>
          <w:trHeight w:val="203"/>
        </w:trPr>
        <w:tc>
          <w:tcPr>
            <w:tcW w:w="10120" w:type="dxa"/>
            <w:vAlign w:val="bottom"/>
          </w:tcPr>
          <w:p>
            <w:pPr>
              <w:spacing w:after="0"/>
              <w:rPr>
                <w:rFonts w:ascii="Arial" w:cs="Arial" w:eastAsia="Arial" w:hAnsi="Arial"/>
                <w:sz w:val="16"/>
                <w:szCs w:val="16"/>
                <w:u w:val="single" w:color="auto"/>
                <w:color w:val="0000EE"/>
              </w:rPr>
            </w:pPr>
            <w:hyperlink w:anchor="page241">
              <w:r>
                <w:rPr>
                  <w:rFonts w:ascii="Arial" w:cs="Arial" w:eastAsia="Arial" w:hAnsi="Arial"/>
                  <w:sz w:val="16"/>
                  <w:szCs w:val="16"/>
                  <w:u w:val="single" w:color="auto"/>
                  <w:color w:val="0000EE"/>
                </w:rPr>
                <w:t>Unaudited condensed consolidated statements of changes in equity for the six months ended June 30, 2019 and 2020</w:t>
              </w:r>
            </w:hyperlink>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F-5</w:t>
            </w:r>
          </w:p>
        </w:tc>
        <w:tc>
          <w:tcPr>
            <w:tcW w:w="40" w:type="dxa"/>
            <w:vAlign w:val="bottom"/>
          </w:tcPr>
          <w:p>
            <w:pPr>
              <w:spacing w:after="0"/>
              <w:rPr>
                <w:sz w:val="17"/>
                <w:szCs w:val="17"/>
                <w:color w:val="auto"/>
              </w:rPr>
            </w:pPr>
          </w:p>
        </w:tc>
      </w:tr>
      <w:tr>
        <w:trPr>
          <w:trHeight w:val="203"/>
        </w:trPr>
        <w:tc>
          <w:tcPr>
            <w:tcW w:w="10120" w:type="dxa"/>
            <w:vAlign w:val="bottom"/>
            <w:shd w:val="clear" w:color="auto" w:fill="E5FFFF"/>
          </w:tcPr>
          <w:p>
            <w:pPr>
              <w:spacing w:after="0"/>
              <w:rPr>
                <w:rFonts w:ascii="Arial" w:cs="Arial" w:eastAsia="Arial" w:hAnsi="Arial"/>
                <w:sz w:val="16"/>
                <w:szCs w:val="16"/>
                <w:u w:val="single" w:color="auto"/>
                <w:color w:val="0000EE"/>
              </w:rPr>
            </w:pPr>
            <w:hyperlink w:anchor="page242">
              <w:r>
                <w:rPr>
                  <w:rFonts w:ascii="Arial" w:cs="Arial" w:eastAsia="Arial" w:hAnsi="Arial"/>
                  <w:sz w:val="16"/>
                  <w:szCs w:val="16"/>
                  <w:u w:val="single" w:color="auto"/>
                  <w:color w:val="0000EE"/>
                </w:rPr>
                <w:t>Unaudited condensed consolidated statements of cash flows for the six months ended June 30, 2019 and 2020</w:t>
              </w:r>
            </w:hyperlink>
          </w:p>
        </w:tc>
        <w:tc>
          <w:tcPr>
            <w:tcW w:w="11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F-6</w:t>
            </w:r>
          </w:p>
        </w:tc>
        <w:tc>
          <w:tcPr>
            <w:tcW w:w="40" w:type="dxa"/>
            <w:vAlign w:val="bottom"/>
          </w:tcPr>
          <w:p>
            <w:pPr>
              <w:spacing w:after="0"/>
              <w:rPr>
                <w:sz w:val="17"/>
                <w:szCs w:val="17"/>
                <w:color w:val="auto"/>
              </w:rPr>
            </w:pPr>
          </w:p>
        </w:tc>
      </w:tr>
      <w:tr>
        <w:trPr>
          <w:trHeight w:val="206"/>
        </w:trPr>
        <w:tc>
          <w:tcPr>
            <w:tcW w:w="10120" w:type="dxa"/>
            <w:vAlign w:val="bottom"/>
          </w:tcPr>
          <w:p>
            <w:pPr>
              <w:spacing w:after="0"/>
              <w:rPr>
                <w:rFonts w:ascii="Arial" w:cs="Arial" w:eastAsia="Arial" w:hAnsi="Arial"/>
                <w:sz w:val="16"/>
                <w:szCs w:val="16"/>
                <w:u w:val="single" w:color="auto"/>
                <w:color w:val="0000EE"/>
              </w:rPr>
            </w:pPr>
            <w:hyperlink w:anchor="page243">
              <w:r>
                <w:rPr>
                  <w:rFonts w:ascii="Arial" w:cs="Arial" w:eastAsia="Arial" w:hAnsi="Arial"/>
                  <w:sz w:val="16"/>
                  <w:szCs w:val="16"/>
                  <w:u w:val="single" w:color="auto"/>
                  <w:color w:val="0000EE"/>
                </w:rPr>
                <w:t>Notes to the unaudited condensed consolidated financial statements</w:t>
              </w:r>
            </w:hyperlink>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F-7</w:t>
            </w:r>
          </w:p>
        </w:tc>
        <w:tc>
          <w:tcPr>
            <w:tcW w:w="40" w:type="dxa"/>
            <w:vAlign w:val="bottom"/>
          </w:tcPr>
          <w:p>
            <w:pPr>
              <w:spacing w:after="0"/>
              <w:rPr>
                <w:sz w:val="17"/>
                <w:szCs w:val="17"/>
                <w:color w:val="auto"/>
              </w:rPr>
            </w:pPr>
          </w:p>
        </w:tc>
      </w:tr>
      <w:tr>
        <w:trPr>
          <w:trHeight w:val="376"/>
        </w:trPr>
        <w:tc>
          <w:tcPr>
            <w:tcW w:w="10120" w:type="dxa"/>
            <w:vAlign w:val="bottom"/>
          </w:tcPr>
          <w:p>
            <w:pPr>
              <w:ind w:left="5520"/>
              <w:spacing w:after="0"/>
              <w:rPr>
                <w:sz w:val="20"/>
                <w:szCs w:val="20"/>
                <w:color w:val="auto"/>
              </w:rPr>
            </w:pPr>
            <w:r>
              <w:rPr>
                <w:rFonts w:ascii="Arial" w:cs="Arial" w:eastAsia="Arial" w:hAnsi="Arial"/>
                <w:sz w:val="14"/>
                <w:szCs w:val="14"/>
                <w:color w:val="auto"/>
              </w:rPr>
              <w:t>F-1</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10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67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b w:val="1"/>
                <w:bCs w:val="1"/>
                <w:color w:val="auto"/>
              </w:rPr>
              <w:t>As of December 31, 2019 and June 30, 2020</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2"/>
        </w:trPr>
        <w:tc>
          <w:tcPr>
            <w:tcW w:w="676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9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December 31, 2019</w:t>
            </w:r>
          </w:p>
        </w:tc>
        <w:tc>
          <w:tcPr>
            <w:tcW w:w="15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June 30, 2020</w:t>
            </w:r>
          </w:p>
        </w:tc>
      </w:tr>
      <w:tr>
        <w:trPr>
          <w:trHeight w:val="185"/>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68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68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46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9,511</w:t>
            </w: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9,511</w:t>
            </w: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21,620</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21,273</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11,592</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10,217</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24,221</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42,442</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3,572</w:t>
            </w: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Tangible fixed assets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4,427,065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4,725,035</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203,323</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175,969</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Right-of-use assets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206,495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207,753</w:t>
            </w:r>
          </w:p>
        </w:tc>
        <w:tc>
          <w:tcPr>
            <w:tcW w:w="80" w:type="dxa"/>
            <w:vAlign w:val="bottom"/>
          </w:tcPr>
          <w:p>
            <w:pPr>
              <w:spacing w:after="0"/>
              <w:rPr>
                <w:sz w:val="17"/>
                <w:szCs w:val="17"/>
                <w:color w:val="auto"/>
              </w:rPr>
            </w:pPr>
          </w:p>
        </w:tc>
      </w:tr>
      <w:tr>
        <w:trPr>
          <w:trHeight w:val="196"/>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4,907,399</w:t>
            </w: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5,192,200</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24,900</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26,702</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573</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3,342</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429</w:t>
            </w: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Inventories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8,172</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8,821</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13,475</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37,982</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Short-term investments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4,500</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8</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263,747</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172,914</w:t>
            </w:r>
          </w:p>
        </w:tc>
        <w:tc>
          <w:tcPr>
            <w:tcW w:w="80" w:type="dxa"/>
            <w:vAlign w:val="bottom"/>
            <w:shd w:val="clear" w:color="auto" w:fill="E5FFFF"/>
          </w:tcPr>
          <w:p>
            <w:pPr>
              <w:spacing w:after="0"/>
              <w:rPr>
                <w:sz w:val="17"/>
                <w:szCs w:val="17"/>
                <w:color w:val="auto"/>
              </w:rPr>
            </w:pPr>
          </w:p>
        </w:tc>
      </w:tr>
      <w:tr>
        <w:trPr>
          <w:trHeight w:val="196"/>
        </w:trPr>
        <w:tc>
          <w:tcPr>
            <w:tcW w:w="6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315,796</w:t>
            </w:r>
          </w:p>
        </w:tc>
        <w:tc>
          <w:tcPr>
            <w:tcW w:w="28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249,761</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216"/>
        </w:trPr>
        <w:tc>
          <w:tcPr>
            <w:tcW w:w="67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68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E5FFFF"/>
            </w:tcBorders>
            <w:shd w:val="clear" w:color="auto" w:fill="E5FFFF"/>
          </w:tcPr>
          <w:p>
            <w:pPr>
              <w:spacing w:after="0"/>
              <w:rPr>
                <w:sz w:val="18"/>
                <w:szCs w:val="18"/>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5,223,195</w:t>
            </w:r>
          </w:p>
        </w:tc>
        <w:tc>
          <w:tcPr>
            <w:tcW w:w="280" w:type="dxa"/>
            <w:vAlign w:val="bottom"/>
            <w:tcBorders>
              <w:bottom w:val="single" w:sz="8" w:color="E5FFFF"/>
            </w:tcBorders>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5,441,961</w:t>
            </w:r>
          </w:p>
        </w:tc>
        <w:tc>
          <w:tcPr>
            <w:tcW w:w="20" w:type="dxa"/>
            <w:vAlign w:val="bottom"/>
            <w:tcBorders>
              <w:bottom w:val="single" w:sz="8" w:color="E5FFFF"/>
            </w:tcBorders>
            <w:shd w:val="clear" w:color="auto" w:fill="E5FFFF"/>
          </w:tcPr>
          <w:p>
            <w:pPr>
              <w:spacing w:after="0"/>
              <w:rPr>
                <w:sz w:val="18"/>
                <w:szCs w:val="18"/>
                <w:color w:val="auto"/>
              </w:rPr>
            </w:pPr>
          </w:p>
        </w:tc>
        <w:tc>
          <w:tcPr>
            <w:tcW w:w="80" w:type="dxa"/>
            <w:vAlign w:val="bottom"/>
            <w:tcBorders>
              <w:bottom w:val="single" w:sz="8" w:color="E5FFFF"/>
            </w:tcBorders>
            <w:shd w:val="clear" w:color="auto" w:fill="E5FFFF"/>
          </w:tcPr>
          <w:p>
            <w:pPr>
              <w:spacing w:after="0"/>
              <w:rPr>
                <w:sz w:val="18"/>
                <w:szCs w:val="18"/>
                <w:color w:val="auto"/>
              </w:rPr>
            </w:pPr>
          </w:p>
        </w:tc>
      </w:tr>
      <w:tr>
        <w:trPr>
          <w:trHeight w:val="176"/>
        </w:trPr>
        <w:tc>
          <w:tcPr>
            <w:tcW w:w="6760" w:type="dxa"/>
            <w:vAlign w:val="bottom"/>
          </w:tcPr>
          <w:p>
            <w:pPr>
              <w:spacing w:after="0" w:line="176" w:lineRule="exact"/>
              <w:rPr>
                <w:sz w:val="20"/>
                <w:szCs w:val="20"/>
                <w:color w:val="auto"/>
              </w:rPr>
            </w:pPr>
            <w:r>
              <w:rPr>
                <w:rFonts w:ascii="Arial" w:cs="Arial" w:eastAsia="Arial" w:hAnsi="Arial"/>
                <w:sz w:val="16"/>
                <w:szCs w:val="16"/>
                <w:b w:val="1"/>
                <w:bCs w:val="1"/>
                <w:color w:val="auto"/>
              </w:rPr>
              <w:t>Equity and liabilities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2"/>
        </w:trPr>
        <w:tc>
          <w:tcPr>
            <w:tcW w:w="6760" w:type="dxa"/>
            <w:vAlign w:val="bottom"/>
          </w:tcPr>
          <w:p>
            <w:pPr>
              <w:spacing w:after="0"/>
              <w:rPr>
                <w:sz w:val="20"/>
                <w:szCs w:val="20"/>
                <w:color w:val="auto"/>
              </w:rPr>
            </w:pPr>
            <w:r>
              <w:rPr>
                <w:rFonts w:ascii="Arial" w:cs="Arial" w:eastAsia="Arial" w:hAnsi="Arial"/>
                <w:sz w:val="16"/>
                <w:szCs w:val="16"/>
                <w:color w:val="auto"/>
              </w:rPr>
              <w:t>Preference shares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46</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810</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954</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Contributed surplus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760,671</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774,378</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16,799</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14,839</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Treasury shares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(2,159)</w:t>
            </w:r>
          </w:p>
        </w:tc>
        <w:tc>
          <w:tcPr>
            <w:tcW w:w="1560" w:type="dxa"/>
            <w:vAlign w:val="bottom"/>
            <w:gridSpan w:val="3"/>
          </w:tcPr>
          <w:p>
            <w:pPr>
              <w:jc w:val="right"/>
              <w:ind w:right="60"/>
              <w:spacing w:after="0"/>
              <w:rPr>
                <w:sz w:val="20"/>
                <w:szCs w:val="20"/>
                <w:color w:val="auto"/>
              </w:rPr>
            </w:pPr>
            <w:r>
              <w:rPr>
                <w:rFonts w:ascii="Arial" w:cs="Arial" w:eastAsia="Arial" w:hAnsi="Arial"/>
                <w:sz w:val="16"/>
                <w:szCs w:val="16"/>
                <w:color w:val="auto"/>
              </w:rPr>
              <w:t>(1,718)</w:t>
            </w: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Accumulated deficit</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(87,832)</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(160,659)</w:t>
            </w:r>
          </w:p>
        </w:tc>
      </w:tr>
      <w:tr>
        <w:trPr>
          <w:trHeight w:val="196"/>
        </w:trPr>
        <w:tc>
          <w:tcPr>
            <w:tcW w:w="676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688,335</w:t>
            </w:r>
          </w:p>
        </w:tc>
        <w:tc>
          <w:tcPr>
            <w:tcW w:w="2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627,840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961,518</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943,138</w:t>
            </w:r>
          </w:p>
        </w:tc>
        <w:tc>
          <w:tcPr>
            <w:tcW w:w="80" w:type="dxa"/>
            <w:vAlign w:val="bottom"/>
            <w:shd w:val="clear" w:color="auto" w:fill="E5FFFF"/>
          </w:tcPr>
          <w:p>
            <w:pPr>
              <w:spacing w:after="0"/>
              <w:rPr>
                <w:sz w:val="17"/>
                <w:szCs w:val="17"/>
                <w:color w:val="auto"/>
              </w:rPr>
            </w:pPr>
          </w:p>
        </w:tc>
      </w:tr>
      <w:tr>
        <w:trPr>
          <w:trHeight w:val="196"/>
        </w:trPr>
        <w:tc>
          <w:tcPr>
            <w:tcW w:w="6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1,649,853</w:t>
            </w:r>
          </w:p>
        </w:tc>
        <w:tc>
          <w:tcPr>
            <w:tcW w:w="28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1,570,978</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183"/>
        </w:trPr>
        <w:tc>
          <w:tcPr>
            <w:tcW w:w="67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6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6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46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27,615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37,303</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601</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784</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200</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8,095</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34,616</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136,242</w:t>
            </w:r>
          </w:p>
        </w:tc>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114,785</w:t>
            </w: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255,422</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465,200</w:t>
            </w:r>
          </w:p>
        </w:tc>
        <w:tc>
          <w:tcPr>
            <w:tcW w:w="80" w:type="dxa"/>
            <w:vAlign w:val="bottom"/>
            <w:shd w:val="clear" w:color="auto" w:fill="E5FFFF"/>
          </w:tcPr>
          <w:p>
            <w:pPr>
              <w:spacing w:after="0"/>
              <w:rPr>
                <w:sz w:val="17"/>
                <w:szCs w:val="17"/>
                <w:color w:val="auto"/>
              </w:rPr>
            </w:pPr>
          </w:p>
        </w:tc>
      </w:tr>
      <w:tr>
        <w:trPr>
          <w:trHeight w:val="202"/>
        </w:trPr>
        <w:tc>
          <w:tcPr>
            <w:tcW w:w="676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9,363</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9,769</w:t>
            </w:r>
          </w:p>
        </w:tc>
        <w:tc>
          <w:tcPr>
            <w:tcW w:w="80" w:type="dxa"/>
            <w:vAlign w:val="bottom"/>
          </w:tcPr>
          <w:p>
            <w:pPr>
              <w:spacing w:after="0"/>
              <w:rPr>
                <w:sz w:val="17"/>
                <w:szCs w:val="17"/>
                <w:color w:val="auto"/>
              </w:rPr>
            </w:pPr>
          </w:p>
        </w:tc>
      </w:tr>
      <w:tr>
        <w:trPr>
          <w:trHeight w:val="196"/>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437,538</w:t>
            </w: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662,535</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41,837</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102,855</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2,891,973</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2,907,842</w:t>
            </w:r>
          </w:p>
        </w:tc>
        <w:tc>
          <w:tcPr>
            <w:tcW w:w="80" w:type="dxa"/>
            <w:vAlign w:val="bottom"/>
          </w:tcPr>
          <w:p>
            <w:pPr>
              <w:spacing w:after="0"/>
              <w:rPr>
                <w:sz w:val="17"/>
                <w:szCs w:val="17"/>
                <w:color w:val="auto"/>
              </w:rPr>
            </w:pPr>
          </w:p>
        </w:tc>
      </w:tr>
      <w:tr>
        <w:trPr>
          <w:trHeight w:val="203"/>
        </w:trPr>
        <w:tc>
          <w:tcPr>
            <w:tcW w:w="67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195,567</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190,924</w:t>
            </w:r>
          </w:p>
        </w:tc>
        <w:tc>
          <w:tcPr>
            <w:tcW w:w="80" w:type="dxa"/>
            <w:vAlign w:val="bottom"/>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6,427</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6,827</w:t>
            </w:r>
          </w:p>
        </w:tc>
        <w:tc>
          <w:tcPr>
            <w:tcW w:w="80" w:type="dxa"/>
            <w:vAlign w:val="bottom"/>
          </w:tcPr>
          <w:p>
            <w:pPr>
              <w:spacing w:after="0"/>
              <w:rPr>
                <w:sz w:val="17"/>
                <w:szCs w:val="17"/>
                <w:color w:val="auto"/>
              </w:rPr>
            </w:pPr>
          </w:p>
        </w:tc>
      </w:tr>
      <w:tr>
        <w:trPr>
          <w:trHeight w:val="196"/>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3,135,804</w:t>
            </w: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3,208,448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5,223,195</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5,441,961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020" w:gutter="0" w:footer="0" w:header="0"/>
        </w:sectPr>
      </w:pPr>
    </w:p>
    <w:bookmarkStart w:id="238" w:name="page239"/>
    <w:bookmarkEnd w:id="238"/>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For the three months ended</w:t>
            </w:r>
          </w:p>
        </w:tc>
        <w:tc>
          <w:tcPr>
            <w:tcW w:w="262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46"/>
        </w:trPr>
        <w:tc>
          <w:tcPr>
            <w:tcW w:w="4840" w:type="dxa"/>
            <w:vAlign w:val="bottom"/>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4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June 30, 2019</w:t>
            </w: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7"/>
              </w:rPr>
              <w:t>June 30, 2020</w:t>
            </w:r>
          </w:p>
        </w:tc>
        <w:tc>
          <w:tcPr>
            <w:tcW w:w="14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7"/>
              </w:rPr>
              <w:t>June 30, 2019</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June 30, 2020</w:t>
            </w:r>
          </w:p>
        </w:tc>
        <w:tc>
          <w:tcPr>
            <w:tcW w:w="0" w:type="dxa"/>
            <w:vAlign w:val="bottom"/>
          </w:tcPr>
          <w:p>
            <w:pPr>
              <w:spacing w:after="0"/>
              <w:rPr>
                <w:sz w:val="1"/>
                <w:szCs w:val="1"/>
                <w:color w:val="auto"/>
              </w:rPr>
            </w:pP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6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154,251</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158,861</w:t>
            </w:r>
          </w:p>
        </w:tc>
        <w:tc>
          <w:tcPr>
            <w:tcW w:w="26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320,798</w:t>
            </w:r>
          </w:p>
        </w:tc>
        <w:tc>
          <w:tcPr>
            <w:tcW w:w="2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324,758</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Net pool allocation</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2,658</w:t>
            </w:r>
          </w:p>
        </w:tc>
        <w:tc>
          <w:tcPr>
            <w:tcW w:w="28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(4,080)</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(5,867)</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(5,442)</w:t>
            </w:r>
          </w:p>
        </w:tc>
        <w:tc>
          <w:tcPr>
            <w:tcW w:w="14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(12,784)</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(12,915)</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(33,358)</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(32,605)</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(66,328)</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(67,657)</w:t>
            </w: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5, 6</w:t>
            </w:r>
          </w:p>
        </w:tc>
        <w:tc>
          <w:tcPr>
            <w:tcW w:w="2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(41,350)</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(43,647)</w:t>
            </w:r>
          </w:p>
        </w:tc>
        <w:tc>
          <w:tcPr>
            <w:tcW w:w="14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(80,949)</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(85,144)</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8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(11,172)</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(11,154)</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(21,549)</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(20,775)</w:t>
            </w: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non-current assets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(572)</w:t>
            </w:r>
          </w:p>
        </w:tc>
        <w:tc>
          <w:tcPr>
            <w:tcW w:w="1400" w:type="dxa"/>
            <w:vAlign w:val="bottom"/>
            <w:gridSpan w:val="2"/>
            <w:shd w:val="clear" w:color="auto" w:fill="E5FFFF"/>
          </w:tcPr>
          <w:p>
            <w:pPr>
              <w:jc w:val="right"/>
              <w:ind w:right="199"/>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(22,454)</w:t>
            </w:r>
          </w:p>
        </w:tc>
        <w:tc>
          <w:tcPr>
            <w:tcW w:w="1400" w:type="dxa"/>
            <w:vAlign w:val="bottom"/>
            <w:gridSpan w:val="2"/>
          </w:tcPr>
          <w:p>
            <w:pPr>
              <w:jc w:val="right"/>
              <w:ind w:right="199"/>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(22,454)</w:t>
            </w:r>
          </w:p>
        </w:tc>
        <w:tc>
          <w:tcPr>
            <w:tcW w:w="0" w:type="dxa"/>
            <w:vAlign w:val="bottom"/>
          </w:tcPr>
          <w:p>
            <w:pPr>
              <w:spacing w:after="0"/>
              <w:rPr>
                <w:sz w:val="1"/>
                <w:szCs w:val="1"/>
                <w:color w:val="auto"/>
              </w:rPr>
            </w:pPr>
          </w:p>
        </w:tc>
      </w:tr>
      <w:tr>
        <w:trPr>
          <w:trHeight w:val="196"/>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65,162</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42,987</w:t>
            </w:r>
          </w:p>
        </w:tc>
        <w:tc>
          <w:tcPr>
            <w:tcW w:w="26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135,108</w:t>
            </w:r>
          </w:p>
        </w:tc>
        <w:tc>
          <w:tcPr>
            <w:tcW w:w="2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115,241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6"/>
                <w:szCs w:val="16"/>
                <w:color w:val="auto"/>
              </w:rPr>
              <w:t>Financial costs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(46,897)</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(43,557)</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(92,404)</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(84,998)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1,709</w:t>
            </w:r>
          </w:p>
        </w:tc>
        <w:tc>
          <w:tcPr>
            <w:tcW w:w="28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177</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3,168</w:t>
            </w:r>
          </w:p>
        </w:tc>
        <w:tc>
          <w:tcPr>
            <w:tcW w:w="2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Loss on derivatives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280" w:type="dxa"/>
            <w:vAlign w:val="bottom"/>
          </w:tcPr>
          <w:p>
            <w:pPr>
              <w:spacing w:after="0"/>
              <w:rPr>
                <w:sz w:val="17"/>
                <w:szCs w:val="17"/>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(30,799)</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(13,467)</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(51,043)</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(84,591)</w:t>
            </w: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313</w:t>
            </w:r>
          </w:p>
        </w:tc>
        <w:tc>
          <w:tcPr>
            <w:tcW w:w="28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522</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558</w:t>
            </w:r>
          </w:p>
        </w:tc>
        <w:tc>
          <w:tcPr>
            <w:tcW w:w="2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68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(75,674)</w:t>
            </w:r>
          </w:p>
        </w:tc>
        <w:tc>
          <w:tcPr>
            <w:tcW w:w="28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(56,325)</w:t>
            </w:r>
          </w:p>
        </w:tc>
        <w:tc>
          <w:tcPr>
            <w:tcW w:w="26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(139,721)</w:t>
            </w:r>
          </w:p>
        </w:tc>
        <w:tc>
          <w:tcPr>
            <w:tcW w:w="28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(168,016)</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for the period</w:t>
            </w:r>
          </w:p>
        </w:tc>
        <w:tc>
          <w:tcPr>
            <w:tcW w:w="68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(10,512)</w:t>
            </w:r>
          </w:p>
        </w:tc>
        <w:tc>
          <w:tcPr>
            <w:tcW w:w="28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(13,338)</w:t>
            </w:r>
          </w:p>
        </w:tc>
        <w:tc>
          <w:tcPr>
            <w:tcW w:w="260" w:type="dxa"/>
            <w:vAlign w:val="bottom"/>
            <w:tcBorders>
              <w:bottom w:val="single" w:sz="8" w:color="E5FFFF"/>
            </w:tcBorders>
            <w:shd w:val="clear" w:color="auto" w:fill="E5FFFF"/>
          </w:tcPr>
          <w:p>
            <w:pPr>
              <w:spacing w:after="0"/>
              <w:rPr>
                <w:sz w:val="17"/>
                <w:szCs w:val="17"/>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(4,613)</w:t>
            </w:r>
          </w:p>
        </w:tc>
        <w:tc>
          <w:tcPr>
            <w:tcW w:w="280" w:type="dxa"/>
            <w:vAlign w:val="bottom"/>
            <w:tcBorders>
              <w:bottom w:val="single" w:sz="8" w:color="E5FFFF"/>
            </w:tcBorders>
            <w:shd w:val="clear" w:color="auto" w:fill="E5FFFF"/>
          </w:tcPr>
          <w:p>
            <w:pPr>
              <w:spacing w:after="0"/>
              <w:rPr>
                <w:sz w:val="17"/>
                <w:szCs w:val="17"/>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(52,775)</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(25,998)</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(21,348)</w:t>
            </w:r>
          </w:p>
        </w:tc>
        <w:tc>
          <w:tcPr>
            <w:tcW w:w="14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(36,945)</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(72,827)</w:t>
            </w:r>
          </w:p>
        </w:tc>
        <w:tc>
          <w:tcPr>
            <w:tcW w:w="0" w:type="dxa"/>
            <w:vAlign w:val="bottom"/>
          </w:tcPr>
          <w:p>
            <w:pPr>
              <w:spacing w:after="0"/>
              <w:rPr>
                <w:sz w:val="1"/>
                <w:szCs w:val="1"/>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15,486</w:t>
            </w:r>
          </w:p>
        </w:tc>
        <w:tc>
          <w:tcPr>
            <w:tcW w:w="28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8,010</w:t>
            </w:r>
          </w:p>
        </w:tc>
        <w:tc>
          <w:tcPr>
            <w:tcW w:w="1120" w:type="dxa"/>
            <w:vAlign w:val="bottom"/>
          </w:tcPr>
          <w:p>
            <w:pPr>
              <w:jc w:val="right"/>
              <w:spacing w:after="0"/>
              <w:rPr>
                <w:sz w:val="20"/>
                <w:szCs w:val="20"/>
                <w:color w:val="auto"/>
              </w:rPr>
            </w:pPr>
            <w:r>
              <w:rPr>
                <w:rFonts w:ascii="Arial" w:cs="Arial" w:eastAsia="Arial" w:hAnsi="Arial"/>
                <w:sz w:val="16"/>
                <w:szCs w:val="16"/>
                <w:color w:val="auto"/>
              </w:rPr>
              <w:t>32,332</w:t>
            </w:r>
          </w:p>
        </w:tc>
        <w:tc>
          <w:tcPr>
            <w:tcW w:w="2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20,052</w:t>
            </w:r>
          </w:p>
        </w:tc>
        <w:tc>
          <w:tcPr>
            <w:tcW w:w="0" w:type="dxa"/>
            <w:vAlign w:val="bottom"/>
          </w:tcPr>
          <w:p>
            <w:pPr>
              <w:spacing w:after="0"/>
              <w:rPr>
                <w:sz w:val="1"/>
                <w:szCs w:val="1"/>
                <w:color w:val="auto"/>
              </w:rPr>
            </w:pPr>
          </w:p>
        </w:tc>
      </w:tr>
      <w:tr>
        <w:trPr>
          <w:trHeight w:val="196"/>
        </w:trPr>
        <w:tc>
          <w:tcPr>
            <w:tcW w:w="4840" w:type="dxa"/>
            <w:vAlign w:val="bottom"/>
            <w:tcBorders>
              <w:top w:val="single" w:sz="8" w:color="E5FFFF"/>
              <w:bottom w:val="single" w:sz="8" w:color="E5FFFF"/>
            </w:tcBorders>
            <w:shd w:val="clear" w:color="auto" w:fill="E5FFFF"/>
          </w:tcPr>
          <w:p>
            <w:pPr>
              <w:spacing w:after="0"/>
              <w:rPr>
                <w:sz w:val="17"/>
                <w:szCs w:val="17"/>
                <w:color w:val="auto"/>
              </w:rPr>
            </w:pPr>
          </w:p>
        </w:tc>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(10,512)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(13,338)</w:t>
            </w: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(4,613</w:t>
            </w:r>
          </w:p>
        </w:tc>
        <w:tc>
          <w:tcPr>
            <w:tcW w:w="28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(52,775)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Loss per share – basic and diluted</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21</w:t>
            </w:r>
          </w:p>
        </w:tc>
        <w:tc>
          <w:tcPr>
            <w:tcW w:w="2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(0.35)</w:t>
            </w: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(0.30)</w:t>
            </w:r>
          </w:p>
        </w:tc>
        <w:tc>
          <w:tcPr>
            <w:tcW w:w="140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b w:val="1"/>
                <w:bCs w:val="1"/>
                <w:color w:val="auto"/>
              </w:rPr>
              <w:t>(0.52)</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(0.96)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three months ended</w:t>
            </w:r>
          </w:p>
        </w:tc>
        <w:tc>
          <w:tcPr>
            <w:tcW w:w="26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For the six months ended</w:t>
            </w:r>
          </w:p>
        </w:tc>
      </w:tr>
      <w:tr>
        <w:trPr>
          <w:trHeight w:val="246"/>
        </w:trPr>
        <w:tc>
          <w:tcPr>
            <w:tcW w:w="484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Note</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June 30, 2019</w:t>
            </w:r>
          </w:p>
        </w:tc>
        <w:tc>
          <w:tcPr>
            <w:tcW w:w="14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June 30, 2020</w:t>
            </w:r>
          </w:p>
        </w:tc>
        <w:tc>
          <w:tcPr>
            <w:tcW w:w="14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7"/>
              </w:rPr>
              <w:t>June 30, 2019</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6"/>
              </w:rPr>
              <w:t>June 30, 2020</w:t>
            </w: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Loss for the period</w:t>
            </w:r>
          </w:p>
        </w:tc>
        <w:tc>
          <w:tcPr>
            <w:tcW w:w="68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(10,512)</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(13,338)</w:t>
            </w:r>
          </w:p>
        </w:tc>
        <w:tc>
          <w:tcPr>
            <w:tcW w:w="26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(4,613)</w:t>
            </w:r>
          </w:p>
        </w:tc>
        <w:tc>
          <w:tcPr>
            <w:tcW w:w="2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(52,775)</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93"/>
        </w:trPr>
        <w:tc>
          <w:tcPr>
            <w:tcW w:w="484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 hedges, net of</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4840" w:type="dxa"/>
            <w:vAlign w:val="bottom"/>
          </w:tcPr>
          <w:p>
            <w:pPr>
              <w:ind w:left="180"/>
              <w:spacing w:after="0"/>
              <w:rPr>
                <w:sz w:val="20"/>
                <w:szCs w:val="20"/>
                <w:color w:val="auto"/>
              </w:rPr>
            </w:pPr>
            <w:r>
              <w:rPr>
                <w:rFonts w:ascii="Arial" w:cs="Arial" w:eastAsia="Arial" w:hAnsi="Arial"/>
                <w:sz w:val="16"/>
                <w:szCs w:val="16"/>
                <w:color w:val="auto"/>
              </w:rPr>
              <w:t>amounts recycled to profit or loss</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(1,225)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1,881</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(2,464)</w:t>
            </w: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(2,229)</w:t>
            </w: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Other comprehensive (loss)/income for the period</w:t>
            </w:r>
          </w:p>
        </w:tc>
        <w:tc>
          <w:tcPr>
            <w:tcW w:w="6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(1,225)</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1,881</w:t>
            </w:r>
          </w:p>
        </w:tc>
        <w:tc>
          <w:tcPr>
            <w:tcW w:w="26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(2,464)</w:t>
            </w:r>
          </w:p>
        </w:tc>
        <w:tc>
          <w:tcPr>
            <w:tcW w:w="2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(2,229)</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236"/>
        </w:trPr>
        <w:tc>
          <w:tcPr>
            <w:tcW w:w="4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comprehensive loss for the period</w:t>
            </w:r>
          </w:p>
        </w:tc>
        <w:tc>
          <w:tcPr>
            <w:tcW w:w="68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(11,737)</w:t>
            </w:r>
          </w:p>
        </w:tc>
        <w:tc>
          <w:tcPr>
            <w:tcW w:w="28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(11,457)</w:t>
            </w:r>
          </w:p>
        </w:tc>
        <w:tc>
          <w:tcPr>
            <w:tcW w:w="260" w:type="dxa"/>
            <w:vAlign w:val="bottom"/>
            <w:tcBorders>
              <w:bottom w:val="single" w:sz="8" w:color="E5FF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(7,077)</w:t>
            </w:r>
          </w:p>
        </w:tc>
        <w:tc>
          <w:tcPr>
            <w:tcW w:w="280" w:type="dxa"/>
            <w:vAlign w:val="bottom"/>
            <w:tcBorders>
              <w:bottom w:val="single" w:sz="8" w:color="E5FF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(55,004)</w:t>
            </w:r>
          </w:p>
        </w:tc>
        <w:tc>
          <w:tcPr>
            <w:tcW w:w="100" w:type="dxa"/>
            <w:vAlign w:val="bottom"/>
            <w:tcBorders>
              <w:bottom w:val="single" w:sz="8" w:color="E5FFFF"/>
            </w:tcBorders>
            <w:gridSpan w:val="2"/>
          </w:tcPr>
          <w:p>
            <w:pPr>
              <w:spacing w:after="0"/>
              <w:rPr>
                <w:sz w:val="20"/>
                <w:szCs w:val="20"/>
                <w:color w:val="auto"/>
              </w:rPr>
            </w:pPr>
          </w:p>
        </w:tc>
      </w:tr>
      <w:tr>
        <w:trPr>
          <w:trHeight w:val="156"/>
        </w:trPr>
        <w:tc>
          <w:tcPr>
            <w:tcW w:w="484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Attributable to:</w:t>
            </w:r>
          </w:p>
        </w:tc>
        <w:tc>
          <w:tcPr>
            <w:tcW w:w="68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14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140" w:type="dxa"/>
            <w:vAlign w:val="bottom"/>
            <w:shd w:val="clear" w:color="auto" w:fill="E5FFFF"/>
          </w:tcPr>
          <w:p>
            <w:pPr>
              <w:spacing w:after="0"/>
              <w:rPr>
                <w:sz w:val="13"/>
                <w:szCs w:val="13"/>
                <w:color w:val="auto"/>
              </w:rPr>
            </w:pPr>
          </w:p>
        </w:tc>
        <w:tc>
          <w:tcPr>
            <w:tcW w:w="260" w:type="dxa"/>
            <w:vAlign w:val="bottom"/>
            <w:shd w:val="clear" w:color="auto" w:fill="E5FFFF"/>
          </w:tcPr>
          <w:p>
            <w:pPr>
              <w:spacing w:after="0"/>
              <w:rPr>
                <w:sz w:val="13"/>
                <w:szCs w:val="13"/>
                <w:color w:val="auto"/>
              </w:rPr>
            </w:pPr>
          </w:p>
        </w:tc>
        <w:tc>
          <w:tcPr>
            <w:tcW w:w="112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12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(27,223)</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(19,467)</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(39,409)</w:t>
            </w: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(75,056)</w:t>
            </w: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15,486</w:t>
            </w:r>
          </w:p>
        </w:tc>
        <w:tc>
          <w:tcPr>
            <w:tcW w:w="28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8,010</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32,332</w:t>
            </w:r>
          </w:p>
        </w:tc>
        <w:tc>
          <w:tcPr>
            <w:tcW w:w="28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20,052</w:t>
            </w:r>
          </w:p>
        </w:tc>
        <w:tc>
          <w:tcPr>
            <w:tcW w:w="80" w:type="dxa"/>
            <w:vAlign w:val="bottom"/>
            <w:shd w:val="clear" w:color="auto" w:fill="E5FFFF"/>
          </w:tcPr>
          <w:p>
            <w:pPr>
              <w:spacing w:after="0"/>
              <w:rPr>
                <w:sz w:val="17"/>
                <w:szCs w:val="17"/>
                <w:color w:val="auto"/>
              </w:rPr>
            </w:pPr>
          </w:p>
        </w:tc>
      </w:tr>
      <w:tr>
        <w:trPr>
          <w:trHeight w:val="207"/>
        </w:trPr>
        <w:tc>
          <w:tcPr>
            <w:tcW w:w="4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(11,737</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(11,457</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(7,077</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(55,004</w:t>
            </w:r>
          </w:p>
        </w:tc>
        <w:tc>
          <w:tcPr>
            <w:tcW w:w="1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4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0" w:name="page241"/>
    <w:bookmarkEnd w:id="240"/>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Preference</w:t>
            </w: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Contributed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19"/>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34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1"/>
              </w:rPr>
              <w:t>Retained</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Attributable</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Non -</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capital</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surplus</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Reserves</w:t>
            </w:r>
          </w:p>
        </w:tc>
        <w:tc>
          <w:tcPr>
            <w:tcW w:w="160" w:type="dxa"/>
            <w:vAlign w:val="bottom"/>
            <w:vMerge w:val="restart"/>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2"/>
                <w:szCs w:val="12"/>
                <w:color w:val="auto"/>
              </w:rPr>
            </w:pPr>
          </w:p>
        </w:tc>
        <w:tc>
          <w:tcPr>
            <w:tcW w:w="134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Borders>
              <w:bottom w:val="single" w:sz="8" w:color="E5FF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(Note 15)</w:t>
            </w:r>
          </w:p>
        </w:tc>
        <w:tc>
          <w:tcPr>
            <w:tcW w:w="160" w:type="dxa"/>
            <w:vAlign w:val="bottom"/>
            <w:tcBorders>
              <w:bottom w:val="single" w:sz="8" w:color="E5FF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 15)</w:t>
            </w:r>
          </w:p>
        </w:tc>
        <w:tc>
          <w:tcPr>
            <w:tcW w:w="160" w:type="dxa"/>
            <w:vAlign w:val="bottom"/>
            <w:tcBorders>
              <w:bottom w:val="single" w:sz="8" w:color="E5FF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 15)</w:t>
            </w:r>
          </w:p>
        </w:tc>
        <w:tc>
          <w:tcPr>
            <w:tcW w:w="160" w:type="dxa"/>
            <w:vAlign w:val="bottom"/>
            <w:tcBorders>
              <w:bottom w:val="single" w:sz="8" w:color="E5FF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E5FF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(Note 15)</w:t>
            </w:r>
          </w:p>
        </w:tc>
        <w:tc>
          <w:tcPr>
            <w:tcW w:w="40" w:type="dxa"/>
            <w:vAlign w:val="bottom"/>
            <w:tcBorders>
              <w:bottom w:val="single" w:sz="8" w:color="E5FFFF"/>
            </w:tcBorders>
          </w:tcPr>
          <w:p>
            <w:pPr>
              <w:spacing w:after="0"/>
              <w:rPr>
                <w:sz w:val="14"/>
                <w:szCs w:val="14"/>
                <w:color w:val="auto"/>
              </w:rPr>
            </w:pPr>
          </w:p>
        </w:tc>
        <w:tc>
          <w:tcPr>
            <w:tcW w:w="120" w:type="dxa"/>
            <w:vAlign w:val="bottom"/>
            <w:tcBorders>
              <w:bottom w:val="single" w:sz="8" w:color="E5FF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deficit)</w:t>
            </w:r>
          </w:p>
        </w:tc>
        <w:tc>
          <w:tcPr>
            <w:tcW w:w="160" w:type="dxa"/>
            <w:vAlign w:val="bottom"/>
            <w:tcBorders>
              <w:bottom w:val="single" w:sz="8" w:color="E5FF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the Group</w:t>
            </w:r>
          </w:p>
        </w:tc>
        <w:tc>
          <w:tcPr>
            <w:tcW w:w="160" w:type="dxa"/>
            <w:vAlign w:val="bottom"/>
            <w:tcBorders>
              <w:bottom w:val="single" w:sz="8" w:color="E5FF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E5FFFF"/>
          </w:tcPr>
          <w:p>
            <w:pPr>
              <w:spacing w:after="0"/>
              <w:rPr>
                <w:sz w:val="20"/>
                <w:szCs w:val="20"/>
                <w:color w:val="auto"/>
              </w:rPr>
            </w:pPr>
            <w:r>
              <w:rPr>
                <w:rFonts w:ascii="Arial" w:cs="Arial" w:eastAsia="Arial" w:hAnsi="Arial"/>
                <w:sz w:val="14"/>
                <w:szCs w:val="14"/>
                <w:b w:val="1"/>
                <w:bCs w:val="1"/>
                <w:color w:val="auto"/>
                <w:w w:val="98"/>
              </w:rPr>
              <w:t>Balance as of December 31, 2018</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810</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46</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850,576</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18,962</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b w:val="1"/>
                <w:bCs w:val="1"/>
                <w:color w:val="auto"/>
              </w:rPr>
              <w:t>(3,266)</w:t>
            </w:r>
          </w:p>
        </w:tc>
        <w:tc>
          <w:tcPr>
            <w:tcW w:w="120" w:type="dxa"/>
            <w:vAlign w:val="bottom"/>
            <w:shd w:val="clear" w:color="auto" w:fill="E5FFFF"/>
          </w:tcPr>
          <w:p>
            <w:pPr>
              <w:spacing w:after="0"/>
              <w:rPr>
                <w:sz w:val="14"/>
                <w:szCs w:val="14"/>
                <w:color w:val="auto"/>
              </w:rPr>
            </w:pP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b w:val="1"/>
                <w:bCs w:val="1"/>
                <w:color w:val="auto"/>
              </w:rPr>
              <w:t>12,614</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879,742</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1,103,380</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1,983,122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189" w:lineRule="exact"/>
              <w:rPr>
                <w:sz w:val="20"/>
                <w:szCs w:val="20"/>
                <w:color w:val="auto"/>
              </w:rPr>
            </w:pPr>
            <w:r>
              <w:rPr>
                <w:rFonts w:ascii="Arial" w:cs="Arial" w:eastAsia="Arial" w:hAnsi="Arial"/>
                <w:sz w:val="14"/>
                <w:szCs w:val="14"/>
                <w:color w:val="auto"/>
              </w:rPr>
              <w:t>Opening adjustment</w:t>
            </w:r>
            <w:r>
              <w:rPr>
                <w:rFonts w:ascii="Arial" w:cs="Arial" w:eastAsia="Arial" w:hAnsi="Arial"/>
                <w:sz w:val="17"/>
                <w:szCs w:val="17"/>
                <w:color w:val="auto"/>
                <w:vertAlign w:val="superscript"/>
              </w:rPr>
              <w:t>(1)</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vMerge w:val="continue"/>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4"/>
                <w:szCs w:val="14"/>
                <w:color w:val="auto"/>
              </w:rPr>
              <w:t>215</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215</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128</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E5FFFF"/>
          </w:tcPr>
          <w:p>
            <w:pPr>
              <w:spacing w:after="0"/>
              <w:rPr>
                <w:sz w:val="20"/>
                <w:szCs w:val="20"/>
                <w:color w:val="auto"/>
              </w:rPr>
            </w:pPr>
            <w:r>
              <w:rPr>
                <w:rFonts w:ascii="Arial" w:cs="Arial" w:eastAsia="Arial" w:hAnsi="Arial"/>
                <w:sz w:val="14"/>
                <w:szCs w:val="14"/>
                <w:b w:val="1"/>
                <w:bCs w:val="1"/>
                <w:color w:val="auto"/>
              </w:rPr>
              <w:t>Balance as of January 1, 2019</w:t>
            </w: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vMerge w:val="continue"/>
            <w:shd w:val="clear" w:color="auto" w:fill="E5FFFF"/>
          </w:tcPr>
          <w:p>
            <w:pPr>
              <w:spacing w:after="0"/>
              <w:rPr>
                <w:sz w:val="14"/>
                <w:szCs w:val="14"/>
                <w:color w:val="auto"/>
              </w:rPr>
            </w:pP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810</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46</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850,576</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18,962</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b w:val="1"/>
                <w:bCs w:val="1"/>
                <w:color w:val="auto"/>
              </w:rPr>
              <w:t>(3,266)</w:t>
            </w:r>
          </w:p>
        </w:tc>
        <w:tc>
          <w:tcPr>
            <w:tcW w:w="120" w:type="dxa"/>
            <w:vAlign w:val="bottom"/>
            <w:shd w:val="clear" w:color="auto" w:fill="E5FFFF"/>
          </w:tcPr>
          <w:p>
            <w:pPr>
              <w:spacing w:after="0"/>
              <w:rPr>
                <w:sz w:val="14"/>
                <w:szCs w:val="14"/>
                <w:color w:val="auto"/>
              </w:rPr>
            </w:pP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b w:val="1"/>
                <w:bCs w:val="1"/>
                <w:color w:val="auto"/>
              </w:rPr>
              <w:t>12,829</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879,957</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1,103,508</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b w:val="1"/>
                <w:bCs w:val="1"/>
                <w:color w:val="auto"/>
              </w:rPr>
              <w:t>1,983,465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tcPr>
          <w:p>
            <w:pPr>
              <w:spacing w:after="0"/>
              <w:rPr>
                <w:sz w:val="20"/>
                <w:szCs w:val="20"/>
                <w:color w:val="auto"/>
              </w:rPr>
            </w:pPr>
            <w:r>
              <w:rPr>
                <w:rFonts w:ascii="Arial" w:cs="Arial" w:eastAsia="Arial" w:hAnsi="Arial"/>
                <w:sz w:val="14"/>
                <w:szCs w:val="14"/>
                <w:color w:val="auto"/>
              </w:rPr>
              <w:t>Equity offering costs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(580)</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(580)</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92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30"/>
        </w:trPr>
        <w:tc>
          <w:tcPr>
            <w:tcW w:w="22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Dividend paid (common and</w:t>
            </w:r>
          </w:p>
        </w:tc>
        <w:tc>
          <w:tcPr>
            <w:tcW w:w="6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preference shares)</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(29,289)</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(29,289)</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(52,822)</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(82,111)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Share-based compensation, net of</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60"/>
              <w:spacing w:after="0"/>
              <w:rPr>
                <w:sz w:val="20"/>
                <w:szCs w:val="20"/>
                <w:color w:val="auto"/>
              </w:rPr>
            </w:pPr>
            <w:r>
              <w:rPr>
                <w:rFonts w:ascii="Arial" w:cs="Arial" w:eastAsia="Arial" w:hAnsi="Arial"/>
                <w:sz w:val="14"/>
                <w:szCs w:val="14"/>
                <w:color w:val="auto"/>
              </w:rPr>
              <w:t>accrued dividend (Note 20)</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2,306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2,306</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130"/>
        </w:trPr>
        <w:tc>
          <w:tcPr>
            <w:tcW w:w="22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Settlement of share-based</w:t>
            </w:r>
          </w:p>
        </w:tc>
        <w:tc>
          <w:tcPr>
            <w:tcW w:w="6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E5FFFF"/>
          </w:tcPr>
          <w:p>
            <w:pPr>
              <w:ind w:left="160"/>
              <w:spacing w:after="0"/>
              <w:rPr>
                <w:sz w:val="20"/>
                <w:szCs w:val="20"/>
                <w:color w:val="auto"/>
              </w:rPr>
            </w:pPr>
            <w:r>
              <w:rPr>
                <w:rFonts w:ascii="Arial" w:cs="Arial" w:eastAsia="Arial" w:hAnsi="Arial"/>
                <w:sz w:val="14"/>
                <w:szCs w:val="14"/>
                <w:color w:val="auto"/>
              </w:rPr>
              <w:t>compensation</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(4,630)</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4,676</w:t>
            </w:r>
          </w:p>
        </w:tc>
        <w:tc>
          <w:tcPr>
            <w:tcW w:w="120" w:type="dxa"/>
            <w:vAlign w:val="bottom"/>
            <w:shd w:val="clear" w:color="auto" w:fill="E5FFFF"/>
          </w:tcPr>
          <w:p>
            <w:pPr>
              <w:spacing w:after="0"/>
              <w:rPr>
                <w:sz w:val="14"/>
                <w:szCs w:val="14"/>
                <w:color w:val="auto"/>
              </w:rPr>
            </w:pP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46</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4"/>
                <w:szCs w:val="14"/>
                <w:color w:val="auto"/>
              </w:rPr>
              <w:t>Treasury shares, net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6"/>
                <w:szCs w:val="16"/>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(3,752)</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(9,921)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(13,673)</w:t>
            </w:r>
          </w:p>
        </w:tc>
        <w:tc>
          <w:tcPr>
            <w:tcW w:w="0" w:type="dxa"/>
            <w:vAlign w:val="bottom"/>
          </w:tcPr>
          <w:p>
            <w:pPr>
              <w:spacing w:after="0"/>
              <w:rPr>
                <w:sz w:val="1"/>
                <w:szCs w:val="1"/>
                <w:color w:val="auto"/>
              </w:rPr>
            </w:pPr>
          </w:p>
        </w:tc>
      </w:tr>
      <w:tr>
        <w:trPr>
          <w:trHeight w:val="189"/>
        </w:trPr>
        <w:tc>
          <w:tcPr>
            <w:tcW w:w="2200" w:type="dxa"/>
            <w:vAlign w:val="bottom"/>
            <w:shd w:val="clear" w:color="auto" w:fill="E5FFFF"/>
          </w:tcPr>
          <w:p>
            <w:pPr>
              <w:spacing w:after="0"/>
              <w:rPr>
                <w:sz w:val="20"/>
                <w:szCs w:val="20"/>
                <w:color w:val="auto"/>
              </w:rPr>
            </w:pPr>
            <w:r>
              <w:rPr>
                <w:rFonts w:ascii="Arial" w:cs="Arial" w:eastAsia="Arial" w:hAnsi="Arial"/>
                <w:sz w:val="14"/>
                <w:szCs w:val="14"/>
                <w:color w:val="auto"/>
              </w:rPr>
              <w:t>(Loss)/profit for the period</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6"/>
                <w:szCs w:val="16"/>
                <w:color w:val="auto"/>
              </w:rPr>
            </w:pPr>
          </w:p>
        </w:tc>
        <w:tc>
          <w:tcPr>
            <w:tcW w:w="1340" w:type="dxa"/>
            <w:vAlign w:val="bottom"/>
            <w:gridSpan w:val="2"/>
            <w:shd w:val="clear" w:color="auto" w:fill="E5FFFF"/>
          </w:tcPr>
          <w:p>
            <w:pPr>
              <w:jc w:val="right"/>
              <w:ind w:right="79"/>
              <w:spacing w:after="0"/>
              <w:rPr>
                <w:sz w:val="20"/>
                <w:szCs w:val="20"/>
                <w:color w:val="auto"/>
              </w:rPr>
            </w:pPr>
            <w:r>
              <w:rPr>
                <w:rFonts w:ascii="Arial" w:cs="Arial" w:eastAsia="Arial" w:hAnsi="Arial"/>
                <w:sz w:val="14"/>
                <w:szCs w:val="14"/>
                <w:color w:val="auto"/>
              </w:rPr>
              <w:t>(36,945)</w:t>
            </w:r>
          </w:p>
        </w:tc>
        <w:tc>
          <w:tcPr>
            <w:tcW w:w="11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(36,945)</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32,332</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(4,613)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Other comprehensive loss for the</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60"/>
              <w:spacing w:after="0"/>
              <w:rPr>
                <w:sz w:val="20"/>
                <w:szCs w:val="20"/>
                <w:color w:val="auto"/>
              </w:rPr>
            </w:pPr>
            <w:r>
              <w:rPr>
                <w:rFonts w:ascii="Arial" w:cs="Arial" w:eastAsia="Arial" w:hAnsi="Arial"/>
                <w:sz w:val="14"/>
                <w:szCs w:val="14"/>
                <w:color w:val="auto"/>
              </w:rPr>
              <w:t>period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(2,464)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(2,464)</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Total comprehensive</w:t>
            </w: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200" w:type="dxa"/>
            <w:vAlign w:val="bottom"/>
            <w:vMerge w:val="continue"/>
            <w:shd w:val="clear" w:color="auto" w:fill="E5FFFF"/>
          </w:tcPr>
          <w:p>
            <w:pPr>
              <w:spacing w:after="0"/>
              <w:rPr>
                <w:sz w:val="9"/>
                <w:szCs w:val="9"/>
                <w:color w:val="auto"/>
              </w:rPr>
            </w:pPr>
          </w:p>
        </w:tc>
        <w:tc>
          <w:tcPr>
            <w:tcW w:w="8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(2,464)</w:t>
            </w:r>
          </w:p>
        </w:tc>
        <w:tc>
          <w:tcPr>
            <w:tcW w:w="860" w:type="dxa"/>
            <w:vAlign w:val="bottom"/>
            <w:gridSpan w:val="2"/>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5FFFF"/>
          </w:tcPr>
          <w:p>
            <w:pPr>
              <w:spacing w:after="0"/>
              <w:rPr>
                <w:sz w:val="9"/>
                <w:szCs w:val="9"/>
                <w:color w:val="auto"/>
              </w:rPr>
            </w:pPr>
          </w:p>
        </w:tc>
        <w:tc>
          <w:tcPr>
            <w:tcW w:w="1340" w:type="dxa"/>
            <w:vAlign w:val="bottom"/>
            <w:gridSpan w:val="2"/>
            <w:vMerge w:val="restart"/>
            <w:shd w:val="clear" w:color="auto" w:fill="E5FFFF"/>
          </w:tcPr>
          <w:p>
            <w:pPr>
              <w:jc w:val="right"/>
              <w:ind w:right="79"/>
              <w:spacing w:after="0"/>
              <w:rPr>
                <w:sz w:val="20"/>
                <w:szCs w:val="20"/>
                <w:color w:val="auto"/>
              </w:rPr>
            </w:pPr>
            <w:r>
              <w:rPr>
                <w:rFonts w:ascii="Arial" w:cs="Arial" w:eastAsia="Arial" w:hAnsi="Arial"/>
                <w:sz w:val="14"/>
                <w:szCs w:val="14"/>
                <w:b w:val="1"/>
                <w:bCs w:val="1"/>
                <w:color w:val="auto"/>
              </w:rPr>
              <w:t>(36,945)</w:t>
            </w:r>
          </w:p>
        </w:tc>
        <w:tc>
          <w:tcPr>
            <w:tcW w:w="110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(39,409)</w:t>
            </w:r>
          </w:p>
        </w:tc>
        <w:tc>
          <w:tcPr>
            <w:tcW w:w="100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4"/>
                <w:szCs w:val="14"/>
                <w:b w:val="1"/>
                <w:bCs w:val="1"/>
                <w:color w:val="auto"/>
              </w:rPr>
              <w:t>32,332</w:t>
            </w:r>
          </w:p>
        </w:tc>
        <w:tc>
          <w:tcPr>
            <w:tcW w:w="74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(7,077)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E5FFFF"/>
          </w:tcPr>
          <w:p>
            <w:pPr>
              <w:ind w:left="160"/>
              <w:spacing w:after="0"/>
              <w:rPr>
                <w:sz w:val="20"/>
                <w:szCs w:val="20"/>
                <w:color w:val="auto"/>
              </w:rPr>
            </w:pPr>
            <w:r>
              <w:rPr>
                <w:rFonts w:ascii="Arial" w:cs="Arial" w:eastAsia="Arial" w:hAnsi="Arial"/>
                <w:sz w:val="14"/>
                <w:szCs w:val="14"/>
                <w:b w:val="1"/>
                <w:bCs w:val="1"/>
                <w:color w:val="auto"/>
              </w:rPr>
              <w:t>(loss)/income for the period</w:t>
            </w:r>
          </w:p>
        </w:tc>
        <w:tc>
          <w:tcPr>
            <w:tcW w:w="800" w:type="dxa"/>
            <w:vAlign w:val="bottom"/>
            <w:gridSpan w:val="2"/>
            <w:vMerge w:val="continue"/>
            <w:shd w:val="clear" w:color="auto" w:fill="E5FFFF"/>
          </w:tcPr>
          <w:p>
            <w:pPr>
              <w:spacing w:after="0"/>
              <w:rPr>
                <w:sz w:val="14"/>
                <w:szCs w:val="14"/>
                <w:color w:val="auto"/>
              </w:rPr>
            </w:pPr>
          </w:p>
        </w:tc>
        <w:tc>
          <w:tcPr>
            <w:tcW w:w="980" w:type="dxa"/>
            <w:vAlign w:val="bottom"/>
            <w:gridSpan w:val="2"/>
            <w:vMerge w:val="continue"/>
            <w:shd w:val="clear" w:color="auto" w:fill="E5FFFF"/>
          </w:tcPr>
          <w:p>
            <w:pPr>
              <w:spacing w:after="0"/>
              <w:rPr>
                <w:sz w:val="14"/>
                <w:szCs w:val="14"/>
                <w:color w:val="auto"/>
              </w:rPr>
            </w:pPr>
          </w:p>
        </w:tc>
        <w:tc>
          <w:tcPr>
            <w:tcW w:w="1100" w:type="dxa"/>
            <w:vAlign w:val="bottom"/>
            <w:gridSpan w:val="2"/>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860" w:type="dxa"/>
            <w:vAlign w:val="bottom"/>
            <w:gridSpan w:val="2"/>
            <w:vMerge w:val="continue"/>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340" w:type="dxa"/>
            <w:vAlign w:val="bottom"/>
            <w:gridSpan w:val="2"/>
            <w:vMerge w:val="continue"/>
            <w:shd w:val="clear" w:color="auto" w:fill="E5FFFF"/>
          </w:tcPr>
          <w:p>
            <w:pPr>
              <w:spacing w:after="0"/>
              <w:rPr>
                <w:sz w:val="14"/>
                <w:szCs w:val="14"/>
                <w:color w:val="auto"/>
              </w:rPr>
            </w:pPr>
          </w:p>
        </w:tc>
        <w:tc>
          <w:tcPr>
            <w:tcW w:w="1100" w:type="dxa"/>
            <w:vAlign w:val="bottom"/>
            <w:gridSpan w:val="2"/>
            <w:vMerge w:val="continue"/>
            <w:shd w:val="clear" w:color="auto" w:fill="E5FFFF"/>
          </w:tcPr>
          <w:p>
            <w:pPr>
              <w:spacing w:after="0"/>
              <w:rPr>
                <w:sz w:val="14"/>
                <w:szCs w:val="14"/>
                <w:color w:val="auto"/>
              </w:rPr>
            </w:pPr>
          </w:p>
        </w:tc>
        <w:tc>
          <w:tcPr>
            <w:tcW w:w="1000" w:type="dxa"/>
            <w:vAlign w:val="bottom"/>
            <w:gridSpan w:val="2"/>
            <w:vMerge w:val="continue"/>
            <w:shd w:val="clear" w:color="auto" w:fill="E5FFFF"/>
          </w:tcPr>
          <w:p>
            <w:pPr>
              <w:spacing w:after="0"/>
              <w:rPr>
                <w:sz w:val="14"/>
                <w:szCs w:val="14"/>
                <w:color w:val="auto"/>
              </w:rPr>
            </w:pPr>
          </w:p>
        </w:tc>
        <w:tc>
          <w:tcPr>
            <w:tcW w:w="740" w:type="dxa"/>
            <w:vAlign w:val="bottom"/>
            <w:vMerge w:val="continue"/>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2019</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vMerge w:val="continue"/>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810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46</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820,707</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14,174</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(2,342)</w:t>
            </w:r>
          </w:p>
        </w:tc>
        <w:tc>
          <w:tcPr>
            <w:tcW w:w="120" w:type="dxa"/>
            <w:vAlign w:val="bottom"/>
          </w:tcPr>
          <w:p>
            <w:pPr>
              <w:spacing w:after="0"/>
              <w:rPr>
                <w:sz w:val="14"/>
                <w:szCs w:val="14"/>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(24,116)</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809,279</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1,073,189</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1,882,468</w:t>
            </w:r>
          </w:p>
        </w:tc>
        <w:tc>
          <w:tcPr>
            <w:tcW w:w="0" w:type="dxa"/>
            <w:vAlign w:val="bottom"/>
          </w:tcPr>
          <w:p>
            <w:pPr>
              <w:spacing w:after="0"/>
              <w:rPr>
                <w:sz w:val="1"/>
                <w:szCs w:val="1"/>
                <w:color w:val="auto"/>
              </w:rPr>
            </w:pPr>
          </w:p>
        </w:tc>
      </w:tr>
      <w:tr>
        <w:trPr>
          <w:trHeight w:val="169"/>
        </w:trPr>
        <w:tc>
          <w:tcPr>
            <w:tcW w:w="2200" w:type="dxa"/>
            <w:vAlign w:val="bottom"/>
            <w:tcBorders>
              <w:top w:val="single" w:sz="8" w:color="E5FFFF"/>
            </w:tcBorders>
            <w:shd w:val="clear" w:color="auto" w:fill="E5FFFF"/>
          </w:tcPr>
          <w:p>
            <w:pPr>
              <w:spacing w:after="0"/>
              <w:rPr>
                <w:sz w:val="14"/>
                <w:szCs w:val="14"/>
                <w:color w:val="auto"/>
              </w:rPr>
            </w:pPr>
          </w:p>
        </w:tc>
        <w:tc>
          <w:tcPr>
            <w:tcW w:w="640" w:type="dxa"/>
            <w:vAlign w:val="bottom"/>
            <w:tcBorders>
              <w:top w:val="single" w:sz="8" w:color="auto"/>
              <w:bottom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820" w:type="dxa"/>
            <w:vAlign w:val="bottom"/>
            <w:tcBorders>
              <w:top w:val="single" w:sz="8" w:color="auto"/>
              <w:bottom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940" w:type="dxa"/>
            <w:vAlign w:val="bottom"/>
            <w:tcBorders>
              <w:top w:val="single" w:sz="8" w:color="auto"/>
              <w:bottom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680" w:type="dxa"/>
            <w:vAlign w:val="bottom"/>
            <w:tcBorders>
              <w:top w:val="single" w:sz="8" w:color="auto"/>
              <w:bottom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820" w:type="dxa"/>
            <w:vAlign w:val="bottom"/>
            <w:tcBorders>
              <w:top w:val="single" w:sz="8" w:color="auto"/>
              <w:bottom w:val="single" w:sz="8" w:color="auto"/>
            </w:tcBorders>
            <w:shd w:val="clear" w:color="auto" w:fill="E5FFFF"/>
          </w:tcPr>
          <w:p>
            <w:pPr>
              <w:spacing w:after="0"/>
              <w:rPr>
                <w:sz w:val="14"/>
                <w:szCs w:val="14"/>
                <w:color w:val="auto"/>
              </w:rPr>
            </w:pPr>
          </w:p>
        </w:tc>
        <w:tc>
          <w:tcPr>
            <w:tcW w:w="40" w:type="dxa"/>
            <w:vAlign w:val="bottom"/>
            <w:tcBorders>
              <w:top w:val="single" w:sz="8" w:color="E5FFFF"/>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180" w:type="dxa"/>
            <w:vAlign w:val="bottom"/>
            <w:tcBorders>
              <w:top w:val="single" w:sz="8" w:color="auto"/>
              <w:bottom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940" w:type="dxa"/>
            <w:vAlign w:val="bottom"/>
            <w:tcBorders>
              <w:top w:val="single" w:sz="8" w:color="auto"/>
              <w:bottom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840" w:type="dxa"/>
            <w:vAlign w:val="bottom"/>
            <w:tcBorders>
              <w:top w:val="single" w:sz="8" w:color="auto"/>
              <w:bottom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740" w:type="dxa"/>
            <w:vAlign w:val="bottom"/>
            <w:tcBorders>
              <w:top w:val="single" w:sz="8" w:color="auto"/>
              <w:bottom w:val="single" w:sz="8" w:color="auto"/>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0" w:type="dxa"/>
            <w:vAlign w:val="bottom"/>
          </w:tcPr>
          <w:p>
            <w:pPr>
              <w:spacing w:after="0"/>
              <w:rPr>
                <w:sz w:val="20"/>
                <w:szCs w:val="20"/>
                <w:color w:val="auto"/>
              </w:rPr>
            </w:pPr>
            <w:r>
              <w:rPr>
                <w:rFonts w:ascii="Arial" w:cs="Arial" w:eastAsia="Arial" w:hAnsi="Arial"/>
                <w:sz w:val="14"/>
                <w:szCs w:val="14"/>
                <w:b w:val="1"/>
                <w:bCs w:val="1"/>
                <w:color w:val="auto"/>
                <w:w w:val="98"/>
              </w:rPr>
              <w:t>Balance as of December 31, 2019</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810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46</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760,671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16,799</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(2,159)</w:t>
            </w:r>
          </w:p>
        </w:tc>
        <w:tc>
          <w:tcPr>
            <w:tcW w:w="120" w:type="dxa"/>
            <w:vAlign w:val="bottom"/>
          </w:tcPr>
          <w:p>
            <w:pPr>
              <w:spacing w:after="0"/>
              <w:rPr>
                <w:sz w:val="14"/>
                <w:szCs w:val="14"/>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(87,832)</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688,335</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961,518</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1,649,853</w:t>
            </w:r>
          </w:p>
        </w:tc>
        <w:tc>
          <w:tcPr>
            <w:tcW w:w="0" w:type="dxa"/>
            <w:vAlign w:val="bottom"/>
          </w:tcPr>
          <w:p>
            <w:pPr>
              <w:spacing w:after="0"/>
              <w:rPr>
                <w:sz w:val="1"/>
                <w:szCs w:val="1"/>
                <w:color w:val="auto"/>
              </w:rPr>
            </w:pPr>
          </w:p>
        </w:tc>
      </w:tr>
      <w:tr>
        <w:trPr>
          <w:trHeight w:val="110"/>
        </w:trPr>
        <w:tc>
          <w:tcPr>
            <w:tcW w:w="2200" w:type="dxa"/>
            <w:vAlign w:val="bottom"/>
            <w:tcBorders>
              <w:top w:val="single" w:sz="8" w:color="E5FFFF"/>
            </w:tcBorders>
            <w:shd w:val="clear" w:color="auto" w:fill="E5FFFF"/>
          </w:tcPr>
          <w:p>
            <w:pPr>
              <w:spacing w:after="0" w:line="110" w:lineRule="exact"/>
              <w:rPr>
                <w:sz w:val="20"/>
                <w:szCs w:val="20"/>
                <w:color w:val="auto"/>
              </w:rPr>
            </w:pPr>
            <w:r>
              <w:rPr>
                <w:rFonts w:ascii="Arial" w:cs="Arial" w:eastAsia="Arial" w:hAnsi="Arial"/>
                <w:sz w:val="12"/>
                <w:szCs w:val="12"/>
                <w:color w:val="auto"/>
              </w:rPr>
              <w:t>Proceeds from private placement,</w:t>
            </w:r>
          </w:p>
        </w:tc>
        <w:tc>
          <w:tcPr>
            <w:tcW w:w="64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82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94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68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820" w:type="dxa"/>
            <w:vAlign w:val="bottom"/>
            <w:tcBorders>
              <w:top w:val="single" w:sz="8" w:color="auto"/>
            </w:tcBorders>
            <w:shd w:val="clear" w:color="auto" w:fill="E5FFFF"/>
          </w:tcPr>
          <w:p>
            <w:pPr>
              <w:spacing w:after="0"/>
              <w:rPr>
                <w:sz w:val="9"/>
                <w:szCs w:val="9"/>
                <w:color w:val="auto"/>
              </w:rPr>
            </w:pPr>
          </w:p>
        </w:tc>
        <w:tc>
          <w:tcPr>
            <w:tcW w:w="40" w:type="dxa"/>
            <w:vAlign w:val="bottom"/>
            <w:tcBorders>
              <w:top w:val="single" w:sz="8" w:color="E5FFFF"/>
            </w:tcBorders>
            <w:shd w:val="clear" w:color="auto" w:fill="E5FFFF"/>
          </w:tcPr>
          <w:p>
            <w:pPr>
              <w:spacing w:after="0"/>
              <w:rPr>
                <w:sz w:val="9"/>
                <w:szCs w:val="9"/>
                <w:color w:val="auto"/>
              </w:rPr>
            </w:pPr>
          </w:p>
        </w:tc>
        <w:tc>
          <w:tcPr>
            <w:tcW w:w="120" w:type="dxa"/>
            <w:vAlign w:val="bottom"/>
            <w:tcBorders>
              <w:top w:val="single" w:sz="8" w:color="E5FFFF"/>
            </w:tcBorders>
            <w:shd w:val="clear" w:color="auto" w:fill="E5FFFF"/>
          </w:tcPr>
          <w:p>
            <w:pPr>
              <w:spacing w:after="0"/>
              <w:rPr>
                <w:sz w:val="9"/>
                <w:szCs w:val="9"/>
                <w:color w:val="auto"/>
              </w:rPr>
            </w:pPr>
          </w:p>
        </w:tc>
        <w:tc>
          <w:tcPr>
            <w:tcW w:w="118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94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840" w:type="dxa"/>
            <w:vAlign w:val="bottom"/>
            <w:tcBorders>
              <w:top w:val="single" w:sz="8" w:color="auto"/>
            </w:tcBorders>
            <w:shd w:val="clear" w:color="auto" w:fill="E5FFFF"/>
          </w:tcPr>
          <w:p>
            <w:pPr>
              <w:spacing w:after="0"/>
              <w:rPr>
                <w:sz w:val="9"/>
                <w:szCs w:val="9"/>
                <w:color w:val="auto"/>
              </w:rPr>
            </w:pPr>
          </w:p>
        </w:tc>
        <w:tc>
          <w:tcPr>
            <w:tcW w:w="160" w:type="dxa"/>
            <w:vAlign w:val="bottom"/>
            <w:tcBorders>
              <w:top w:val="single" w:sz="8" w:color="E5FFFF"/>
            </w:tcBorders>
            <w:shd w:val="clear" w:color="auto" w:fill="E5FFFF"/>
          </w:tcPr>
          <w:p>
            <w:pPr>
              <w:spacing w:after="0"/>
              <w:rPr>
                <w:sz w:val="9"/>
                <w:szCs w:val="9"/>
                <w:color w:val="auto"/>
              </w:rPr>
            </w:pPr>
          </w:p>
        </w:tc>
        <w:tc>
          <w:tcPr>
            <w:tcW w:w="740" w:type="dxa"/>
            <w:vAlign w:val="bottom"/>
            <w:tcBorders>
              <w:top w:val="single" w:sz="8" w:color="auto"/>
            </w:tcBorders>
            <w:shd w:val="clear" w:color="auto" w:fill="E5FF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E5FFFF"/>
          </w:tcPr>
          <w:p>
            <w:pPr>
              <w:ind w:left="160"/>
              <w:spacing w:after="0"/>
              <w:rPr>
                <w:sz w:val="20"/>
                <w:szCs w:val="20"/>
                <w:color w:val="auto"/>
              </w:rPr>
            </w:pPr>
            <w:r>
              <w:rPr>
                <w:rFonts w:ascii="Arial" w:cs="Arial" w:eastAsia="Arial" w:hAnsi="Arial"/>
                <w:sz w:val="14"/>
                <w:szCs w:val="14"/>
                <w:color w:val="auto"/>
              </w:rPr>
              <w:t>net of offering costs</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144</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34,856</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35,000</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(114)</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34,886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Dividend paid (common and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60"/>
              <w:spacing w:after="0"/>
              <w:rPr>
                <w:sz w:val="20"/>
                <w:szCs w:val="20"/>
                <w:color w:val="auto"/>
              </w:rPr>
            </w:pPr>
            <w:r>
              <w:rPr>
                <w:rFonts w:ascii="Arial" w:cs="Arial" w:eastAsia="Arial" w:hAnsi="Arial"/>
                <w:sz w:val="14"/>
                <w:szCs w:val="14"/>
                <w:color w:val="auto"/>
              </w:rPr>
              <w:t>preference shares) (Note 15)</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(21,149)</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(21,149)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(37,322)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(58,471)</w:t>
            </w:r>
          </w:p>
        </w:tc>
        <w:tc>
          <w:tcPr>
            <w:tcW w:w="0" w:type="dxa"/>
            <w:vAlign w:val="bottom"/>
          </w:tcPr>
          <w:p>
            <w:pPr>
              <w:spacing w:after="0"/>
              <w:rPr>
                <w:sz w:val="1"/>
                <w:szCs w:val="1"/>
                <w:color w:val="auto"/>
              </w:rPr>
            </w:pPr>
          </w:p>
        </w:tc>
      </w:tr>
      <w:tr>
        <w:trPr>
          <w:trHeight w:val="130"/>
        </w:trPr>
        <w:tc>
          <w:tcPr>
            <w:tcW w:w="22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Share-based compensation, net of</w:t>
            </w:r>
          </w:p>
        </w:tc>
        <w:tc>
          <w:tcPr>
            <w:tcW w:w="6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E5FFFF"/>
          </w:tcPr>
          <w:p>
            <w:pPr>
              <w:ind w:left="160"/>
              <w:spacing w:after="0"/>
              <w:rPr>
                <w:sz w:val="20"/>
                <w:szCs w:val="20"/>
                <w:color w:val="auto"/>
              </w:rPr>
            </w:pPr>
            <w:r>
              <w:rPr>
                <w:rFonts w:ascii="Arial" w:cs="Arial" w:eastAsia="Arial" w:hAnsi="Arial"/>
                <w:sz w:val="14"/>
                <w:szCs w:val="14"/>
                <w:color w:val="auto"/>
              </w:rPr>
              <w:t>accrued dividend (Note 20)</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2,714</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2,714</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2,714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Settlement of share-based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(2,445)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2,441</w:t>
            </w:r>
          </w:p>
        </w:tc>
        <w:tc>
          <w:tcPr>
            <w:tcW w:w="120" w:type="dxa"/>
            <w:vAlign w:val="bottom"/>
          </w:tcPr>
          <w:p>
            <w:pPr>
              <w:spacing w:after="0"/>
              <w:rPr>
                <w:sz w:val="14"/>
                <w:szCs w:val="14"/>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200" w:type="dxa"/>
            <w:vAlign w:val="bottom"/>
            <w:shd w:val="clear" w:color="auto" w:fill="E5FFFF"/>
          </w:tcPr>
          <w:p>
            <w:pPr>
              <w:spacing w:after="0"/>
              <w:rPr>
                <w:sz w:val="20"/>
                <w:szCs w:val="20"/>
                <w:color w:val="auto"/>
              </w:rPr>
            </w:pPr>
            <w:r>
              <w:rPr>
                <w:rFonts w:ascii="Arial" w:cs="Arial" w:eastAsia="Arial" w:hAnsi="Arial"/>
                <w:sz w:val="14"/>
                <w:szCs w:val="14"/>
                <w:color w:val="auto"/>
              </w:rPr>
              <w:t>Treasury shares, net</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E5FFFF"/>
          </w:tcPr>
          <w:p>
            <w:pPr>
              <w:jc w:val="right"/>
              <w:spacing w:after="0"/>
              <w:rPr>
                <w:sz w:val="20"/>
                <w:szCs w:val="20"/>
                <w:color w:val="auto"/>
              </w:rPr>
            </w:pPr>
            <w:r>
              <w:rPr>
                <w:rFonts w:ascii="Arial" w:cs="Arial" w:eastAsia="Arial" w:hAnsi="Arial"/>
                <w:sz w:val="14"/>
                <w:szCs w:val="14"/>
                <w:color w:val="auto"/>
                <w:w w:val="84"/>
              </w:rPr>
              <w:t>)</w:t>
            </w: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(2,000)</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(996)</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(2,996)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4"/>
                <w:szCs w:val="14"/>
                <w:color w:val="auto"/>
              </w:rPr>
              <w:t>(Loss)/profit for the period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4"/>
                <w:szCs w:val="14"/>
                <w:color w:val="auto"/>
              </w:rPr>
              <w:t>(72,827)</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(72,827)</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20,052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(52,775)</w:t>
            </w:r>
          </w:p>
        </w:tc>
        <w:tc>
          <w:tcPr>
            <w:tcW w:w="0" w:type="dxa"/>
            <w:vAlign w:val="bottom"/>
          </w:tcPr>
          <w:p>
            <w:pPr>
              <w:spacing w:after="0"/>
              <w:rPr>
                <w:sz w:val="1"/>
                <w:szCs w:val="1"/>
                <w:color w:val="auto"/>
              </w:rPr>
            </w:pPr>
          </w:p>
        </w:tc>
      </w:tr>
      <w:tr>
        <w:trPr>
          <w:trHeight w:val="130"/>
        </w:trPr>
        <w:tc>
          <w:tcPr>
            <w:tcW w:w="22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Other comprehensive loss for the</w:t>
            </w:r>
          </w:p>
        </w:tc>
        <w:tc>
          <w:tcPr>
            <w:tcW w:w="6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20" w:type="dxa"/>
            <w:vAlign w:val="bottom"/>
            <w:shd w:val="clear" w:color="auto" w:fill="E5FFFF"/>
          </w:tcPr>
          <w:p>
            <w:pPr>
              <w:spacing w:after="0"/>
              <w:rPr>
                <w:sz w:val="11"/>
                <w:szCs w:val="11"/>
                <w:color w:val="auto"/>
              </w:rPr>
            </w:pPr>
          </w:p>
        </w:tc>
        <w:tc>
          <w:tcPr>
            <w:tcW w:w="4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1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9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4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E5FFFF"/>
          </w:tcPr>
          <w:p>
            <w:pPr>
              <w:ind w:left="160"/>
              <w:spacing w:after="0"/>
              <w:rPr>
                <w:sz w:val="20"/>
                <w:szCs w:val="20"/>
                <w:color w:val="auto"/>
              </w:rPr>
            </w:pPr>
            <w:r>
              <w:rPr>
                <w:rFonts w:ascii="Arial" w:cs="Arial" w:eastAsia="Arial" w:hAnsi="Arial"/>
                <w:sz w:val="14"/>
                <w:szCs w:val="14"/>
                <w:color w:val="auto"/>
              </w:rPr>
              <w:t>period</w:t>
            </w:r>
          </w:p>
        </w:tc>
        <w:tc>
          <w:tcPr>
            <w:tcW w:w="8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(2,229)</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FFFF"/>
          </w:tcPr>
          <w:p>
            <w:pPr>
              <w:spacing w:after="0"/>
              <w:rPr>
                <w:sz w:val="14"/>
                <w:szCs w:val="14"/>
                <w:color w:val="auto"/>
              </w:rPr>
            </w:pPr>
          </w:p>
        </w:tc>
        <w:tc>
          <w:tcPr>
            <w:tcW w:w="1340" w:type="dxa"/>
            <w:vAlign w:val="bottom"/>
            <w:gridSpan w:val="2"/>
            <w:shd w:val="clear" w:color="auto" w:fill="E5FFFF"/>
          </w:tcPr>
          <w:p>
            <w:pPr>
              <w:jc w:val="right"/>
              <w:ind w:right="11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(2,229)</w:t>
            </w:r>
          </w:p>
        </w:tc>
        <w:tc>
          <w:tcPr>
            <w:tcW w:w="100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(2,229)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126" w:lineRule="exact"/>
              <w:rPr>
                <w:sz w:val="20"/>
                <w:szCs w:val="20"/>
                <w:color w:val="auto"/>
              </w:rPr>
            </w:pPr>
            <w:r>
              <w:rPr>
                <w:rFonts w:ascii="Arial" w:cs="Arial" w:eastAsia="Arial" w:hAnsi="Arial"/>
                <w:sz w:val="14"/>
                <w:szCs w:val="14"/>
                <w:b w:val="1"/>
                <w:bCs w:val="1"/>
                <w:color w:val="auto"/>
              </w:rPr>
              <w:t>Total comprehensive</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200" w:type="dxa"/>
            <w:vAlign w:val="bottom"/>
            <w:vMerge w:val="continue"/>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(2,229)</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9"/>
                <w:szCs w:val="9"/>
                <w:color w:val="auto"/>
              </w:rPr>
            </w:pPr>
          </w:p>
        </w:tc>
        <w:tc>
          <w:tcPr>
            <w:tcW w:w="134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rPr>
              <w:t>(72,827)</w:t>
            </w: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(75,056)</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20,052</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(55,004)</w:t>
            </w:r>
          </w:p>
        </w:tc>
        <w:tc>
          <w:tcPr>
            <w:tcW w:w="0" w:type="dxa"/>
            <w:vAlign w:val="bottom"/>
          </w:tcPr>
          <w:p>
            <w:pPr>
              <w:spacing w:after="0"/>
              <w:rPr>
                <w:sz w:val="1"/>
                <w:szCs w:val="1"/>
                <w:color w:val="auto"/>
              </w:rPr>
            </w:pPr>
          </w:p>
        </w:tc>
      </w:tr>
      <w:tr>
        <w:trPr>
          <w:trHeight w:val="171"/>
        </w:trPr>
        <w:tc>
          <w:tcPr>
            <w:tcW w:w="2200" w:type="dxa"/>
            <w:vAlign w:val="bottom"/>
          </w:tcPr>
          <w:p>
            <w:pPr>
              <w:ind w:left="160"/>
              <w:spacing w:after="0"/>
              <w:rPr>
                <w:sz w:val="20"/>
                <w:szCs w:val="20"/>
                <w:color w:val="auto"/>
              </w:rPr>
            </w:pPr>
            <w:r>
              <w:rPr>
                <w:rFonts w:ascii="Arial" w:cs="Arial" w:eastAsia="Arial" w:hAnsi="Arial"/>
                <w:sz w:val="14"/>
                <w:szCs w:val="14"/>
                <w:b w:val="1"/>
                <w:bCs w:val="1"/>
                <w:color w:val="auto"/>
              </w:rPr>
              <w:t>(loss)/income for the period</w:t>
            </w:r>
          </w:p>
        </w:tc>
        <w:tc>
          <w:tcPr>
            <w:tcW w:w="8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00" w:type="dxa"/>
            <w:vAlign w:val="bottom"/>
            <w:tcBorders>
              <w:top w:val="single" w:sz="8" w:color="E5FFFF"/>
              <w:bottom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Balance as of June 30, 2020</w:t>
            </w:r>
          </w:p>
        </w:tc>
        <w:tc>
          <w:tcPr>
            <w:tcW w:w="6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954</w:t>
            </w:r>
          </w:p>
        </w:tc>
        <w:tc>
          <w:tcPr>
            <w:tcW w:w="160" w:type="dxa"/>
            <w:vAlign w:val="bottom"/>
            <w:tcBorders>
              <w:top w:val="single" w:sz="8" w:color="E5FFFF"/>
              <w:bottom w:val="single" w:sz="8" w:color="E5FFFF"/>
            </w:tcBorders>
            <w:shd w:val="clear" w:color="auto" w:fill="E5FFFF"/>
          </w:tcPr>
          <w:p>
            <w:pPr>
              <w:spacing w:after="0"/>
              <w:rPr>
                <w:sz w:val="13"/>
                <w:szCs w:val="13"/>
                <w:color w:val="auto"/>
              </w:rPr>
            </w:pPr>
          </w:p>
        </w:tc>
        <w:tc>
          <w:tcPr>
            <w:tcW w:w="82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60" w:type="dxa"/>
            <w:vAlign w:val="bottom"/>
            <w:tcBorders>
              <w:top w:val="single" w:sz="8" w:color="E5FFFF"/>
              <w:bottom w:val="single" w:sz="8" w:color="E5FFFF"/>
            </w:tcBorders>
            <w:shd w:val="clear" w:color="auto" w:fill="E5FFFF"/>
          </w:tcPr>
          <w:p>
            <w:pPr>
              <w:spacing w:after="0"/>
              <w:rPr>
                <w:sz w:val="13"/>
                <w:szCs w:val="13"/>
                <w:color w:val="auto"/>
              </w:rPr>
            </w:pPr>
          </w:p>
        </w:tc>
        <w:tc>
          <w:tcPr>
            <w:tcW w:w="9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774,378</w:t>
            </w:r>
          </w:p>
        </w:tc>
        <w:tc>
          <w:tcPr>
            <w:tcW w:w="160" w:type="dxa"/>
            <w:vAlign w:val="bottom"/>
            <w:tcBorders>
              <w:top w:val="single" w:sz="8" w:color="E5FFFF"/>
              <w:bottom w:val="single" w:sz="8" w:color="E5FFFF"/>
            </w:tcBorders>
            <w:shd w:val="clear" w:color="auto" w:fill="E5FFFF"/>
          </w:tcPr>
          <w:p>
            <w:pPr>
              <w:spacing w:after="0"/>
              <w:rPr>
                <w:sz w:val="13"/>
                <w:szCs w:val="13"/>
                <w:color w:val="auto"/>
              </w:rPr>
            </w:pPr>
          </w:p>
        </w:tc>
        <w:tc>
          <w:tcPr>
            <w:tcW w:w="6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14,839</w:t>
            </w:r>
          </w:p>
        </w:tc>
        <w:tc>
          <w:tcPr>
            <w:tcW w:w="160" w:type="dxa"/>
            <w:vAlign w:val="bottom"/>
            <w:tcBorders>
              <w:top w:val="single" w:sz="8" w:color="E5FFFF"/>
              <w:bottom w:val="single" w:sz="8" w:color="E5FFFF"/>
            </w:tcBorders>
            <w:shd w:val="clear" w:color="auto" w:fill="E5FFFF"/>
          </w:tcPr>
          <w:p>
            <w:pPr>
              <w:spacing w:after="0"/>
              <w:rPr>
                <w:sz w:val="13"/>
                <w:szCs w:val="13"/>
                <w:color w:val="auto"/>
              </w:rPr>
            </w:pPr>
          </w:p>
        </w:tc>
        <w:tc>
          <w:tcPr>
            <w:tcW w:w="82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(1,718</w:t>
            </w:r>
          </w:p>
        </w:tc>
        <w:tc>
          <w:tcPr>
            <w:tcW w:w="4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E5FFFF"/>
              <w:bottom w:val="single" w:sz="8" w:color="E5FFFF"/>
            </w:tcBorders>
            <w:shd w:val="clear" w:color="auto" w:fill="E5FFFF"/>
          </w:tcPr>
          <w:p>
            <w:pPr>
              <w:spacing w:after="0"/>
              <w:rPr>
                <w:sz w:val="13"/>
                <w:szCs w:val="13"/>
                <w:color w:val="auto"/>
              </w:rPr>
            </w:pPr>
          </w:p>
        </w:tc>
        <w:tc>
          <w:tcPr>
            <w:tcW w:w="118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(160,659</w:t>
            </w:r>
          </w:p>
        </w:tc>
        <w:tc>
          <w:tcPr>
            <w:tcW w:w="160" w:type="dxa"/>
            <w:vAlign w:val="bottom"/>
            <w:tcBorders>
              <w:top w:val="single" w:sz="8" w:color="E5FFFF"/>
              <w:bottom w:val="single" w:sz="8" w:color="E5FFFF"/>
            </w:tcBorders>
            <w:shd w:val="clear" w:color="auto" w:fill="E5FFFF"/>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9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627,840</w:t>
            </w:r>
          </w:p>
        </w:tc>
        <w:tc>
          <w:tcPr>
            <w:tcW w:w="160" w:type="dxa"/>
            <w:vAlign w:val="bottom"/>
            <w:tcBorders>
              <w:top w:val="single" w:sz="8" w:color="E5FFFF"/>
              <w:bottom w:val="single" w:sz="8" w:color="E5FFFF"/>
            </w:tcBorders>
            <w:shd w:val="clear" w:color="auto" w:fill="E5FFFF"/>
          </w:tcPr>
          <w:p>
            <w:pPr>
              <w:spacing w:after="0"/>
              <w:rPr>
                <w:sz w:val="13"/>
                <w:szCs w:val="13"/>
                <w:color w:val="auto"/>
              </w:rPr>
            </w:pPr>
          </w:p>
        </w:tc>
        <w:tc>
          <w:tcPr>
            <w:tcW w:w="8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943,138</w:t>
            </w:r>
          </w:p>
        </w:tc>
        <w:tc>
          <w:tcPr>
            <w:tcW w:w="160" w:type="dxa"/>
            <w:vAlign w:val="bottom"/>
            <w:tcBorders>
              <w:top w:val="single" w:sz="8" w:color="E5FFFF"/>
              <w:bottom w:val="single" w:sz="8" w:color="E5FFFF"/>
            </w:tcBorders>
            <w:shd w:val="clear" w:color="auto" w:fill="E5FFFF"/>
          </w:tcPr>
          <w:p>
            <w:pPr>
              <w:spacing w:after="0"/>
              <w:rPr>
                <w:sz w:val="13"/>
                <w:szCs w:val="13"/>
                <w:color w:val="auto"/>
              </w:rPr>
            </w:pPr>
          </w:p>
        </w:tc>
        <w:tc>
          <w:tcPr>
            <w:tcW w:w="740" w:type="dxa"/>
            <w:vAlign w:val="bottom"/>
            <w:tcBorders>
              <w:top w:val="single" w:sz="8" w:color="auto"/>
              <w:bottom w:val="single" w:sz="8" w:color="auto"/>
            </w:tcBorders>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1,570,978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ind w:left="160" w:hanging="152"/>
        <w:spacing w:after="0"/>
        <w:tabs>
          <w:tab w:leader="none" w:pos="160" w:val="left"/>
        </w:tabs>
        <w:numPr>
          <w:ilvl w:val="0"/>
          <w:numId w:val="498"/>
        </w:numPr>
        <w:rPr>
          <w:rFonts w:ascii="Arial" w:cs="Arial" w:eastAsia="Arial" w:hAnsi="Arial"/>
          <w:sz w:val="18"/>
          <w:szCs w:val="18"/>
          <w:color w:val="auto"/>
          <w:vertAlign w:val="superscript"/>
        </w:rPr>
      </w:pPr>
      <w:r>
        <w:rPr>
          <w:rFonts w:ascii="Arial" w:cs="Arial" w:eastAsia="Arial" w:hAnsi="Arial"/>
          <w:sz w:val="14"/>
          <w:szCs w:val="14"/>
          <w:color w:val="auto"/>
        </w:rPr>
        <w:t xml:space="preserve">Restated so as to reflect an adjustment introduced due to the adoption of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2" w:right="45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4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b w:val="1"/>
                <w:bCs w:val="1"/>
                <w:color w:val="auto"/>
              </w:rPr>
              <w:t>For the six months ended June 30, 2019 and 2020</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642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6"/>
                <w:szCs w:val="16"/>
                <w:b w:val="1"/>
                <w:bCs w:val="1"/>
                <w:color w:val="auto"/>
              </w:rPr>
              <w:t>Note</w:t>
            </w:r>
          </w:p>
        </w:tc>
        <w:tc>
          <w:tcPr>
            <w:tcW w:w="19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June 30, 2019</w:t>
            </w:r>
          </w:p>
        </w:tc>
        <w:tc>
          <w:tcPr>
            <w:tcW w:w="17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2020</w:t>
            </w:r>
          </w:p>
        </w:tc>
      </w:tr>
      <w:tr>
        <w:trPr>
          <w:trHeight w:val="185"/>
        </w:trPr>
        <w:tc>
          <w:tcPr>
            <w:tcW w:w="6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68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68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Loss for the period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(4,613)</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(52,775)</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Depreciation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80,949</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85,144</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22,454</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572</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(558)</w:t>
            </w:r>
          </w:p>
        </w:tc>
        <w:tc>
          <w:tcPr>
            <w:tcW w:w="17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(928)</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Financial income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(3,168)</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(645)</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92,404</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84,998</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Unrealized foreign exchange (gains)/losses on cash and cash equivalents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(122)</w:t>
            </w: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 on derivative financial instruments held for trading including ineffective</w:t>
            </w:r>
          </w:p>
        </w:tc>
        <w:tc>
          <w:tcPr>
            <w:tcW w:w="9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6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6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642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portion of cash flow hedges</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w:t>
            </w:r>
          </w:p>
        </w:tc>
        <w:tc>
          <w:tcPr>
            <w:tcW w:w="18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51,882</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80,254</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2,587</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2,992</w:t>
            </w:r>
          </w:p>
        </w:tc>
      </w:tr>
      <w:tr>
        <w:trPr>
          <w:trHeight w:val="196"/>
        </w:trPr>
        <w:tc>
          <w:tcPr>
            <w:tcW w:w="64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219,361</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222,066</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6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Movements in working capital</w:t>
            </w:r>
          </w:p>
        </w:tc>
        <w:tc>
          <w:tcPr>
            <w:tcW w:w="90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(37,897)</w:t>
            </w:r>
          </w:p>
        </w:tc>
        <w:tc>
          <w:tcPr>
            <w:tcW w:w="2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(64,220)</w:t>
            </w:r>
          </w:p>
        </w:tc>
        <w:tc>
          <w:tcPr>
            <w:tcW w:w="100" w:type="dxa"/>
            <w:vAlign w:val="bottom"/>
            <w:tcBorders>
              <w:bottom w:val="single" w:sz="8" w:color="E5FFFF"/>
            </w:tcBorders>
          </w:tcPr>
          <w:p>
            <w:pPr>
              <w:spacing w:after="0"/>
              <w:rPr>
                <w:sz w:val="17"/>
                <w:szCs w:val="17"/>
                <w:color w:val="auto"/>
              </w:rPr>
            </w:pPr>
          </w:p>
        </w:tc>
      </w:tr>
      <w:tr>
        <w:trPr>
          <w:trHeight w:val="196"/>
        </w:trPr>
        <w:tc>
          <w:tcPr>
            <w:tcW w:w="6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181,464</w:t>
            </w:r>
          </w:p>
        </w:tc>
        <w:tc>
          <w:tcPr>
            <w:tcW w:w="280" w:type="dxa"/>
            <w:vAlign w:val="bottom"/>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157,846</w:t>
            </w:r>
          </w:p>
        </w:tc>
        <w:tc>
          <w:tcPr>
            <w:tcW w:w="100" w:type="dxa"/>
            <w:vAlign w:val="bottom"/>
            <w:shd w:val="clear" w:color="auto" w:fill="E5FFFF"/>
          </w:tcPr>
          <w:p>
            <w:pPr>
              <w:spacing w:after="0"/>
              <w:rPr>
                <w:sz w:val="17"/>
                <w:szCs w:val="17"/>
                <w:color w:val="auto"/>
              </w:rPr>
            </w:pPr>
          </w:p>
        </w:tc>
      </w:tr>
      <w:tr>
        <w:trPr>
          <w:trHeight w:val="196"/>
        </w:trPr>
        <w:tc>
          <w:tcPr>
            <w:tcW w:w="6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90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(82,691)</w:t>
            </w:r>
          </w:p>
        </w:tc>
        <w:tc>
          <w:tcPr>
            <w:tcW w:w="2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(84,998)</w:t>
            </w:r>
          </w:p>
        </w:tc>
        <w:tc>
          <w:tcPr>
            <w:tcW w:w="100" w:type="dxa"/>
            <w:vAlign w:val="bottom"/>
            <w:tcBorders>
              <w:bottom w:val="single" w:sz="8" w:color="E5FFFF"/>
            </w:tcBorders>
          </w:tcPr>
          <w:p>
            <w:pPr>
              <w:spacing w:after="0"/>
              <w:rPr>
                <w:sz w:val="17"/>
                <w:szCs w:val="17"/>
                <w:color w:val="auto"/>
              </w:rPr>
            </w:pPr>
          </w:p>
        </w:tc>
      </w:tr>
      <w:tr>
        <w:trPr>
          <w:trHeight w:val="196"/>
        </w:trPr>
        <w:tc>
          <w:tcPr>
            <w:tcW w:w="6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98,773</w:t>
            </w:r>
          </w:p>
        </w:tc>
        <w:tc>
          <w:tcPr>
            <w:tcW w:w="280" w:type="dxa"/>
            <w:vAlign w:val="bottom"/>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72,848</w:t>
            </w:r>
          </w:p>
        </w:tc>
        <w:tc>
          <w:tcPr>
            <w:tcW w:w="100" w:type="dxa"/>
            <w:vAlign w:val="bottom"/>
            <w:shd w:val="clear" w:color="auto" w:fill="E5FFFF"/>
          </w:tcPr>
          <w:p>
            <w:pPr>
              <w:spacing w:after="0"/>
              <w:rPr>
                <w:sz w:val="17"/>
                <w:szCs w:val="17"/>
                <w:color w:val="auto"/>
              </w:rPr>
            </w:pPr>
          </w:p>
        </w:tc>
      </w:tr>
      <w:tr>
        <w:trPr>
          <w:trHeight w:val="183"/>
        </w:trPr>
        <w:tc>
          <w:tcPr>
            <w:tcW w:w="64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(256,888)</w:t>
            </w:r>
          </w:p>
        </w:tc>
        <w:tc>
          <w:tcPr>
            <w:tcW w:w="17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(374,605)</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5,629</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(158)</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Payments for right-of-use assets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(232)</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(2,738)</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538</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900</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(54,000)</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35,000</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4,500</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2,960</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764</w:t>
            </w:r>
          </w:p>
        </w:tc>
      </w:tr>
      <w:tr>
        <w:trPr>
          <w:trHeight w:val="196"/>
        </w:trPr>
        <w:tc>
          <w:tcPr>
            <w:tcW w:w="6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9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(267,151)</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(371,179)</w:t>
            </w:r>
          </w:p>
        </w:tc>
        <w:tc>
          <w:tcPr>
            <w:tcW w:w="100" w:type="dxa"/>
            <w:vAlign w:val="bottom"/>
            <w:tcBorders>
              <w:top w:val="single" w:sz="8" w:color="E5FFFF"/>
            </w:tcBorders>
            <w:shd w:val="clear" w:color="auto" w:fill="E5FFFF"/>
          </w:tcPr>
          <w:p>
            <w:pPr>
              <w:spacing w:after="0"/>
              <w:rPr>
                <w:sz w:val="17"/>
                <w:szCs w:val="17"/>
                <w:color w:val="auto"/>
              </w:rPr>
            </w:pPr>
          </w:p>
        </w:tc>
      </w:tr>
      <w:tr>
        <w:trPr>
          <w:trHeight w:val="183"/>
        </w:trPr>
        <w:tc>
          <w:tcPr>
            <w:tcW w:w="64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bank loans</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677,680</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401,911</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Bank loan and bond repayments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(445,604)</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(150,508)</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Payment for bond repurchase at a premium</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(1,937)</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Payment for interest rate swaps termination</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(10,811)</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entering into interest rate swaps</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10,770</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(9,175)</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(7,605)</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(894)</w:t>
            </w:r>
          </w:p>
        </w:tc>
        <w:tc>
          <w:tcPr>
            <w:tcW w:w="17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Proceeds from private placement</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36,000</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(82,111)</w:t>
            </w:r>
          </w:p>
        </w:tc>
        <w:tc>
          <w:tcPr>
            <w:tcW w:w="17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(55,955)</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Payment for cross currency swaps’ (“CCS”) termination</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(4,051)</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(13,673)</w:t>
            </w:r>
          </w:p>
        </w:tc>
        <w:tc>
          <w:tcPr>
            <w:tcW w:w="17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(2,996)</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Payments for lease liability</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(4,770)</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(5,182)</w:t>
            </w:r>
          </w:p>
        </w:tc>
      </w:tr>
      <w:tr>
        <w:trPr>
          <w:trHeight w:val="196"/>
        </w:trPr>
        <w:tc>
          <w:tcPr>
            <w:tcW w:w="6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9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121,453</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209,621</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6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90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2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Borders>
              <w:bottom w:val="single" w:sz="8" w:color="E5FFFF"/>
            </w:tcBorders>
          </w:tcPr>
          <w:p>
            <w:pPr>
              <w:spacing w:after="0"/>
              <w:rPr>
                <w:sz w:val="17"/>
                <w:szCs w:val="17"/>
                <w:color w:val="auto"/>
              </w:rPr>
            </w:pPr>
          </w:p>
        </w:tc>
      </w:tr>
      <w:tr>
        <w:trPr>
          <w:trHeight w:val="196"/>
        </w:trPr>
        <w:tc>
          <w:tcPr>
            <w:tcW w:w="6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(46,803)</w:t>
            </w:r>
          </w:p>
        </w:tc>
        <w:tc>
          <w:tcPr>
            <w:tcW w:w="280" w:type="dxa"/>
            <w:vAlign w:val="bottom"/>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(90,833)</w:t>
            </w:r>
          </w:p>
        </w:tc>
        <w:tc>
          <w:tcPr>
            <w:tcW w:w="100" w:type="dxa"/>
            <w:vAlign w:val="bottom"/>
            <w:shd w:val="clear" w:color="auto" w:fill="E5FFFF"/>
          </w:tcPr>
          <w:p>
            <w:pPr>
              <w:spacing w:after="0"/>
              <w:rPr>
                <w:sz w:val="17"/>
                <w:szCs w:val="17"/>
                <w:color w:val="auto"/>
              </w:rPr>
            </w:pPr>
          </w:p>
        </w:tc>
      </w:tr>
      <w:tr>
        <w:trPr>
          <w:trHeight w:val="196"/>
        </w:trPr>
        <w:tc>
          <w:tcPr>
            <w:tcW w:w="6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90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342,594</w:t>
            </w:r>
          </w:p>
        </w:tc>
        <w:tc>
          <w:tcPr>
            <w:tcW w:w="280" w:type="dxa"/>
            <w:vAlign w:val="bottom"/>
            <w:tcBorders>
              <w:bottom w:val="single" w:sz="8" w:color="E5FFFF"/>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263,747</w:t>
            </w:r>
          </w:p>
        </w:tc>
        <w:tc>
          <w:tcPr>
            <w:tcW w:w="100" w:type="dxa"/>
            <w:vAlign w:val="bottom"/>
            <w:tcBorders>
              <w:bottom w:val="single" w:sz="8" w:color="E5FFFF"/>
            </w:tcBorders>
          </w:tcPr>
          <w:p>
            <w:pPr>
              <w:spacing w:after="0"/>
              <w:rPr>
                <w:sz w:val="17"/>
                <w:szCs w:val="17"/>
                <w:color w:val="auto"/>
              </w:rPr>
            </w:pPr>
          </w:p>
        </w:tc>
      </w:tr>
      <w:tr>
        <w:trPr>
          <w:trHeight w:val="203"/>
        </w:trPr>
        <w:tc>
          <w:tcPr>
            <w:tcW w:w="64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90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295,791</w:t>
            </w:r>
          </w:p>
        </w:tc>
        <w:tc>
          <w:tcPr>
            <w:tcW w:w="280" w:type="dxa"/>
            <w:vAlign w:val="bottom"/>
            <w:tcBorders>
              <w:bottom w:val="single" w:sz="8" w:color="E5FFFF"/>
            </w:tcBorders>
            <w:shd w:val="clear" w:color="auto" w:fill="E5FFFF"/>
          </w:tcPr>
          <w:p>
            <w:pPr>
              <w:spacing w:after="0"/>
              <w:rPr>
                <w:sz w:val="17"/>
                <w:szCs w:val="17"/>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172,914</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16"/>
        </w:trPr>
        <w:tc>
          <w:tcPr>
            <w:tcW w:w="6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19</w:t>
            </w:r>
          </w:p>
        </w:tc>
        <w:tc>
          <w:tcPr>
            <w:tcW w:w="18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12,744</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20,215</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 – Right-of-use assets</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107</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3,045</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Receivable from related parties – Disposal of non-current assets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2,457</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661</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1,113</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1,989</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335</w:t>
            </w:r>
          </w:p>
        </w:tc>
      </w:tr>
      <w:tr>
        <w:trPr>
          <w:trHeight w:val="203"/>
        </w:trPr>
        <w:tc>
          <w:tcPr>
            <w:tcW w:w="6420" w:type="dxa"/>
            <w:vAlign w:val="bottom"/>
            <w:shd w:val="clear" w:color="auto" w:fill="E5FFFF"/>
          </w:tcPr>
          <w:p>
            <w:pPr>
              <w:spacing w:after="0"/>
              <w:rPr>
                <w:sz w:val="20"/>
                <w:szCs w:val="20"/>
                <w:color w:val="auto"/>
              </w:rPr>
            </w:pPr>
            <w:r>
              <w:rPr>
                <w:rFonts w:ascii="Arial" w:cs="Arial" w:eastAsia="Arial" w:hAnsi="Arial"/>
                <w:sz w:val="16"/>
                <w:szCs w:val="16"/>
                <w:color w:val="auto"/>
              </w:rPr>
              <w:t>Dividend declared included in liabilities at the end of the period</w:t>
            </w:r>
          </w:p>
        </w:tc>
        <w:tc>
          <w:tcPr>
            <w:tcW w:w="9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9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2,516</w:t>
            </w:r>
          </w:p>
        </w:tc>
      </w:tr>
      <w:tr>
        <w:trPr>
          <w:trHeight w:val="206"/>
        </w:trPr>
        <w:tc>
          <w:tcPr>
            <w:tcW w:w="6420" w:type="dxa"/>
            <w:vAlign w:val="bottom"/>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6"/>
                <w:szCs w:val="16"/>
                <w:color w:val="auto"/>
              </w:rPr>
              <w:t>335</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336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60" w:firstLine="436"/>
        <w:spacing w:after="0" w:line="288" w:lineRule="auto"/>
        <w:rPr>
          <w:sz w:val="20"/>
          <w:szCs w:val="20"/>
          <w:color w:val="auto"/>
        </w:rPr>
      </w:pPr>
      <w:r>
        <w:rPr>
          <w:rFonts w:ascii="Arial" w:cs="Arial" w:eastAsia="Arial" w:hAnsi="Arial"/>
          <w:sz w:val="15"/>
          <w:szCs w:val="15"/>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Stamford, Singapore and Monaco. The registered office of GasLog is Clarendon House, 2 Church Street, Hamilton HM 11, Bermuda. GasLog’s chairman, Peter G. Livanos, is GasLog’s largest shareholder through his ownership of Ceres Shipping Ltd. (“Ceres Shipping”), which controls Blenheim Holdings Ltd. As of June 30, 2020, entities controlled by members of the Livanos family, including GasLog’s chairman, are deemed to beneficially own approximately 41.3% of GasLog’s issued and outstanding common shares. As a result of his ownership of GasLog’s common shares, Mr. Livanos can effectively control the outcome of most matters on which GasLog’s shareholders are entitled to vote.</w:t>
      </w:r>
    </w:p>
    <w:p>
      <w:pPr>
        <w:spacing w:after="0" w:line="18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6"/>
          <w:szCs w:val="16"/>
          <w:color w:val="auto"/>
        </w:rPr>
        <w:t>As of June 30, 2020, GasLog held a 35.6% ownership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9" w:lineRule="exact"/>
        <w:rPr>
          <w:sz w:val="20"/>
          <w:szCs w:val="20"/>
          <w:color w:val="auto"/>
        </w:rPr>
      </w:pPr>
    </w:p>
    <w:p>
      <w:pPr>
        <w:ind w:right="40" w:firstLine="436"/>
        <w:spacing w:after="0" w:line="328"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Unless indicated otherwise, the subsidiaries listed below are 100% held (either directly or indirectly) by GasLog. As of June 30, 2020, the Group’s structure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Place of</w:t>
            </w:r>
          </w:p>
        </w:tc>
        <w:tc>
          <w:tcPr>
            <w:tcW w:w="11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Date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Cargo</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Principal activities</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capacity</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1"/>
              </w:rPr>
              <w:t>Vessel</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incorporation</w:t>
            </w:r>
          </w:p>
        </w:tc>
        <w:tc>
          <w:tcPr>
            <w:tcW w:w="1180" w:type="dxa"/>
            <w:vAlign w:val="bottom"/>
          </w:tcPr>
          <w:p>
            <w:pPr>
              <w:ind w:left="240"/>
              <w:spacing w:after="0"/>
              <w:rPr>
                <w:sz w:val="20"/>
                <w:szCs w:val="20"/>
                <w:color w:val="auto"/>
              </w:rPr>
            </w:pPr>
            <w:r>
              <w:rPr>
                <w:rFonts w:ascii="Arial" w:cs="Arial" w:eastAsia="Arial" w:hAnsi="Arial"/>
                <w:sz w:val="14"/>
                <w:szCs w:val="14"/>
                <w:b w:val="1"/>
                <w:bCs w:val="1"/>
                <w:color w:val="auto"/>
              </w:rPr>
              <w:t>incorporation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(cbm)</w:t>
            </w:r>
          </w:p>
        </w:tc>
        <w:tc>
          <w:tcPr>
            <w:tcW w:w="15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Investments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BVI</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July 2003</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w w:val="97"/>
              </w:rPr>
              <w:t>GasLog Carriers Ltd. (“GasLog Carriers”)</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February 2008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Shipping Company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January 2006</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Partners GP LLC</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Marshall Islands</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Cyprus Investments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Cyprus</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2016</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Services UK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England and Wales</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Services US Inc.</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Delaware</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Asia Pte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Singapore</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2015</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LNG Services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August 2004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w w:val="95"/>
              </w:rPr>
              <w:t>Vessel management services</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GasLog Monaco S.A.M.</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Monaco</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February 2010</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GAS-one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February 2008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Savannah</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May 2010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GAS-two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February 2008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Singapore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GAS-six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February 2011</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Skagen</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3"/>
              </w:rPr>
              <w:t>July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GAS-nine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June 2011</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Saratoga</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GAS-ten Ltd.</w:t>
            </w:r>
          </w:p>
        </w:tc>
        <w:tc>
          <w:tcPr>
            <w:tcW w:w="1740" w:type="dxa"/>
            <w:vAlign w:val="bottom"/>
            <w:gridSpan w:val="3"/>
            <w:shd w:val="clear" w:color="auto" w:fill="E5FFFF"/>
          </w:tcPr>
          <w:p>
            <w:pPr>
              <w:ind w:left="140"/>
              <w:spacing w:after="0" w:line="130"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June 2011</w:t>
            </w:r>
          </w:p>
        </w:tc>
        <w:tc>
          <w:tcPr>
            <w:tcW w:w="140" w:type="dxa"/>
            <w:vAlign w:val="bottom"/>
            <w:shd w:val="clear" w:color="auto" w:fill="E5FFFF"/>
          </w:tcPr>
          <w:p>
            <w:pPr>
              <w:spacing w:after="0"/>
              <w:rPr>
                <w:sz w:val="11"/>
                <w:szCs w:val="11"/>
                <w:color w:val="auto"/>
              </w:rPr>
            </w:pPr>
          </w:p>
        </w:tc>
        <w:tc>
          <w:tcPr>
            <w:tcW w:w="1920" w:type="dxa"/>
            <w:vAlign w:val="bottom"/>
            <w:gridSpan w:val="2"/>
            <w:shd w:val="clear" w:color="auto" w:fill="E5FFFF"/>
          </w:tcPr>
          <w:p>
            <w:pPr>
              <w:ind w:left="160"/>
              <w:spacing w:after="0" w:line="130"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30"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1"/>
                <w:szCs w:val="11"/>
                <w:color w:val="auto"/>
              </w:rPr>
            </w:pPr>
          </w:p>
        </w:tc>
        <w:tc>
          <w:tcPr>
            <w:tcW w:w="1560" w:type="dxa"/>
            <w:vAlign w:val="bottom"/>
            <w:gridSpan w:val="2"/>
            <w:shd w:val="clear" w:color="auto" w:fill="E5FFFF"/>
          </w:tcPr>
          <w:p>
            <w:pPr>
              <w:jc w:val="center"/>
              <w:ind w:right="120"/>
              <w:spacing w:after="0" w:line="130" w:lineRule="exact"/>
              <w:rPr>
                <w:sz w:val="20"/>
                <w:szCs w:val="20"/>
                <w:color w:val="auto"/>
              </w:rPr>
            </w:pPr>
            <w:r>
              <w:rPr>
                <w:rFonts w:ascii="Arial" w:cs="Arial" w:eastAsia="Arial" w:hAnsi="Arial"/>
                <w:sz w:val="14"/>
                <w:szCs w:val="14"/>
                <w:i w:val="1"/>
                <w:iCs w:val="1"/>
                <w:color w:val="auto"/>
                <w:w w:val="90"/>
              </w:rPr>
              <w:t>GasLog Salem</w:t>
            </w:r>
          </w:p>
        </w:tc>
        <w:tc>
          <w:tcPr>
            <w:tcW w:w="1220" w:type="dxa"/>
            <w:vAlign w:val="bottom"/>
            <w:shd w:val="clear" w:color="auto" w:fill="E5FFFF"/>
          </w:tcPr>
          <w:p>
            <w:pPr>
              <w:jc w:val="center"/>
              <w:spacing w:after="0" w:line="130" w:lineRule="exact"/>
              <w:rPr>
                <w:sz w:val="20"/>
                <w:szCs w:val="20"/>
                <w:color w:val="auto"/>
              </w:rPr>
            </w:pPr>
            <w:r>
              <w:rPr>
                <w:rFonts w:ascii="Arial" w:cs="Arial" w:eastAsia="Arial" w:hAnsi="Arial"/>
                <w:sz w:val="14"/>
                <w:szCs w:val="14"/>
                <w:color w:val="auto"/>
                <w:w w:val="98"/>
              </w:rPr>
              <w:t>April 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E5FFFF"/>
          </w:tcPr>
          <w:p>
            <w:pPr>
              <w:spacing w:after="0"/>
              <w:rPr>
                <w:sz w:val="20"/>
                <w:szCs w:val="20"/>
                <w:color w:val="auto"/>
              </w:rPr>
            </w:pPr>
            <w:r>
              <w:rPr>
                <w:rFonts w:ascii="Arial" w:cs="Arial" w:eastAsia="Arial" w:hAnsi="Arial"/>
                <w:sz w:val="14"/>
                <w:szCs w:val="14"/>
                <w:color w:val="auto"/>
              </w:rPr>
              <w:t>GAS-fifteen Ltd.</w:t>
            </w:r>
          </w:p>
        </w:tc>
        <w:tc>
          <w:tcPr>
            <w:tcW w:w="1740" w:type="dxa"/>
            <w:vAlign w:val="bottom"/>
            <w:gridSpan w:val="3"/>
            <w:shd w:val="clear" w:color="auto" w:fill="E5FFFF"/>
          </w:tcPr>
          <w:p>
            <w:pPr>
              <w:ind w:left="140"/>
              <w:spacing w:after="0"/>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rPr>
                <w:sz w:val="20"/>
                <w:szCs w:val="20"/>
                <w:color w:val="auto"/>
              </w:rPr>
            </w:pPr>
            <w:r>
              <w:rPr>
                <w:rFonts w:ascii="Arial" w:cs="Arial" w:eastAsia="Arial" w:hAnsi="Arial"/>
                <w:sz w:val="14"/>
                <w:szCs w:val="14"/>
                <w:color w:val="auto"/>
              </w:rPr>
              <w:t>August 2013</w:t>
            </w:r>
          </w:p>
        </w:tc>
        <w:tc>
          <w:tcPr>
            <w:tcW w:w="140" w:type="dxa"/>
            <w:vAlign w:val="bottom"/>
            <w:shd w:val="clear" w:color="auto" w:fill="E5FFFF"/>
          </w:tcPr>
          <w:p>
            <w:pPr>
              <w:spacing w:after="0"/>
              <w:rPr>
                <w:sz w:val="14"/>
                <w:szCs w:val="14"/>
                <w:color w:val="auto"/>
              </w:rPr>
            </w:pPr>
          </w:p>
        </w:tc>
        <w:tc>
          <w:tcPr>
            <w:tcW w:w="1920" w:type="dxa"/>
            <w:vAlign w:val="bottom"/>
            <w:gridSpan w:val="2"/>
            <w:shd w:val="clear" w:color="auto" w:fill="E5FFFF"/>
          </w:tcPr>
          <w:p>
            <w:pPr>
              <w:ind w:left="160"/>
              <w:spacing w:after="0"/>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rPr>
                <w:sz w:val="20"/>
                <w:szCs w:val="20"/>
                <w:color w:val="auto"/>
              </w:rPr>
            </w:pPr>
            <w:r>
              <w:rPr>
                <w:rFonts w:ascii="Arial" w:cs="Arial" w:eastAsia="Arial" w:hAnsi="Arial"/>
                <w:sz w:val="14"/>
                <w:szCs w:val="14"/>
                <w:color w:val="auto"/>
              </w:rPr>
              <w:t>153,600</w:t>
            </w:r>
          </w:p>
        </w:tc>
        <w:tc>
          <w:tcPr>
            <w:tcW w:w="140" w:type="dxa"/>
            <w:vAlign w:val="bottom"/>
            <w:shd w:val="clear" w:color="auto" w:fill="E5FFFF"/>
          </w:tcPr>
          <w:p>
            <w:pPr>
              <w:spacing w:after="0"/>
              <w:rPr>
                <w:sz w:val="14"/>
                <w:szCs w:val="14"/>
                <w:color w:val="auto"/>
              </w:rPr>
            </w:pPr>
          </w:p>
        </w:tc>
        <w:tc>
          <w:tcPr>
            <w:tcW w:w="1560" w:type="dxa"/>
            <w:vAlign w:val="bottom"/>
            <w:gridSpan w:val="2"/>
            <w:shd w:val="clear" w:color="auto" w:fill="E5FFFF"/>
          </w:tcPr>
          <w:p>
            <w:pPr>
              <w:jc w:val="center"/>
              <w:ind w:right="120"/>
              <w:spacing w:after="0"/>
              <w:rPr>
                <w:sz w:val="20"/>
                <w:szCs w:val="20"/>
                <w:color w:val="auto"/>
              </w:rPr>
            </w:pPr>
            <w:r>
              <w:rPr>
                <w:rFonts w:ascii="Arial" w:cs="Arial" w:eastAsia="Arial" w:hAnsi="Arial"/>
                <w:sz w:val="14"/>
                <w:szCs w:val="14"/>
                <w:i w:val="1"/>
                <w:iCs w:val="1"/>
                <w:color w:val="auto"/>
                <w:w w:val="92"/>
              </w:rPr>
              <w:t>GasLog Chelsea</w:t>
            </w:r>
          </w:p>
        </w:tc>
        <w:tc>
          <w:tcPr>
            <w:tcW w:w="12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1"/>
              </w:rPr>
              <w:t>October 2013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GAS-eighteen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Methane Lydon Volney</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two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Genoa</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GAS-twenty three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Gladstone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four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June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3"/>
              </w:rPr>
              <w:t>GasLog Houston</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January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GAS-twenty five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June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4"/>
              </w:rPr>
              <w:t>GasLog Hong Kong</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six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January 2015</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Lease asset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170,000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Julia Louise</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GAS-twenty eight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September 2016</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Windsor</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nine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September 2016</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Dormant</w:t>
            </w:r>
            <w:r>
              <w:rPr>
                <w:rFonts w:ascii="Arial" w:cs="Arial" w:eastAsia="Arial" w:hAnsi="Arial"/>
                <w:sz w:val="17"/>
                <w:szCs w:val="17"/>
                <w:color w:val="auto"/>
                <w:vertAlign w:val="superscript"/>
              </w:rPr>
              <w:t>(2)</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December 2017</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Westminster</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one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2017</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Wales</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May 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two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December 2017</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Hull No. 2300</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three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May 2018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8"/>
              </w:rPr>
              <w:t>Hull No. 2301</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four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May 2018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Hull No. 2311</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Q2 2021</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five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180,000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8"/>
              </w:rPr>
              <w:t>Hull No. 2312</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Q3 2021</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GAS-thirty six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December 2018</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Dormant</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seven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2018</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Dormant</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tcPr>
          <w:p>
            <w:pPr>
              <w:spacing w:after="0" w:line="130" w:lineRule="exact"/>
              <w:rPr>
                <w:sz w:val="20"/>
                <w:szCs w:val="20"/>
                <w:color w:val="auto"/>
              </w:rPr>
            </w:pPr>
            <w:r>
              <w:rPr>
                <w:rFonts w:ascii="Arial" w:cs="Arial" w:eastAsia="Arial" w:hAnsi="Arial"/>
                <w:sz w:val="14"/>
                <w:szCs w:val="14"/>
                <w:color w:val="auto"/>
              </w:rPr>
              <w:t>GasLog Hellas-1 Special Maritime</w:t>
            </w:r>
          </w:p>
        </w:tc>
        <w:tc>
          <w:tcPr>
            <w:tcW w:w="174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Greece</w:t>
            </w:r>
          </w:p>
        </w:tc>
        <w:tc>
          <w:tcPr>
            <w:tcW w:w="1180" w:type="dxa"/>
            <w:vAlign w:val="bottom"/>
          </w:tcPr>
          <w:p>
            <w:pPr>
              <w:spacing w:after="0" w:line="130" w:lineRule="exact"/>
              <w:rPr>
                <w:sz w:val="20"/>
                <w:szCs w:val="20"/>
                <w:color w:val="auto"/>
              </w:rPr>
            </w:pPr>
            <w:r>
              <w:rPr>
                <w:rFonts w:ascii="Arial" w:cs="Arial" w:eastAsia="Arial" w:hAnsi="Arial"/>
                <w:sz w:val="14"/>
                <w:szCs w:val="14"/>
                <w:color w:val="auto"/>
              </w:rPr>
              <w:t>June 2019</w:t>
            </w:r>
          </w:p>
        </w:tc>
        <w:tc>
          <w:tcPr>
            <w:tcW w:w="140" w:type="dxa"/>
            <w:vAlign w:val="bottom"/>
          </w:tcPr>
          <w:p>
            <w:pPr>
              <w:spacing w:after="0"/>
              <w:rPr>
                <w:sz w:val="11"/>
                <w:szCs w:val="11"/>
                <w:color w:val="auto"/>
              </w:rPr>
            </w:pPr>
          </w:p>
        </w:tc>
        <w:tc>
          <w:tcPr>
            <w:tcW w:w="192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30" w:lineRule="exact"/>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1"/>
                <w:szCs w:val="11"/>
                <w:color w:val="auto"/>
              </w:rPr>
            </w:pPr>
          </w:p>
        </w:tc>
        <w:tc>
          <w:tcPr>
            <w:tcW w:w="1560" w:type="dxa"/>
            <w:vAlign w:val="bottom"/>
            <w:gridSpan w:val="2"/>
          </w:tcPr>
          <w:p>
            <w:pPr>
              <w:jc w:val="center"/>
              <w:ind w:right="120"/>
              <w:spacing w:after="0" w:line="130" w:lineRule="exact"/>
              <w:rPr>
                <w:sz w:val="20"/>
                <w:szCs w:val="20"/>
                <w:color w:val="auto"/>
              </w:rPr>
            </w:pPr>
            <w:r>
              <w:rPr>
                <w:rFonts w:ascii="Arial" w:cs="Arial" w:eastAsia="Arial" w:hAnsi="Arial"/>
                <w:sz w:val="13"/>
                <w:szCs w:val="13"/>
                <w:i w:val="1"/>
                <w:iCs w:val="1"/>
                <w:color w:val="auto"/>
                <w:w w:val="95"/>
              </w:rPr>
              <w:t>GasLog Warsaw</w:t>
            </w:r>
            <w:r>
              <w:rPr>
                <w:rFonts w:ascii="Arial" w:cs="Arial" w:eastAsia="Arial" w:hAnsi="Arial"/>
                <w:sz w:val="15"/>
                <w:szCs w:val="15"/>
                <w:color w:val="auto"/>
                <w:w w:val="95"/>
                <w:vertAlign w:val="superscript"/>
              </w:rPr>
              <w:t>(2)</w:t>
            </w:r>
          </w:p>
        </w:tc>
        <w:tc>
          <w:tcPr>
            <w:tcW w:w="1220" w:type="dxa"/>
            <w:vAlign w:val="bottom"/>
          </w:tcPr>
          <w:p>
            <w:pPr>
              <w:jc w:val="center"/>
              <w:spacing w:after="0" w:line="130" w:lineRule="exact"/>
              <w:rPr>
                <w:sz w:val="20"/>
                <w:szCs w:val="20"/>
                <w:color w:val="auto"/>
              </w:rPr>
            </w:pPr>
            <w:r>
              <w:rPr>
                <w:rFonts w:ascii="Arial" w:cs="Arial" w:eastAsia="Arial" w:hAnsi="Arial"/>
                <w:sz w:val="14"/>
                <w:szCs w:val="14"/>
                <w:color w:val="auto"/>
                <w:w w:val="93"/>
              </w:rPr>
              <w:t>July 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500" w:type="dxa"/>
            <w:vAlign w:val="bottom"/>
          </w:tcPr>
          <w:p>
            <w:pPr>
              <w:ind w:left="180"/>
              <w:spacing w:after="0" w:line="145" w:lineRule="exact"/>
              <w:rPr>
                <w:sz w:val="20"/>
                <w:szCs w:val="20"/>
                <w:color w:val="auto"/>
              </w:rPr>
            </w:pPr>
            <w:r>
              <w:rPr>
                <w:rFonts w:ascii="Arial" w:cs="Arial" w:eastAsia="Arial" w:hAnsi="Arial"/>
                <w:sz w:val="14"/>
                <w:szCs w:val="14"/>
                <w:color w:val="auto"/>
              </w:rPr>
              <w:t>Enterprise</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4"/>
                <w:szCs w:val="14"/>
                <w:b w:val="1"/>
                <w:bCs w:val="1"/>
                <w:color w:val="auto"/>
              </w:rPr>
              <w:t>35.6% interest subsidiaries: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Partners LP</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Marshall Islands</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tcPr>
          <w:p>
            <w:pPr>
              <w:spacing w:after="0" w:line="130" w:lineRule="exact"/>
              <w:rPr>
                <w:sz w:val="20"/>
                <w:szCs w:val="20"/>
                <w:color w:val="auto"/>
              </w:rPr>
            </w:pPr>
            <w:r>
              <w:rPr>
                <w:rFonts w:ascii="Arial" w:cs="Arial" w:eastAsia="Arial" w:hAnsi="Arial"/>
                <w:sz w:val="14"/>
                <w:szCs w:val="14"/>
                <w:color w:val="auto"/>
              </w:rPr>
              <w:t>GasLog Partners Holdings</w:t>
            </w:r>
          </w:p>
        </w:tc>
        <w:tc>
          <w:tcPr>
            <w:tcW w:w="174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Marshall Islands</w:t>
            </w:r>
          </w:p>
        </w:tc>
        <w:tc>
          <w:tcPr>
            <w:tcW w:w="1180" w:type="dxa"/>
            <w:vAlign w:val="bottom"/>
          </w:tcPr>
          <w:p>
            <w:pPr>
              <w:spacing w:after="0" w:line="130" w:lineRule="exact"/>
              <w:rPr>
                <w:sz w:val="20"/>
                <w:szCs w:val="20"/>
                <w:color w:val="auto"/>
              </w:rPr>
            </w:pPr>
            <w:r>
              <w:rPr>
                <w:rFonts w:ascii="Arial" w:cs="Arial" w:eastAsia="Arial" w:hAnsi="Arial"/>
                <w:sz w:val="14"/>
                <w:szCs w:val="14"/>
                <w:color w:val="auto"/>
              </w:rPr>
              <w:t>April 2014</w:t>
            </w:r>
          </w:p>
        </w:tc>
        <w:tc>
          <w:tcPr>
            <w:tcW w:w="140" w:type="dxa"/>
            <w:vAlign w:val="bottom"/>
          </w:tcPr>
          <w:p>
            <w:pPr>
              <w:spacing w:after="0"/>
              <w:rPr>
                <w:sz w:val="11"/>
                <w:szCs w:val="11"/>
                <w:color w:val="auto"/>
              </w:rPr>
            </w:pPr>
          </w:p>
        </w:tc>
        <w:tc>
          <w:tcPr>
            <w:tcW w:w="192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Holding company</w:t>
            </w: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5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rPr>
              <w:t>—</w:t>
            </w:r>
          </w:p>
        </w:tc>
        <w:tc>
          <w:tcPr>
            <w:tcW w:w="122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18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GAS-three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April 2010</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Shanghai</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January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GAS-four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April 2010</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February 2011</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May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GAS-seven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March 2011</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March 2011</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155,000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Solaris</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GAS-eleven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December 2012</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GAS-twelve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December 2012</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June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GAS-thirteen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July 2013</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0"/>
              </w:rPr>
              <w:t>GasLog Geneva</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0"/>
              </w:rPr>
              <w:t>September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July 2013</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174,000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October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GAS-sixteen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Rita Andrea</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January 2014</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145,000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Jane Elizabeth</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8"/>
              </w:rPr>
              <w:t>April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GAS-nineteen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April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GAS-twenty Ltd.</w:t>
            </w:r>
          </w:p>
        </w:tc>
        <w:tc>
          <w:tcPr>
            <w:tcW w:w="1740" w:type="dxa"/>
            <w:vAlign w:val="bottom"/>
            <w:gridSpan w:val="3"/>
            <w:shd w:val="clear" w:color="auto" w:fill="E5FFFF"/>
          </w:tcPr>
          <w:p>
            <w:pPr>
              <w:ind w:left="140"/>
              <w:spacing w:after="0" w:line="130"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April 2014</w:t>
            </w:r>
          </w:p>
        </w:tc>
        <w:tc>
          <w:tcPr>
            <w:tcW w:w="140" w:type="dxa"/>
            <w:vAlign w:val="bottom"/>
            <w:shd w:val="clear" w:color="auto" w:fill="E5FFFF"/>
          </w:tcPr>
          <w:p>
            <w:pPr>
              <w:spacing w:after="0"/>
              <w:rPr>
                <w:sz w:val="11"/>
                <w:szCs w:val="11"/>
                <w:color w:val="auto"/>
              </w:rPr>
            </w:pPr>
          </w:p>
        </w:tc>
        <w:tc>
          <w:tcPr>
            <w:tcW w:w="1920" w:type="dxa"/>
            <w:vAlign w:val="bottom"/>
            <w:gridSpan w:val="2"/>
            <w:shd w:val="clear" w:color="auto" w:fill="E5FFFF"/>
          </w:tcPr>
          <w:p>
            <w:pPr>
              <w:ind w:left="160"/>
              <w:spacing w:after="0" w:line="130"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30" w:lineRule="exact"/>
              <w:rPr>
                <w:sz w:val="20"/>
                <w:szCs w:val="20"/>
                <w:color w:val="auto"/>
              </w:rPr>
            </w:pPr>
            <w:r>
              <w:rPr>
                <w:rFonts w:ascii="Arial" w:cs="Arial" w:eastAsia="Arial" w:hAnsi="Arial"/>
                <w:sz w:val="14"/>
                <w:szCs w:val="14"/>
                <w:color w:val="auto"/>
              </w:rPr>
              <w:t>145,000</w:t>
            </w:r>
          </w:p>
        </w:tc>
        <w:tc>
          <w:tcPr>
            <w:tcW w:w="140" w:type="dxa"/>
            <w:vAlign w:val="bottom"/>
            <w:shd w:val="clear" w:color="auto" w:fill="E5FFFF"/>
          </w:tcPr>
          <w:p>
            <w:pPr>
              <w:spacing w:after="0"/>
              <w:rPr>
                <w:sz w:val="11"/>
                <w:szCs w:val="11"/>
                <w:color w:val="auto"/>
              </w:rPr>
            </w:pPr>
          </w:p>
        </w:tc>
        <w:tc>
          <w:tcPr>
            <w:tcW w:w="1560" w:type="dxa"/>
            <w:vAlign w:val="bottom"/>
            <w:gridSpan w:val="2"/>
            <w:shd w:val="clear" w:color="auto" w:fill="E5FFFF"/>
          </w:tcPr>
          <w:p>
            <w:pPr>
              <w:jc w:val="center"/>
              <w:ind w:right="120"/>
              <w:spacing w:after="0" w:line="130" w:lineRule="exact"/>
              <w:rPr>
                <w:sz w:val="20"/>
                <w:szCs w:val="20"/>
                <w:color w:val="auto"/>
              </w:rPr>
            </w:pPr>
            <w:r>
              <w:rPr>
                <w:rFonts w:ascii="Arial" w:cs="Arial" w:eastAsia="Arial" w:hAnsi="Arial"/>
                <w:sz w:val="14"/>
                <w:szCs w:val="14"/>
                <w:i w:val="1"/>
                <w:iCs w:val="1"/>
                <w:color w:val="auto"/>
                <w:w w:val="94"/>
              </w:rPr>
              <w:t>Methane Shirley</w:t>
            </w:r>
          </w:p>
        </w:tc>
        <w:tc>
          <w:tcPr>
            <w:tcW w:w="1220" w:type="dxa"/>
            <w:vAlign w:val="bottom"/>
            <w:shd w:val="clear" w:color="auto" w:fill="E5FFFF"/>
          </w:tcPr>
          <w:p>
            <w:pPr>
              <w:jc w:val="center"/>
              <w:spacing w:after="0" w:line="130" w:lineRule="exact"/>
              <w:rPr>
                <w:sz w:val="20"/>
                <w:szCs w:val="20"/>
                <w:color w:val="auto"/>
              </w:rPr>
            </w:pPr>
            <w:r>
              <w:rPr>
                <w:rFonts w:ascii="Arial" w:cs="Arial" w:eastAsia="Arial" w:hAnsi="Arial"/>
                <w:sz w:val="14"/>
                <w:szCs w:val="14"/>
                <w:color w:val="auto"/>
                <w:w w:val="88"/>
              </w:rPr>
              <w:t>June 2014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4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7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560" w:type="dxa"/>
            <w:vAlign w:val="bottom"/>
            <w:gridSpan w:val="2"/>
            <w:shd w:val="clear" w:color="auto" w:fill="E5FFFF"/>
          </w:tcPr>
          <w:p>
            <w:pPr>
              <w:jc w:val="center"/>
              <w:ind w:right="120"/>
              <w:spacing w:after="0"/>
              <w:rPr>
                <w:sz w:val="20"/>
                <w:szCs w:val="20"/>
                <w:color w:val="auto"/>
              </w:rPr>
            </w:pPr>
            <w:r>
              <w:rPr>
                <w:rFonts w:ascii="Arial" w:cs="Arial" w:eastAsia="Arial" w:hAnsi="Arial"/>
                <w:sz w:val="14"/>
                <w:szCs w:val="14"/>
                <w:i w:val="1"/>
                <w:iCs w:val="1"/>
                <w:color w:val="auto"/>
                <w:w w:val="97"/>
              </w:rPr>
              <w:t>Elisabeth</w:t>
            </w:r>
          </w:p>
        </w:tc>
        <w:tc>
          <w:tcPr>
            <w:tcW w:w="1220" w:type="dxa"/>
            <w:vAlign w:val="bottom"/>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color w:val="auto"/>
              </w:rPr>
              <w:t>GAS-twenty one Ltd.</w:t>
            </w:r>
          </w:p>
        </w:tc>
        <w:tc>
          <w:tcPr>
            <w:tcW w:w="1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tcPr>
          <w:p>
            <w:pPr>
              <w:spacing w:after="0" w:line="149" w:lineRule="exact"/>
              <w:rPr>
                <w:sz w:val="20"/>
                <w:szCs w:val="20"/>
                <w:color w:val="auto"/>
              </w:rPr>
            </w:pPr>
            <w:r>
              <w:rPr>
                <w:rFonts w:ascii="Arial" w:cs="Arial" w:eastAsia="Arial" w:hAnsi="Arial"/>
                <w:sz w:val="14"/>
                <w:szCs w:val="14"/>
                <w:color w:val="auto"/>
              </w:rPr>
              <w:t>April 2014</w:t>
            </w:r>
          </w:p>
        </w:tc>
        <w:tc>
          <w:tcPr>
            <w:tcW w:w="140" w:type="dxa"/>
            <w:vAlign w:val="bottom"/>
          </w:tcPr>
          <w:p>
            <w:pPr>
              <w:spacing w:after="0"/>
              <w:rPr>
                <w:sz w:val="12"/>
                <w:szCs w:val="12"/>
                <w:color w:val="auto"/>
              </w:rPr>
            </w:pPr>
          </w:p>
        </w:tc>
        <w:tc>
          <w:tcPr>
            <w:tcW w:w="1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145,000</w:t>
            </w:r>
          </w:p>
        </w:tc>
        <w:tc>
          <w:tcPr>
            <w:tcW w:w="1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Methane Heather Sally</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June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seven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January 2015</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170,000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Methane Becki Anne</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1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7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4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2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Egypt LNG Shipping Ltd.</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Bermuda</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May 2010</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Vessel-owning company</w:t>
            </w:r>
          </w:p>
        </w:tc>
        <w:tc>
          <w:tcPr>
            <w:tcW w:w="840" w:type="dxa"/>
            <w:vAlign w:val="bottom"/>
            <w:gridSpan w:val="2"/>
            <w:shd w:val="clear" w:color="auto" w:fill="E5FFFF"/>
          </w:tcPr>
          <w:p>
            <w:pPr>
              <w:jc w:val="right"/>
              <w:ind w:right="168"/>
              <w:spacing w:after="0" w:line="149" w:lineRule="exact"/>
              <w:rPr>
                <w:sz w:val="20"/>
                <w:szCs w:val="20"/>
                <w:color w:val="auto"/>
              </w:rPr>
            </w:pPr>
            <w:r>
              <w:rPr>
                <w:rFonts w:ascii="Arial" w:cs="Arial" w:eastAsia="Arial" w:hAnsi="Arial"/>
                <w:sz w:val="14"/>
                <w:szCs w:val="14"/>
                <w:color w:val="auto"/>
              </w:rPr>
              <w:t>145,000</w:t>
            </w:r>
          </w:p>
        </w:tc>
        <w:tc>
          <w:tcPr>
            <w:tcW w:w="140" w:type="dxa"/>
            <w:vAlign w:val="bottom"/>
            <w:shd w:val="clear" w:color="auto" w:fill="E5FFFF"/>
          </w:tcPr>
          <w:p>
            <w:pPr>
              <w:spacing w:after="0"/>
              <w:rPr>
                <w:sz w:val="12"/>
                <w:szCs w:val="12"/>
                <w:color w:val="auto"/>
              </w:rPr>
            </w:pP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4"/>
              </w:rPr>
              <w:t>Methane Nile Eagle</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2"/>
              </w:rPr>
              <w:t>December 2007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line="149" w:lineRule="exact"/>
              <w:rPr>
                <w:sz w:val="20"/>
                <w:szCs w:val="20"/>
                <w:color w:val="auto"/>
              </w:rPr>
            </w:pPr>
            <w:r>
              <w:rPr>
                <w:rFonts w:ascii="Arial" w:cs="Arial" w:eastAsia="Arial" w:hAnsi="Arial"/>
                <w:sz w:val="14"/>
                <w:szCs w:val="14"/>
                <w:b w:val="1"/>
                <w:bCs w:val="1"/>
                <w:color w:val="auto"/>
              </w:rPr>
              <w:t>20% interest associate:</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Gastrade S.A. (“Gastrade”)</w:t>
            </w:r>
          </w:p>
        </w:tc>
        <w:tc>
          <w:tcPr>
            <w:tcW w:w="1740" w:type="dxa"/>
            <w:vAlign w:val="bottom"/>
            <w:gridSpan w:val="3"/>
            <w:shd w:val="clear" w:color="auto" w:fill="E5FFFF"/>
          </w:tcPr>
          <w:p>
            <w:pPr>
              <w:ind w:left="140"/>
              <w:spacing w:after="0" w:line="149" w:lineRule="exact"/>
              <w:rPr>
                <w:sz w:val="20"/>
                <w:szCs w:val="20"/>
                <w:color w:val="auto"/>
              </w:rPr>
            </w:pPr>
            <w:r>
              <w:rPr>
                <w:rFonts w:ascii="Arial" w:cs="Arial" w:eastAsia="Arial" w:hAnsi="Arial"/>
                <w:sz w:val="14"/>
                <w:szCs w:val="14"/>
                <w:color w:val="auto"/>
              </w:rPr>
              <w:t>Greece</w:t>
            </w:r>
          </w:p>
        </w:tc>
        <w:tc>
          <w:tcPr>
            <w:tcW w:w="1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June 2010</w:t>
            </w:r>
          </w:p>
        </w:tc>
        <w:tc>
          <w:tcPr>
            <w:tcW w:w="140" w:type="dxa"/>
            <w:vAlign w:val="bottom"/>
            <w:shd w:val="clear" w:color="auto" w:fill="E5FFFF"/>
          </w:tcPr>
          <w:p>
            <w:pPr>
              <w:spacing w:after="0"/>
              <w:rPr>
                <w:sz w:val="12"/>
                <w:szCs w:val="12"/>
                <w:color w:val="auto"/>
              </w:rPr>
            </w:pPr>
          </w:p>
        </w:tc>
        <w:tc>
          <w:tcPr>
            <w:tcW w:w="192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Service company</w:t>
            </w:r>
          </w:p>
        </w:tc>
        <w:tc>
          <w:tcPr>
            <w:tcW w:w="120" w:type="dxa"/>
            <w:vAlign w:val="bottom"/>
            <w:shd w:val="clear" w:color="auto" w:fill="E5FFFF"/>
          </w:tcPr>
          <w:p>
            <w:pPr>
              <w:spacing w:after="0"/>
              <w:rPr>
                <w:sz w:val="12"/>
                <w:szCs w:val="12"/>
                <w:color w:val="auto"/>
              </w:rPr>
            </w:pPr>
          </w:p>
        </w:tc>
        <w:tc>
          <w:tcPr>
            <w:tcW w:w="8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F-7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8" w:right="299" w:bottom="903"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t>_______</w:t>
      </w:r>
    </w:p>
    <w:p>
      <w:pPr>
        <w:spacing w:after="0" w:line="174" w:lineRule="exact"/>
        <w:rPr>
          <w:sz w:val="20"/>
          <w:szCs w:val="20"/>
          <w:color w:val="auto"/>
        </w:rPr>
      </w:pPr>
    </w:p>
    <w:p>
      <w:pPr>
        <w:ind w:left="160" w:hanging="152"/>
        <w:spacing w:after="0"/>
        <w:tabs>
          <w:tab w:leader="none" w:pos="160" w:val="left"/>
        </w:tabs>
        <w:numPr>
          <w:ilvl w:val="0"/>
          <w:numId w:val="499"/>
        </w:numPr>
        <w:rPr>
          <w:rFonts w:ascii="Arial" w:cs="Arial" w:eastAsia="Arial" w:hAnsi="Arial"/>
          <w:sz w:val="18"/>
          <w:szCs w:val="18"/>
          <w:color w:val="auto"/>
          <w:vertAlign w:val="superscript"/>
        </w:rPr>
      </w:pPr>
      <w:r>
        <w:rPr>
          <w:rFonts w:ascii="Arial" w:cs="Arial" w:eastAsia="Arial" w:hAnsi="Arial"/>
          <w:sz w:val="12"/>
          <w:szCs w:val="12"/>
          <w:color w:val="auto"/>
        </w:rPr>
        <w:t>For newbuildings, expected delivery quarters as of June 30, 2020 are presented.</w:t>
      </w:r>
    </w:p>
    <w:p>
      <w:pPr>
        <w:ind w:left="160" w:hanging="152"/>
        <w:spacing w:after="0" w:line="197" w:lineRule="auto"/>
        <w:tabs>
          <w:tab w:leader="none" w:pos="160" w:val="left"/>
        </w:tabs>
        <w:numPr>
          <w:ilvl w:val="0"/>
          <w:numId w:val="499"/>
        </w:numPr>
        <w:rPr>
          <w:rFonts w:ascii="Arial" w:cs="Arial" w:eastAsia="Arial" w:hAnsi="Arial"/>
          <w:sz w:val="18"/>
          <w:szCs w:val="18"/>
          <w:color w:val="auto"/>
          <w:vertAlign w:val="superscript"/>
        </w:rPr>
      </w:pPr>
      <w:r>
        <w:rPr>
          <w:rFonts w:ascii="Arial" w:cs="Arial" w:eastAsia="Arial" w:hAnsi="Arial"/>
          <w:sz w:val="12"/>
          <w:szCs w:val="12"/>
          <w:color w:val="auto"/>
        </w:rPr>
        <w:t xml:space="preserve">In June 2019, the newbuilding the </w:t>
      </w:r>
      <w:r>
        <w:rPr>
          <w:rFonts w:ascii="Arial" w:cs="Arial" w:eastAsia="Arial" w:hAnsi="Arial"/>
          <w:sz w:val="12"/>
          <w:szCs w:val="12"/>
          <w:i w:val="1"/>
          <w:iCs w:val="1"/>
          <w:color w:val="auto"/>
        </w:rPr>
        <w:t>GasLog Warsaw</w:t>
      </w:r>
      <w:r>
        <w:rPr>
          <w:rFonts w:ascii="Arial" w:cs="Arial" w:eastAsia="Arial" w:hAnsi="Arial"/>
          <w:sz w:val="12"/>
          <w:szCs w:val="12"/>
          <w:color w:val="auto"/>
        </w:rPr>
        <w:t>, delivered on July 31, 2019, was transferred from GAS-twenty nine Ltd. to the subsidiary GasLog Hellas-1 Special Maritime Enterprise.</w:t>
      </w:r>
    </w:p>
    <w:p>
      <w:pPr>
        <w:spacing w:after="0" w:line="191"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On October 1, 2015, GasLog Carriers, Dynagas Ltd. (“Dynagas”) and Golar LNG Ltd. (“Golar”) (“Pool Owners”) and The Cool Pool Limited signed an LNG carrier pooling agreement (the “LNG Carrier Pool” or “Pool Agreement” or “Cool Pool”) to market their vessels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89"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On June 6, 2019, GasLog entered into a termination agreement with the Cool Pool, whereby GasLog would assume commercial control of its six vessels operating in the LNG carrier spot market through the Cool Pool and on June 28, 2019, GasLog transferred to Golar its 100 shares of the common capital stock of The Cool Pool Limited. Following expiry of their commitments, GasLog vessels were withdrawn from the Cool Pool in June and July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20" w:firstLine="436"/>
        <w:spacing w:after="0" w:line="297"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 issued by the International Accounting Standards Board (“IASB”). Certain information and footnote disclosures required by IFRS for a complete set of annual</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have been omitted, and, therefore, these unaudited condensed consolidated financial statements should be read in conjunction with the Group’s annual consolidated financial statements as of and for the year ended December 31, 2019 filed with the SEC on March 6, 2020.</w:t>
      </w:r>
    </w:p>
    <w:p>
      <w:pPr>
        <w:spacing w:after="0" w:line="172" w:lineRule="exact"/>
        <w:rPr>
          <w:sz w:val="20"/>
          <w:szCs w:val="20"/>
          <w:color w:val="auto"/>
        </w:rPr>
      </w:pPr>
    </w:p>
    <w:p>
      <w:pPr>
        <w:ind w:right="220" w:firstLine="43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2019 and remain unchanged.</w:t>
      </w:r>
    </w:p>
    <w:p>
      <w:pPr>
        <w:spacing w:after="0" w:line="172" w:lineRule="exact"/>
        <w:rPr>
          <w:sz w:val="20"/>
          <w:szCs w:val="20"/>
          <w:color w:val="auto"/>
        </w:rPr>
      </w:pPr>
    </w:p>
    <w:p>
      <w:pPr>
        <w:ind w:right="120" w:firstLine="43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jc w:val="both"/>
        <w:ind w:right="380" w:firstLine="396"/>
        <w:spacing w:after="0" w:line="278" w:lineRule="auto"/>
        <w:rPr>
          <w:sz w:val="20"/>
          <w:szCs w:val="20"/>
          <w:color w:val="auto"/>
        </w:rPr>
      </w:pPr>
      <w:r>
        <w:rPr>
          <w:rFonts w:ascii="Arial" w:cs="Arial" w:eastAsia="Arial" w:hAnsi="Arial"/>
          <w:sz w:val="16"/>
          <w:szCs w:val="16"/>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2019.</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August 5, 2020, GasLog’s board of directors authorized the unaudited condensed consolidated financial statements for issuance.</w:t>
      </w:r>
    </w:p>
    <w:p>
      <w:pPr>
        <w:spacing w:after="0" w:line="235" w:lineRule="exact"/>
        <w:rPr>
          <w:sz w:val="20"/>
          <w:szCs w:val="20"/>
          <w:color w:val="auto"/>
        </w:rPr>
      </w:pPr>
    </w:p>
    <w:p>
      <w:pPr>
        <w:ind w:right="80" w:firstLine="396"/>
        <w:spacing w:after="0" w:line="278" w:lineRule="auto"/>
        <w:rPr>
          <w:sz w:val="20"/>
          <w:szCs w:val="20"/>
          <w:color w:val="auto"/>
        </w:rPr>
      </w:pPr>
      <w:r>
        <w:rPr>
          <w:rFonts w:ascii="Arial" w:cs="Arial" w:eastAsia="Arial" w:hAnsi="Arial"/>
          <w:sz w:val="16"/>
          <w:szCs w:val="16"/>
          <w:color w:val="auto"/>
        </w:rPr>
        <w:t>As of June 30, 2020, GasLog’s current assets totaled $249,761, while current liabilities totaled $662,535 (including $332,177 in July 2020) (Note 22), resulting in a negative working capital position of $412,774. In considering going concern, management has reviewed the Company’s future cash requirements, covenant compliance and earnings projections, incorporating the negative impact of the COVID-19 pandemic on near-term market rates.</w:t>
      </w:r>
    </w:p>
    <w:p>
      <w:pPr>
        <w:spacing w:after="0" w:line="184" w:lineRule="exact"/>
        <w:rPr>
          <w:sz w:val="20"/>
          <w:szCs w:val="20"/>
          <w:color w:val="auto"/>
        </w:rPr>
      </w:pPr>
    </w:p>
    <w:p>
      <w:pPr>
        <w:ind w:firstLine="396"/>
        <w:spacing w:after="0" w:line="287" w:lineRule="auto"/>
        <w:rPr>
          <w:sz w:val="20"/>
          <w:szCs w:val="20"/>
          <w:color w:val="auto"/>
        </w:rPr>
      </w:pPr>
      <w:r>
        <w:rPr>
          <w:rFonts w:ascii="Arial" w:cs="Arial" w:eastAsia="Arial" w:hAnsi="Arial"/>
          <w:sz w:val="15"/>
          <w:szCs w:val="15"/>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commercial and financial market conditions, management anticipates that our primary sources of funds over the next 12 months will be available cash, cash from operations and existing borrowings, including the credit agreements entered into on July 16, 2020 and July 30, 2020, which refinanced in full the debt maturities due in 2021. Management believes that these anticipated sources of funds will be sufficient for the Company to meet its liquidity needs and to comply with its banking covenants for at least 12 months from the end of the reporting period and therefore it is appropriate to prepare the financial statements on a going concern basis. Additionally, the Company may enter into new debt facilities in the future, as well as public and/or private equity or debt instruments, although there can be no assurance that the Company will be able to obtain additional debt or equity financing on terms acceptable to the Company, which will also depend on financial, commercial and other factors, as well as a significant recovery in capital market conditions, that are beyond the Company’s control.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4" w:name="page245"/>
    <w:bookmarkEnd w:id="244"/>
    <w:p>
      <w:pPr>
        <w:jc w:val="both"/>
        <w:ind w:right="80" w:firstLine="383"/>
        <w:spacing w:after="0" w:line="278" w:lineRule="auto"/>
        <w:rPr>
          <w:sz w:val="20"/>
          <w:szCs w:val="20"/>
          <w:color w:val="auto"/>
        </w:rPr>
      </w:pPr>
      <w:r>
        <w:rPr>
          <w:rFonts w:ascii="Arial" w:cs="Arial" w:eastAsia="Arial" w:hAnsi="Arial"/>
          <w:sz w:val="16"/>
          <w:szCs w:val="16"/>
          <w:color w:val="auto"/>
        </w:rPr>
        <w:t>The Company continues its constant review of the possible implications of the COVID-19 outbreak and the associated effects on the LNG shipping market to allow current assessments of the impact of the virus to be incorporated into the latest full-year estimates in order to identify risks to future liquidity and covenant compliance and to enable management to take corrective actions, if required.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300" w:firstLine="35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adopted in the current period with a material effect on the Group’s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color w:val="auto"/>
        </w:rPr>
        <w:t xml:space="preserve">In January 2020, the IASB issued a narrow-scope amendment to IAS 1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6"/>
          <w:szCs w:val="16"/>
          <w:i w:val="1"/>
          <w:iCs w:val="1"/>
          <w:color w:val="auto"/>
        </w:rPr>
        <w:t>Accounting Policies, Changes in Accounting Estimates and Errors</w:t>
      </w:r>
      <w:r>
        <w:rPr>
          <w:rFonts w:ascii="Arial" w:cs="Arial" w:eastAsia="Arial" w:hAnsi="Arial"/>
          <w:sz w:val="16"/>
          <w:szCs w:val="16"/>
          <w:color w:val="auto"/>
        </w:rPr>
        <w:t>. Earlier application is permitted. Management anticipates that this amendment will not have a material impact on the Group’s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Non-controlling Interest in GasLog Partners</w:t>
      </w:r>
    </w:p>
    <w:p>
      <w:pPr>
        <w:spacing w:after="0" w:line="239" w:lineRule="exact"/>
        <w:rPr>
          <w:sz w:val="20"/>
          <w:szCs w:val="20"/>
          <w:color w:val="auto"/>
        </w:rPr>
      </w:pPr>
    </w:p>
    <w:p>
      <w:pPr>
        <w:ind w:right="100" w:firstLine="255"/>
        <w:spacing w:after="0" w:line="273" w:lineRule="auto"/>
        <w:rPr>
          <w:sz w:val="20"/>
          <w:szCs w:val="20"/>
          <w:color w:val="auto"/>
        </w:rPr>
      </w:pPr>
      <w:r>
        <w:rPr>
          <w:rFonts w:ascii="Arial" w:cs="Arial" w:eastAsia="Arial" w:hAnsi="Arial"/>
          <w:sz w:val="16"/>
          <w:szCs w:val="16"/>
          <w:color w:val="auto"/>
        </w:rPr>
        <w:t>The profit allocation to non-controlling interests is based on the distribution policy for available cash stated in the Partnership Agreement as amended after the elimination of the incentive distribution rights (“IDRs”) as of June 30, 2019. Following the IDRs’ elimination, 98% of the available cash is distributed to the common unitholders and 2% is distributed to the general partner. The updated earnings allocation has been applied to the Partnership’s earnings for the three months ended June 30, 2019 and onwards.</w:t>
      </w:r>
    </w:p>
    <w:p>
      <w:pPr>
        <w:spacing w:after="0" w:line="160" w:lineRule="exact"/>
        <w:rPr>
          <w:sz w:val="20"/>
          <w:szCs w:val="20"/>
          <w:color w:val="auto"/>
        </w:rPr>
      </w:pPr>
    </w:p>
    <w:tbl>
      <w:tblPr>
        <w:tblLayout w:type="fixed"/>
        <w:tblInd w:w="400" w:type="dxa"/>
        <w:tblCellMar>
          <w:top w:w="0" w:type="dxa"/>
          <w:left w:w="0" w:type="dxa"/>
          <w:bottom w:w="0" w:type="dxa"/>
          <w:right w:w="0" w:type="dxa"/>
        </w:tblCellMar>
      </w:tblPr>
      <w:tr>
        <w:trPr>
          <w:trHeight w:val="146"/>
        </w:trPr>
        <w:tc>
          <w:tcPr>
            <w:tcW w:w="25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8"/>
              </w:rPr>
              <w:t>Allocation of GasLog Partners’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i w:val="1"/>
                <w:iCs w:val="1"/>
                <w:color w:val="auto"/>
              </w:rPr>
              <w:t>(*)</w:t>
            </w:r>
          </w:p>
        </w:tc>
        <w:tc>
          <w:tcPr>
            <w:tcW w:w="1780" w:type="dxa"/>
            <w:vAlign w:val="bottom"/>
            <w:gridSpan w:val="2"/>
            <w:vMerge w:val="restart"/>
          </w:tcPr>
          <w:p>
            <w:pPr>
              <w:spacing w:after="0"/>
              <w:rPr>
                <w:sz w:val="12"/>
                <w:szCs w:val="12"/>
                <w:color w:val="auto"/>
              </w:rPr>
            </w:pPr>
          </w:p>
        </w:tc>
        <w:tc>
          <w:tcPr>
            <w:tcW w:w="3040" w:type="dxa"/>
            <w:vAlign w:val="bottom"/>
            <w:gridSpan w:val="6"/>
            <w:vMerge w:val="restart"/>
          </w:tcPr>
          <w:p>
            <w:pPr>
              <w:ind w:left="380"/>
              <w:spacing w:after="0"/>
              <w:rPr>
                <w:sz w:val="20"/>
                <w:szCs w:val="20"/>
                <w:color w:val="auto"/>
              </w:rPr>
            </w:pPr>
            <w:r>
              <w:rPr>
                <w:rFonts w:ascii="Arial" w:cs="Arial" w:eastAsia="Arial" w:hAnsi="Arial"/>
                <w:sz w:val="16"/>
                <w:szCs w:val="16"/>
                <w:b w:val="1"/>
                <w:bCs w:val="1"/>
                <w:color w:val="auto"/>
              </w:rPr>
              <w:t>For the three months ended</w:t>
            </w:r>
          </w:p>
        </w:tc>
        <w:tc>
          <w:tcPr>
            <w:tcW w:w="268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39"/>
        </w:trPr>
        <w:tc>
          <w:tcPr>
            <w:tcW w:w="250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3040" w:type="dxa"/>
            <w:vAlign w:val="bottom"/>
            <w:gridSpan w:val="6"/>
            <w:vMerge w:val="continue"/>
          </w:tcPr>
          <w:p>
            <w:pPr>
              <w:spacing w:after="0"/>
              <w:rPr>
                <w:sz w:val="2"/>
                <w:szCs w:val="2"/>
                <w:color w:val="auto"/>
              </w:rPr>
            </w:pPr>
          </w:p>
        </w:tc>
        <w:tc>
          <w:tcPr>
            <w:tcW w:w="2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2020</w:t>
            </w: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 2019</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w w:val="97"/>
              </w:rPr>
              <w:t>June 30, 2020</w:t>
            </w:r>
          </w:p>
        </w:tc>
        <w:tc>
          <w:tcPr>
            <w:tcW w:w="0" w:type="dxa"/>
            <w:vAlign w:val="bottom"/>
          </w:tcPr>
          <w:p>
            <w:pPr>
              <w:spacing w:after="0"/>
              <w:rPr>
                <w:sz w:val="1"/>
                <w:szCs w:val="1"/>
                <w:color w:val="auto"/>
              </w:rPr>
            </w:pPr>
          </w:p>
        </w:tc>
      </w:tr>
      <w:tr>
        <w:trPr>
          <w:trHeight w:val="188"/>
        </w:trPr>
        <w:tc>
          <w:tcPr>
            <w:tcW w:w="434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Partnership’s profit attributable to:</w:t>
            </w:r>
          </w:p>
        </w:tc>
        <w:tc>
          <w:tcPr>
            <w:tcW w:w="80" w:type="dxa"/>
            <w:vAlign w:val="bottom"/>
            <w:tcBorders>
              <w:top w:val="single" w:sz="8" w:color="auto"/>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spacing w:after="0"/>
              <w:rPr>
                <w:sz w:val="16"/>
                <w:szCs w:val="16"/>
                <w:color w:val="auto"/>
              </w:rPr>
            </w:pPr>
          </w:p>
        </w:tc>
        <w:tc>
          <w:tcPr>
            <w:tcW w:w="122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spacing w:after="0"/>
              <w:rPr>
                <w:sz w:val="16"/>
                <w:szCs w:val="16"/>
                <w:color w:val="auto"/>
              </w:rPr>
            </w:pPr>
          </w:p>
        </w:tc>
        <w:tc>
          <w:tcPr>
            <w:tcW w:w="120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auto"/>
            </w:tcBorders>
            <w:shd w:val="clear" w:color="auto" w:fill="E5FFFF"/>
          </w:tcPr>
          <w:p>
            <w:pPr>
              <w:spacing w:after="0"/>
              <w:rPr>
                <w:sz w:val="16"/>
                <w:szCs w:val="16"/>
                <w:color w:val="auto"/>
              </w:rPr>
            </w:pPr>
          </w:p>
        </w:tc>
        <w:tc>
          <w:tcPr>
            <w:tcW w:w="1220" w:type="dxa"/>
            <w:vAlign w:val="bottom"/>
            <w:tcBorders>
              <w:top w:val="single" w:sz="8" w:color="auto"/>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4"/>
          </w:tcPr>
          <w:p>
            <w:pPr>
              <w:spacing w:after="0"/>
              <w:rPr>
                <w:sz w:val="20"/>
                <w:szCs w:val="20"/>
                <w:color w:val="auto"/>
              </w:rPr>
            </w:pPr>
            <w:r>
              <w:rPr>
                <w:rFonts w:ascii="Arial" w:cs="Arial" w:eastAsia="Arial" w:hAnsi="Arial"/>
                <w:sz w:val="16"/>
                <w:szCs w:val="16"/>
                <w:color w:val="auto"/>
              </w:rPr>
              <w:t>Common unitholders</w:t>
            </w:r>
          </w:p>
        </w:tc>
        <w:tc>
          <w:tcPr>
            <w:tcW w:w="1240" w:type="dxa"/>
            <w:vAlign w:val="bottom"/>
          </w:tcPr>
          <w:p>
            <w:pPr>
              <w:jc w:val="right"/>
              <w:spacing w:after="0"/>
              <w:rPr>
                <w:sz w:val="20"/>
                <w:szCs w:val="20"/>
                <w:color w:val="auto"/>
              </w:rPr>
            </w:pPr>
            <w:r>
              <w:rPr>
                <w:rFonts w:ascii="Arial" w:cs="Arial" w:eastAsia="Arial" w:hAnsi="Arial"/>
                <w:sz w:val="16"/>
                <w:szCs w:val="16"/>
                <w:color w:val="auto"/>
              </w:rPr>
              <w:t>11,329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23,858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7,063</w:t>
            </w:r>
          </w:p>
        </w:tc>
        <w:tc>
          <w:tcPr>
            <w:tcW w:w="0" w:type="dxa"/>
            <w:vAlign w:val="bottom"/>
          </w:tcPr>
          <w:p>
            <w:pPr>
              <w:spacing w:after="0"/>
              <w:rPr>
                <w:sz w:val="1"/>
                <w:szCs w:val="1"/>
                <w:color w:val="auto"/>
              </w:rPr>
            </w:pPr>
          </w:p>
        </w:tc>
      </w:tr>
      <w:tr>
        <w:trPr>
          <w:trHeight w:val="203"/>
        </w:trPr>
        <w:tc>
          <w:tcPr>
            <w:tcW w:w="442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232</w:t>
            </w: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487</w:t>
            </w:r>
          </w:p>
        </w:tc>
        <w:tc>
          <w:tcPr>
            <w:tcW w:w="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color w:val="auto"/>
              </w:rPr>
              <w:t>Paid and accrued preference equity distributions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7,582</w:t>
            </w:r>
          </w:p>
        </w:tc>
        <w:tc>
          <w:tcPr>
            <w:tcW w:w="18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7,582</w:t>
            </w:r>
          </w:p>
        </w:tc>
        <w:tc>
          <w:tcPr>
            <w:tcW w:w="20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15,164</w:t>
            </w:r>
          </w:p>
        </w:tc>
        <w:tc>
          <w:tcPr>
            <w:tcW w:w="18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15,164</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19,143</w:t>
            </w:r>
          </w:p>
        </w:tc>
        <w:tc>
          <w:tcPr>
            <w:tcW w:w="18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8,213</w:t>
            </w:r>
          </w:p>
        </w:tc>
        <w:tc>
          <w:tcPr>
            <w:tcW w:w="20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39,509</w:t>
            </w:r>
          </w:p>
        </w:tc>
        <w:tc>
          <w:tcPr>
            <w:tcW w:w="18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22,382</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6"/>
                <w:szCs w:val="16"/>
                <w:color w:val="auto"/>
              </w:rPr>
              <w:t>Partnership’s profit allocated to GasLog</w:t>
            </w: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gridSpan w:val="4"/>
            <w:vMerge w:val="continue"/>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7,177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03"/>
        </w:trPr>
        <w:tc>
          <w:tcPr>
            <w:tcW w:w="442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Partnership’s profit allocated to non-controlling interests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15,486</w:t>
            </w: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8,010</w:t>
            </w: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32,332</w:t>
            </w:r>
          </w:p>
        </w:tc>
        <w:tc>
          <w:tcPr>
            <w:tcW w:w="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20,052</w:t>
            </w:r>
          </w:p>
        </w:tc>
        <w:tc>
          <w:tcPr>
            <w:tcW w:w="0" w:type="dxa"/>
            <w:vAlign w:val="bottom"/>
          </w:tcPr>
          <w:p>
            <w:pPr>
              <w:spacing w:after="0"/>
              <w:rPr>
                <w:sz w:val="1"/>
                <w:szCs w:val="1"/>
                <w:color w:val="auto"/>
              </w:rPr>
            </w:pPr>
          </w:p>
        </w:tc>
      </w:tr>
      <w:tr>
        <w:trPr>
          <w:trHeight w:val="196"/>
        </w:trPr>
        <w:tc>
          <w:tcPr>
            <w:tcW w:w="4420" w:type="dxa"/>
            <w:vAlign w:val="bottom"/>
            <w:gridSpan w:val="4"/>
          </w:tcPr>
          <w:p>
            <w:pPr>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39,509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22,382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Excludes profits of GAS-twelve Ltd. for the period prior to its transfer to the Partnership on April 1, 2019.</w:t>
      </w:r>
    </w:p>
    <w:p>
      <w:pPr>
        <w:spacing w:after="0" w:line="212" w:lineRule="exact"/>
        <w:rPr>
          <w:sz w:val="20"/>
          <w:szCs w:val="20"/>
          <w:color w:val="auto"/>
        </w:rPr>
      </w:pPr>
    </w:p>
    <w:p>
      <w:pPr>
        <w:jc w:val="both"/>
        <w:ind w:right="640" w:firstLine="391"/>
        <w:spacing w:after="0" w:line="293" w:lineRule="auto"/>
        <w:rPr>
          <w:sz w:val="20"/>
          <w:szCs w:val="20"/>
          <w:color w:val="auto"/>
        </w:rPr>
      </w:pPr>
      <w:r>
        <w:rPr>
          <w:rFonts w:ascii="Arial" w:cs="Arial" w:eastAsia="Arial" w:hAnsi="Arial"/>
          <w:sz w:val="16"/>
          <w:szCs w:val="16"/>
          <w:color w:val="auto"/>
        </w:rPr>
        <w:t>Dividends declared attributable to non-controlling interests included in the unaudited condensed consolidated statements of changes in equity represent cash distributions to holders of common and preference units.</w:t>
      </w:r>
    </w:p>
    <w:p>
      <w:pPr>
        <w:spacing w:after="0" w:line="172" w:lineRule="exact"/>
        <w:rPr>
          <w:sz w:val="20"/>
          <w:szCs w:val="20"/>
          <w:color w:val="auto"/>
        </w:rPr>
      </w:pPr>
    </w:p>
    <w:p>
      <w:pPr>
        <w:ind w:right="280" w:firstLine="391"/>
        <w:spacing w:after="0" w:line="293" w:lineRule="auto"/>
        <w:rPr>
          <w:sz w:val="20"/>
          <w:szCs w:val="20"/>
          <w:color w:val="auto"/>
        </w:rPr>
      </w:pPr>
      <w:r>
        <w:rPr>
          <w:rFonts w:ascii="Arial" w:cs="Arial" w:eastAsia="Arial" w:hAnsi="Arial"/>
          <w:sz w:val="16"/>
          <w:szCs w:val="16"/>
          <w:color w:val="auto"/>
        </w:rPr>
        <w:t>In the six months ended June 30, 2020, the board of directors of the Partnership approved and declared cash distributions of $22,158 and $15,164 for the common units and preference units, respectively held by non-controlling interests.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20"/>
                <w:szCs w:val="20"/>
                <w:color w:val="auto"/>
              </w:rPr>
            </w:pPr>
            <w:r>
              <w:rPr>
                <w:rFonts w:ascii="Arial" w:cs="Arial" w:eastAsia="Arial" w:hAnsi="Arial"/>
                <w:sz w:val="16"/>
                <w:szCs w:val="16"/>
                <w:b w:val="1"/>
                <w:bCs w:val="1"/>
                <w:color w:val="auto"/>
              </w:rPr>
              <w:t>4. Investment in Associates</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8"/>
        </w:trPr>
        <w:tc>
          <w:tcPr>
            <w:tcW w:w="9020" w:type="dxa"/>
            <w:vAlign w:val="bottom"/>
          </w:tcPr>
          <w:p>
            <w:pPr>
              <w:ind w:left="340"/>
              <w:spacing w:after="0"/>
              <w:rPr>
                <w:sz w:val="20"/>
                <w:szCs w:val="20"/>
                <w:color w:val="auto"/>
              </w:rPr>
            </w:pPr>
            <w:r>
              <w:rPr>
                <w:rFonts w:ascii="Arial" w:cs="Arial" w:eastAsia="Arial" w:hAnsi="Arial"/>
                <w:sz w:val="16"/>
                <w:szCs w:val="16"/>
                <w:color w:val="auto"/>
              </w:rPr>
              <w:t>The movements in investment in associates are reported in the following table:</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6"/>
        </w:trPr>
        <w:tc>
          <w:tcPr>
            <w:tcW w:w="902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9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As of January 1, 2020</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21,620</w:t>
            </w:r>
          </w:p>
        </w:tc>
        <w:tc>
          <w:tcPr>
            <w:tcW w:w="60" w:type="dxa"/>
            <w:vAlign w:val="bottom"/>
          </w:tcPr>
          <w:p>
            <w:pPr>
              <w:spacing w:after="0"/>
              <w:rPr>
                <w:sz w:val="17"/>
                <w:szCs w:val="17"/>
                <w:color w:val="auto"/>
              </w:rPr>
            </w:pPr>
          </w:p>
        </w:tc>
      </w:tr>
      <w:tr>
        <w:trPr>
          <w:trHeight w:val="253"/>
        </w:trPr>
        <w:tc>
          <w:tcPr>
            <w:tcW w:w="9020" w:type="dxa"/>
            <w:vAlign w:val="bottom"/>
          </w:tcPr>
          <w:p>
            <w:pPr>
              <w:spacing w:after="0"/>
              <w:rPr>
                <w:sz w:val="20"/>
                <w:szCs w:val="20"/>
                <w:color w:val="auto"/>
              </w:rPr>
            </w:pPr>
            <w:r>
              <w:rPr>
                <w:rFonts w:ascii="Arial" w:cs="Arial" w:eastAsia="Arial" w:hAnsi="Arial"/>
                <w:sz w:val="16"/>
                <w:szCs w:val="16"/>
                <w:color w:val="auto"/>
              </w:rPr>
              <w:t>Share of profit of associates</w:t>
            </w:r>
          </w:p>
        </w:tc>
        <w:tc>
          <w:tcPr>
            <w:tcW w:w="1380" w:type="dxa"/>
            <w:vAlign w:val="bottom"/>
          </w:tcPr>
          <w:p>
            <w:pPr>
              <w:jc w:val="right"/>
              <w:spacing w:after="0"/>
              <w:rPr>
                <w:sz w:val="20"/>
                <w:szCs w:val="20"/>
                <w:color w:val="auto"/>
              </w:rPr>
            </w:pPr>
            <w:r>
              <w:rPr>
                <w:rFonts w:ascii="Arial" w:cs="Arial" w:eastAsia="Arial" w:hAnsi="Arial"/>
                <w:sz w:val="16"/>
                <w:szCs w:val="16"/>
                <w:color w:val="auto"/>
              </w:rPr>
              <w:t>928</w:t>
            </w:r>
          </w:p>
        </w:tc>
        <w:tc>
          <w:tcPr>
            <w:tcW w:w="60" w:type="dxa"/>
            <w:vAlign w:val="bottom"/>
          </w:tcPr>
          <w:p>
            <w:pPr>
              <w:spacing w:after="0"/>
              <w:rPr>
                <w:sz w:val="22"/>
                <w:szCs w:val="22"/>
                <w:color w:val="auto"/>
              </w:rPr>
            </w:pPr>
          </w:p>
        </w:tc>
      </w:tr>
      <w:tr>
        <w:trPr>
          <w:trHeight w:val="256"/>
        </w:trPr>
        <w:tc>
          <w:tcPr>
            <w:tcW w:w="9020" w:type="dxa"/>
            <w:vAlign w:val="bottom"/>
            <w:shd w:val="clear" w:color="auto" w:fill="E5FFFF"/>
          </w:tcPr>
          <w:p>
            <w:pPr>
              <w:spacing w:after="0"/>
              <w:rPr>
                <w:sz w:val="20"/>
                <w:szCs w:val="20"/>
                <w:color w:val="auto"/>
              </w:rPr>
            </w:pPr>
            <w:r>
              <w:rPr>
                <w:rFonts w:ascii="Arial" w:cs="Arial" w:eastAsia="Arial" w:hAnsi="Arial"/>
                <w:sz w:val="16"/>
                <w:szCs w:val="16"/>
                <w:color w:val="auto"/>
              </w:rPr>
              <w:t>Dividend declared</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(1,275)</w:t>
            </w:r>
          </w:p>
        </w:tc>
        <w:tc>
          <w:tcPr>
            <w:tcW w:w="60" w:type="dxa"/>
            <w:vAlign w:val="bottom"/>
          </w:tcPr>
          <w:p>
            <w:pPr>
              <w:spacing w:after="0"/>
              <w:rPr>
                <w:sz w:val="22"/>
                <w:szCs w:val="22"/>
                <w:color w:val="auto"/>
              </w:rPr>
            </w:pPr>
          </w:p>
        </w:tc>
      </w:tr>
      <w:tr>
        <w:trPr>
          <w:trHeight w:val="226"/>
        </w:trPr>
        <w:tc>
          <w:tcPr>
            <w:tcW w:w="9020" w:type="dxa"/>
            <w:vAlign w:val="bottom"/>
          </w:tcPr>
          <w:p>
            <w:pPr>
              <w:spacing w:after="0"/>
              <w:rPr>
                <w:sz w:val="20"/>
                <w:szCs w:val="20"/>
                <w:color w:val="auto"/>
              </w:rPr>
            </w:pPr>
            <w:r>
              <w:rPr>
                <w:rFonts w:ascii="Arial" w:cs="Arial" w:eastAsia="Arial" w:hAnsi="Arial"/>
                <w:sz w:val="16"/>
                <w:szCs w:val="16"/>
                <w:b w:val="1"/>
                <w:bCs w:val="1"/>
                <w:color w:val="auto"/>
              </w:rPr>
              <w:t>As of June 30, 2020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21,273</w:t>
            </w:r>
          </w:p>
        </w:tc>
        <w:tc>
          <w:tcPr>
            <w:tcW w:w="6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Tangible Fixed Assets and Vessels Under Construction</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movements in tangible fixed assets and vessels under construction are reported in the following table:</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Office property</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and other</w:t>
            </w: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tangible fixed</w:t>
            </w:r>
          </w:p>
        </w:tc>
        <w:tc>
          <w:tcPr>
            <w:tcW w:w="14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Vessels under</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Vessels</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tangible assets</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0"/>
              </w:rPr>
              <w:t>assets</w:t>
            </w:r>
          </w:p>
        </w:tc>
        <w:tc>
          <w:tcPr>
            <w:tcW w:w="14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construction</w:t>
            </w:r>
          </w:p>
        </w:tc>
        <w:tc>
          <w:tcPr>
            <w:tcW w:w="0" w:type="dxa"/>
            <w:vAlign w:val="bottom"/>
          </w:tcPr>
          <w:p>
            <w:pPr>
              <w:spacing w:after="0"/>
              <w:rPr>
                <w:sz w:val="1"/>
                <w:szCs w:val="1"/>
                <w:color w:val="auto"/>
              </w:rPr>
            </w:pPr>
          </w:p>
        </w:tc>
      </w:tr>
      <w:tr>
        <w:trPr>
          <w:trHeight w:val="145"/>
        </w:trPr>
        <w:tc>
          <w:tcPr>
            <w:tcW w:w="4440" w:type="dxa"/>
            <w:vAlign w:val="bottom"/>
            <w:tcBorders>
              <w:top w:val="single" w:sz="8" w:color="E5FFFF"/>
            </w:tcBorders>
            <w:gridSpan w:val="4"/>
            <w:shd w:val="clear" w:color="auto" w:fill="E5FFFF"/>
          </w:tcPr>
          <w:p>
            <w:pPr>
              <w:spacing w:after="0" w:line="145" w:lineRule="exact"/>
              <w:rPr>
                <w:sz w:val="20"/>
                <w:szCs w:val="20"/>
                <w:color w:val="auto"/>
              </w:rPr>
            </w:pPr>
            <w:r>
              <w:rPr>
                <w:rFonts w:ascii="Arial" w:cs="Arial" w:eastAsia="Arial" w:hAnsi="Arial"/>
                <w:sz w:val="16"/>
                <w:szCs w:val="16"/>
                <w:b w:val="1"/>
                <w:bCs w:val="1"/>
                <w:color w:val="auto"/>
              </w:rPr>
              <w:t>Cost</w:t>
            </w:r>
          </w:p>
        </w:tc>
        <w:tc>
          <w:tcPr>
            <w:tcW w:w="1140" w:type="dxa"/>
            <w:vAlign w:val="bottom"/>
            <w:tcBorders>
              <w:top w:val="single" w:sz="8" w:color="auto"/>
            </w:tcBorders>
            <w:shd w:val="clear" w:color="auto" w:fill="E5FFFF"/>
          </w:tcPr>
          <w:p>
            <w:pPr>
              <w:spacing w:after="0"/>
              <w:rPr>
                <w:sz w:val="12"/>
                <w:szCs w:val="12"/>
                <w:color w:val="auto"/>
              </w:rPr>
            </w:pPr>
          </w:p>
        </w:tc>
        <w:tc>
          <w:tcPr>
            <w:tcW w:w="320" w:type="dxa"/>
            <w:vAlign w:val="bottom"/>
            <w:tcBorders>
              <w:top w:val="single" w:sz="8" w:color="E5FFFF"/>
            </w:tcBorders>
            <w:shd w:val="clear" w:color="auto" w:fill="E5FFFF"/>
          </w:tcPr>
          <w:p>
            <w:pPr>
              <w:spacing w:after="0"/>
              <w:rPr>
                <w:sz w:val="12"/>
                <w:szCs w:val="12"/>
                <w:color w:val="auto"/>
              </w:rPr>
            </w:pPr>
          </w:p>
        </w:tc>
        <w:tc>
          <w:tcPr>
            <w:tcW w:w="1340" w:type="dxa"/>
            <w:vAlign w:val="bottom"/>
            <w:tcBorders>
              <w:top w:val="single" w:sz="8" w:color="auto"/>
            </w:tcBorders>
            <w:shd w:val="clear" w:color="auto" w:fill="E5FFFF"/>
          </w:tcPr>
          <w:p>
            <w:pPr>
              <w:spacing w:after="0"/>
              <w:rPr>
                <w:sz w:val="12"/>
                <w:szCs w:val="12"/>
                <w:color w:val="auto"/>
              </w:rPr>
            </w:pPr>
          </w:p>
        </w:tc>
        <w:tc>
          <w:tcPr>
            <w:tcW w:w="320" w:type="dxa"/>
            <w:vAlign w:val="bottom"/>
            <w:tcBorders>
              <w:top w:val="single" w:sz="8" w:color="E5FFFF"/>
            </w:tcBorders>
            <w:shd w:val="clear" w:color="auto" w:fill="E5FFFF"/>
          </w:tcPr>
          <w:p>
            <w:pPr>
              <w:spacing w:after="0"/>
              <w:rPr>
                <w:sz w:val="12"/>
                <w:szCs w:val="12"/>
                <w:color w:val="auto"/>
              </w:rPr>
            </w:pPr>
          </w:p>
        </w:tc>
        <w:tc>
          <w:tcPr>
            <w:tcW w:w="1340" w:type="dxa"/>
            <w:vAlign w:val="bottom"/>
            <w:tcBorders>
              <w:top w:val="single" w:sz="8" w:color="auto"/>
            </w:tcBorders>
            <w:shd w:val="clear" w:color="auto" w:fill="E5FFFF"/>
          </w:tcPr>
          <w:p>
            <w:pPr>
              <w:spacing w:after="0"/>
              <w:rPr>
                <w:sz w:val="12"/>
                <w:szCs w:val="12"/>
                <w:color w:val="auto"/>
              </w:rPr>
            </w:pPr>
          </w:p>
        </w:tc>
        <w:tc>
          <w:tcPr>
            <w:tcW w:w="320" w:type="dxa"/>
            <w:vAlign w:val="bottom"/>
            <w:tcBorders>
              <w:top w:val="single" w:sz="8" w:color="E5FFFF"/>
            </w:tcBorders>
            <w:shd w:val="clear" w:color="auto" w:fill="E5FFFF"/>
          </w:tcPr>
          <w:p>
            <w:pPr>
              <w:spacing w:after="0"/>
              <w:rPr>
                <w:sz w:val="12"/>
                <w:szCs w:val="12"/>
                <w:color w:val="auto"/>
              </w:rPr>
            </w:pPr>
          </w:p>
        </w:tc>
        <w:tc>
          <w:tcPr>
            <w:tcW w:w="1340" w:type="dxa"/>
            <w:vAlign w:val="bottom"/>
            <w:tcBorders>
              <w:top w:val="single" w:sz="8" w:color="auto"/>
            </w:tcBorders>
            <w:shd w:val="clear" w:color="auto" w:fill="E5FF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262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4"/>
          </w:tcPr>
          <w:p>
            <w:pPr>
              <w:spacing w:after="0"/>
              <w:rPr>
                <w:sz w:val="20"/>
                <w:szCs w:val="20"/>
                <w:color w:val="auto"/>
              </w:rPr>
            </w:pPr>
            <w:r>
              <w:rPr>
                <w:rFonts w:ascii="Arial" w:cs="Arial" w:eastAsia="Arial" w:hAnsi="Arial"/>
                <w:sz w:val="16"/>
                <w:szCs w:val="16"/>
                <w:color w:val="auto"/>
              </w:rPr>
              <w:t>As of January 1, 2020</w:t>
            </w:r>
          </w:p>
        </w:tc>
        <w:tc>
          <w:tcPr>
            <w:tcW w:w="1140" w:type="dxa"/>
            <w:vAlign w:val="bottom"/>
          </w:tcPr>
          <w:p>
            <w:pPr>
              <w:jc w:val="right"/>
              <w:spacing w:after="0"/>
              <w:rPr>
                <w:sz w:val="20"/>
                <w:szCs w:val="20"/>
                <w:color w:val="auto"/>
              </w:rPr>
            </w:pPr>
            <w:r>
              <w:rPr>
                <w:rFonts w:ascii="Arial" w:cs="Arial" w:eastAsia="Arial" w:hAnsi="Arial"/>
                <w:sz w:val="16"/>
                <w:szCs w:val="16"/>
                <w:color w:val="auto"/>
              </w:rPr>
              <w:t>5,314,348</w:t>
            </w:r>
          </w:p>
        </w:tc>
        <w:tc>
          <w:tcPr>
            <w:tcW w:w="32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25,164</w:t>
            </w:r>
          </w:p>
        </w:tc>
        <w:tc>
          <w:tcPr>
            <w:tcW w:w="1340" w:type="dxa"/>
            <w:vAlign w:val="bottom"/>
          </w:tcPr>
          <w:p>
            <w:pPr>
              <w:jc w:val="right"/>
              <w:spacing w:after="0"/>
              <w:rPr>
                <w:sz w:val="20"/>
                <w:szCs w:val="20"/>
                <w:color w:val="auto"/>
              </w:rPr>
            </w:pPr>
            <w:r>
              <w:rPr>
                <w:rFonts w:ascii="Arial" w:cs="Arial" w:eastAsia="Arial" w:hAnsi="Arial"/>
                <w:sz w:val="16"/>
                <w:szCs w:val="16"/>
                <w:color w:val="auto"/>
              </w:rPr>
              <w:t>5,339,512</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203,323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18,557</w:t>
            </w:r>
          </w:p>
        </w:tc>
        <w:tc>
          <w:tcPr>
            <w:tcW w:w="32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7,856</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26,413</w:t>
            </w:r>
          </w:p>
        </w:tc>
        <w:tc>
          <w:tcPr>
            <w:tcW w:w="3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349,431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4"/>
          </w:tcPr>
          <w:p>
            <w:pPr>
              <w:spacing w:after="0"/>
              <w:rPr>
                <w:sz w:val="20"/>
                <w:szCs w:val="20"/>
                <w:color w:val="auto"/>
              </w:rPr>
            </w:pPr>
            <w:r>
              <w:rPr>
                <w:rFonts w:ascii="Arial" w:cs="Arial" w:eastAsia="Arial" w:hAnsi="Arial"/>
                <w:sz w:val="16"/>
                <w:szCs w:val="16"/>
                <w:color w:val="auto"/>
              </w:rPr>
              <w:t>Transfer from vessels under construction</w:t>
            </w:r>
          </w:p>
        </w:tc>
        <w:tc>
          <w:tcPr>
            <w:tcW w:w="1140" w:type="dxa"/>
            <w:vAlign w:val="bottom"/>
          </w:tcPr>
          <w:p>
            <w:pPr>
              <w:jc w:val="right"/>
              <w:spacing w:after="0"/>
              <w:rPr>
                <w:sz w:val="20"/>
                <w:szCs w:val="20"/>
                <w:color w:val="auto"/>
              </w:rPr>
            </w:pPr>
            <w:r>
              <w:rPr>
                <w:rFonts w:ascii="Arial" w:cs="Arial" w:eastAsia="Arial" w:hAnsi="Arial"/>
                <w:sz w:val="16"/>
                <w:szCs w:val="16"/>
                <w:color w:val="auto"/>
              </w:rPr>
              <w:t>376,785</w:t>
            </w:r>
          </w:p>
        </w:tc>
        <w:tc>
          <w:tcPr>
            <w:tcW w:w="32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376,785</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(376,785)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Disposals</w:t>
            </w:r>
          </w:p>
        </w:tc>
        <w:tc>
          <w:tcPr>
            <w:tcW w:w="14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(3,029)</w:t>
            </w:r>
          </w:p>
        </w:tc>
        <w:tc>
          <w:tcPr>
            <w:tcW w:w="16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(3,029)</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4"/>
          </w:tcPr>
          <w:p>
            <w:pPr>
              <w:spacing w:after="0"/>
              <w:rPr>
                <w:sz w:val="20"/>
                <w:szCs w:val="20"/>
                <w:color w:val="auto"/>
              </w:rPr>
            </w:pPr>
            <w:r>
              <w:rPr>
                <w:rFonts w:ascii="Arial" w:cs="Arial" w:eastAsia="Arial" w:hAnsi="Arial"/>
                <w:sz w:val="16"/>
                <w:szCs w:val="16"/>
                <w:color w:val="auto"/>
              </w:rPr>
              <w:t>Fully amortized dry-docking component</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(7,742)</w:t>
            </w: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(7,742)</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June 30, 2020</w:t>
            </w: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5,701,948</w:t>
            </w:r>
          </w:p>
        </w:tc>
        <w:tc>
          <w:tcPr>
            <w:tcW w:w="3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29,991</w:t>
            </w:r>
          </w:p>
        </w:tc>
        <w:tc>
          <w:tcPr>
            <w:tcW w:w="3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5,731,939</w:t>
            </w:r>
          </w:p>
        </w:tc>
        <w:tc>
          <w:tcPr>
            <w:tcW w:w="3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175,969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gridSpan w:val="4"/>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14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As of January 1, 2020</w:t>
            </w:r>
          </w:p>
        </w:tc>
        <w:tc>
          <w:tcPr>
            <w:tcW w:w="2620" w:type="dxa"/>
            <w:vAlign w:val="bottom"/>
            <w:tcBorders>
              <w:top w:val="single" w:sz="8" w:color="E5FFFF"/>
            </w:tcBorders>
          </w:tcPr>
          <w:p>
            <w:pPr>
              <w:spacing w:after="0"/>
              <w:rPr>
                <w:sz w:val="17"/>
                <w:szCs w:val="17"/>
                <w:color w:val="auto"/>
              </w:rPr>
            </w:pPr>
          </w:p>
        </w:tc>
        <w:tc>
          <w:tcPr>
            <w:tcW w:w="114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907,192</w:t>
            </w:r>
          </w:p>
        </w:tc>
        <w:tc>
          <w:tcPr>
            <w:tcW w:w="320" w:type="dxa"/>
            <w:vAlign w:val="bottom"/>
            <w:tcBorders>
              <w:top w:val="single" w:sz="8" w:color="E5FFFF"/>
            </w:tcBorders>
          </w:tcPr>
          <w:p>
            <w:pPr>
              <w:spacing w:after="0"/>
              <w:rPr>
                <w:sz w:val="17"/>
                <w:szCs w:val="17"/>
                <w:color w:val="auto"/>
              </w:rPr>
            </w:pPr>
          </w:p>
        </w:tc>
        <w:tc>
          <w:tcPr>
            <w:tcW w:w="166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6"/>
                <w:szCs w:val="16"/>
                <w:color w:val="auto"/>
              </w:rPr>
              <w:t>5,255</w:t>
            </w:r>
          </w:p>
        </w:tc>
        <w:tc>
          <w:tcPr>
            <w:tcW w:w="134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912,447</w:t>
            </w:r>
          </w:p>
        </w:tc>
        <w:tc>
          <w:tcPr>
            <w:tcW w:w="320" w:type="dxa"/>
            <w:vAlign w:val="bottom"/>
            <w:tcBorders>
              <w:top w:val="single" w:sz="8" w:color="E5FFFF"/>
            </w:tcBorders>
          </w:tcPr>
          <w:p>
            <w:pPr>
              <w:spacing w:after="0"/>
              <w:rPr>
                <w:sz w:val="17"/>
                <w:szCs w:val="17"/>
                <w:color w:val="auto"/>
              </w:rPr>
            </w:pPr>
          </w:p>
        </w:tc>
        <w:tc>
          <w:tcPr>
            <w:tcW w:w="134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1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79,350</w:t>
            </w:r>
          </w:p>
        </w:tc>
        <w:tc>
          <w:tcPr>
            <w:tcW w:w="32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395</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79,745</w:t>
            </w:r>
          </w:p>
        </w:tc>
        <w:tc>
          <w:tcPr>
            <w:tcW w:w="3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4"/>
          </w:tcPr>
          <w:p>
            <w:pPr>
              <w:spacing w:after="0"/>
              <w:rPr>
                <w:sz w:val="20"/>
                <w:szCs w:val="20"/>
                <w:color w:val="auto"/>
              </w:rPr>
            </w:pPr>
            <w:r>
              <w:rPr>
                <w:rFonts w:ascii="Arial" w:cs="Arial" w:eastAsia="Arial" w:hAnsi="Arial"/>
                <w:sz w:val="16"/>
                <w:szCs w:val="16"/>
                <w:color w:val="auto"/>
              </w:rPr>
              <w:t>Impairment loss on vessels</w:t>
            </w:r>
          </w:p>
        </w:tc>
        <w:tc>
          <w:tcPr>
            <w:tcW w:w="1140" w:type="dxa"/>
            <w:vAlign w:val="bottom"/>
          </w:tcPr>
          <w:p>
            <w:pPr>
              <w:jc w:val="right"/>
              <w:spacing w:after="0"/>
              <w:rPr>
                <w:sz w:val="20"/>
                <w:szCs w:val="20"/>
                <w:color w:val="auto"/>
              </w:rPr>
            </w:pPr>
            <w:r>
              <w:rPr>
                <w:rFonts w:ascii="Arial" w:cs="Arial" w:eastAsia="Arial" w:hAnsi="Arial"/>
                <w:sz w:val="16"/>
                <w:szCs w:val="16"/>
                <w:color w:val="auto"/>
              </w:rPr>
              <w:t>22,454</w:t>
            </w:r>
          </w:p>
        </w:tc>
        <w:tc>
          <w:tcPr>
            <w:tcW w:w="32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22,454</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Fully amortized dry-docking component</w:t>
            </w:r>
          </w:p>
        </w:tc>
        <w:tc>
          <w:tcPr>
            <w:tcW w:w="14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(7,742)</w:t>
            </w:r>
          </w:p>
        </w:tc>
        <w:tc>
          <w:tcPr>
            <w:tcW w:w="1660" w:type="dxa"/>
            <w:vAlign w:val="bottom"/>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(7,742)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As of June 30,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1,001,254</w:t>
            </w:r>
          </w:p>
        </w:tc>
        <w:tc>
          <w:tcPr>
            <w:tcW w:w="3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5,650</w:t>
            </w:r>
          </w:p>
        </w:tc>
        <w:tc>
          <w:tcPr>
            <w:tcW w:w="3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1,006,904</w:t>
            </w:r>
          </w:p>
        </w:tc>
        <w:tc>
          <w:tcPr>
            <w:tcW w:w="3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440" w:type="dxa"/>
            <w:vAlign w:val="bottom"/>
            <w:gridSpan w:val="4"/>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14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340" w:type="dxa"/>
            <w:vAlign w:val="bottom"/>
            <w:shd w:val="clear" w:color="auto" w:fill="E5FF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auto"/>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2620" w:type="dxa"/>
            <w:vAlign w:val="bottom"/>
            <w:tcBorders>
              <w:top w:val="single" w:sz="8" w:color="E5FFFF"/>
            </w:tcBorders>
            <w:shd w:val="clear" w:color="auto" w:fill="E5FFFF"/>
          </w:tcPr>
          <w:p>
            <w:pPr>
              <w:spacing w:after="0" w:line="20" w:lineRule="exact"/>
              <w:rPr>
                <w:sz w:val="1"/>
                <w:szCs w:val="1"/>
                <w:color w:val="auto"/>
              </w:rPr>
            </w:pPr>
          </w:p>
        </w:tc>
        <w:tc>
          <w:tcPr>
            <w:tcW w:w="1140" w:type="dxa"/>
            <w:vAlign w:val="bottom"/>
            <w:tcBorders>
              <w:top w:val="single" w:sz="8" w:color="E5FFFF"/>
            </w:tcBorders>
            <w:shd w:val="clear" w:color="auto" w:fill="E5FFFF"/>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1340" w:type="dxa"/>
            <w:vAlign w:val="bottom"/>
            <w:tcBorders>
              <w:top w:val="single" w:sz="8" w:color="E5FFFF"/>
            </w:tcBorders>
            <w:shd w:val="clear" w:color="auto" w:fill="E5FF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 2019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4,407,156</w:t>
            </w:r>
          </w:p>
        </w:tc>
        <w:tc>
          <w:tcPr>
            <w:tcW w:w="32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19,909</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4,427,065</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203,323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June 30, 2020</w:t>
            </w: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4,700,694</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24,341</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4,725,035</w:t>
            </w: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175,969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436"/>
        <w:spacing w:after="0" w:line="293" w:lineRule="auto"/>
        <w:rPr>
          <w:sz w:val="20"/>
          <w:szCs w:val="20"/>
          <w:color w:val="auto"/>
        </w:rPr>
      </w:pPr>
      <w:r>
        <w:rPr>
          <w:rFonts w:ascii="Arial" w:cs="Arial" w:eastAsia="Arial" w:hAnsi="Arial"/>
          <w:sz w:val="16"/>
          <w:szCs w:val="16"/>
          <w:color w:val="auto"/>
        </w:rPr>
        <w:t>Vessels with an aggregate carrying amount of $4,700,694 as of June 30, 2020 (December 31, 2019: $4,407,156) have been pledged as collateral under the terms of the Group’s loan agreements.</w:t>
      </w:r>
    </w:p>
    <w:p>
      <w:pPr>
        <w:spacing w:after="0" w:line="172" w:lineRule="exact"/>
        <w:rPr>
          <w:sz w:val="20"/>
          <w:szCs w:val="20"/>
          <w:color w:val="auto"/>
        </w:rPr>
      </w:pPr>
    </w:p>
    <w:p>
      <w:pPr>
        <w:ind w:right="140" w:firstLine="405"/>
        <w:spacing w:after="0" w:line="289" w:lineRule="auto"/>
        <w:rPr>
          <w:sz w:val="20"/>
          <w:szCs w:val="20"/>
          <w:color w:val="auto"/>
        </w:rPr>
      </w:pPr>
      <w:r>
        <w:rPr>
          <w:rFonts w:ascii="Arial" w:cs="Arial" w:eastAsia="Arial" w:hAnsi="Arial"/>
          <w:sz w:val="15"/>
          <w:szCs w:val="15"/>
          <w:color w:val="auto"/>
        </w:rPr>
        <w:t xml:space="preserve">As of June 30, 2020, a number of negative indicators, such as the downward pressure on economic activity and energy demand, as well as the significant uncertainty regarding future near-term LNG demand and, therefore LNG shipping requirements pursuant to the COVID-19 pandemic, combined with our reduced expectations for the estimated rates at which employment for the Company’s vessels (including the Partnership’s vessels) could be secured over the near-term in the spot market, prompted the Company to perform an impairment assessment of its vessels in accordance with the Company’s accounting policy. The recoverable amounts (values in use) for four steam turbine propulsion (“Steam”) vessels, i.e. the </w:t>
      </w:r>
      <w:r>
        <w:rPr>
          <w:rFonts w:ascii="Arial" w:cs="Arial" w:eastAsia="Arial" w:hAnsi="Arial"/>
          <w:sz w:val="15"/>
          <w:szCs w:val="15"/>
          <w:i w:val="1"/>
          <w:iCs w:val="1"/>
          <w:color w:val="auto"/>
        </w:rPr>
        <w:t>Methane Lydon Volney</w:t>
      </w:r>
      <w:r>
        <w:rPr>
          <w:rFonts w:ascii="Arial" w:cs="Arial" w:eastAsia="Arial" w:hAnsi="Arial"/>
          <w:sz w:val="15"/>
          <w:szCs w:val="15"/>
          <w:color w:val="auto"/>
        </w:rPr>
        <w:t xml:space="preserve"> (owned by GasLog), as well as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 xml:space="preserve">Methane Heather Sally </w:t>
      </w:r>
      <w:r>
        <w:rPr>
          <w:rFonts w:ascii="Arial" w:cs="Arial" w:eastAsia="Arial" w:hAnsi="Arial"/>
          <w:sz w:val="15"/>
          <w:szCs w:val="15"/>
          <w:color w:val="auto"/>
        </w:rPr>
        <w:t>(owned by the Partnership) were lower than the respective carrying amounts of these vessels and, consequently, an aggregate impairment loss of</w:t>
      </w:r>
      <w:r>
        <w:rPr>
          <w:rFonts w:ascii="Arial" w:cs="Arial" w:eastAsia="Arial" w:hAnsi="Arial"/>
          <w:sz w:val="15"/>
          <w:szCs w:val="15"/>
          <w:i w:val="1"/>
          <w:iCs w:val="1"/>
          <w:color w:val="auto"/>
        </w:rPr>
        <w:t xml:space="preserve"> </w:t>
      </w:r>
      <w:r>
        <w:rPr>
          <w:rFonts w:ascii="Arial" w:cs="Arial" w:eastAsia="Arial" w:hAnsi="Arial"/>
          <w:sz w:val="15"/>
          <w:szCs w:val="15"/>
          <w:color w:val="auto"/>
        </w:rPr>
        <w:t>$22,454 was recognized in profit or loss in the six months ended June 30, 2020.</w:t>
      </w:r>
    </w:p>
    <w:p>
      <w:pPr>
        <w:spacing w:after="0" w:line="180" w:lineRule="exact"/>
        <w:rPr>
          <w:sz w:val="20"/>
          <w:szCs w:val="20"/>
          <w:color w:val="auto"/>
        </w:rPr>
      </w:pPr>
    </w:p>
    <w:p>
      <w:pPr>
        <w:ind w:right="120" w:firstLine="383"/>
        <w:spacing w:after="0" w:line="318" w:lineRule="auto"/>
        <w:rPr>
          <w:sz w:val="20"/>
          <w:szCs w:val="20"/>
          <w:color w:val="auto"/>
        </w:rPr>
      </w:pPr>
      <w:r>
        <w:rPr>
          <w:rFonts w:ascii="Arial" w:cs="Arial" w:eastAsia="Arial" w:hAnsi="Arial"/>
          <w:sz w:val="14"/>
          <w:szCs w:val="14"/>
          <w:color w:val="auto"/>
        </w:rPr>
        <w:t>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$39 per day. Increasing/decreasing the average re-chartering rate used by $5 per day would result in an aggregate decrease/increase in the impairment charge of $126,909/($120,247). The discount rate used for the Steam vessels was 5.8% as of June 30, 2020. Increasing/decreasing the discount rate by 0.5% would increase/(decrease) the impairment loss by $26,340/($14,949), respectively.</w:t>
      </w:r>
    </w:p>
    <w:p>
      <w:pPr>
        <w:spacing w:after="0" w:line="162" w:lineRule="exact"/>
        <w:rPr>
          <w:sz w:val="20"/>
          <w:szCs w:val="20"/>
          <w:color w:val="auto"/>
        </w:rPr>
      </w:pPr>
    </w:p>
    <w:p>
      <w:pPr>
        <w:ind w:right="20" w:firstLine="436"/>
        <w:spacing w:after="0" w:line="293" w:lineRule="auto"/>
        <w:rPr>
          <w:sz w:val="20"/>
          <w:szCs w:val="20"/>
          <w:color w:val="auto"/>
        </w:rPr>
      </w:pPr>
      <w:r>
        <w:rPr>
          <w:rFonts w:ascii="Arial" w:cs="Arial" w:eastAsia="Arial" w:hAnsi="Arial"/>
          <w:sz w:val="15"/>
          <w:szCs w:val="15"/>
          <w:color w:val="auto"/>
        </w:rPr>
        <w:t>On October 11, 2016, GasLog LNG Services Ltd. entered into an arrangement whereby it would have access to all long lead items (“LLIs”) necessary for the conversion of a GasLog LNG carrier vessel into a Floating Storage and Regasification Units (“FSRU”) whereby such conversion work would be undertaken by Keppel Shipyard Limited (“Keppel”). GasLog was only obligated to pay for such LLIs if utilized for a GasLog vessel conversion or, if the LLIs had not been utilized in a GasLog vessel conversion within three years from November 2016, the items might be put to GasLog at 85% of the original cost, or GasLog might call for the purchase of such LLIs at 115% of the original cost. On February 7, 2020, GasLog paid $17,625 for the acquisition of such LLIs, following the expiration of the arrangement.</w:t>
      </w:r>
    </w:p>
    <w:p>
      <w:pPr>
        <w:spacing w:after="0" w:line="176" w:lineRule="exact"/>
        <w:rPr>
          <w:sz w:val="20"/>
          <w:szCs w:val="20"/>
          <w:color w:val="auto"/>
        </w:rPr>
      </w:pPr>
    </w:p>
    <w:p>
      <w:pPr>
        <w:ind w:firstLine="436"/>
        <w:spacing w:after="0" w:line="278" w:lineRule="auto"/>
        <w:rPr>
          <w:sz w:val="20"/>
          <w:szCs w:val="20"/>
          <w:color w:val="auto"/>
        </w:rPr>
      </w:pPr>
      <w:r>
        <w:rPr>
          <w:rFonts w:ascii="Arial" w:cs="Arial" w:eastAsia="Arial" w:hAnsi="Arial"/>
          <w:sz w:val="16"/>
          <w:szCs w:val="16"/>
          <w:color w:val="auto"/>
        </w:rPr>
        <w:t>Related to the acquisition of six vessels from a subsidiary of MSL in 2014 and another two vessels in 2015, the Group was committed to purchase depot spares from MSL with an aggregate initial value of $8,000 of which depot spares with value of $660 had already been purchased and paid while the remaining were acquired and paid on June 2, 2020.</w:t>
      </w:r>
    </w:p>
    <w:p>
      <w:pPr>
        <w:spacing w:after="0" w:line="184" w:lineRule="exact"/>
        <w:rPr>
          <w:sz w:val="20"/>
          <w:szCs w:val="20"/>
          <w:color w:val="auto"/>
        </w:rPr>
      </w:pPr>
    </w:p>
    <w:p>
      <w:pPr>
        <w:ind w:right="580" w:firstLine="436"/>
        <w:spacing w:after="0" w:line="293" w:lineRule="auto"/>
        <w:rPr>
          <w:sz w:val="20"/>
          <w:szCs w:val="20"/>
          <w:color w:val="auto"/>
        </w:rPr>
      </w:pPr>
      <w:r>
        <w:rPr>
          <w:rFonts w:ascii="Arial" w:cs="Arial" w:eastAsia="Arial" w:hAnsi="Arial"/>
          <w:sz w:val="16"/>
          <w:szCs w:val="16"/>
          <w:color w:val="auto"/>
        </w:rPr>
        <w:t xml:space="preserve">In June 2020, GasLog LNG Services Ltd. agreed to sell a low-pressure turbine which was included in Office property and other tangible assets to Egypt LNG Shipping Ltd. to be installed on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at a price of $2,457 (Note 10). The disposal resulted in a loss of $572.</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GasLog has the following newbuildings on order at Samsung Heavy Industries Co., Ltd. (“Samsung”):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Date of</w:t>
            </w: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Estimated</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Cargo Capacity</w:t>
            </w:r>
          </w:p>
        </w:tc>
      </w:tr>
      <w:tr>
        <w:trPr>
          <w:trHeight w:val="213"/>
        </w:trPr>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LNG Carrier</w:t>
            </w:r>
          </w:p>
        </w:tc>
        <w:tc>
          <w:tcPr>
            <w:tcW w:w="1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agreement</w:t>
            </w: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delivery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(cbm)</w:t>
            </w:r>
          </w:p>
        </w:tc>
      </w:tr>
      <w:tr>
        <w:trPr>
          <w:trHeight w:val="199"/>
        </w:trPr>
        <w:tc>
          <w:tcPr>
            <w:tcW w:w="15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GasLog Westminster</w:t>
            </w:r>
          </w:p>
        </w:tc>
        <w:tc>
          <w:tcPr>
            <w:tcW w:w="18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May 2018</w:t>
            </w:r>
          </w:p>
        </w:tc>
        <w:tc>
          <w:tcPr>
            <w:tcW w:w="180" w:type="dxa"/>
            <w:vAlign w:val="bottom"/>
          </w:tcPr>
          <w:p>
            <w:pPr>
              <w:spacing w:after="0"/>
              <w:rPr>
                <w:sz w:val="17"/>
                <w:szCs w:val="17"/>
                <w:color w:val="auto"/>
              </w:rPr>
            </w:pPr>
          </w:p>
        </w:tc>
        <w:tc>
          <w:tcPr>
            <w:tcW w:w="128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6"/>
                <w:szCs w:val="16"/>
                <w:color w:val="auto"/>
                <w:w w:val="89"/>
              </w:rPr>
              <w:t>Q3 2020</w:t>
            </w:r>
            <w:r>
              <w:rPr>
                <w:rFonts w:ascii="Arial" w:cs="Arial" w:eastAsia="Arial" w:hAnsi="Arial"/>
                <w:sz w:val="21"/>
                <w:szCs w:val="21"/>
                <w:color w:val="auto"/>
                <w:w w:val="89"/>
                <w:vertAlign w:val="superscript"/>
              </w:rPr>
              <w:t>(1)</w:t>
            </w:r>
          </w:p>
        </w:tc>
        <w:tc>
          <w:tcPr>
            <w:tcW w:w="3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180,000</w:t>
            </w:r>
          </w:p>
        </w:tc>
      </w:tr>
      <w:tr>
        <w:trPr>
          <w:trHeight w:val="203"/>
        </w:trPr>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2300</w:t>
            </w:r>
          </w:p>
        </w:tc>
        <w:tc>
          <w:tcPr>
            <w:tcW w:w="18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August 2018</w:t>
            </w:r>
          </w:p>
        </w:tc>
        <w:tc>
          <w:tcPr>
            <w:tcW w:w="158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Q4 2020</w:t>
            </w:r>
          </w:p>
        </w:tc>
        <w:tc>
          <w:tcPr>
            <w:tcW w:w="15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r>
      <w:tr>
        <w:trPr>
          <w:trHeight w:val="203"/>
        </w:trPr>
        <w:tc>
          <w:tcPr>
            <w:tcW w:w="1760" w:type="dxa"/>
            <w:vAlign w:val="bottom"/>
            <w:gridSpan w:val="2"/>
          </w:tcPr>
          <w:p>
            <w:pPr>
              <w:spacing w:after="0"/>
              <w:rPr>
                <w:sz w:val="20"/>
                <w:szCs w:val="20"/>
                <w:color w:val="auto"/>
              </w:rPr>
            </w:pPr>
            <w:r>
              <w:rPr>
                <w:rFonts w:ascii="Arial" w:cs="Arial" w:eastAsia="Arial" w:hAnsi="Arial"/>
                <w:sz w:val="16"/>
                <w:szCs w:val="16"/>
                <w:color w:val="auto"/>
              </w:rPr>
              <w:t>Hull No. 2301</w:t>
            </w:r>
          </w:p>
        </w:tc>
        <w:tc>
          <w:tcPr>
            <w:tcW w:w="182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August 2018</w:t>
            </w: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Q1 2021</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174,000</w:t>
            </w:r>
          </w:p>
        </w:tc>
      </w:tr>
      <w:tr>
        <w:trPr>
          <w:trHeight w:val="203"/>
        </w:trPr>
        <w:tc>
          <w:tcPr>
            <w:tcW w:w="17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2311</w:t>
            </w:r>
          </w:p>
        </w:tc>
        <w:tc>
          <w:tcPr>
            <w:tcW w:w="18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89"/>
              </w:rPr>
              <w:t>December 2018</w:t>
            </w:r>
          </w:p>
        </w:tc>
        <w:tc>
          <w:tcPr>
            <w:tcW w:w="158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Q2 2021</w:t>
            </w:r>
          </w:p>
        </w:tc>
        <w:tc>
          <w:tcPr>
            <w:tcW w:w="15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r>
      <w:tr>
        <w:trPr>
          <w:trHeight w:val="206"/>
        </w:trPr>
        <w:tc>
          <w:tcPr>
            <w:tcW w:w="1760" w:type="dxa"/>
            <w:vAlign w:val="bottom"/>
            <w:gridSpan w:val="2"/>
          </w:tcPr>
          <w:p>
            <w:pPr>
              <w:spacing w:after="0"/>
              <w:rPr>
                <w:sz w:val="20"/>
                <w:szCs w:val="20"/>
                <w:color w:val="auto"/>
              </w:rPr>
            </w:pPr>
            <w:r>
              <w:rPr>
                <w:rFonts w:ascii="Arial" w:cs="Arial" w:eastAsia="Arial" w:hAnsi="Arial"/>
                <w:sz w:val="16"/>
                <w:szCs w:val="16"/>
                <w:color w:val="auto"/>
              </w:rPr>
              <w:t>Hull No. 2312</w:t>
            </w:r>
          </w:p>
        </w:tc>
        <w:tc>
          <w:tcPr>
            <w:tcW w:w="182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December 2018</w:t>
            </w: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Q3 2021</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180,000</w:t>
            </w:r>
          </w:p>
        </w:tc>
      </w:tr>
    </w:tbl>
    <w:p>
      <w:pPr>
        <w:spacing w:after="0" w:line="186" w:lineRule="auto"/>
        <w:rPr>
          <w:sz w:val="20"/>
          <w:szCs w:val="20"/>
          <w:color w:val="auto"/>
        </w:rPr>
      </w:pPr>
      <w:r>
        <w:rPr>
          <w:rFonts w:ascii="Arial" w:cs="Arial" w:eastAsia="Arial" w:hAnsi="Arial"/>
          <w:sz w:val="20"/>
          <w:szCs w:val="20"/>
          <w:color w:val="auto"/>
          <w:vertAlign w:val="superscript"/>
        </w:rPr>
        <w:t>(1)</w:t>
      </w:r>
      <w:r>
        <w:rPr>
          <w:rFonts w:ascii="Arial" w:cs="Arial" w:eastAsia="Arial" w:hAnsi="Arial"/>
          <w:sz w:val="14"/>
          <w:szCs w:val="14"/>
          <w:color w:val="auto"/>
        </w:rPr>
        <w:t xml:space="preserve"> The vessel was delivered on July 15, 2020 (Note 22).</w:t>
      </w: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532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6" w:name="page247"/>
    <w:bookmarkEnd w:id="246"/>
    <w:p>
      <w:pPr>
        <w:jc w:val="both"/>
        <w:ind w:right="360" w:firstLine="436"/>
        <w:spacing w:after="0" w:line="278" w:lineRule="auto"/>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 As of June 30, 2020, the Group has paid to the shipyard $170,911 for the vessels that are under construction and expects to pay the remaining installments as they come due upon each vessel’s keel laying, launching and delivery (Note 16).</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vessels under construction costs as of December 31, 2019 and June 30, 2020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210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31, 2019</w:t>
            </w:r>
          </w:p>
        </w:tc>
        <w:tc>
          <w:tcPr>
            <w:tcW w:w="158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7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Progress shipyard installments</w:t>
            </w:r>
          </w:p>
        </w:tc>
        <w:tc>
          <w:tcPr>
            <w:tcW w:w="1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197,637</w:t>
            </w:r>
          </w:p>
        </w:tc>
        <w:tc>
          <w:tcPr>
            <w:tcW w:w="3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171,347</w:t>
            </w:r>
          </w:p>
        </w:tc>
      </w:tr>
      <w:tr>
        <w:trPr>
          <w:trHeight w:val="203"/>
        </w:trPr>
        <w:tc>
          <w:tcPr>
            <w:tcW w:w="7340" w:type="dxa"/>
            <w:vAlign w:val="bottom"/>
          </w:tcPr>
          <w:p>
            <w:pPr>
              <w:spacing w:after="0"/>
              <w:rPr>
                <w:sz w:val="20"/>
                <w:szCs w:val="20"/>
                <w:color w:val="auto"/>
              </w:rPr>
            </w:pPr>
            <w:r>
              <w:rPr>
                <w:rFonts w:ascii="Arial" w:cs="Arial" w:eastAsia="Arial" w:hAnsi="Arial"/>
                <w:sz w:val="16"/>
                <w:szCs w:val="16"/>
                <w:color w:val="auto"/>
              </w:rPr>
              <w:t>Onsite supervision costs</w:t>
            </w:r>
          </w:p>
        </w:tc>
        <w:tc>
          <w:tcPr>
            <w:tcW w:w="1780" w:type="dxa"/>
            <w:vAlign w:val="bottom"/>
          </w:tcPr>
          <w:p>
            <w:pPr>
              <w:jc w:val="right"/>
              <w:spacing w:after="0"/>
              <w:rPr>
                <w:sz w:val="20"/>
                <w:szCs w:val="20"/>
                <w:color w:val="auto"/>
              </w:rPr>
            </w:pPr>
            <w:r>
              <w:rPr>
                <w:rFonts w:ascii="Arial" w:cs="Arial" w:eastAsia="Arial" w:hAnsi="Arial"/>
                <w:sz w:val="16"/>
                <w:szCs w:val="16"/>
                <w:color w:val="auto"/>
              </w:rPr>
              <w:t>3,879</w:t>
            </w:r>
          </w:p>
        </w:tc>
        <w:tc>
          <w:tcPr>
            <w:tcW w:w="3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2,876</w:t>
            </w:r>
          </w:p>
        </w:tc>
      </w:tr>
      <w:tr>
        <w:trPr>
          <w:trHeight w:val="203"/>
        </w:trPr>
        <w:tc>
          <w:tcPr>
            <w:tcW w:w="7340" w:type="dxa"/>
            <w:vAlign w:val="bottom"/>
            <w:shd w:val="clear" w:color="auto" w:fill="E5FFFF"/>
          </w:tcPr>
          <w:p>
            <w:pPr>
              <w:spacing w:after="0"/>
              <w:rPr>
                <w:sz w:val="20"/>
                <w:szCs w:val="20"/>
                <w:color w:val="auto"/>
              </w:rPr>
            </w:pPr>
            <w:r>
              <w:rPr>
                <w:rFonts w:ascii="Arial" w:cs="Arial" w:eastAsia="Arial" w:hAnsi="Arial"/>
                <w:sz w:val="16"/>
                <w:szCs w:val="16"/>
                <w:color w:val="auto"/>
              </w:rPr>
              <w:t>Critical spare parts, equipment and other vessel delivery expenses</w:t>
            </w:r>
          </w:p>
        </w:tc>
        <w:tc>
          <w:tcPr>
            <w:tcW w:w="1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1,807</w:t>
            </w:r>
          </w:p>
        </w:tc>
        <w:tc>
          <w:tcPr>
            <w:tcW w:w="320" w:type="dxa"/>
            <w:vAlign w:val="bottom"/>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1,746</w:t>
            </w:r>
          </w:p>
        </w:tc>
      </w:tr>
      <w:tr>
        <w:trPr>
          <w:trHeight w:val="196"/>
        </w:trPr>
        <w:tc>
          <w:tcPr>
            <w:tcW w:w="73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203,323</w:t>
            </w:r>
          </w:p>
        </w:tc>
        <w:tc>
          <w:tcPr>
            <w:tcW w:w="32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175,969</w:t>
            </w:r>
          </w:p>
        </w:tc>
      </w:tr>
      <w:tr>
        <w:trPr>
          <w:trHeight w:val="20"/>
        </w:trPr>
        <w:tc>
          <w:tcPr>
            <w:tcW w:w="7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20" w:type="dxa"/>
            <w:vAlign w:val="bottom"/>
            <w:gridSpan w:val="5"/>
          </w:tcPr>
          <w:p>
            <w:pPr>
              <w:ind w:left="400"/>
              <w:spacing w:after="0"/>
              <w:rPr>
                <w:sz w:val="20"/>
                <w:szCs w:val="20"/>
                <w:color w:val="auto"/>
              </w:rPr>
            </w:pPr>
            <w:r>
              <w:rPr>
                <w:rFonts w:ascii="Arial" w:cs="Arial" w:eastAsia="Arial" w:hAnsi="Arial"/>
                <w:sz w:val="16"/>
                <w:szCs w:val="16"/>
                <w:color w:val="auto"/>
              </w:rPr>
              <w:t>The movements in right-of-use assets are reported in the following table:</w:t>
            </w: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5"/>
        </w:trPr>
        <w:tc>
          <w:tcPr>
            <w:tcW w:w="2540" w:type="dxa"/>
            <w:vAlign w:val="bottom"/>
          </w:tcPr>
          <w:p>
            <w:pPr>
              <w:ind w:left="100"/>
              <w:spacing w:after="0"/>
              <w:rPr>
                <w:sz w:val="20"/>
                <w:szCs w:val="20"/>
                <w:color w:val="auto"/>
              </w:rPr>
            </w:pPr>
            <w:r>
              <w:rPr>
                <w:rFonts w:ascii="Arial" w:cs="Arial" w:eastAsia="Arial" w:hAnsi="Arial"/>
                <w:sz w:val="16"/>
                <w:szCs w:val="16"/>
                <w:b w:val="1"/>
                <w:bCs w:val="1"/>
                <w:color w:val="auto"/>
              </w:rPr>
              <w:t>Right-of-Use Assets</w:t>
            </w: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Vessels</w:t>
            </w:r>
          </w:p>
        </w:tc>
        <w:tc>
          <w:tcPr>
            <w:tcW w:w="1980" w:type="dxa"/>
            <w:vAlign w:val="bottom"/>
            <w:gridSpan w:val="2"/>
          </w:tcPr>
          <w:p>
            <w:pPr>
              <w:ind w:left="260"/>
              <w:spacing w:after="0"/>
              <w:rPr>
                <w:sz w:val="20"/>
                <w:szCs w:val="20"/>
                <w:color w:val="auto"/>
              </w:rPr>
            </w:pPr>
            <w:r>
              <w:rPr>
                <w:rFonts w:ascii="Arial" w:cs="Arial" w:eastAsia="Arial" w:hAnsi="Arial"/>
                <w:sz w:val="16"/>
                <w:szCs w:val="16"/>
                <w:b w:val="1"/>
                <w:bCs w:val="1"/>
                <w:color w:val="auto"/>
              </w:rPr>
              <w:t>Vessel Equipment</w:t>
            </w:r>
          </w:p>
        </w:tc>
        <w:tc>
          <w:tcPr>
            <w:tcW w:w="1380" w:type="dxa"/>
            <w:vAlign w:val="bottom"/>
          </w:tcPr>
          <w:p>
            <w:pPr>
              <w:ind w:left="580"/>
              <w:spacing w:after="0"/>
              <w:rPr>
                <w:sz w:val="20"/>
                <w:szCs w:val="20"/>
                <w:color w:val="auto"/>
              </w:rPr>
            </w:pPr>
            <w:r>
              <w:rPr>
                <w:rFonts w:ascii="Arial" w:cs="Arial" w:eastAsia="Arial" w:hAnsi="Arial"/>
                <w:sz w:val="16"/>
                <w:szCs w:val="16"/>
                <w:b w:val="1"/>
                <w:bCs w:val="1"/>
                <w:color w:val="auto"/>
                <w:w w:val="98"/>
              </w:rPr>
              <w:t>Properties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199"/>
        </w:trPr>
        <w:tc>
          <w:tcPr>
            <w:tcW w:w="2540" w:type="dxa"/>
            <w:vAlign w:val="bottom"/>
            <w:tcBorders>
              <w:top w:val="single" w:sz="8" w:color="E5FFFF"/>
            </w:tcBorders>
            <w:shd w:val="clear" w:color="auto" w:fill="E5FFFF"/>
          </w:tcPr>
          <w:p>
            <w:pPr>
              <w:ind w:left="100"/>
              <w:spacing w:after="0"/>
              <w:rPr>
                <w:sz w:val="20"/>
                <w:szCs w:val="20"/>
                <w:color w:val="auto"/>
              </w:rPr>
            </w:pPr>
            <w:r>
              <w:rPr>
                <w:rFonts w:ascii="Arial" w:cs="Arial" w:eastAsia="Arial" w:hAnsi="Arial"/>
                <w:sz w:val="16"/>
                <w:szCs w:val="16"/>
                <w:color w:val="auto"/>
              </w:rPr>
              <w:t>As of January 1, 2020</w:t>
            </w:r>
          </w:p>
        </w:tc>
        <w:tc>
          <w:tcPr>
            <w:tcW w:w="126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200,032</w:t>
            </w:r>
          </w:p>
        </w:tc>
        <w:tc>
          <w:tcPr>
            <w:tcW w:w="24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1,857</w:t>
            </w:r>
          </w:p>
        </w:tc>
        <w:tc>
          <w:tcPr>
            <w:tcW w:w="2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17"/>
                <w:szCs w:val="17"/>
                <w:color w:val="auto"/>
              </w:rPr>
            </w:pPr>
          </w:p>
        </w:tc>
        <w:tc>
          <w:tcPr>
            <w:tcW w:w="540" w:type="dxa"/>
            <w:vAlign w:val="bottom"/>
            <w:tcBorders>
              <w:top w:val="single" w:sz="8" w:color="auto"/>
            </w:tcBorders>
            <w:shd w:val="clear" w:color="auto" w:fill="E5FFFF"/>
          </w:tcPr>
          <w:p>
            <w:pPr>
              <w:jc w:val="right"/>
              <w:ind w:right="39"/>
              <w:spacing w:after="0"/>
              <w:rPr>
                <w:sz w:val="20"/>
                <w:szCs w:val="20"/>
                <w:color w:val="auto"/>
              </w:rPr>
            </w:pPr>
            <w:r>
              <w:rPr>
                <w:rFonts w:ascii="Arial" w:cs="Arial" w:eastAsia="Arial" w:hAnsi="Arial"/>
                <w:sz w:val="16"/>
                <w:szCs w:val="16"/>
                <w:color w:val="auto"/>
                <w:w w:val="99"/>
              </w:rPr>
              <w:t>4,550</w:t>
            </w:r>
          </w:p>
        </w:tc>
        <w:tc>
          <w:tcPr>
            <w:tcW w:w="20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56</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206,495</w:t>
            </w:r>
          </w:p>
        </w:tc>
      </w:tr>
      <w:tr>
        <w:trPr>
          <w:trHeight w:val="203"/>
        </w:trPr>
        <w:tc>
          <w:tcPr>
            <w:tcW w:w="2540" w:type="dxa"/>
            <w:vAlign w:val="bottom"/>
          </w:tcPr>
          <w:p>
            <w:pPr>
              <w:ind w:left="100"/>
              <w:spacing w:after="0"/>
              <w:rPr>
                <w:sz w:val="20"/>
                <w:szCs w:val="20"/>
                <w:color w:val="auto"/>
              </w:rPr>
            </w:pPr>
            <w:r>
              <w:rPr>
                <w:rFonts w:ascii="Arial" w:cs="Arial" w:eastAsia="Arial" w:hAnsi="Arial"/>
                <w:sz w:val="16"/>
                <w:szCs w:val="16"/>
                <w:color w:val="auto"/>
              </w:rPr>
              <w:t>Additions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5,610</w:t>
            </w:r>
          </w:p>
        </w:tc>
        <w:tc>
          <w:tcPr>
            <w:tcW w:w="240" w:type="dxa"/>
            <w:vAlign w:val="bottom"/>
          </w:tcPr>
          <w:p>
            <w:pPr>
              <w:spacing w:after="0"/>
              <w:rPr>
                <w:sz w:val="17"/>
                <w:szCs w:val="17"/>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516</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6,657</w:t>
            </w:r>
          </w:p>
        </w:tc>
      </w:tr>
      <w:tr>
        <w:trPr>
          <w:trHeight w:val="203"/>
        </w:trPr>
        <w:tc>
          <w:tcPr>
            <w:tcW w:w="2540" w:type="dxa"/>
            <w:vAlign w:val="bottom"/>
            <w:shd w:val="clear" w:color="auto" w:fill="E5FFFF"/>
          </w:tcPr>
          <w:p>
            <w:pPr>
              <w:ind w:left="100"/>
              <w:spacing w:after="0"/>
              <w:rPr>
                <w:sz w:val="20"/>
                <w:szCs w:val="20"/>
                <w:color w:val="auto"/>
              </w:rPr>
            </w:pPr>
            <w:r>
              <w:rPr>
                <w:rFonts w:ascii="Arial" w:cs="Arial" w:eastAsia="Arial" w:hAnsi="Arial"/>
                <w:sz w:val="16"/>
                <w:szCs w:val="16"/>
                <w:color w:val="auto"/>
              </w:rPr>
              <w:t>Depreciation expense</w:t>
            </w:r>
          </w:p>
        </w:tc>
        <w:tc>
          <w:tcPr>
            <w:tcW w:w="12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(3,978)</w:t>
            </w:r>
          </w:p>
        </w:tc>
        <w:tc>
          <w:tcPr>
            <w:tcW w:w="240" w:type="dxa"/>
            <w:vAlign w:val="bottom"/>
            <w:shd w:val="clear" w:color="auto" w:fill="E5FFFF"/>
          </w:tcPr>
          <w:p>
            <w:pPr>
              <w:spacing w:after="0"/>
              <w:rPr>
                <w:sz w:val="17"/>
                <w:szCs w:val="17"/>
                <w:color w:val="auto"/>
              </w:rPr>
            </w:pPr>
          </w:p>
        </w:tc>
        <w:tc>
          <w:tcPr>
            <w:tcW w:w="176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(601)</w:t>
            </w:r>
          </w:p>
        </w:tc>
        <w:tc>
          <w:tcPr>
            <w:tcW w:w="22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spacing w:after="0"/>
              <w:rPr>
                <w:sz w:val="17"/>
                <w:szCs w:val="17"/>
                <w:color w:val="auto"/>
              </w:rPr>
            </w:pPr>
          </w:p>
        </w:tc>
        <w:tc>
          <w:tcPr>
            <w:tcW w:w="54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6"/>
                <w:szCs w:val="16"/>
                <w:color w:val="auto"/>
              </w:rPr>
              <w:t>(792)</w:t>
            </w:r>
          </w:p>
        </w:tc>
        <w:tc>
          <w:tcPr>
            <w:tcW w:w="200" w:type="dxa"/>
            <w:vAlign w:val="bottom"/>
            <w:shd w:val="clear" w:color="auto" w:fill="E5FFFF"/>
          </w:tcPr>
          <w:p>
            <w:pPr>
              <w:spacing w:after="0"/>
              <w:rPr>
                <w:sz w:val="17"/>
                <w:szCs w:val="17"/>
                <w:color w:val="auto"/>
              </w:rPr>
            </w:pPr>
          </w:p>
        </w:tc>
        <w:tc>
          <w:tcPr>
            <w:tcW w:w="1000" w:type="dxa"/>
            <w:vAlign w:val="bottom"/>
            <w:tcBorders>
              <w:bottom w:val="single" w:sz="8" w:color="auto"/>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(5,399)</w:t>
            </w:r>
          </w:p>
        </w:tc>
      </w:tr>
      <w:tr>
        <w:trPr>
          <w:trHeight w:val="196"/>
        </w:trPr>
        <w:tc>
          <w:tcPr>
            <w:tcW w:w="2540" w:type="dxa"/>
            <w:vAlign w:val="bottom"/>
          </w:tcPr>
          <w:p>
            <w:pPr>
              <w:ind w:left="100"/>
              <w:spacing w:after="0"/>
              <w:rPr>
                <w:sz w:val="20"/>
                <w:szCs w:val="20"/>
                <w:color w:val="auto"/>
              </w:rPr>
            </w:pPr>
            <w:r>
              <w:rPr>
                <w:rFonts w:ascii="Arial" w:cs="Arial" w:eastAsia="Arial" w:hAnsi="Arial"/>
                <w:sz w:val="16"/>
                <w:szCs w:val="16"/>
                <w:b w:val="1"/>
                <w:bCs w:val="1"/>
                <w:color w:val="auto"/>
              </w:rPr>
              <w:t>As of June 30, 2020</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201,664</w:t>
            </w:r>
          </w:p>
        </w:tc>
        <w:tc>
          <w:tcPr>
            <w:tcW w:w="240" w:type="dxa"/>
            <w:vAlign w:val="bottom"/>
          </w:tcPr>
          <w:p>
            <w:pPr>
              <w:spacing w:after="0"/>
              <w:rPr>
                <w:sz w:val="17"/>
                <w:szCs w:val="17"/>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1,728</w:t>
            </w:r>
          </w:p>
        </w:tc>
        <w:tc>
          <w:tcPr>
            <w:tcW w:w="2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4,274</w:t>
            </w:r>
          </w:p>
        </w:tc>
        <w:tc>
          <w:tcPr>
            <w:tcW w:w="2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w:t>
            </w: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207,753</w:t>
            </w:r>
          </w:p>
        </w:tc>
      </w:tr>
      <w:tr>
        <w:trPr>
          <w:trHeight w:val="20"/>
        </w:trPr>
        <w:tc>
          <w:tcPr>
            <w:tcW w:w="2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ind w:left="420"/>
              <w:spacing w:after="0"/>
              <w:rPr>
                <w:sz w:val="20"/>
                <w:szCs w:val="20"/>
                <w:color w:val="auto"/>
              </w:rPr>
            </w:pPr>
            <w:r>
              <w:rPr>
                <w:rFonts w:ascii="Arial" w:cs="Arial" w:eastAsia="Arial" w:hAnsi="Arial"/>
                <w:sz w:val="16"/>
                <w:szCs w:val="16"/>
                <w:color w:val="auto"/>
              </w:rPr>
              <w:t>An analysis of the lease liabilities is as follows:</w:t>
            </w: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20" w:type="dxa"/>
            <w:vAlign w:val="bottom"/>
          </w:tcPr>
          <w:p>
            <w:pPr>
              <w:spacing w:after="0"/>
              <w:rPr>
                <w:sz w:val="24"/>
                <w:szCs w:val="24"/>
                <w:color w:val="auto"/>
              </w:rPr>
            </w:pPr>
          </w:p>
        </w:tc>
        <w:tc>
          <w:tcPr>
            <w:tcW w:w="2280" w:type="dxa"/>
            <w:vAlign w:val="bottom"/>
            <w:gridSpan w:val="3"/>
          </w:tcPr>
          <w:p>
            <w:pPr>
              <w:ind w:left="1100"/>
              <w:spacing w:after="0"/>
              <w:rPr>
                <w:sz w:val="20"/>
                <w:szCs w:val="20"/>
                <w:color w:val="auto"/>
              </w:rPr>
            </w:pPr>
            <w:r>
              <w:rPr>
                <w:rFonts w:ascii="Arial" w:cs="Arial" w:eastAsia="Arial" w:hAnsi="Arial"/>
                <w:sz w:val="16"/>
                <w:szCs w:val="16"/>
                <w:b w:val="1"/>
                <w:bCs w:val="1"/>
                <w:color w:val="auto"/>
                <w:w w:val="93"/>
              </w:rPr>
              <w:t>Lease Liabilities</w:t>
            </w:r>
          </w:p>
        </w:tc>
        <w:tc>
          <w:tcPr>
            <w:tcW w:w="0" w:type="dxa"/>
            <w:vAlign w:val="bottom"/>
          </w:tcPr>
          <w:p>
            <w:pPr>
              <w:spacing w:after="0"/>
              <w:rPr>
                <w:sz w:val="1"/>
                <w:szCs w:val="1"/>
                <w:color w:val="auto"/>
              </w:rPr>
            </w:pPr>
          </w:p>
        </w:tc>
      </w:tr>
      <w:tr>
        <w:trPr>
          <w:trHeight w:val="202"/>
        </w:trPr>
        <w:tc>
          <w:tcPr>
            <w:tcW w:w="8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January 1, 2020</w:t>
            </w:r>
          </w:p>
        </w:tc>
        <w:tc>
          <w:tcPr>
            <w:tcW w:w="2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204,930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spacing w:after="0"/>
              <w:rPr>
                <w:sz w:val="20"/>
                <w:szCs w:val="20"/>
                <w:color w:val="auto"/>
              </w:rPr>
            </w:pPr>
            <w:r>
              <w:rPr>
                <w:rFonts w:ascii="Arial" w:cs="Arial" w:eastAsia="Arial" w:hAnsi="Arial"/>
                <w:sz w:val="16"/>
                <w:szCs w:val="16"/>
                <w:color w:val="auto"/>
              </w:rPr>
              <w:t>Additions</w:t>
            </w:r>
          </w:p>
        </w:tc>
        <w:tc>
          <w:tcPr>
            <w:tcW w:w="2220" w:type="dxa"/>
            <w:vAlign w:val="bottom"/>
          </w:tcPr>
          <w:p>
            <w:pPr>
              <w:jc w:val="right"/>
              <w:spacing w:after="0"/>
              <w:rPr>
                <w:sz w:val="20"/>
                <w:szCs w:val="20"/>
                <w:color w:val="auto"/>
              </w:rPr>
            </w:pPr>
            <w:r>
              <w:rPr>
                <w:rFonts w:ascii="Arial" w:cs="Arial" w:eastAsia="Arial" w:hAnsi="Arial"/>
                <w:sz w:val="16"/>
                <w:szCs w:val="16"/>
                <w:color w:val="auto"/>
              </w:rPr>
              <w:t>1,047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Lease charge (Note 18)</w:t>
            </w:r>
          </w:p>
        </w:tc>
        <w:tc>
          <w:tcPr>
            <w:tcW w:w="2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Payments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June 30, 2020</w:t>
            </w:r>
          </w:p>
        </w:tc>
        <w:tc>
          <w:tcPr>
            <w:tcW w:w="2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200,693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6"/>
                <w:szCs w:val="16"/>
                <w:color w:val="auto"/>
              </w:rPr>
              <w:t>Lease liability, current portion</w:t>
            </w: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vMerge w:val="continue"/>
          </w:tcPr>
          <w:p>
            <w:pPr>
              <w:spacing w:after="0"/>
              <w:rPr>
                <w:sz w:val="15"/>
                <w:szCs w:val="15"/>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9,769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2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190,924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200,693</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383"/>
        <w:spacing w:after="0" w:line="328" w:lineRule="auto"/>
        <w:rPr>
          <w:sz w:val="20"/>
          <w:szCs w:val="20"/>
          <w:color w:val="auto"/>
        </w:rPr>
      </w:pPr>
      <w:r>
        <w:rPr>
          <w:rFonts w:ascii="Arial" w:cs="Arial" w:eastAsia="Arial" w:hAnsi="Arial"/>
          <w:sz w:val="15"/>
          <w:szCs w:val="15"/>
          <w:color w:val="auto"/>
        </w:rPr>
        <w:t>An amount of $44 and $194 has been recognized in the unaudited condensed consolidated statement of profit or loss for the three and six months ended June 30, 2020, which represents the lease expense incurred for low value leases not included in the measurement of the right-of-use assets and the lease liability.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20"/>
                <w:szCs w:val="20"/>
                <w:color w:val="auto"/>
              </w:rPr>
            </w:pPr>
            <w:r>
              <w:rPr>
                <w:rFonts w:ascii="Arial" w:cs="Arial" w:eastAsia="Arial" w:hAnsi="Arial"/>
                <w:sz w:val="16"/>
                <w:szCs w:val="16"/>
                <w:b w:val="1"/>
                <w:bCs w:val="1"/>
                <w:color w:val="auto"/>
              </w:rPr>
              <w:t>7. Other Non-Current Assets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19"/>
        </w:trPr>
        <w:tc>
          <w:tcPr>
            <w:tcW w:w="7060" w:type="dxa"/>
            <w:vAlign w:val="bottom"/>
          </w:tcPr>
          <w:p>
            <w:pPr>
              <w:ind w:left="340"/>
              <w:spacing w:after="0"/>
              <w:rPr>
                <w:sz w:val="20"/>
                <w:szCs w:val="20"/>
                <w:color w:val="auto"/>
              </w:rPr>
            </w:pPr>
            <w:r>
              <w:rPr>
                <w:rFonts w:ascii="Arial" w:cs="Arial" w:eastAsia="Arial" w:hAnsi="Arial"/>
                <w:sz w:val="16"/>
                <w:szCs w:val="16"/>
                <w:color w:val="auto"/>
              </w:rPr>
              <w:t>Other non-current assets consist of the following:</w:t>
            </w: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2"/>
        </w:trPr>
        <w:tc>
          <w:tcPr>
            <w:tcW w:w="7060" w:type="dxa"/>
            <w:vAlign w:val="bottom"/>
            <w:tcBorders>
              <w:bottom w:val="single" w:sz="8" w:color="E5FFFF"/>
            </w:tcBorders>
          </w:tcPr>
          <w:p>
            <w:pPr>
              <w:spacing w:after="0"/>
              <w:rPr>
                <w:sz w:val="24"/>
                <w:szCs w:val="24"/>
                <w:color w:val="auto"/>
              </w:rPr>
            </w:pPr>
          </w:p>
        </w:tc>
        <w:tc>
          <w:tcPr>
            <w:tcW w:w="23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December 31, 2019</w:t>
            </w: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7060" w:type="dxa"/>
            <w:vAlign w:val="bottom"/>
            <w:shd w:val="clear" w:color="auto" w:fill="E5FFFF"/>
          </w:tcPr>
          <w:p>
            <w:pPr>
              <w:spacing w:after="0"/>
              <w:rPr>
                <w:sz w:val="20"/>
                <w:szCs w:val="20"/>
                <w:color w:val="auto"/>
              </w:rPr>
            </w:pPr>
            <w:r>
              <w:rPr>
                <w:rFonts w:ascii="Arial" w:cs="Arial" w:eastAsia="Arial" w:hAnsi="Arial"/>
                <w:sz w:val="16"/>
                <w:szCs w:val="16"/>
                <w:color w:val="auto"/>
              </w:rPr>
              <w:t>Various guarantees</w:t>
            </w:r>
          </w:p>
        </w:tc>
        <w:tc>
          <w:tcPr>
            <w:tcW w:w="17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388</w:t>
            </w:r>
          </w:p>
        </w:tc>
        <w:tc>
          <w:tcPr>
            <w:tcW w:w="56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375</w:t>
            </w:r>
          </w:p>
        </w:tc>
      </w:tr>
      <w:tr>
        <w:trPr>
          <w:trHeight w:val="203"/>
        </w:trPr>
        <w:tc>
          <w:tcPr>
            <w:tcW w:w="7060" w:type="dxa"/>
            <w:vAlign w:val="bottom"/>
          </w:tcPr>
          <w:p>
            <w:pPr>
              <w:spacing w:after="0"/>
              <w:rPr>
                <w:sz w:val="20"/>
                <w:szCs w:val="20"/>
                <w:color w:val="auto"/>
              </w:rPr>
            </w:pPr>
            <w:r>
              <w:rPr>
                <w:rFonts w:ascii="Arial" w:cs="Arial" w:eastAsia="Arial" w:hAnsi="Arial"/>
                <w:sz w:val="16"/>
                <w:szCs w:val="16"/>
                <w:color w:val="auto"/>
              </w:rPr>
              <w:t>Other long-term assets</w:t>
            </w:r>
          </w:p>
        </w:tc>
        <w:tc>
          <w:tcPr>
            <w:tcW w:w="1740" w:type="dxa"/>
            <w:vAlign w:val="bottom"/>
          </w:tcPr>
          <w:p>
            <w:pPr>
              <w:jc w:val="right"/>
              <w:spacing w:after="0"/>
              <w:rPr>
                <w:sz w:val="20"/>
                <w:szCs w:val="20"/>
                <w:color w:val="auto"/>
              </w:rPr>
            </w:pPr>
            <w:r>
              <w:rPr>
                <w:rFonts w:ascii="Arial" w:cs="Arial" w:eastAsia="Arial" w:hAnsi="Arial"/>
                <w:sz w:val="16"/>
                <w:szCs w:val="16"/>
                <w:color w:val="auto"/>
              </w:rPr>
              <w:t>1,613</w:t>
            </w:r>
          </w:p>
        </w:tc>
        <w:tc>
          <w:tcPr>
            <w:tcW w:w="5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3,675</w:t>
            </w:r>
          </w:p>
        </w:tc>
      </w:tr>
      <w:tr>
        <w:trPr>
          <w:trHeight w:val="203"/>
        </w:trPr>
        <w:tc>
          <w:tcPr>
            <w:tcW w:w="7060" w:type="dxa"/>
            <w:vAlign w:val="bottom"/>
            <w:shd w:val="clear" w:color="auto" w:fill="E5FFFF"/>
          </w:tcPr>
          <w:p>
            <w:pPr>
              <w:spacing w:after="0"/>
              <w:rPr>
                <w:sz w:val="20"/>
                <w:szCs w:val="20"/>
                <w:color w:val="auto"/>
              </w:rPr>
            </w:pPr>
            <w:r>
              <w:rPr>
                <w:rFonts w:ascii="Arial" w:cs="Arial" w:eastAsia="Arial" w:hAnsi="Arial"/>
                <w:sz w:val="16"/>
                <w:szCs w:val="16"/>
                <w:color w:val="auto"/>
              </w:rPr>
              <w:t>Cash collaterals on swaps</w:t>
            </w: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22,220</w:t>
            </w:r>
          </w:p>
        </w:tc>
        <w:tc>
          <w:tcPr>
            <w:tcW w:w="560" w:type="dxa"/>
            <w:vAlign w:val="bottom"/>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38,392</w:t>
            </w:r>
          </w:p>
        </w:tc>
      </w:tr>
      <w:tr>
        <w:trPr>
          <w:trHeight w:val="196"/>
        </w:trPr>
        <w:tc>
          <w:tcPr>
            <w:tcW w:w="70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24,221</w:t>
            </w:r>
          </w:p>
        </w:tc>
        <w:tc>
          <w:tcPr>
            <w:tcW w:w="56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42,442</w:t>
            </w:r>
          </w:p>
        </w:tc>
      </w:tr>
      <w:tr>
        <w:trPr>
          <w:trHeight w:val="20"/>
        </w:trPr>
        <w:tc>
          <w:tcPr>
            <w:tcW w:w="7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firstLine="255"/>
        <w:spacing w:after="0" w:line="293" w:lineRule="auto"/>
        <w:rPr>
          <w:sz w:val="20"/>
          <w:szCs w:val="20"/>
          <w:color w:val="auto"/>
        </w:rPr>
      </w:pPr>
      <w:r>
        <w:rPr>
          <w:rFonts w:ascii="Arial" w:cs="Arial" w:eastAsia="Arial" w:hAnsi="Arial"/>
          <w:sz w:val="16"/>
          <w:szCs w:val="16"/>
          <w:color w:val="auto"/>
        </w:rPr>
        <w:t>Cash collaterals on swaps represent cash deposited for the Group’s interest rate swaps, being the difference between their fair value and an agreed threshold. An amount of $32,708 of cash collaterals has been included in Prepayments and other current assets (December 31, 2019: nil).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20"/>
                <w:szCs w:val="20"/>
                <w:color w:val="auto"/>
              </w:rPr>
            </w:pPr>
            <w:r>
              <w:rPr>
                <w:rFonts w:ascii="Arial" w:cs="Arial" w:eastAsia="Arial" w:hAnsi="Arial"/>
                <w:sz w:val="16"/>
                <w:szCs w:val="16"/>
                <w:b w:val="1"/>
                <w:bCs w:val="1"/>
                <w:color w:val="auto"/>
              </w:rPr>
              <w:t>8. Cash and Cash Equivalents</w:t>
            </w:r>
          </w:p>
        </w:tc>
        <w:tc>
          <w:tcPr>
            <w:tcW w:w="2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19"/>
        </w:trPr>
        <w:tc>
          <w:tcPr>
            <w:tcW w:w="4800" w:type="dxa"/>
            <w:vAlign w:val="bottom"/>
          </w:tcPr>
          <w:p>
            <w:pPr>
              <w:ind w:left="340"/>
              <w:spacing w:after="0"/>
              <w:rPr>
                <w:sz w:val="20"/>
                <w:szCs w:val="20"/>
                <w:color w:val="auto"/>
              </w:rPr>
            </w:pPr>
            <w:r>
              <w:rPr>
                <w:rFonts w:ascii="Arial" w:cs="Arial" w:eastAsia="Arial" w:hAnsi="Arial"/>
                <w:sz w:val="16"/>
                <w:szCs w:val="16"/>
                <w:color w:val="auto"/>
              </w:rPr>
              <w:t>Cash and cash equivalents consist of the following:</w:t>
            </w: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1"/>
        </w:trPr>
        <w:tc>
          <w:tcPr>
            <w:tcW w:w="4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0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 2019</w:t>
            </w:r>
          </w:p>
        </w:tc>
        <w:tc>
          <w:tcPr>
            <w:tcW w:w="19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48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Current accounts</w:t>
            </w:r>
          </w:p>
        </w:tc>
        <w:tc>
          <w:tcPr>
            <w:tcW w:w="2260" w:type="dxa"/>
            <w:vAlign w:val="bottom"/>
            <w:tcBorders>
              <w:top w:val="single" w:sz="8" w:color="E5FFFF"/>
            </w:tcBorders>
            <w:shd w:val="clear" w:color="auto" w:fill="E5FFFF"/>
          </w:tcPr>
          <w:p>
            <w:pPr>
              <w:spacing w:after="0"/>
              <w:rPr>
                <w:sz w:val="17"/>
                <w:szCs w:val="17"/>
                <w:color w:val="auto"/>
              </w:rPr>
            </w:pPr>
          </w:p>
        </w:tc>
        <w:tc>
          <w:tcPr>
            <w:tcW w:w="2300" w:type="dxa"/>
            <w:vAlign w:val="bottom"/>
            <w:tcBorders>
              <w:top w:val="single" w:sz="8" w:color="auto"/>
            </w:tcBorders>
            <w:gridSpan w:val="2"/>
            <w:shd w:val="clear" w:color="auto" w:fill="E5FFFF"/>
          </w:tcPr>
          <w:p>
            <w:pPr>
              <w:jc w:val="right"/>
              <w:ind w:right="560"/>
              <w:spacing w:after="0"/>
              <w:rPr>
                <w:sz w:val="20"/>
                <w:szCs w:val="20"/>
                <w:color w:val="auto"/>
              </w:rPr>
            </w:pPr>
            <w:r>
              <w:rPr>
                <w:rFonts w:ascii="Arial" w:cs="Arial" w:eastAsia="Arial" w:hAnsi="Arial"/>
                <w:sz w:val="16"/>
                <w:szCs w:val="16"/>
                <w:color w:val="auto"/>
              </w:rPr>
              <w:t>113,655</w:t>
            </w: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127,647</w:t>
            </w:r>
          </w:p>
        </w:tc>
        <w:tc>
          <w:tcPr>
            <w:tcW w:w="520" w:type="dxa"/>
            <w:vAlign w:val="bottom"/>
          </w:tcPr>
          <w:p>
            <w:pPr>
              <w:spacing w:after="0"/>
              <w:rPr>
                <w:sz w:val="17"/>
                <w:szCs w:val="17"/>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Time deposits (with original maturities of three months or less)</w:t>
            </w:r>
          </w:p>
        </w:tc>
        <w:tc>
          <w:tcPr>
            <w:tcW w:w="4000" w:type="dxa"/>
            <w:vAlign w:val="bottom"/>
            <w:gridSpan w:val="2"/>
          </w:tcPr>
          <w:p>
            <w:pPr>
              <w:jc w:val="right"/>
              <w:spacing w:after="0"/>
              <w:rPr>
                <w:sz w:val="20"/>
                <w:szCs w:val="20"/>
                <w:color w:val="auto"/>
              </w:rPr>
            </w:pPr>
            <w:r>
              <w:rPr>
                <w:rFonts w:ascii="Arial" w:cs="Arial" w:eastAsia="Arial" w:hAnsi="Arial"/>
                <w:sz w:val="16"/>
                <w:szCs w:val="16"/>
                <w:color w:val="auto"/>
              </w:rPr>
              <w:t>149,491</w:t>
            </w:r>
          </w:p>
        </w:tc>
        <w:tc>
          <w:tcPr>
            <w:tcW w:w="5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44,483</w:t>
            </w:r>
          </w:p>
        </w:tc>
        <w:tc>
          <w:tcPr>
            <w:tcW w:w="520" w:type="dxa"/>
            <w:vAlign w:val="bottom"/>
          </w:tcPr>
          <w:p>
            <w:pPr>
              <w:spacing w:after="0"/>
              <w:rPr>
                <w:sz w:val="17"/>
                <w:szCs w:val="17"/>
                <w:color w:val="auto"/>
              </w:rPr>
            </w:pPr>
          </w:p>
        </w:tc>
      </w:tr>
      <w:tr>
        <w:trPr>
          <w:trHeight w:val="203"/>
        </w:trPr>
        <w:tc>
          <w:tcPr>
            <w:tcW w:w="480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client accounts</w:t>
            </w:r>
          </w:p>
        </w:tc>
        <w:tc>
          <w:tcPr>
            <w:tcW w:w="40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601</w:t>
            </w:r>
          </w:p>
        </w:tc>
        <w:tc>
          <w:tcPr>
            <w:tcW w:w="56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784</w:t>
            </w:r>
          </w:p>
        </w:tc>
        <w:tc>
          <w:tcPr>
            <w:tcW w:w="520" w:type="dxa"/>
            <w:vAlign w:val="bottom"/>
          </w:tcPr>
          <w:p>
            <w:pPr>
              <w:spacing w:after="0"/>
              <w:rPr>
                <w:sz w:val="17"/>
                <w:szCs w:val="17"/>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26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263,747</w:t>
            </w:r>
          </w:p>
        </w:tc>
        <w:tc>
          <w:tcPr>
            <w:tcW w:w="56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172,914</w:t>
            </w:r>
          </w:p>
        </w:tc>
        <w:tc>
          <w:tcPr>
            <w:tcW w:w="52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0"/>
        </w:trPr>
        <w:tc>
          <w:tcPr>
            <w:tcW w:w="4800" w:type="dxa"/>
            <w:vAlign w:val="bottom"/>
          </w:tcPr>
          <w:p>
            <w:pPr>
              <w:spacing w:after="0"/>
              <w:rPr>
                <w:sz w:val="24"/>
                <w:szCs w:val="24"/>
                <w:color w:val="auto"/>
              </w:rPr>
            </w:pPr>
          </w:p>
        </w:tc>
        <w:tc>
          <w:tcPr>
            <w:tcW w:w="4560" w:type="dxa"/>
            <w:vAlign w:val="bottom"/>
            <w:gridSpan w:val="3"/>
          </w:tcPr>
          <w:p>
            <w:pPr>
              <w:ind w:left="700"/>
              <w:spacing w:after="0"/>
              <w:rPr>
                <w:sz w:val="20"/>
                <w:szCs w:val="20"/>
                <w:color w:val="auto"/>
              </w:rPr>
            </w:pPr>
            <w:r>
              <w:rPr>
                <w:rFonts w:ascii="Arial" w:cs="Arial" w:eastAsia="Arial" w:hAnsi="Arial"/>
                <w:sz w:val="14"/>
                <w:szCs w:val="14"/>
                <w:color w:val="auto"/>
              </w:rPr>
              <w:t>F-11</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7"/>
        </w:trPr>
        <w:tc>
          <w:tcPr>
            <w:tcW w:w="480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sectPr>
      </w:pPr>
    </w:p>
    <w:bookmarkStart w:id="247" w:name="page248"/>
    <w:bookmarkEnd w:id="247"/>
    <w:p>
      <w:pPr>
        <w:ind w:right="160" w:firstLine="324"/>
        <w:spacing w:after="0" w:line="293" w:lineRule="auto"/>
        <w:rPr>
          <w:sz w:val="20"/>
          <w:szCs w:val="20"/>
          <w:color w:val="auto"/>
        </w:rPr>
      </w:pPr>
      <w:r>
        <w:rPr>
          <w:rFonts w:ascii="Arial" w:cs="Arial" w:eastAsia="Arial" w:hAnsi="Arial"/>
          <w:sz w:val="16"/>
          <w:szCs w:val="16"/>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20"/>
                <w:szCs w:val="20"/>
                <w:color w:val="auto"/>
              </w:rPr>
            </w:pPr>
            <w:r>
              <w:rPr>
                <w:rFonts w:ascii="Arial" w:cs="Arial" w:eastAsia="Arial" w:hAnsi="Arial"/>
                <w:sz w:val="16"/>
                <w:szCs w:val="16"/>
                <w:b w:val="1"/>
                <w:bCs w:val="1"/>
                <w:color w:val="auto"/>
              </w:rPr>
              <w:t>9. Borrowings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7480" w:type="dxa"/>
            <w:vAlign w:val="bottom"/>
          </w:tcPr>
          <w:p>
            <w:pPr>
              <w:ind w:left="440"/>
              <w:spacing w:after="0"/>
              <w:rPr>
                <w:sz w:val="20"/>
                <w:szCs w:val="20"/>
                <w:color w:val="auto"/>
              </w:rPr>
            </w:pPr>
            <w:r>
              <w:rPr>
                <w:rFonts w:ascii="Arial" w:cs="Arial" w:eastAsia="Arial" w:hAnsi="Arial"/>
                <w:sz w:val="16"/>
                <w:szCs w:val="16"/>
                <w:color w:val="auto"/>
              </w:rPr>
              <w:t>An analysis of the borrowings is as follows:</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2"/>
        </w:trPr>
        <w:tc>
          <w:tcPr>
            <w:tcW w:w="7480" w:type="dxa"/>
            <w:vAlign w:val="bottom"/>
          </w:tcPr>
          <w:p>
            <w:pPr>
              <w:spacing w:after="0"/>
              <w:rPr>
                <w:sz w:val="24"/>
                <w:szCs w:val="2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December 31, 2019</w:t>
            </w:r>
          </w:p>
        </w:tc>
        <w:tc>
          <w:tcPr>
            <w:tcW w:w="178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7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268,090</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477,890</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748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1980" w:type="dxa"/>
            <w:vAlign w:val="bottom"/>
            <w:gridSpan w:val="2"/>
          </w:tcPr>
          <w:p>
            <w:pPr>
              <w:jc w:val="right"/>
              <w:ind w:right="240"/>
              <w:spacing w:after="0"/>
              <w:rPr>
                <w:sz w:val="20"/>
                <w:szCs w:val="20"/>
                <w:color w:val="auto"/>
              </w:rPr>
            </w:pPr>
            <w:r>
              <w:rPr>
                <w:rFonts w:ascii="Arial" w:cs="Arial" w:eastAsia="Arial" w:hAnsi="Arial"/>
                <w:sz w:val="16"/>
                <w:szCs w:val="16"/>
                <w:color w:val="auto"/>
              </w:rPr>
              <w:t>(12,668)</w:t>
            </w:r>
          </w:p>
        </w:tc>
        <w:tc>
          <w:tcPr>
            <w:tcW w:w="1780" w:type="dxa"/>
            <w:vAlign w:val="bottom"/>
            <w:gridSpan w:val="3"/>
          </w:tcPr>
          <w:p>
            <w:pPr>
              <w:jc w:val="right"/>
              <w:ind w:right="60"/>
              <w:spacing w:after="0"/>
              <w:rPr>
                <w:sz w:val="20"/>
                <w:szCs w:val="20"/>
                <w:color w:val="auto"/>
              </w:rPr>
            </w:pPr>
            <w:r>
              <w:rPr>
                <w:rFonts w:ascii="Arial" w:cs="Arial" w:eastAsia="Arial" w:hAnsi="Arial"/>
                <w:sz w:val="16"/>
                <w:szCs w:val="16"/>
                <w:color w:val="auto"/>
              </w:rPr>
              <w:t>(12,690)</w:t>
            </w:r>
          </w:p>
        </w:tc>
      </w:tr>
      <w:tr>
        <w:trPr>
          <w:trHeight w:val="196"/>
        </w:trPr>
        <w:tc>
          <w:tcPr>
            <w:tcW w:w="7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current portion</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255,422</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465,200</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196"/>
        </w:trPr>
        <w:tc>
          <w:tcPr>
            <w:tcW w:w="748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700" w:type="dxa"/>
            <w:vAlign w:val="bottom"/>
          </w:tcPr>
          <w:p>
            <w:pPr>
              <w:jc w:val="right"/>
              <w:spacing w:after="0"/>
              <w:rPr>
                <w:sz w:val="20"/>
                <w:szCs w:val="20"/>
                <w:color w:val="auto"/>
              </w:rPr>
            </w:pPr>
            <w:r>
              <w:rPr>
                <w:rFonts w:ascii="Arial" w:cs="Arial" w:eastAsia="Arial" w:hAnsi="Arial"/>
                <w:sz w:val="16"/>
                <w:szCs w:val="16"/>
                <w:color w:val="auto"/>
              </w:rPr>
              <w:t>2,930,221</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2,946,552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premium</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1,457</w:t>
            </w:r>
          </w:p>
        </w:tc>
        <w:tc>
          <w:tcPr>
            <w:tcW w:w="28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1,128</w:t>
            </w:r>
          </w:p>
        </w:tc>
        <w:tc>
          <w:tcPr>
            <w:tcW w:w="80" w:type="dxa"/>
            <w:vAlign w:val="bottom"/>
            <w:shd w:val="clear" w:color="auto" w:fill="E5FFFF"/>
          </w:tcPr>
          <w:p>
            <w:pPr>
              <w:spacing w:after="0"/>
              <w:rPr>
                <w:sz w:val="17"/>
                <w:szCs w:val="17"/>
                <w:color w:val="auto"/>
              </w:rPr>
            </w:pPr>
          </w:p>
        </w:tc>
      </w:tr>
      <w:tr>
        <w:trPr>
          <w:trHeight w:val="203"/>
        </w:trPr>
        <w:tc>
          <w:tcPr>
            <w:tcW w:w="748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1980" w:type="dxa"/>
            <w:vAlign w:val="bottom"/>
            <w:gridSpan w:val="2"/>
          </w:tcPr>
          <w:p>
            <w:pPr>
              <w:jc w:val="right"/>
              <w:ind w:right="240"/>
              <w:spacing w:after="0"/>
              <w:rPr>
                <w:sz w:val="20"/>
                <w:szCs w:val="20"/>
                <w:color w:val="auto"/>
              </w:rPr>
            </w:pPr>
            <w:r>
              <w:rPr>
                <w:rFonts w:ascii="Arial" w:cs="Arial" w:eastAsia="Arial" w:hAnsi="Arial"/>
                <w:sz w:val="16"/>
                <w:szCs w:val="16"/>
                <w:color w:val="auto"/>
              </w:rPr>
              <w:t>(39,705)</w:t>
            </w:r>
          </w:p>
        </w:tc>
        <w:tc>
          <w:tcPr>
            <w:tcW w:w="1780" w:type="dxa"/>
            <w:vAlign w:val="bottom"/>
            <w:gridSpan w:val="3"/>
          </w:tcPr>
          <w:p>
            <w:pPr>
              <w:jc w:val="right"/>
              <w:ind w:right="60"/>
              <w:spacing w:after="0"/>
              <w:rPr>
                <w:sz w:val="20"/>
                <w:szCs w:val="20"/>
                <w:color w:val="auto"/>
              </w:rPr>
            </w:pPr>
            <w:r>
              <w:rPr>
                <w:rFonts w:ascii="Arial" w:cs="Arial" w:eastAsia="Arial" w:hAnsi="Arial"/>
                <w:sz w:val="16"/>
                <w:szCs w:val="16"/>
                <w:color w:val="auto"/>
              </w:rPr>
              <w:t>(39,838)</w:t>
            </w:r>
          </w:p>
        </w:tc>
      </w:tr>
      <w:tr>
        <w:trPr>
          <w:trHeight w:val="196"/>
        </w:trPr>
        <w:tc>
          <w:tcPr>
            <w:tcW w:w="7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non-current portion</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2,891,973</w:t>
            </w:r>
          </w:p>
        </w:tc>
        <w:tc>
          <w:tcPr>
            <w:tcW w:w="2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2,907,842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196"/>
        </w:trPr>
        <w:tc>
          <w:tcPr>
            <w:tcW w:w="7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3,147,395</w:t>
            </w:r>
          </w:p>
        </w:tc>
        <w:tc>
          <w:tcPr>
            <w:tcW w:w="2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3,373,042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Loans</w:t>
      </w:r>
    </w:p>
    <w:p>
      <w:pPr>
        <w:spacing w:after="0" w:line="235" w:lineRule="exact"/>
        <w:rPr>
          <w:sz w:val="20"/>
          <w:szCs w:val="20"/>
          <w:color w:val="auto"/>
        </w:rPr>
      </w:pPr>
    </w:p>
    <w:p>
      <w:pPr>
        <w:jc w:val="both"/>
        <w:ind w:right="120" w:firstLine="383"/>
        <w:spacing w:after="0" w:line="293" w:lineRule="auto"/>
        <w:rPr>
          <w:sz w:val="20"/>
          <w:szCs w:val="20"/>
          <w:color w:val="auto"/>
        </w:rPr>
      </w:pPr>
      <w:r>
        <w:rPr>
          <w:rFonts w:ascii="Arial" w:cs="Arial" w:eastAsia="Arial" w:hAnsi="Arial"/>
          <w:sz w:val="16"/>
          <w:szCs w:val="16"/>
          <w:color w:val="auto"/>
        </w:rPr>
        <w:t>The main terms of the Group’s loan facilities in existence as of December 31, 2019 have been disclosed in the annual audited consolidated financial statements for the year ended December 31, 2019. Refer to Note 13 “Borrowings”.</w:t>
      </w:r>
    </w:p>
    <w:p>
      <w:pPr>
        <w:spacing w:after="0" w:line="172" w:lineRule="exact"/>
        <w:rPr>
          <w:sz w:val="20"/>
          <w:szCs w:val="20"/>
          <w:color w:val="auto"/>
        </w:rPr>
      </w:pPr>
    </w:p>
    <w:p>
      <w:pPr>
        <w:ind w:right="320" w:firstLine="405"/>
        <w:spacing w:after="0" w:line="305" w:lineRule="auto"/>
        <w:rPr>
          <w:sz w:val="20"/>
          <w:szCs w:val="20"/>
          <w:color w:val="auto"/>
        </w:rPr>
      </w:pPr>
      <w:r>
        <w:rPr>
          <w:rFonts w:ascii="Arial" w:cs="Arial" w:eastAsia="Arial" w:hAnsi="Arial"/>
          <w:sz w:val="15"/>
          <w:szCs w:val="15"/>
          <w:color w:val="auto"/>
        </w:rPr>
        <w:t xml:space="preserve">During the six months ended June 30, 2020, the Group drew down $100,000 under the revolving credit facility of the credit agreement of up to $1,050,000 entered into on July 19, 2016 (the “Legacy Facility Refinancing”) and $152,525 and $149,386 under the Newbuilding Facility to partially finance the delivery of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Windsor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Wales</w:t>
      </w:r>
      <w:r>
        <w:rPr>
          <w:rFonts w:ascii="Arial" w:cs="Arial" w:eastAsia="Arial" w:hAnsi="Arial"/>
          <w:sz w:val="15"/>
          <w:szCs w:val="15"/>
          <w:color w:val="auto"/>
        </w:rPr>
        <w:t>, respectively. In addition, the Group repaid $107,448 in accordance with the repayment terms under its loan facilities.</w:t>
      </w:r>
    </w:p>
    <w:p>
      <w:pPr>
        <w:spacing w:after="0" w:line="166" w:lineRule="exact"/>
        <w:rPr>
          <w:sz w:val="20"/>
          <w:szCs w:val="20"/>
          <w:color w:val="auto"/>
        </w:rPr>
      </w:pPr>
    </w:p>
    <w:p>
      <w:pPr>
        <w:ind w:right="160" w:firstLine="383"/>
        <w:spacing w:after="0" w:line="293" w:lineRule="auto"/>
        <w:rPr>
          <w:sz w:val="20"/>
          <w:szCs w:val="20"/>
          <w:color w:val="auto"/>
        </w:rPr>
      </w:pPr>
      <w:r>
        <w:rPr>
          <w:rFonts w:ascii="Arial" w:cs="Arial" w:eastAsia="Arial" w:hAnsi="Arial"/>
          <w:sz w:val="16"/>
          <w:szCs w:val="16"/>
          <w:color w:val="auto"/>
        </w:rPr>
        <w:t>The carrying amount of the Group’s bank debt recognized in the unaudited condensed consolidated financial statements approximates its fair value after adjusting for the unamortized loan/bond issuance costs.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July 2020, the Group successfully refinanced its debt facilities maturing in April and July 2021 (Note 22).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235" w:lineRule="exact"/>
        <w:rPr>
          <w:sz w:val="20"/>
          <w:szCs w:val="20"/>
          <w:color w:val="auto"/>
        </w:rPr>
      </w:pPr>
    </w:p>
    <w:p>
      <w:pPr>
        <w:ind w:right="360" w:firstLine="436"/>
        <w:spacing w:after="0" w:line="293" w:lineRule="auto"/>
        <w:rPr>
          <w:sz w:val="20"/>
          <w:szCs w:val="20"/>
          <w:color w:val="auto"/>
        </w:rPr>
      </w:pPr>
      <w:r>
        <w:rPr>
          <w:rFonts w:ascii="Arial" w:cs="Arial" w:eastAsia="Arial" w:hAnsi="Arial"/>
          <w:sz w:val="16"/>
          <w:szCs w:val="16"/>
          <w:color w:val="auto"/>
        </w:rPr>
        <w:t>The main terms of the Group’s bonds have been disclosed in the annual audited consolidated financial statements for the year ended December 31, 2019. Refer to Note 13 “Borrowings”.</w:t>
      </w:r>
    </w:p>
    <w:p>
      <w:pPr>
        <w:spacing w:after="0" w:line="172" w:lineRule="exact"/>
        <w:rPr>
          <w:sz w:val="20"/>
          <w:szCs w:val="20"/>
          <w:color w:val="auto"/>
        </w:rPr>
      </w:pPr>
    </w:p>
    <w:p>
      <w:pPr>
        <w:ind w:right="120" w:firstLine="436"/>
        <w:spacing w:after="0" w:line="293" w:lineRule="auto"/>
        <w:rPr>
          <w:sz w:val="20"/>
          <w:szCs w:val="20"/>
          <w:color w:val="auto"/>
        </w:rPr>
      </w:pPr>
      <w:r>
        <w:rPr>
          <w:rFonts w:ascii="Arial" w:cs="Arial" w:eastAsia="Arial" w:hAnsi="Arial"/>
          <w:sz w:val="16"/>
          <w:szCs w:val="16"/>
          <w:color w:val="auto"/>
        </w:rPr>
        <w:t>On January 13, 2020 GasLog completed the exchange of $10,000 for the partial exchange of the outstanding 8.875% Senior Notes and, on January 31, 2020, GasLog repurchased and cancelled NOK 434,000 of the outstanding NOK 2021 Bonds at a price of 104.0% par value resulting in a loss of $1,937.</w:t>
      </w:r>
    </w:p>
    <w:p>
      <w:pPr>
        <w:spacing w:after="0" w:line="172" w:lineRule="exact"/>
        <w:rPr>
          <w:sz w:val="20"/>
          <w:szCs w:val="20"/>
          <w:color w:val="auto"/>
        </w:rPr>
      </w:pPr>
    </w:p>
    <w:p>
      <w:pPr>
        <w:ind w:right="80" w:firstLine="436"/>
        <w:spacing w:after="0" w:line="278" w:lineRule="auto"/>
        <w:rPr>
          <w:sz w:val="20"/>
          <w:szCs w:val="20"/>
          <w:color w:val="auto"/>
        </w:rPr>
      </w:pPr>
      <w:r>
        <w:rPr>
          <w:rFonts w:ascii="Arial" w:cs="Arial" w:eastAsia="Arial" w:hAnsi="Arial"/>
          <w:sz w:val="16"/>
          <w:szCs w:val="16"/>
          <w:color w:val="auto"/>
        </w:rPr>
        <w:t>The carrying amount under the NOK bond maturing in 2024 (the “NOK 2024 Bond”), net of unamortized financing costs, as of June 30, 2020 is $91,533 (carrying amount under the NOK 2021 Bonds and the NOK 2024 Bonds as of December 31, 2019: $149,433) while their fair value is $77,256 based on a USD/NOK exchange rate of 0.1033 as of June 30, 2020 (December 31, 2019: $157,383, based on a USD/NOK exchange rate of 0.1134).</w:t>
      </w:r>
    </w:p>
    <w:p>
      <w:pPr>
        <w:spacing w:after="0" w:line="184" w:lineRule="exact"/>
        <w:rPr>
          <w:sz w:val="20"/>
          <w:szCs w:val="20"/>
          <w:color w:val="auto"/>
        </w:rPr>
      </w:pPr>
    </w:p>
    <w:p>
      <w:pPr>
        <w:ind w:right="660" w:firstLine="436"/>
        <w:spacing w:after="0" w:line="293" w:lineRule="auto"/>
        <w:rPr>
          <w:sz w:val="20"/>
          <w:szCs w:val="20"/>
          <w:color w:val="auto"/>
        </w:rPr>
      </w:pPr>
      <w:r>
        <w:rPr>
          <w:rFonts w:ascii="Arial" w:cs="Arial" w:eastAsia="Arial" w:hAnsi="Arial"/>
          <w:sz w:val="16"/>
          <w:szCs w:val="16"/>
          <w:color w:val="auto"/>
        </w:rPr>
        <w:t>The carrying amount under the 8.875% senior unsecured notes due in 2022, net of unamortized financing costs and premium as of June 30, 2020 is $313,344 (December 31, 2019: $322,938).</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Group was in compliance with its financial covenants as of June 30, 2020.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Related Party Transactions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Group has the following balances with related parties which have been included in the 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00" w:type="dxa"/>
            <w:vAlign w:val="bottom"/>
          </w:tcPr>
          <w:p>
            <w:pPr>
              <w:spacing w:after="0"/>
              <w:rPr>
                <w:sz w:val="20"/>
                <w:szCs w:val="20"/>
                <w:color w:val="auto"/>
              </w:rPr>
            </w:pPr>
            <w:r>
              <w:rPr>
                <w:rFonts w:ascii="Arial" w:cs="Arial" w:eastAsia="Arial" w:hAnsi="Arial"/>
                <w:sz w:val="16"/>
                <w:szCs w:val="16"/>
                <w:b w:val="1"/>
                <w:bCs w:val="1"/>
                <w:i w:val="1"/>
                <w:iCs w:val="1"/>
                <w:color w:val="auto"/>
              </w:rPr>
              <w:t>Current Assets</w:t>
            </w:r>
          </w:p>
        </w:tc>
        <w:tc>
          <w:tcPr>
            <w:tcW w:w="3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9"/>
        </w:trPr>
        <w:tc>
          <w:tcPr>
            <w:tcW w:w="4900" w:type="dxa"/>
            <w:vAlign w:val="bottom"/>
          </w:tcPr>
          <w:p>
            <w:pPr>
              <w:spacing w:after="0"/>
              <w:rPr>
                <w:sz w:val="20"/>
                <w:szCs w:val="20"/>
                <w:color w:val="auto"/>
              </w:rPr>
            </w:pPr>
            <w:r>
              <w:rPr>
                <w:rFonts w:ascii="Arial" w:cs="Arial" w:eastAsia="Arial" w:hAnsi="Arial"/>
                <w:sz w:val="16"/>
                <w:szCs w:val="16"/>
                <w:b w:val="1"/>
                <w:bCs w:val="1"/>
                <w:i w:val="1"/>
                <w:iCs w:val="1"/>
                <w:color w:val="auto"/>
                <w:w w:val="98"/>
              </w:rPr>
              <w:t>Dividends receivable and other amounts due from related parties</w:t>
            </w:r>
          </w:p>
        </w:tc>
        <w:tc>
          <w:tcPr>
            <w:tcW w:w="3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49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24"/>
                <w:szCs w:val="24"/>
                <w:color w:val="auto"/>
              </w:rPr>
            </w:pPr>
          </w:p>
        </w:tc>
      </w:tr>
      <w:tr>
        <w:trPr>
          <w:trHeight w:val="213"/>
        </w:trPr>
        <w:tc>
          <w:tcPr>
            <w:tcW w:w="4900" w:type="dxa"/>
            <w:vAlign w:val="bottom"/>
          </w:tcPr>
          <w:p>
            <w:pPr>
              <w:spacing w:after="0"/>
              <w:rPr>
                <w:sz w:val="18"/>
                <w:szCs w:val="18"/>
                <w:color w:val="auto"/>
              </w:rPr>
            </w:pPr>
          </w:p>
        </w:tc>
        <w:tc>
          <w:tcPr>
            <w:tcW w:w="46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Dividends receivable from associate</w:t>
            </w:r>
          </w:p>
        </w:tc>
        <w:tc>
          <w:tcPr>
            <w:tcW w:w="32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450</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Other receivables</w:t>
            </w:r>
          </w:p>
        </w:tc>
        <w:tc>
          <w:tcPr>
            <w:tcW w:w="4900" w:type="dxa"/>
            <w:vAlign w:val="bottom"/>
            <w:gridSpan w:val="3"/>
          </w:tcPr>
          <w:p>
            <w:pPr>
              <w:jc w:val="right"/>
              <w:ind w:right="280"/>
              <w:spacing w:after="0"/>
              <w:rPr>
                <w:sz w:val="20"/>
                <w:szCs w:val="20"/>
                <w:color w:val="auto"/>
              </w:rPr>
            </w:pPr>
            <w:r>
              <w:rPr>
                <w:rFonts w:ascii="Arial" w:cs="Arial" w:eastAsia="Arial" w:hAnsi="Arial"/>
                <w:sz w:val="16"/>
                <w:szCs w:val="16"/>
                <w:color w:val="auto"/>
              </w:rPr>
              <w:t>123</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2,517</w:t>
            </w:r>
          </w:p>
        </w:tc>
        <w:tc>
          <w:tcPr>
            <w:tcW w:w="40" w:type="dxa"/>
            <w:vAlign w:val="bottom"/>
          </w:tcPr>
          <w:p>
            <w:pPr>
              <w:spacing w:after="0"/>
              <w:rPr>
                <w:sz w:val="17"/>
                <w:szCs w:val="17"/>
                <w:color w:val="auto"/>
              </w:rPr>
            </w:pPr>
          </w:p>
        </w:tc>
      </w:tr>
      <w:tr>
        <w:trPr>
          <w:trHeight w:val="196"/>
        </w:trPr>
        <w:tc>
          <w:tcPr>
            <w:tcW w:w="4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326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3,342</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4900" w:type="dxa"/>
            <w:vAlign w:val="bottom"/>
            <w:gridSpan w:val="3"/>
          </w:tcPr>
          <w:p>
            <w:pPr>
              <w:ind w:left="580"/>
              <w:spacing w:after="0"/>
              <w:rPr>
                <w:sz w:val="20"/>
                <w:szCs w:val="20"/>
                <w:color w:val="auto"/>
              </w:rPr>
            </w:pPr>
            <w:r>
              <w:rPr>
                <w:rFonts w:ascii="Arial" w:cs="Arial" w:eastAsia="Arial" w:hAnsi="Arial"/>
                <w:sz w:val="14"/>
                <w:szCs w:val="14"/>
                <w:color w:val="auto"/>
              </w:rPr>
              <w:t>F-12</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90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sectPr>
      </w:pPr>
    </w:p>
    <w:bookmarkStart w:id="248" w:name="page249"/>
    <w:bookmarkEnd w:id="248"/>
    <w:p>
      <w:pPr>
        <w:ind w:left="400"/>
        <w:spacing w:after="0"/>
        <w:rPr>
          <w:sz w:val="20"/>
          <w:szCs w:val="20"/>
          <w:color w:val="auto"/>
        </w:rPr>
      </w:pPr>
      <w:r>
        <w:rPr>
          <w:rFonts w:ascii="Arial" w:cs="Arial" w:eastAsia="Arial" w:hAnsi="Arial"/>
          <w:sz w:val="16"/>
          <w:szCs w:val="16"/>
          <w:color w:val="auto"/>
        </w:rPr>
        <w:t>Other receivables include a balance of $2,457 which is receivable from Egypt LNG Shipping Ltd. from the sale of a low-pressure turbine (Note 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8"/>
        </w:trPr>
        <w:tc>
          <w:tcPr>
            <w:tcW w:w="816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16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gridSpan w:val="2"/>
          </w:tcPr>
          <w:p>
            <w:pPr>
              <w:ind w:left="38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81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r>
      <w:tr>
        <w:trPr>
          <w:trHeight w:val="199"/>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328</w:t>
            </w: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E5FFFF"/>
          </w:tcPr>
          <w:p>
            <w:pPr>
              <w:spacing w:after="0"/>
              <w:rPr>
                <w:sz w:val="17"/>
                <w:szCs w:val="17"/>
                <w:color w:val="auto"/>
              </w:rPr>
            </w:pPr>
          </w:p>
        </w:tc>
      </w:tr>
      <w:tr>
        <w:trPr>
          <w:trHeight w:val="206"/>
        </w:trPr>
        <w:tc>
          <w:tcPr>
            <w:tcW w:w="816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200</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78</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Ship management creditors’ liability comprises cash collected from Egypt LNG Shipping Ltd. to cover the obligations of its vessel under the Group’s management.</w:t>
      </w:r>
    </w:p>
    <w:p>
      <w:pPr>
        <w:spacing w:after="0" w:line="246" w:lineRule="exact"/>
        <w:rPr>
          <w:sz w:val="20"/>
          <w:szCs w:val="20"/>
          <w:color w:val="auto"/>
        </w:rPr>
      </w:pPr>
    </w:p>
    <w:p>
      <w:pPr>
        <w:ind w:right="340" w:firstLine="436"/>
        <w:spacing w:after="0" w:line="293" w:lineRule="auto"/>
        <w:rPr>
          <w:sz w:val="20"/>
          <w:szCs w:val="20"/>
          <w:color w:val="auto"/>
        </w:rPr>
      </w:pPr>
      <w:r>
        <w:rPr>
          <w:rFonts w:ascii="Arial" w:cs="Arial" w:eastAsia="Arial" w:hAnsi="Arial"/>
          <w:sz w:val="16"/>
          <w:szCs w:val="16"/>
          <w:color w:val="auto"/>
        </w:rPr>
        <w:t>Amounts due to related parties of $78 as of June 30, 2020 (December 31, 2019: $200) are expenses paid by a related party on behalf of the Group and payables to other related parties for the office lease and other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Revenues from Contracts with Customers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Group has recognized the following amounts relating to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28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ind w:left="600"/>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490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fixed rate time charters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141,291</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138,990</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275,503</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273,147</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Revenues from variable rate time charters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19,671</w:t>
            </w:r>
          </w:p>
        </w:tc>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51,219</w:t>
            </w: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Revenues from The Cool Pool Limited (GasLog vessels)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12,776</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44,918</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Revenues from vessel management services</w:t>
            </w:r>
          </w:p>
        </w:tc>
        <w:tc>
          <w:tcPr>
            <w:tcW w:w="1360" w:type="dxa"/>
            <w:vAlign w:val="bottom"/>
          </w:tcPr>
          <w:p>
            <w:pPr>
              <w:jc w:val="right"/>
              <w:spacing w:after="0"/>
              <w:rPr>
                <w:sz w:val="20"/>
                <w:szCs w:val="20"/>
                <w:color w:val="auto"/>
              </w:rPr>
            </w:pPr>
            <w:r>
              <w:rPr>
                <w:rFonts w:ascii="Arial" w:cs="Arial" w:eastAsia="Arial" w:hAnsi="Arial"/>
                <w:sz w:val="16"/>
                <w:szCs w:val="16"/>
                <w:color w:val="auto"/>
              </w:rPr>
              <w:t>184</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200</w:t>
            </w:r>
          </w:p>
        </w:tc>
        <w:tc>
          <w:tcPr>
            <w:tcW w:w="1340" w:type="dxa"/>
            <w:vAlign w:val="bottom"/>
          </w:tcPr>
          <w:p>
            <w:pPr>
              <w:jc w:val="right"/>
              <w:spacing w:after="0"/>
              <w:rPr>
                <w:sz w:val="20"/>
                <w:szCs w:val="20"/>
                <w:color w:val="auto"/>
              </w:rPr>
            </w:pPr>
            <w:r>
              <w:rPr>
                <w:rFonts w:ascii="Arial" w:cs="Arial" w:eastAsia="Arial" w:hAnsi="Arial"/>
                <w:sz w:val="16"/>
                <w:szCs w:val="16"/>
                <w:color w:val="auto"/>
              </w:rPr>
              <w:t>377</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392</w:t>
            </w:r>
          </w:p>
        </w:tc>
      </w:tr>
      <w:tr>
        <w:trPr>
          <w:trHeight w:val="196"/>
        </w:trPr>
        <w:tc>
          <w:tcPr>
            <w:tcW w:w="4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154,251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158,861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320,798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324,758</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300" w:firstLine="383"/>
        <w:spacing w:after="0" w:line="278" w:lineRule="auto"/>
        <w:rPr>
          <w:sz w:val="20"/>
          <w:szCs w:val="20"/>
          <w:color w:val="auto"/>
        </w:rPr>
      </w:pPr>
      <w:r>
        <w:rPr>
          <w:rFonts w:ascii="Arial" w:cs="Arial" w:eastAsia="Arial" w:hAnsi="Arial"/>
          <w:sz w:val="16"/>
          <w:szCs w:val="16"/>
          <w:color w:val="auto"/>
        </w:rPr>
        <w:t>Revenues from The Cool Pool Limited relate only to the pool revenues received from GasLog’s vessels operating in the Cool Pool and do not include the Net pool allocation to GasLog of $2,658 and ($4,080) for the three and six months ended June 30, 2019, respectively which is recorded as a separate line item in the Profit or Loss Statement.</w:t>
      </w:r>
    </w:p>
    <w:p>
      <w:pPr>
        <w:spacing w:after="0" w:line="184" w:lineRule="exact"/>
        <w:rPr>
          <w:sz w:val="20"/>
          <w:szCs w:val="20"/>
          <w:color w:val="auto"/>
        </w:rPr>
      </w:pPr>
    </w:p>
    <w:p>
      <w:pPr>
        <w:jc w:val="both"/>
        <w:ind w:right="180" w:firstLine="383"/>
        <w:spacing w:after="0" w:line="369" w:lineRule="auto"/>
        <w:rPr>
          <w:sz w:val="20"/>
          <w:szCs w:val="20"/>
          <w:color w:val="auto"/>
        </w:rPr>
      </w:pPr>
      <w:r>
        <w:rPr>
          <w:rFonts w:ascii="Arial" w:cs="Arial" w:eastAsia="Arial" w:hAnsi="Arial"/>
          <w:sz w:val="14"/>
          <w:szCs w:val="14"/>
          <w:color w:val="auto"/>
        </w:rPr>
        <w:t>Following the exit from the Cool Pool, management allocates revenues from time charters to two categories: (a) variable rate charters and (b) fixed rate charters. The variable rate charter category contains vessels operating in the LNG carrier spot and short-term market or those which have a variable rate of hire across the charter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20"/>
                <w:szCs w:val="20"/>
                <w:color w:val="auto"/>
              </w:rPr>
            </w:pPr>
            <w:r>
              <w:rPr>
                <w:rFonts w:ascii="Arial" w:cs="Arial" w:eastAsia="Arial" w:hAnsi="Arial"/>
                <w:sz w:val="16"/>
                <w:szCs w:val="16"/>
                <w:b w:val="1"/>
                <w:bCs w:val="1"/>
                <w:color w:val="auto"/>
              </w:rPr>
              <w:t>12. General and Administrative Expenses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4900" w:type="dxa"/>
            <w:vAlign w:val="bottom"/>
          </w:tcPr>
          <w:p>
            <w:pPr>
              <w:ind w:left="440"/>
              <w:spacing w:after="0"/>
              <w:rPr>
                <w:sz w:val="20"/>
                <w:szCs w:val="20"/>
                <w:color w:val="auto"/>
              </w:rPr>
            </w:pPr>
            <w:r>
              <w:rPr>
                <w:rFonts w:ascii="Arial" w:cs="Arial" w:eastAsia="Arial" w:hAnsi="Arial"/>
                <w:sz w:val="16"/>
                <w:szCs w:val="16"/>
                <w:color w:val="auto"/>
                <w:w w:val="96"/>
              </w:rPr>
              <w:t>An analysis of general and administrative expenses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4900" w:type="dxa"/>
            <w:vAlign w:val="bottom"/>
          </w:tcPr>
          <w:p>
            <w:pPr>
              <w:spacing w:after="0"/>
              <w:rPr>
                <w:sz w:val="24"/>
                <w:szCs w:val="24"/>
                <w:color w:val="auto"/>
              </w:rPr>
            </w:pPr>
          </w:p>
        </w:tc>
        <w:tc>
          <w:tcPr>
            <w:tcW w:w="328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5"/>
          </w:tcPr>
          <w:p>
            <w:pPr>
              <w:ind w:left="600"/>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490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Employee costs*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5,123</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6,275</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10,422</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11,709</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Share-based compensation (Note 20)</w:t>
            </w:r>
          </w:p>
        </w:tc>
        <w:tc>
          <w:tcPr>
            <w:tcW w:w="1360" w:type="dxa"/>
            <w:vAlign w:val="bottom"/>
          </w:tcPr>
          <w:p>
            <w:pPr>
              <w:jc w:val="right"/>
              <w:spacing w:after="0"/>
              <w:rPr>
                <w:sz w:val="20"/>
                <w:szCs w:val="20"/>
                <w:color w:val="auto"/>
              </w:rPr>
            </w:pPr>
            <w:r>
              <w:rPr>
                <w:rFonts w:ascii="Arial" w:cs="Arial" w:eastAsia="Arial" w:hAnsi="Arial"/>
                <w:sz w:val="16"/>
                <w:szCs w:val="16"/>
                <w:color w:val="auto"/>
              </w:rPr>
              <w:t>1,120</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1,613</w:t>
            </w:r>
          </w:p>
        </w:tc>
        <w:tc>
          <w:tcPr>
            <w:tcW w:w="1340" w:type="dxa"/>
            <w:vAlign w:val="bottom"/>
          </w:tcPr>
          <w:p>
            <w:pPr>
              <w:jc w:val="right"/>
              <w:spacing w:after="0"/>
              <w:rPr>
                <w:sz w:val="20"/>
                <w:szCs w:val="20"/>
                <w:color w:val="auto"/>
              </w:rPr>
            </w:pPr>
            <w:r>
              <w:rPr>
                <w:rFonts w:ascii="Arial" w:cs="Arial" w:eastAsia="Arial" w:hAnsi="Arial"/>
                <w:sz w:val="16"/>
                <w:szCs w:val="16"/>
                <w:color w:val="auto"/>
              </w:rPr>
              <w:t>2,321</w:t>
            </w:r>
          </w:p>
        </w:tc>
        <w:tc>
          <w:tcPr>
            <w:tcW w:w="28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2,866</w:t>
            </w:r>
          </w:p>
        </w:tc>
        <w:tc>
          <w:tcPr>
            <w:tcW w:w="80" w:type="dxa"/>
            <w:vAlign w:val="bottom"/>
          </w:tcPr>
          <w:p>
            <w:pPr>
              <w:spacing w:after="0"/>
              <w:rPr>
                <w:sz w:val="17"/>
                <w:szCs w:val="17"/>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Other expenses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4,929</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3,266</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8,806</w:t>
            </w:r>
          </w:p>
        </w:tc>
        <w:tc>
          <w:tcPr>
            <w:tcW w:w="28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6,200</w:t>
            </w:r>
          </w:p>
        </w:tc>
        <w:tc>
          <w:tcPr>
            <w:tcW w:w="80" w:type="dxa"/>
            <w:vAlign w:val="bottom"/>
            <w:shd w:val="clear" w:color="auto" w:fill="E5FFFF"/>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11,172</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11,154</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21,549</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20,775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40" w:firstLine="40"/>
        <w:spacing w:after="0" w:line="293" w:lineRule="auto"/>
        <w:rPr>
          <w:sz w:val="20"/>
          <w:szCs w:val="20"/>
          <w:color w:val="auto"/>
        </w:rPr>
      </w:pPr>
      <w:r>
        <w:rPr>
          <w:rFonts w:ascii="Arial" w:cs="Arial" w:eastAsia="Arial" w:hAnsi="Arial"/>
          <w:sz w:val="16"/>
          <w:szCs w:val="16"/>
          <w:color w:val="auto"/>
        </w:rPr>
        <w:t>*Employee costs include restructuring costs of $1,081 and $1,526 for the three and six months ended June 30, 2020 pursuant to management’s decision to relocate more of its employees including several members of senior management to the Piraeus, Greece office.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20"/>
                <w:szCs w:val="20"/>
                <w:color w:val="auto"/>
              </w:rPr>
            </w:pPr>
            <w:r>
              <w:rPr>
                <w:rFonts w:ascii="Arial" w:cs="Arial" w:eastAsia="Arial" w:hAnsi="Arial"/>
                <w:sz w:val="16"/>
                <w:szCs w:val="16"/>
                <w:b w:val="1"/>
                <w:bCs w:val="1"/>
                <w:color w:val="auto"/>
              </w:rPr>
              <w:t>13. Vessel Operating and Supervision Costs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4900" w:type="dxa"/>
            <w:vAlign w:val="bottom"/>
          </w:tcPr>
          <w:p>
            <w:pPr>
              <w:ind w:left="440"/>
              <w:spacing w:after="0"/>
              <w:rPr>
                <w:sz w:val="20"/>
                <w:szCs w:val="20"/>
                <w:color w:val="auto"/>
              </w:rPr>
            </w:pPr>
            <w:r>
              <w:rPr>
                <w:rFonts w:ascii="Arial" w:cs="Arial" w:eastAsia="Arial" w:hAnsi="Arial"/>
                <w:sz w:val="16"/>
                <w:szCs w:val="16"/>
                <w:color w:val="auto"/>
                <w:w w:val="92"/>
              </w:rPr>
              <w:t>An analysis of vessels operating and supervision costs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4900" w:type="dxa"/>
            <w:vAlign w:val="bottom"/>
          </w:tcPr>
          <w:p>
            <w:pPr>
              <w:spacing w:after="0"/>
              <w:rPr>
                <w:sz w:val="24"/>
                <w:szCs w:val="24"/>
                <w:color w:val="auto"/>
              </w:rPr>
            </w:pPr>
          </w:p>
        </w:tc>
        <w:tc>
          <w:tcPr>
            <w:tcW w:w="328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ind w:left="600"/>
              <w:spacing w:after="0"/>
              <w:rPr>
                <w:sz w:val="20"/>
                <w:szCs w:val="20"/>
                <w:color w:val="auto"/>
              </w:rPr>
            </w:pPr>
            <w:r>
              <w:rPr>
                <w:rFonts w:ascii="Arial" w:cs="Arial" w:eastAsia="Arial" w:hAnsi="Arial"/>
                <w:sz w:val="16"/>
                <w:szCs w:val="16"/>
                <w:b w:val="1"/>
                <w:bCs w:val="1"/>
                <w:color w:val="auto"/>
              </w:rPr>
              <w:t>For the six months ended</w:t>
            </w:r>
          </w:p>
        </w:tc>
        <w:tc>
          <w:tcPr>
            <w:tcW w:w="40" w:type="dxa"/>
            <w:vAlign w:val="bottom"/>
          </w:tcPr>
          <w:p>
            <w:pPr>
              <w:spacing w:after="0"/>
              <w:rPr>
                <w:sz w:val="24"/>
                <w:szCs w:val="24"/>
                <w:color w:val="auto"/>
              </w:rPr>
            </w:pPr>
          </w:p>
        </w:tc>
      </w:tr>
      <w:tr>
        <w:trPr>
          <w:trHeight w:val="213"/>
        </w:trPr>
        <w:tc>
          <w:tcPr>
            <w:tcW w:w="490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40" w:type="dxa"/>
            <w:vAlign w:val="bottom"/>
          </w:tcPr>
          <w:p>
            <w:pPr>
              <w:spacing w:after="0"/>
              <w:rPr>
                <w:sz w:val="18"/>
                <w:szCs w:val="18"/>
                <w:color w:val="auto"/>
              </w:rPr>
            </w:pP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wages and vessel management employee costs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19,733</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20,548</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39,344</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40,936</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360" w:type="dxa"/>
            <w:vAlign w:val="bottom"/>
          </w:tcPr>
          <w:p>
            <w:pPr>
              <w:jc w:val="right"/>
              <w:spacing w:after="0"/>
              <w:rPr>
                <w:sz w:val="20"/>
                <w:szCs w:val="20"/>
                <w:color w:val="auto"/>
              </w:rPr>
            </w:pPr>
            <w:r>
              <w:rPr>
                <w:rFonts w:ascii="Arial" w:cs="Arial" w:eastAsia="Arial" w:hAnsi="Arial"/>
                <w:sz w:val="16"/>
                <w:szCs w:val="16"/>
                <w:color w:val="auto"/>
              </w:rPr>
              <w:t>8,597</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7,583</w:t>
            </w:r>
          </w:p>
        </w:tc>
        <w:tc>
          <w:tcPr>
            <w:tcW w:w="1340" w:type="dxa"/>
            <w:vAlign w:val="bottom"/>
          </w:tcPr>
          <w:p>
            <w:pPr>
              <w:jc w:val="right"/>
              <w:spacing w:after="0"/>
              <w:rPr>
                <w:sz w:val="20"/>
                <w:szCs w:val="20"/>
                <w:color w:val="auto"/>
              </w:rPr>
            </w:pPr>
            <w:r>
              <w:rPr>
                <w:rFonts w:ascii="Arial" w:cs="Arial" w:eastAsia="Arial" w:hAnsi="Arial"/>
                <w:sz w:val="16"/>
                <w:szCs w:val="16"/>
                <w:color w:val="auto"/>
              </w:rPr>
              <w:t>17,125</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17,304</w:t>
            </w:r>
          </w:p>
        </w:tc>
        <w:tc>
          <w:tcPr>
            <w:tcW w:w="40" w:type="dxa"/>
            <w:vAlign w:val="bottom"/>
          </w:tcPr>
          <w:p>
            <w:pPr>
              <w:spacing w:after="0"/>
              <w:rPr>
                <w:sz w:val="17"/>
                <w:szCs w:val="17"/>
                <w:color w:val="auto"/>
              </w:rPr>
            </w:pP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Other vessel operating expenses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5,028</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4,474</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9,859</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9,417</w:t>
            </w:r>
          </w:p>
        </w:tc>
        <w:tc>
          <w:tcPr>
            <w:tcW w:w="40" w:type="dxa"/>
            <w:vAlign w:val="bottom"/>
          </w:tcPr>
          <w:p>
            <w:pPr>
              <w:spacing w:after="0"/>
              <w:rPr>
                <w:sz w:val="17"/>
                <w:szCs w:val="17"/>
                <w:color w:val="auto"/>
              </w:rPr>
            </w:pPr>
          </w:p>
        </w:tc>
      </w:tr>
      <w:tr>
        <w:trPr>
          <w:trHeight w:val="196"/>
        </w:trPr>
        <w:tc>
          <w:tcPr>
            <w:tcW w:w="49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33,358</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32,605</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66,328</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67,657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1640" w:type="dxa"/>
            <w:vAlign w:val="bottom"/>
            <w:gridSpan w:val="2"/>
          </w:tcPr>
          <w:p>
            <w:pPr>
              <w:ind w:left="580"/>
              <w:spacing w:after="0"/>
              <w:rPr>
                <w:sz w:val="20"/>
                <w:szCs w:val="20"/>
                <w:color w:val="auto"/>
              </w:rPr>
            </w:pPr>
            <w:r>
              <w:rPr>
                <w:rFonts w:ascii="Arial" w:cs="Arial" w:eastAsia="Arial" w:hAnsi="Arial"/>
                <w:sz w:val="14"/>
                <w:szCs w:val="14"/>
                <w:color w:val="auto"/>
              </w:rPr>
              <w:t>F-13</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9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20"/>
                <w:szCs w:val="20"/>
                <w:color w:val="auto"/>
              </w:rPr>
            </w:pPr>
            <w:r>
              <w:rPr>
                <w:rFonts w:ascii="Arial" w:cs="Arial" w:eastAsia="Arial" w:hAnsi="Arial"/>
                <w:sz w:val="16"/>
                <w:szCs w:val="16"/>
                <w:b w:val="1"/>
                <w:bCs w:val="1"/>
                <w:color w:val="auto"/>
              </w:rPr>
              <w:t>14. Other Payables and Accruals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8160" w:type="dxa"/>
            <w:vAlign w:val="bottom"/>
          </w:tcPr>
          <w:p>
            <w:pPr>
              <w:ind w:left="440"/>
              <w:spacing w:after="0"/>
              <w:rPr>
                <w:sz w:val="20"/>
                <w:szCs w:val="20"/>
                <w:color w:val="auto"/>
              </w:rPr>
            </w:pPr>
            <w:r>
              <w:rPr>
                <w:rFonts w:ascii="Arial" w:cs="Arial" w:eastAsia="Arial" w:hAnsi="Arial"/>
                <w:sz w:val="16"/>
                <w:szCs w:val="16"/>
                <w:color w:val="auto"/>
              </w:rPr>
              <w:t>An analysis of other payables and accruals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816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gridSpan w:val="3"/>
          </w:tcPr>
          <w:p>
            <w:pPr>
              <w:ind w:left="380"/>
              <w:spacing w:after="0"/>
              <w:rPr>
                <w:sz w:val="20"/>
                <w:szCs w:val="20"/>
                <w:color w:val="auto"/>
              </w:rPr>
            </w:pPr>
            <w:r>
              <w:rPr>
                <w:rFonts w:ascii="Arial" w:cs="Arial" w:eastAsia="Arial" w:hAnsi="Arial"/>
                <w:sz w:val="16"/>
                <w:szCs w:val="16"/>
                <w:b w:val="1"/>
                <w:bCs w:val="1"/>
                <w:color w:val="auto"/>
              </w:rPr>
              <w:t>June 30,</w:t>
            </w:r>
          </w:p>
        </w:tc>
      </w:tr>
      <w:tr>
        <w:trPr>
          <w:trHeight w:val="213"/>
        </w:trPr>
        <w:tc>
          <w:tcPr>
            <w:tcW w:w="81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199"/>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48,183</w:t>
            </w: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32,775</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Accrued off-hire</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6,968</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7,262</w:t>
            </w:r>
          </w:p>
        </w:tc>
        <w:tc>
          <w:tcPr>
            <w:tcW w:w="80" w:type="dxa"/>
            <w:vAlign w:val="bottom"/>
          </w:tcPr>
          <w:p>
            <w:pPr>
              <w:spacing w:after="0"/>
              <w:rPr>
                <w:sz w:val="17"/>
                <w:szCs w:val="17"/>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9,759</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7,653</w:t>
            </w:r>
          </w:p>
        </w:tc>
        <w:tc>
          <w:tcPr>
            <w:tcW w:w="80" w:type="dxa"/>
            <w:vAlign w:val="bottom"/>
            <w:shd w:val="clear" w:color="auto" w:fill="E5FFFF"/>
          </w:tcPr>
          <w:p>
            <w:pPr>
              <w:spacing w:after="0"/>
              <w:rPr>
                <w:sz w:val="17"/>
                <w:szCs w:val="17"/>
                <w:color w:val="auto"/>
              </w:rPr>
            </w:pPr>
          </w:p>
        </w:tc>
      </w:tr>
      <w:tr>
        <w:trPr>
          <w:trHeight w:val="203"/>
        </w:trPr>
        <w:tc>
          <w:tcPr>
            <w:tcW w:w="8160" w:type="dxa"/>
            <w:vAlign w:val="bottom"/>
          </w:tcPr>
          <w:p>
            <w:pPr>
              <w:spacing w:after="0"/>
              <w:rPr>
                <w:sz w:val="20"/>
                <w:szCs w:val="20"/>
                <w:color w:val="auto"/>
              </w:rPr>
            </w:pPr>
            <w:r>
              <w:rPr>
                <w:rFonts w:ascii="Arial" w:cs="Arial" w:eastAsia="Arial" w:hAnsi="Arial"/>
                <w:sz w:val="16"/>
                <w:szCs w:val="16"/>
                <w:color w:val="auto"/>
              </w:rPr>
              <w:t>Accrued interest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36,746</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33,585</w:t>
            </w:r>
          </w:p>
        </w:tc>
        <w:tc>
          <w:tcPr>
            <w:tcW w:w="80" w:type="dxa"/>
            <w:vAlign w:val="bottom"/>
          </w:tcPr>
          <w:p>
            <w:pPr>
              <w:spacing w:after="0"/>
              <w:rPr>
                <w:sz w:val="17"/>
                <w:szCs w:val="17"/>
                <w:color w:val="auto"/>
              </w:rPr>
            </w:pPr>
          </w:p>
        </w:tc>
      </w:tr>
      <w:tr>
        <w:trPr>
          <w:trHeight w:val="203"/>
        </w:trPr>
        <w:tc>
          <w:tcPr>
            <w:tcW w:w="816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34,586</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33,510</w:t>
            </w:r>
          </w:p>
        </w:tc>
        <w:tc>
          <w:tcPr>
            <w:tcW w:w="80" w:type="dxa"/>
            <w:vAlign w:val="bottom"/>
            <w:shd w:val="clear" w:color="auto" w:fill="E5FFFF"/>
          </w:tcPr>
          <w:p>
            <w:pPr>
              <w:spacing w:after="0"/>
              <w:rPr>
                <w:sz w:val="17"/>
                <w:szCs w:val="17"/>
                <w:color w:val="auto"/>
              </w:rPr>
            </w:pPr>
          </w:p>
        </w:tc>
      </w:tr>
      <w:tr>
        <w:trPr>
          <w:trHeight w:val="196"/>
        </w:trPr>
        <w:tc>
          <w:tcPr>
            <w:tcW w:w="81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136,242</w:t>
            </w:r>
          </w:p>
        </w:tc>
        <w:tc>
          <w:tcPr>
            <w:tcW w:w="2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114,785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15. Share Capital and Preference Shares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35" w:lineRule="exact"/>
        <w:rPr>
          <w:sz w:val="20"/>
          <w:szCs w:val="20"/>
          <w:color w:val="auto"/>
        </w:rPr>
      </w:pPr>
    </w:p>
    <w:p>
      <w:pPr>
        <w:ind w:right="660" w:firstLine="396"/>
        <w:spacing w:after="0" w:line="293" w:lineRule="auto"/>
        <w:rPr>
          <w:sz w:val="20"/>
          <w:szCs w:val="20"/>
          <w:color w:val="auto"/>
        </w:rPr>
      </w:pPr>
      <w:r>
        <w:rPr>
          <w:rFonts w:ascii="Arial" w:cs="Arial" w:eastAsia="Arial" w:hAnsi="Arial"/>
          <w:sz w:val="16"/>
          <w:szCs w:val="16"/>
          <w:color w:val="auto"/>
        </w:rPr>
        <w:t>On June 29, 2020, GasLog issued 14,400,000 common shares at a price of $2.50 per share for total gross proceeds of $36,000 through a private placement of unregistered common shares.</w:t>
      </w:r>
    </w:p>
    <w:p>
      <w:pPr>
        <w:spacing w:after="0" w:line="172" w:lineRule="exact"/>
        <w:rPr>
          <w:sz w:val="20"/>
          <w:szCs w:val="20"/>
          <w:color w:val="auto"/>
        </w:rPr>
      </w:pPr>
    </w:p>
    <w:p>
      <w:pPr>
        <w:jc w:val="both"/>
        <w:ind w:right="200" w:firstLine="396"/>
        <w:spacing w:after="0" w:line="278" w:lineRule="auto"/>
        <w:rPr>
          <w:sz w:val="20"/>
          <w:szCs w:val="20"/>
          <w:color w:val="auto"/>
        </w:rPr>
      </w:pPr>
      <w:r>
        <w:rPr>
          <w:rFonts w:ascii="Arial" w:cs="Arial" w:eastAsia="Arial" w:hAnsi="Arial"/>
          <w:sz w:val="16"/>
          <w:szCs w:val="16"/>
          <w:color w:val="auto"/>
        </w:rPr>
        <w:t>As of June 30, 2020, the share capital consisted of 95,114,166 issued and outstanding common shares, par value $0.01 per share, 278,960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2"/>
              </w:rPr>
              <w:t>Number of Shares</w:t>
            </w:r>
          </w:p>
        </w:tc>
        <w:tc>
          <w:tcPr>
            <w:tcW w:w="1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ind w:left="880"/>
              <w:spacing w:after="0"/>
              <w:rPr>
                <w:sz w:val="20"/>
                <w:szCs w:val="20"/>
                <w:color w:val="auto"/>
              </w:rPr>
            </w:pPr>
            <w:r>
              <w:rPr>
                <w:rFonts w:ascii="Arial" w:cs="Arial" w:eastAsia="Arial" w:hAnsi="Arial"/>
                <w:sz w:val="16"/>
                <w:szCs w:val="16"/>
                <w:b w:val="1"/>
                <w:bCs w:val="1"/>
                <w:color w:val="auto"/>
              </w:rPr>
              <w:t>Amounts</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Number of</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Number of</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w:t>
            </w: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Preference</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Contributed</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6"/>
              </w:rPr>
              <w:t>common shares</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3"/>
              </w:rPr>
              <w:t>treasury shares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preference shares</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capital</w:t>
            </w: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surplus</w:t>
            </w:r>
          </w:p>
        </w:tc>
        <w:tc>
          <w:tcPr>
            <w:tcW w:w="10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72"/>
        </w:trPr>
        <w:tc>
          <w:tcPr>
            <w:tcW w:w="1880" w:type="dxa"/>
            <w:vAlign w:val="bottom"/>
            <w:tcBorders>
              <w:top w:val="single" w:sz="8" w:color="E5FFFF"/>
            </w:tcBorders>
            <w:shd w:val="clear" w:color="auto" w:fill="E5FFFF"/>
          </w:tcPr>
          <w:p>
            <w:pPr>
              <w:spacing w:after="0" w:line="171" w:lineRule="exact"/>
              <w:rPr>
                <w:sz w:val="20"/>
                <w:szCs w:val="20"/>
                <w:color w:val="auto"/>
              </w:rPr>
            </w:pPr>
            <w:r>
              <w:rPr>
                <w:rFonts w:ascii="Arial" w:cs="Arial" w:eastAsia="Arial" w:hAnsi="Arial"/>
                <w:sz w:val="16"/>
                <w:szCs w:val="16"/>
                <w:b w:val="1"/>
                <w:bCs w:val="1"/>
                <w:color w:val="auto"/>
              </w:rPr>
              <w:t>Outstanding as of</w:t>
            </w:r>
          </w:p>
        </w:tc>
        <w:tc>
          <w:tcPr>
            <w:tcW w:w="1340" w:type="dxa"/>
            <w:vAlign w:val="bottom"/>
            <w:tcBorders>
              <w:top w:val="single" w:sz="8" w:color="auto"/>
            </w:tcBorders>
            <w:shd w:val="clear" w:color="auto" w:fill="E5FFFF"/>
          </w:tcPr>
          <w:p>
            <w:pPr>
              <w:spacing w:after="0"/>
              <w:rPr>
                <w:sz w:val="14"/>
                <w:szCs w:val="14"/>
                <w:color w:val="auto"/>
              </w:rPr>
            </w:pPr>
          </w:p>
        </w:tc>
        <w:tc>
          <w:tcPr>
            <w:tcW w:w="240" w:type="dxa"/>
            <w:vAlign w:val="bottom"/>
            <w:tcBorders>
              <w:top w:val="single" w:sz="8" w:color="E5FFFF"/>
            </w:tcBorders>
            <w:shd w:val="clear" w:color="auto" w:fill="E5FFFF"/>
          </w:tcPr>
          <w:p>
            <w:pPr>
              <w:spacing w:after="0"/>
              <w:rPr>
                <w:sz w:val="14"/>
                <w:szCs w:val="14"/>
                <w:color w:val="auto"/>
              </w:rPr>
            </w:pPr>
          </w:p>
        </w:tc>
        <w:tc>
          <w:tcPr>
            <w:tcW w:w="124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148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860" w:type="dxa"/>
            <w:vAlign w:val="bottom"/>
            <w:tcBorders>
              <w:top w:val="single" w:sz="8" w:color="auto"/>
            </w:tcBorders>
            <w:shd w:val="clear" w:color="auto" w:fill="E5FFFF"/>
          </w:tcPr>
          <w:p>
            <w:pPr>
              <w:spacing w:after="0"/>
              <w:rPr>
                <w:sz w:val="14"/>
                <w:szCs w:val="14"/>
                <w:color w:val="auto"/>
              </w:rPr>
            </w:pPr>
          </w:p>
        </w:tc>
        <w:tc>
          <w:tcPr>
            <w:tcW w:w="200" w:type="dxa"/>
            <w:vAlign w:val="bottom"/>
            <w:tcBorders>
              <w:top w:val="single" w:sz="8" w:color="E5FFFF"/>
            </w:tcBorders>
            <w:shd w:val="clear" w:color="auto" w:fill="E5FFFF"/>
          </w:tcPr>
          <w:p>
            <w:pPr>
              <w:spacing w:after="0"/>
              <w:rPr>
                <w:sz w:val="14"/>
                <w:szCs w:val="14"/>
                <w:color w:val="auto"/>
              </w:rPr>
            </w:pPr>
          </w:p>
        </w:tc>
        <w:tc>
          <w:tcPr>
            <w:tcW w:w="100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112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900" w:type="dxa"/>
            <w:vAlign w:val="bottom"/>
            <w:tcBorders>
              <w:top w:val="single" w:sz="8" w:color="auto"/>
            </w:tcBorders>
            <w:shd w:val="clear" w:color="auto" w:fill="E5FFFF"/>
          </w:tcPr>
          <w:p>
            <w:pPr>
              <w:spacing w:after="0"/>
              <w:rPr>
                <w:sz w:val="14"/>
                <w:szCs w:val="14"/>
                <w:color w:val="auto"/>
              </w:rPr>
            </w:pPr>
          </w:p>
        </w:tc>
        <w:tc>
          <w:tcPr>
            <w:tcW w:w="20" w:type="dxa"/>
            <w:vAlign w:val="bottom"/>
            <w:tcBorders>
              <w:top w:val="single" w:sz="8" w:color="E5FFFF"/>
            </w:tcBorders>
            <w:shd w:val="clear" w:color="auto" w:fill="E5FFFF"/>
          </w:tcPr>
          <w:p>
            <w:pPr>
              <w:spacing w:after="0"/>
              <w:rPr>
                <w:sz w:val="14"/>
                <w:szCs w:val="14"/>
                <w:color w:val="auto"/>
              </w:rPr>
            </w:pPr>
          </w:p>
        </w:tc>
        <w:tc>
          <w:tcPr>
            <w:tcW w:w="80" w:type="dxa"/>
            <w:vAlign w:val="bottom"/>
            <w:tcBorders>
              <w:top w:val="single" w:sz="8" w:color="E5FFFF"/>
            </w:tcBorders>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January 1, 2020</w:t>
            </w:r>
          </w:p>
        </w:tc>
        <w:tc>
          <w:tcPr>
            <w:tcW w:w="15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80,871,670</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121,456</w:t>
            </w:r>
          </w:p>
        </w:tc>
        <w:tc>
          <w:tcPr>
            <w:tcW w:w="22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4,600,000</w:t>
            </w: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200" w:type="dxa"/>
            <w:vAlign w:val="bottom"/>
            <w:shd w:val="clear" w:color="auto" w:fill="E5FFFF"/>
          </w:tcPr>
          <w:p>
            <w:pPr>
              <w:spacing w:after="0"/>
              <w:rPr>
                <w:sz w:val="18"/>
                <w:szCs w:val="18"/>
                <w:color w:val="auto"/>
              </w:rPr>
            </w:pPr>
          </w:p>
        </w:tc>
        <w:tc>
          <w:tcPr>
            <w:tcW w:w="1000" w:type="dxa"/>
            <w:vAlign w:val="bottom"/>
            <w:shd w:val="clear" w:color="auto" w:fill="E5FFFF"/>
          </w:tcPr>
          <w:p>
            <w:pPr>
              <w:ind w:left="840"/>
              <w:spacing w:after="0"/>
              <w:rPr>
                <w:sz w:val="20"/>
                <w:szCs w:val="20"/>
                <w:color w:val="auto"/>
              </w:rPr>
            </w:pPr>
            <w:r>
              <w:rPr>
                <w:rFonts w:ascii="Arial" w:cs="Arial" w:eastAsia="Arial" w:hAnsi="Arial"/>
                <w:sz w:val="16"/>
                <w:szCs w:val="16"/>
                <w:b w:val="1"/>
                <w:bCs w:val="1"/>
                <w:color w:val="auto"/>
                <w:w w:val="78"/>
              </w:rPr>
              <w:t>46</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760,671</w:t>
            </w:r>
          </w:p>
        </w:tc>
        <w:tc>
          <w:tcPr>
            <w:tcW w:w="100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(2,159)</w:t>
            </w:r>
          </w:p>
        </w:tc>
        <w:tc>
          <w:tcPr>
            <w:tcW w:w="0" w:type="dxa"/>
            <w:vAlign w:val="bottom"/>
          </w:tcPr>
          <w:p>
            <w:pPr>
              <w:spacing w:after="0"/>
              <w:rPr>
                <w:sz w:val="1"/>
                <w:szCs w:val="1"/>
                <w:color w:val="auto"/>
              </w:rPr>
            </w:pPr>
          </w:p>
        </w:tc>
      </w:tr>
      <w:tr>
        <w:trPr>
          <w:trHeight w:val="173"/>
        </w:trPr>
        <w:tc>
          <w:tcPr>
            <w:tcW w:w="1880" w:type="dxa"/>
            <w:vAlign w:val="bottom"/>
          </w:tcPr>
          <w:p>
            <w:pPr>
              <w:spacing w:after="0" w:line="173" w:lineRule="exact"/>
              <w:rPr>
                <w:sz w:val="20"/>
                <w:szCs w:val="20"/>
                <w:color w:val="auto"/>
              </w:rPr>
            </w:pPr>
            <w:r>
              <w:rPr>
                <w:rFonts w:ascii="Arial" w:cs="Arial" w:eastAsia="Arial" w:hAnsi="Arial"/>
                <w:sz w:val="16"/>
                <w:szCs w:val="16"/>
                <w:color w:val="auto"/>
              </w:rPr>
              <w:t>Purchase of treasury</w:t>
            </w:r>
          </w:p>
        </w:tc>
        <w:tc>
          <w:tcPr>
            <w:tcW w:w="13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180"/>
              <w:spacing w:after="0"/>
              <w:rPr>
                <w:sz w:val="20"/>
                <w:szCs w:val="20"/>
                <w:color w:val="auto"/>
              </w:rPr>
            </w:pPr>
            <w:r>
              <w:rPr>
                <w:rFonts w:ascii="Arial" w:cs="Arial" w:eastAsia="Arial" w:hAnsi="Arial"/>
                <w:sz w:val="16"/>
                <w:szCs w:val="16"/>
                <w:color w:val="auto"/>
              </w:rPr>
              <w:t>shares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(323,919)</w:t>
            </w:r>
          </w:p>
        </w:tc>
        <w:tc>
          <w:tcPr>
            <w:tcW w:w="1240" w:type="dxa"/>
            <w:vAlign w:val="bottom"/>
          </w:tcPr>
          <w:p>
            <w:pPr>
              <w:jc w:val="right"/>
              <w:spacing w:after="0"/>
              <w:rPr>
                <w:sz w:val="20"/>
                <w:szCs w:val="20"/>
                <w:color w:val="auto"/>
              </w:rPr>
            </w:pPr>
            <w:r>
              <w:rPr>
                <w:rFonts w:ascii="Arial" w:cs="Arial" w:eastAsia="Arial" w:hAnsi="Arial"/>
                <w:sz w:val="16"/>
                <w:szCs w:val="16"/>
                <w:color w:val="auto"/>
              </w:rPr>
              <w:t>323,919</w:t>
            </w:r>
          </w:p>
        </w:tc>
        <w:tc>
          <w:tcPr>
            <w:tcW w:w="2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96"/>
        </w:trPr>
        <w:tc>
          <w:tcPr>
            <w:tcW w:w="1880" w:type="dxa"/>
            <w:vAlign w:val="bottom"/>
            <w:shd w:val="clear" w:color="auto" w:fill="E5FFFF"/>
          </w:tcPr>
          <w:p>
            <w:pPr>
              <w:spacing w:after="0"/>
              <w:rPr>
                <w:sz w:val="20"/>
                <w:szCs w:val="20"/>
                <w:color w:val="auto"/>
              </w:rPr>
            </w:pPr>
            <w:r>
              <w:rPr>
                <w:rFonts w:ascii="Arial" w:cs="Arial" w:eastAsia="Arial" w:hAnsi="Arial"/>
                <w:sz w:val="16"/>
                <w:szCs w:val="16"/>
                <w:color w:val="auto"/>
              </w:rPr>
              <w:t>Proceeds from private</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placement, net of</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offering costs</w:t>
            </w:r>
          </w:p>
        </w:tc>
        <w:tc>
          <w:tcPr>
            <w:tcW w:w="15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14,400,000</w:t>
            </w:r>
          </w:p>
        </w:tc>
        <w:tc>
          <w:tcPr>
            <w:tcW w:w="14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w:t>
            </w:r>
          </w:p>
        </w:tc>
        <w:tc>
          <w:tcPr>
            <w:tcW w:w="20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ind w:left="8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34,856</w:t>
            </w:r>
          </w:p>
        </w:tc>
        <w:tc>
          <w:tcPr>
            <w:tcW w:w="100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880" w:type="dxa"/>
            <w:vAlign w:val="bottom"/>
          </w:tcPr>
          <w:p>
            <w:pPr>
              <w:spacing w:after="0"/>
              <w:rPr>
                <w:sz w:val="20"/>
                <w:szCs w:val="20"/>
                <w:color w:val="auto"/>
              </w:rPr>
            </w:pPr>
            <w:r>
              <w:rPr>
                <w:rFonts w:ascii="Arial" w:cs="Arial" w:eastAsia="Arial" w:hAnsi="Arial"/>
                <w:sz w:val="16"/>
                <w:szCs w:val="16"/>
                <w:color w:val="auto"/>
              </w:rPr>
              <w:t>Treasury shares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80"/>
              <w:spacing w:after="0"/>
              <w:rPr>
                <w:sz w:val="20"/>
                <w:szCs w:val="20"/>
                <w:color w:val="auto"/>
              </w:rPr>
            </w:pPr>
            <w:r>
              <w:rPr>
                <w:rFonts w:ascii="Arial" w:cs="Arial" w:eastAsia="Arial" w:hAnsi="Arial"/>
                <w:sz w:val="16"/>
                <w:szCs w:val="16"/>
                <w:color w:val="auto"/>
              </w:rPr>
              <w:t>distributed for awards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80"/>
              <w:spacing w:after="0"/>
              <w:rPr>
                <w:sz w:val="20"/>
                <w:szCs w:val="20"/>
                <w:color w:val="auto"/>
              </w:rPr>
            </w:pPr>
            <w:r>
              <w:rPr>
                <w:rFonts w:ascii="Arial" w:cs="Arial" w:eastAsia="Arial" w:hAnsi="Arial"/>
                <w:sz w:val="16"/>
                <w:szCs w:val="16"/>
                <w:color w:val="auto"/>
              </w:rPr>
              <w:t>vested or exercised in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180"/>
              <w:spacing w:after="0"/>
              <w:rPr>
                <w:sz w:val="20"/>
                <w:szCs w:val="20"/>
                <w:color w:val="auto"/>
              </w:rPr>
            </w:pPr>
            <w:r>
              <w:rPr>
                <w:rFonts w:ascii="Arial" w:cs="Arial" w:eastAsia="Arial" w:hAnsi="Arial"/>
                <w:sz w:val="16"/>
                <w:szCs w:val="16"/>
                <w:color w:val="auto"/>
              </w:rPr>
              <w:t>the period</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166,415</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(166,415)</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E5FFFF"/>
          </w:tcPr>
          <w:p>
            <w:pPr>
              <w:spacing w:after="0"/>
              <w:rPr>
                <w:sz w:val="20"/>
                <w:szCs w:val="20"/>
                <w:color w:val="auto"/>
              </w:rPr>
            </w:pPr>
            <w:r>
              <w:rPr>
                <w:rFonts w:ascii="Arial" w:cs="Arial" w:eastAsia="Arial" w:hAnsi="Arial"/>
                <w:sz w:val="16"/>
                <w:szCs w:val="16"/>
                <w:color w:val="auto"/>
              </w:rPr>
              <w:t>Dividends declared</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deducted from</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Contributed surplus</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due to accumulated</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deficit</w:t>
            </w:r>
          </w:p>
        </w:tc>
        <w:tc>
          <w:tcPr>
            <w:tcW w:w="15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ind w:left="8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(21,149)</w:t>
            </w:r>
          </w:p>
        </w:tc>
        <w:tc>
          <w:tcPr>
            <w:tcW w:w="100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Arial" w:cs="Arial" w:eastAsia="Arial" w:hAnsi="Arial"/>
                <w:sz w:val="16"/>
                <w:szCs w:val="16"/>
                <w:b w:val="1"/>
                <w:bCs w:val="1"/>
                <w:color w:val="auto"/>
              </w:rPr>
              <w:t>Outstanding as of</w:t>
            </w: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158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95,114,166</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278,960</w:t>
            </w:r>
          </w:p>
        </w:tc>
        <w:tc>
          <w:tcPr>
            <w:tcW w:w="2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4,600,000</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954</w:t>
            </w:r>
          </w:p>
        </w:tc>
        <w:tc>
          <w:tcPr>
            <w:tcW w:w="200" w:type="dxa"/>
            <w:vAlign w:val="bottom"/>
          </w:tcPr>
          <w:p>
            <w:pPr>
              <w:spacing w:after="0"/>
              <w:rPr>
                <w:sz w:val="14"/>
                <w:szCs w:val="14"/>
                <w:color w:val="auto"/>
              </w:rPr>
            </w:pPr>
          </w:p>
        </w:tc>
        <w:tc>
          <w:tcPr>
            <w:tcW w:w="1000" w:type="dxa"/>
            <w:vAlign w:val="bottom"/>
            <w:vMerge w:val="restart"/>
          </w:tcPr>
          <w:p>
            <w:pPr>
              <w:ind w:left="840"/>
              <w:spacing w:after="0"/>
              <w:rPr>
                <w:sz w:val="20"/>
                <w:szCs w:val="20"/>
                <w:color w:val="auto"/>
              </w:rPr>
            </w:pPr>
            <w:r>
              <w:rPr>
                <w:rFonts w:ascii="Arial" w:cs="Arial" w:eastAsia="Arial" w:hAnsi="Arial"/>
                <w:sz w:val="16"/>
                <w:szCs w:val="16"/>
                <w:b w:val="1"/>
                <w:bCs w:val="1"/>
                <w:color w:val="auto"/>
                <w:w w:val="78"/>
              </w:rPr>
              <w:t>46</w:t>
            </w:r>
          </w:p>
        </w:tc>
        <w:tc>
          <w:tcPr>
            <w:tcW w:w="22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774,378</w:t>
            </w: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(1,718)</w:t>
            </w:r>
          </w:p>
        </w:tc>
        <w:tc>
          <w:tcPr>
            <w:tcW w:w="0" w:type="dxa"/>
            <w:vAlign w:val="bottom"/>
          </w:tcPr>
          <w:p>
            <w:pPr>
              <w:spacing w:after="0"/>
              <w:rPr>
                <w:sz w:val="1"/>
                <w:szCs w:val="1"/>
                <w:color w:val="auto"/>
              </w:rPr>
            </w:pPr>
          </w:p>
        </w:tc>
      </w:tr>
      <w:tr>
        <w:trPr>
          <w:trHeight w:val="203"/>
        </w:trPr>
        <w:tc>
          <w:tcPr>
            <w:tcW w:w="1880" w:type="dxa"/>
            <w:vAlign w:val="bottom"/>
          </w:tcPr>
          <w:p>
            <w:pPr>
              <w:ind w:left="180"/>
              <w:spacing w:after="0"/>
              <w:rPr>
                <w:sz w:val="20"/>
                <w:szCs w:val="20"/>
                <w:color w:val="auto"/>
              </w:rPr>
            </w:pPr>
            <w:r>
              <w:rPr>
                <w:rFonts w:ascii="Arial" w:cs="Arial" w:eastAsia="Arial" w:hAnsi="Arial"/>
                <w:sz w:val="16"/>
                <w:szCs w:val="16"/>
                <w:b w:val="1"/>
                <w:bCs w:val="1"/>
                <w:color w:val="auto"/>
              </w:rPr>
              <w:t>June 30, 2020</w:t>
            </w:r>
          </w:p>
        </w:tc>
        <w:tc>
          <w:tcPr>
            <w:tcW w:w="158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treasury shares were acquired by GasLog in relation to the share-based compensation (Note 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w:t>
      </w:r>
    </w:p>
    <w:p>
      <w:pPr>
        <w:spacing w:after="0" w:line="235" w:lineRule="exact"/>
        <w:rPr>
          <w:sz w:val="20"/>
          <w:szCs w:val="20"/>
          <w:color w:val="auto"/>
        </w:rPr>
      </w:pPr>
    </w:p>
    <w:p>
      <w:pPr>
        <w:ind w:right="380" w:firstLine="383"/>
        <w:spacing w:after="0" w:line="293" w:lineRule="auto"/>
        <w:rPr>
          <w:sz w:val="20"/>
          <w:szCs w:val="20"/>
          <w:color w:val="auto"/>
        </w:rPr>
      </w:pPr>
      <w:r>
        <w:rPr>
          <w:rFonts w:ascii="Arial" w:cs="Arial" w:eastAsia="Arial" w:hAnsi="Arial"/>
          <w:sz w:val="16"/>
          <w:szCs w:val="16"/>
          <w:color w:val="auto"/>
        </w:rPr>
        <w:t>On February 5, 2020, the board of directors declared a quarterly cash dividend of $0.15 per common share, which was paid on March 12, 2020 to shareholders of record as of March 2, 2020 for a total amount of $12,082.</w:t>
      </w:r>
    </w:p>
    <w:p>
      <w:pPr>
        <w:spacing w:after="0" w:line="172" w:lineRule="exact"/>
        <w:rPr>
          <w:sz w:val="20"/>
          <w:szCs w:val="20"/>
          <w:color w:val="auto"/>
        </w:rPr>
      </w:pPr>
    </w:p>
    <w:p>
      <w:pPr>
        <w:ind w:right="480" w:firstLine="383"/>
        <w:spacing w:after="0" w:line="293" w:lineRule="auto"/>
        <w:rPr>
          <w:sz w:val="20"/>
          <w:szCs w:val="20"/>
          <w:color w:val="auto"/>
        </w:rPr>
      </w:pPr>
      <w:r>
        <w:rPr>
          <w:rFonts w:ascii="Arial" w:cs="Arial" w:eastAsia="Arial" w:hAnsi="Arial"/>
          <w:sz w:val="16"/>
          <w:szCs w:val="16"/>
          <w:color w:val="auto"/>
        </w:rPr>
        <w:t>On March 12, 2020, the board of directors declared a dividend on the Series A Preference Shares of $0.546875 per share, or $2,516 in the aggregate, payable on April 1, 2020 to holders of record as of March 31, 2020. GasLog paid the declared dividend to the transfer agent on April 1, 2020.</w:t>
      </w:r>
    </w:p>
    <w:p>
      <w:pPr>
        <w:spacing w:after="0" w:line="172" w:lineRule="exact"/>
        <w:rPr>
          <w:sz w:val="20"/>
          <w:szCs w:val="20"/>
          <w:color w:val="auto"/>
        </w:rPr>
      </w:pPr>
    </w:p>
    <w:p>
      <w:pPr>
        <w:ind w:right="560" w:firstLine="356"/>
        <w:spacing w:after="0" w:line="293" w:lineRule="auto"/>
        <w:rPr>
          <w:sz w:val="20"/>
          <w:szCs w:val="20"/>
          <w:color w:val="auto"/>
        </w:rPr>
      </w:pPr>
      <w:r>
        <w:rPr>
          <w:rFonts w:ascii="Arial" w:cs="Arial" w:eastAsia="Arial" w:hAnsi="Arial"/>
          <w:sz w:val="16"/>
          <w:szCs w:val="16"/>
          <w:color w:val="auto"/>
        </w:rPr>
        <w:t>On May 6, 2020, the board of directors declared a quarterly cash dividend of $0.05 per common share payable on May 28, 2020 to shareholders of record as of May 18, 2020 for a total amount of $4,035.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0" w:name="page251"/>
    <w:bookmarkEnd w:id="250"/>
    <w:p>
      <w:pPr>
        <w:ind w:right="120" w:firstLine="383"/>
        <w:spacing w:after="0" w:line="293" w:lineRule="auto"/>
        <w:rPr>
          <w:sz w:val="20"/>
          <w:szCs w:val="20"/>
          <w:color w:val="auto"/>
        </w:rPr>
      </w:pPr>
      <w:r>
        <w:rPr>
          <w:rFonts w:ascii="Arial" w:cs="Arial" w:eastAsia="Arial" w:hAnsi="Arial"/>
          <w:sz w:val="16"/>
          <w:szCs w:val="16"/>
          <w:color w:val="auto"/>
        </w:rPr>
        <w:t>On May 14, 2020, the board of directors declared a dividend on the Series A Preference Shares of $0.546875 per share, or $2,516 in the aggregate, payable on July 1, 2020 to holders of record as of June 30, 2020. GasLog paid the declared dividend to the transfer agent on July 1,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60" w:type="dxa"/>
            <w:vAlign w:val="bottom"/>
          </w:tcPr>
          <w:p>
            <w:pPr>
              <w:spacing w:after="0"/>
              <w:rPr>
                <w:sz w:val="20"/>
                <w:szCs w:val="20"/>
                <w:color w:val="auto"/>
              </w:rPr>
            </w:pPr>
            <w:r>
              <w:rPr>
                <w:rFonts w:ascii="Arial" w:cs="Arial" w:eastAsia="Arial" w:hAnsi="Arial"/>
                <w:sz w:val="16"/>
                <w:szCs w:val="16"/>
                <w:b w:val="1"/>
                <w:bCs w:val="1"/>
                <w:color w:val="auto"/>
              </w:rPr>
              <w:t>16. Commitments and Contingencies</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9560" w:type="dxa"/>
            <w:vAlign w:val="bottom"/>
          </w:tcPr>
          <w:p>
            <w:pPr>
              <w:spacing w:after="0"/>
              <w:rPr>
                <w:sz w:val="20"/>
                <w:szCs w:val="20"/>
                <w:color w:val="auto"/>
              </w:rPr>
            </w:pPr>
            <w:r>
              <w:rPr>
                <w:rFonts w:ascii="Arial" w:cs="Arial" w:eastAsia="Arial" w:hAnsi="Arial"/>
                <w:sz w:val="16"/>
                <w:szCs w:val="16"/>
                <w:color w:val="auto"/>
              </w:rPr>
              <w:t>(a) Commitments relating to the vessels under construction (Note 5) as of June 30, 2020 payable to Samsung were as follows: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9560" w:type="dxa"/>
            <w:vAlign w:val="bottom"/>
          </w:tcPr>
          <w:p>
            <w:pPr>
              <w:spacing w:after="0"/>
              <w:rPr>
                <w:sz w:val="24"/>
                <w:szCs w:val="24"/>
                <w:color w:val="auto"/>
              </w:rPr>
            </w:pPr>
          </w:p>
        </w:tc>
        <w:tc>
          <w:tcPr>
            <w:tcW w:w="1680" w:type="dxa"/>
            <w:vAlign w:val="bottom"/>
            <w:gridSpan w:val="3"/>
          </w:tcPr>
          <w:p>
            <w:pPr>
              <w:ind w:left="320"/>
              <w:spacing w:after="0"/>
              <w:rPr>
                <w:sz w:val="20"/>
                <w:szCs w:val="20"/>
                <w:color w:val="auto"/>
              </w:rPr>
            </w:pPr>
            <w:r>
              <w:rPr>
                <w:rFonts w:ascii="Arial" w:cs="Arial" w:eastAsia="Arial" w:hAnsi="Arial"/>
                <w:sz w:val="16"/>
                <w:szCs w:val="16"/>
                <w:b w:val="1"/>
                <w:bCs w:val="1"/>
                <w:color w:val="auto"/>
              </w:rPr>
              <w:t>June 30, 2020</w:t>
            </w:r>
          </w:p>
        </w:tc>
      </w:tr>
      <w:tr>
        <w:trPr>
          <w:trHeight w:val="186"/>
        </w:trPr>
        <w:tc>
          <w:tcPr>
            <w:tcW w:w="9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58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956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637,420</w:t>
            </w:r>
          </w:p>
        </w:tc>
        <w:tc>
          <w:tcPr>
            <w:tcW w:w="80" w:type="dxa"/>
            <w:vAlign w:val="bottom"/>
          </w:tcPr>
          <w:p>
            <w:pPr>
              <w:spacing w:after="0"/>
              <w:rPr>
                <w:sz w:val="17"/>
                <w:szCs w:val="17"/>
                <w:color w:val="auto"/>
              </w:rPr>
            </w:pPr>
          </w:p>
        </w:tc>
      </w:tr>
      <w:tr>
        <w:trPr>
          <w:trHeight w:val="203"/>
        </w:trPr>
        <w:tc>
          <w:tcPr>
            <w:tcW w:w="956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150,880</w:t>
            </w:r>
          </w:p>
        </w:tc>
        <w:tc>
          <w:tcPr>
            <w:tcW w:w="80" w:type="dxa"/>
            <w:vAlign w:val="bottom"/>
            <w:shd w:val="clear" w:color="auto" w:fill="E5FFFF"/>
          </w:tcPr>
          <w:p>
            <w:pPr>
              <w:spacing w:after="0"/>
              <w:rPr>
                <w:sz w:val="17"/>
                <w:szCs w:val="17"/>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788,300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8"/>
        <w:spacing w:after="0" w:line="278" w:lineRule="auto"/>
        <w:tabs>
          <w:tab w:leader="none" w:pos="229" w:val="left"/>
        </w:tabs>
        <w:numPr>
          <w:ilvl w:val="0"/>
          <w:numId w:val="500"/>
        </w:numPr>
        <w:rPr>
          <w:rFonts w:ascii="Arial" w:cs="Arial" w:eastAsia="Arial" w:hAnsi="Arial"/>
          <w:sz w:val="16"/>
          <w:szCs w:val="16"/>
          <w:color w:val="auto"/>
        </w:rPr>
      </w:pPr>
      <w:r>
        <w:rPr>
          <w:rFonts w:ascii="Arial" w:cs="Arial" w:eastAsia="Arial" w:hAnsi="Arial"/>
          <w:sz w:val="16"/>
          <w:szCs w:val="16"/>
          <w:color w:val="auto"/>
        </w:rPr>
        <w:t>Future gross minimum revenues receivable in relation to non-cancellable time charter agreements for vessels in operation, including a vessel under a lease (Note 6), as of June 30, 2020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60" w:type="dxa"/>
            <w:vAlign w:val="bottom"/>
          </w:tcPr>
          <w:p>
            <w:pPr>
              <w:spacing w:after="0"/>
              <w:rPr>
                <w:sz w:val="18"/>
                <w:szCs w:val="18"/>
                <w:color w:val="auto"/>
              </w:rPr>
            </w:pPr>
          </w:p>
        </w:tc>
        <w:tc>
          <w:tcPr>
            <w:tcW w:w="1680" w:type="dxa"/>
            <w:vAlign w:val="bottom"/>
            <w:gridSpan w:val="3"/>
          </w:tcPr>
          <w:p>
            <w:pPr>
              <w:ind w:left="320"/>
              <w:spacing w:after="0"/>
              <w:rPr>
                <w:sz w:val="20"/>
                <w:szCs w:val="20"/>
                <w:color w:val="auto"/>
              </w:rPr>
            </w:pPr>
            <w:r>
              <w:rPr>
                <w:rFonts w:ascii="Arial" w:cs="Arial" w:eastAsia="Arial" w:hAnsi="Arial"/>
                <w:sz w:val="16"/>
                <w:szCs w:val="16"/>
                <w:b w:val="1"/>
                <w:bCs w:val="1"/>
                <w:color w:val="auto"/>
              </w:rPr>
              <w:t>June 30, 2020</w:t>
            </w:r>
          </w:p>
        </w:tc>
      </w:tr>
      <w:tr>
        <w:trPr>
          <w:trHeight w:val="185"/>
        </w:trPr>
        <w:tc>
          <w:tcPr>
            <w:tcW w:w="95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58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956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404,794</w:t>
            </w:r>
          </w:p>
        </w:tc>
        <w:tc>
          <w:tcPr>
            <w:tcW w:w="80" w:type="dxa"/>
            <w:vAlign w:val="bottom"/>
          </w:tcPr>
          <w:p>
            <w:pPr>
              <w:spacing w:after="0"/>
              <w:rPr>
                <w:sz w:val="17"/>
                <w:szCs w:val="17"/>
                <w:color w:val="auto"/>
              </w:rPr>
            </w:pPr>
          </w:p>
        </w:tc>
      </w:tr>
      <w:tr>
        <w:trPr>
          <w:trHeight w:val="203"/>
        </w:trPr>
        <w:tc>
          <w:tcPr>
            <w:tcW w:w="956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two years</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332,784</w:t>
            </w:r>
          </w:p>
        </w:tc>
        <w:tc>
          <w:tcPr>
            <w:tcW w:w="80" w:type="dxa"/>
            <w:vAlign w:val="bottom"/>
            <w:shd w:val="clear" w:color="auto" w:fill="E5FFFF"/>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Arial" w:cs="Arial" w:eastAsia="Arial" w:hAnsi="Arial"/>
                <w:sz w:val="16"/>
                <w:szCs w:val="16"/>
                <w:color w:val="auto"/>
              </w:rPr>
              <w:t>Later than two years and not later than three years</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318,234</w:t>
            </w:r>
          </w:p>
        </w:tc>
        <w:tc>
          <w:tcPr>
            <w:tcW w:w="80" w:type="dxa"/>
            <w:vAlign w:val="bottom"/>
          </w:tcPr>
          <w:p>
            <w:pPr>
              <w:spacing w:after="0"/>
              <w:rPr>
                <w:sz w:val="17"/>
                <w:szCs w:val="17"/>
                <w:color w:val="auto"/>
              </w:rPr>
            </w:pPr>
          </w:p>
        </w:tc>
      </w:tr>
      <w:tr>
        <w:trPr>
          <w:trHeight w:val="203"/>
        </w:trPr>
        <w:tc>
          <w:tcPr>
            <w:tcW w:w="9560" w:type="dxa"/>
            <w:vAlign w:val="bottom"/>
            <w:shd w:val="clear" w:color="auto" w:fill="E5FFFF"/>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281,395</w:t>
            </w:r>
          </w:p>
        </w:tc>
        <w:tc>
          <w:tcPr>
            <w:tcW w:w="80" w:type="dxa"/>
            <w:vAlign w:val="bottom"/>
            <w:shd w:val="clear" w:color="auto" w:fill="E5FFFF"/>
          </w:tcPr>
          <w:p>
            <w:pPr>
              <w:spacing w:after="0"/>
              <w:rPr>
                <w:sz w:val="17"/>
                <w:szCs w:val="17"/>
                <w:color w:val="auto"/>
              </w:rPr>
            </w:pPr>
          </w:p>
        </w:tc>
      </w:tr>
      <w:tr>
        <w:trPr>
          <w:trHeight w:val="203"/>
        </w:trPr>
        <w:tc>
          <w:tcPr>
            <w:tcW w:w="9560" w:type="dxa"/>
            <w:vAlign w:val="bottom"/>
          </w:tcPr>
          <w:p>
            <w:pPr>
              <w:spacing w:after="0"/>
              <w:rPr>
                <w:sz w:val="20"/>
                <w:szCs w:val="20"/>
                <w:color w:val="auto"/>
              </w:rPr>
            </w:pPr>
            <w:r>
              <w:rPr>
                <w:rFonts w:ascii="Arial" w:cs="Arial" w:eastAsia="Arial" w:hAnsi="Arial"/>
                <w:sz w:val="16"/>
                <w:szCs w:val="16"/>
                <w:color w:val="auto"/>
              </w:rPr>
              <w:t>Later than four years and not later than five years</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244,375</w:t>
            </w:r>
          </w:p>
        </w:tc>
        <w:tc>
          <w:tcPr>
            <w:tcW w:w="80" w:type="dxa"/>
            <w:vAlign w:val="bottom"/>
          </w:tcPr>
          <w:p>
            <w:pPr>
              <w:spacing w:after="0"/>
              <w:rPr>
                <w:sz w:val="17"/>
                <w:szCs w:val="17"/>
                <w:color w:val="auto"/>
              </w:rPr>
            </w:pPr>
          </w:p>
        </w:tc>
      </w:tr>
      <w:tr>
        <w:trPr>
          <w:trHeight w:val="203"/>
        </w:trPr>
        <w:tc>
          <w:tcPr>
            <w:tcW w:w="9560" w:type="dxa"/>
            <w:vAlign w:val="bottom"/>
            <w:shd w:val="clear" w:color="auto" w:fill="E5FFFF"/>
          </w:tcPr>
          <w:p>
            <w:pPr>
              <w:spacing w:after="0"/>
              <w:rPr>
                <w:sz w:val="20"/>
                <w:szCs w:val="20"/>
                <w:color w:val="auto"/>
              </w:rPr>
            </w:pPr>
            <w:r>
              <w:rPr>
                <w:rFonts w:ascii="Arial" w:cs="Arial" w:eastAsia="Arial" w:hAnsi="Arial"/>
                <w:sz w:val="16"/>
                <w:szCs w:val="16"/>
                <w:color w:val="auto"/>
              </w:rPr>
              <w:t>More than five years</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638,211</w:t>
            </w:r>
          </w:p>
        </w:tc>
      </w:tr>
      <w:tr>
        <w:trPr>
          <w:trHeight w:val="196"/>
        </w:trPr>
        <w:tc>
          <w:tcPr>
            <w:tcW w:w="95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2,219,793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w:t>
      </w:r>
    </w:p>
    <w:p>
      <w:pPr>
        <w:spacing w:after="0" w:line="248" w:lineRule="exact"/>
        <w:rPr>
          <w:sz w:val="20"/>
          <w:szCs w:val="20"/>
          <w:color w:val="auto"/>
        </w:rPr>
      </w:pPr>
    </w:p>
    <w:p>
      <w:pPr>
        <w:ind w:left="260" w:right="20" w:hanging="252"/>
        <w:spacing w:after="0" w:line="262" w:lineRule="auto"/>
        <w:tabs>
          <w:tab w:leader="none" w:pos="272" w:val="left"/>
        </w:tabs>
        <w:numPr>
          <w:ilvl w:val="0"/>
          <w:numId w:val="501"/>
        </w:numPr>
        <w:rPr>
          <w:rFonts w:ascii="Arial" w:cs="Arial" w:eastAsia="Arial" w:hAnsi="Arial"/>
          <w:sz w:val="18"/>
          <w:szCs w:val="18"/>
          <w:color w:val="auto"/>
        </w:rPr>
      </w:pPr>
      <w:r>
        <w:rPr>
          <w:rFonts w:ascii="Arial" w:cs="Arial" w:eastAsia="Arial" w:hAnsi="Arial"/>
          <w:sz w:val="16"/>
          <w:szCs w:val="16"/>
          <w:color w:val="auto"/>
        </w:rPr>
        <w:t>In September 2017 (and in addition to the seven existing maintenance agreements signed in 2015 in relation to GasLog vessels), GasLog LNG Services Ltd. entered into further maintenance agreements with Wartsila Greece S.A. (“Wartsila”)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210" w:lineRule="exact"/>
        <w:rPr>
          <w:rFonts w:ascii="Arial" w:cs="Arial" w:eastAsia="Arial" w:hAnsi="Arial"/>
          <w:sz w:val="18"/>
          <w:szCs w:val="18"/>
          <w:color w:val="auto"/>
        </w:rPr>
      </w:pPr>
    </w:p>
    <w:p>
      <w:pPr>
        <w:ind w:left="260" w:right="60" w:hanging="252"/>
        <w:spacing w:after="0" w:line="262" w:lineRule="auto"/>
        <w:tabs>
          <w:tab w:leader="none" w:pos="268" w:val="left"/>
        </w:tabs>
        <w:numPr>
          <w:ilvl w:val="0"/>
          <w:numId w:val="501"/>
        </w:numPr>
        <w:rPr>
          <w:rFonts w:ascii="Arial" w:cs="Arial" w:eastAsia="Arial" w:hAnsi="Arial"/>
          <w:sz w:val="18"/>
          <w:szCs w:val="18"/>
          <w:color w:val="auto"/>
        </w:rPr>
      </w:pPr>
      <w:r>
        <w:rPr>
          <w:rFonts w:ascii="Arial" w:cs="Arial" w:eastAsia="Arial" w:hAnsi="Arial"/>
          <w:sz w:val="16"/>
          <w:szCs w:val="16"/>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June 30, 2020, ballast water management systems had been installed on seven out of the nineteen vessels.</w:t>
      </w:r>
    </w:p>
    <w:p>
      <w:pPr>
        <w:spacing w:after="0" w:line="196" w:lineRule="exact"/>
        <w:rPr>
          <w:sz w:val="20"/>
          <w:szCs w:val="20"/>
          <w:color w:val="auto"/>
        </w:rPr>
      </w:pPr>
    </w:p>
    <w:p>
      <w:pPr>
        <w:ind w:right="100" w:firstLine="436"/>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gridSpan w:val="2"/>
          </w:tcPr>
          <w:p>
            <w:pPr>
              <w:spacing w:after="0"/>
              <w:rPr>
                <w:sz w:val="20"/>
                <w:szCs w:val="20"/>
                <w:color w:val="auto"/>
              </w:rPr>
            </w:pPr>
            <w:r>
              <w:rPr>
                <w:rFonts w:ascii="Arial" w:cs="Arial" w:eastAsia="Arial" w:hAnsi="Arial"/>
                <w:sz w:val="16"/>
                <w:szCs w:val="16"/>
                <w:b w:val="1"/>
                <w:bCs w:val="1"/>
                <w:color w:val="auto"/>
              </w:rPr>
              <w:t>17. Derivative Financial Instruments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7620" w:type="dxa"/>
            <w:vAlign w:val="bottom"/>
            <w:gridSpan w:val="2"/>
          </w:tcPr>
          <w:p>
            <w:pPr>
              <w:ind w:left="380"/>
              <w:spacing w:after="0"/>
              <w:rPr>
                <w:sz w:val="20"/>
                <w:szCs w:val="20"/>
                <w:color w:val="auto"/>
              </w:rPr>
            </w:pPr>
            <w:r>
              <w:rPr>
                <w:rFonts w:ascii="Arial" w:cs="Arial" w:eastAsia="Arial" w:hAnsi="Arial"/>
                <w:sz w:val="16"/>
                <w:szCs w:val="16"/>
                <w:color w:val="auto"/>
              </w:rPr>
              <w:t>The fair value of the derivative assets is as follows: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3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84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December 31,</w:t>
            </w:r>
          </w:p>
        </w:tc>
        <w:tc>
          <w:tcPr>
            <w:tcW w:w="168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r>
      <w:tr>
        <w:trPr>
          <w:trHeight w:val="210"/>
        </w:trPr>
        <w:tc>
          <w:tcPr>
            <w:tcW w:w="380" w:type="dxa"/>
            <w:vAlign w:val="bottom"/>
          </w:tcPr>
          <w:p>
            <w:pPr>
              <w:spacing w:after="0"/>
              <w:rPr>
                <w:sz w:val="18"/>
                <w:szCs w:val="18"/>
                <w:color w:val="auto"/>
              </w:rPr>
            </w:pPr>
          </w:p>
        </w:tc>
        <w:tc>
          <w:tcPr>
            <w:tcW w:w="7240" w:type="dxa"/>
            <w:vAlign w:val="bottom"/>
            <w:tcBorders>
              <w:bottom w:val="single" w:sz="8" w:color="E5FF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r>
      <w:tr>
        <w:trPr>
          <w:trHeight w:val="189"/>
        </w:trPr>
        <w:tc>
          <w:tcPr>
            <w:tcW w:w="380" w:type="dxa"/>
            <w:vAlign w:val="bottom"/>
          </w:tcPr>
          <w:p>
            <w:pPr>
              <w:spacing w:after="0"/>
              <w:rPr>
                <w:sz w:val="16"/>
                <w:szCs w:val="16"/>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5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5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03"/>
        </w:trPr>
        <w:tc>
          <w:tcPr>
            <w:tcW w:w="38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Interest rate swaps</w:t>
            </w:r>
          </w:p>
        </w:tc>
        <w:tc>
          <w:tcPr>
            <w:tcW w:w="156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1680" w:type="dxa"/>
            <w:vAlign w:val="bottom"/>
            <w:gridSpan w:val="2"/>
          </w:tcPr>
          <w:p>
            <w:pPr>
              <w:ind w:left="1420"/>
              <w:spacing w:after="0"/>
              <w:rPr>
                <w:sz w:val="20"/>
                <w:szCs w:val="20"/>
                <w:color w:val="auto"/>
              </w:rPr>
            </w:pPr>
            <w:r>
              <w:rPr>
                <w:rFonts w:ascii="Arial" w:cs="Arial" w:eastAsia="Arial" w:hAnsi="Arial"/>
                <w:sz w:val="16"/>
                <w:szCs w:val="16"/>
                <w:color w:val="auto"/>
              </w:rPr>
              <w:t>—</w:t>
            </w:r>
          </w:p>
        </w:tc>
      </w:tr>
      <w:tr>
        <w:trPr>
          <w:trHeight w:val="203"/>
        </w:trPr>
        <w:tc>
          <w:tcPr>
            <w:tcW w:w="380" w:type="dxa"/>
            <w:vAlign w:val="bottom"/>
          </w:tcPr>
          <w:p>
            <w:pPr>
              <w:spacing w:after="0"/>
              <w:rPr>
                <w:sz w:val="17"/>
                <w:szCs w:val="17"/>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389</w:t>
            </w: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ind w:left="1420"/>
              <w:spacing w:after="0"/>
              <w:rPr>
                <w:sz w:val="20"/>
                <w:szCs w:val="20"/>
                <w:color w:val="auto"/>
              </w:rPr>
            </w:pPr>
            <w:r>
              <w:rPr>
                <w:rFonts w:ascii="Arial" w:cs="Arial" w:eastAsia="Arial" w:hAnsi="Arial"/>
                <w:sz w:val="16"/>
                <w:szCs w:val="16"/>
                <w:color w:val="auto"/>
              </w:rPr>
              <w:t>—</w:t>
            </w:r>
          </w:p>
        </w:tc>
      </w:tr>
      <w:tr>
        <w:trPr>
          <w:trHeight w:val="203"/>
        </w:trPr>
        <w:tc>
          <w:tcPr>
            <w:tcW w:w="38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b w:val="1"/>
                <w:bCs w:val="1"/>
                <w:color w:val="auto"/>
              </w:rPr>
              <w:t>Derivative assets designated and effective as hedging instruments carried at fair value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Cross-currency swaps</w:t>
            </w: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3,594</w:t>
            </w: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ind w:left="1420"/>
              <w:spacing w:after="0"/>
              <w:rPr>
                <w:sz w:val="20"/>
                <w:szCs w:val="20"/>
                <w:color w:val="auto"/>
              </w:rPr>
            </w:pPr>
            <w:r>
              <w:rPr>
                <w:rFonts w:ascii="Arial" w:cs="Arial" w:eastAsia="Arial" w:hAnsi="Arial"/>
                <w:sz w:val="16"/>
                <w:szCs w:val="16"/>
                <w:color w:val="auto"/>
              </w:rPr>
              <w:t>—</w:t>
            </w:r>
          </w:p>
        </w:tc>
      </w:tr>
      <w:tr>
        <w:trPr>
          <w:trHeight w:val="236"/>
        </w:trPr>
        <w:tc>
          <w:tcPr>
            <w:tcW w:w="380" w:type="dxa"/>
            <w:vAlign w:val="bottom"/>
          </w:tcPr>
          <w:p>
            <w:pPr>
              <w:spacing w:after="0"/>
              <w:rPr>
                <w:sz w:val="20"/>
                <w:szCs w:val="20"/>
                <w:color w:val="auto"/>
              </w:rPr>
            </w:pPr>
          </w:p>
        </w:tc>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4,001</w:t>
            </w:r>
          </w:p>
        </w:tc>
        <w:tc>
          <w:tcPr>
            <w:tcW w:w="280" w:type="dxa"/>
            <w:vAlign w:val="bottom"/>
            <w:tcBorders>
              <w:bottom w:val="single" w:sz="8" w:color="E5FFFF"/>
            </w:tcBorders>
          </w:tcPr>
          <w:p>
            <w:pPr>
              <w:spacing w:after="0"/>
              <w:rPr>
                <w:sz w:val="20"/>
                <w:szCs w:val="20"/>
                <w:color w:val="auto"/>
              </w:rPr>
            </w:pPr>
          </w:p>
        </w:tc>
        <w:tc>
          <w:tcPr>
            <w:tcW w:w="158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E5FFFF"/>
            </w:tcBorders>
          </w:tcPr>
          <w:p>
            <w:pPr>
              <w:spacing w:after="0"/>
              <w:rPr>
                <w:sz w:val="20"/>
                <w:szCs w:val="20"/>
                <w:color w:val="auto"/>
              </w:rPr>
            </w:pPr>
          </w:p>
        </w:tc>
      </w:tr>
      <w:tr>
        <w:trPr>
          <w:trHeight w:val="183"/>
        </w:trPr>
        <w:tc>
          <w:tcPr>
            <w:tcW w:w="380" w:type="dxa"/>
            <w:vAlign w:val="bottom"/>
          </w:tcPr>
          <w:p>
            <w:pPr>
              <w:spacing w:after="0"/>
              <w:rPr>
                <w:sz w:val="15"/>
                <w:szCs w:val="15"/>
                <w:color w:val="auto"/>
              </w:rPr>
            </w:pPr>
          </w:p>
        </w:tc>
        <w:tc>
          <w:tcPr>
            <w:tcW w:w="7240" w:type="dxa"/>
            <w:vAlign w:val="bottom"/>
            <w:shd w:val="clear" w:color="auto" w:fill="E5FFFF"/>
          </w:tcPr>
          <w:p>
            <w:pPr>
              <w:spacing w:after="0" w:line="166" w:lineRule="exact"/>
              <w:rPr>
                <w:sz w:val="20"/>
                <w:szCs w:val="20"/>
                <w:color w:val="auto"/>
              </w:rPr>
            </w:pPr>
            <w:r>
              <w:rPr>
                <w:rFonts w:ascii="Arial" w:cs="Arial" w:eastAsia="Arial" w:hAnsi="Arial"/>
                <w:sz w:val="16"/>
                <w:szCs w:val="16"/>
                <w:color w:val="auto"/>
              </w:rPr>
              <w:t>Derivative financial instruments, current assets</w:t>
            </w: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429</w:t>
            </w:r>
          </w:p>
        </w:tc>
        <w:tc>
          <w:tcPr>
            <w:tcW w:w="280" w:type="dxa"/>
            <w:vAlign w:val="bottom"/>
            <w:shd w:val="clear" w:color="auto" w:fill="E5FFFF"/>
          </w:tcPr>
          <w:p>
            <w:pPr>
              <w:spacing w:after="0"/>
              <w:rPr>
                <w:sz w:val="15"/>
                <w:szCs w:val="15"/>
                <w:color w:val="auto"/>
              </w:rPr>
            </w:pPr>
          </w:p>
        </w:tc>
        <w:tc>
          <w:tcPr>
            <w:tcW w:w="1580" w:type="dxa"/>
            <w:vAlign w:val="bottom"/>
            <w:shd w:val="clear" w:color="auto" w:fill="E5FFFF"/>
          </w:tcPr>
          <w:p>
            <w:pPr>
              <w:ind w:left="14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E5FFFF"/>
          </w:tcPr>
          <w:p>
            <w:pPr>
              <w:spacing w:after="0"/>
              <w:rPr>
                <w:sz w:val="15"/>
                <w:szCs w:val="15"/>
                <w:color w:val="auto"/>
              </w:rPr>
            </w:pPr>
          </w:p>
        </w:tc>
      </w:tr>
      <w:tr>
        <w:trPr>
          <w:trHeight w:val="203"/>
        </w:trPr>
        <w:tc>
          <w:tcPr>
            <w:tcW w:w="38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Derivative financial instruments, non-current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3,572</w:t>
            </w:r>
          </w:p>
        </w:tc>
        <w:tc>
          <w:tcPr>
            <w:tcW w:w="280" w:type="dxa"/>
            <w:vAlign w:val="bottom"/>
          </w:tcPr>
          <w:p>
            <w:pPr>
              <w:spacing w:after="0"/>
              <w:rPr>
                <w:sz w:val="17"/>
                <w:szCs w:val="17"/>
                <w:color w:val="auto"/>
              </w:rPr>
            </w:pPr>
          </w:p>
        </w:tc>
        <w:tc>
          <w:tcPr>
            <w:tcW w:w="1680" w:type="dxa"/>
            <w:vAlign w:val="bottom"/>
            <w:gridSpan w:val="2"/>
          </w:tcPr>
          <w:p>
            <w:pPr>
              <w:ind w:left="1420"/>
              <w:spacing w:after="0"/>
              <w:rPr>
                <w:sz w:val="20"/>
                <w:szCs w:val="20"/>
                <w:color w:val="auto"/>
              </w:rPr>
            </w:pPr>
            <w:r>
              <w:rPr>
                <w:rFonts w:ascii="Arial" w:cs="Arial" w:eastAsia="Arial" w:hAnsi="Arial"/>
                <w:sz w:val="16"/>
                <w:szCs w:val="16"/>
                <w:color w:val="auto"/>
              </w:rPr>
              <w:t>—</w:t>
            </w:r>
          </w:p>
        </w:tc>
      </w:tr>
      <w:tr>
        <w:trPr>
          <w:trHeight w:val="196"/>
        </w:trPr>
        <w:tc>
          <w:tcPr>
            <w:tcW w:w="380" w:type="dxa"/>
            <w:vAlign w:val="bottom"/>
          </w:tcPr>
          <w:p>
            <w:pPr>
              <w:spacing w:after="0"/>
              <w:rPr>
                <w:sz w:val="17"/>
                <w:szCs w:val="17"/>
                <w:color w:val="auto"/>
              </w:rPr>
            </w:pPr>
          </w:p>
        </w:tc>
        <w:tc>
          <w:tcPr>
            <w:tcW w:w="72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4,001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shd w:val="clear" w:color="auto" w:fill="E5FFFF"/>
          </w:tcPr>
          <w:p>
            <w:pPr>
              <w:ind w:left="142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1" w:name="page252"/>
    <w:bookmarkEnd w:id="251"/>
    <w:tbl>
      <w:tblPr>
        <w:tblLayout w:type="fixed"/>
        <w:tblInd w:w="400" w:type="dxa"/>
        <w:tblCellMar>
          <w:top w:w="0" w:type="dxa"/>
          <w:left w:w="0" w:type="dxa"/>
          <w:bottom w:w="0" w:type="dxa"/>
          <w:right w:w="0" w:type="dxa"/>
        </w:tblCellMar>
      </w:tblPr>
      <w:tr>
        <w:trPr>
          <w:trHeight w:val="206"/>
        </w:trPr>
        <w:tc>
          <w:tcPr>
            <w:tcW w:w="7240" w:type="dxa"/>
            <w:vAlign w:val="bottom"/>
          </w:tcPr>
          <w:p>
            <w:pPr>
              <w:spacing w:after="0"/>
              <w:rPr>
                <w:sz w:val="20"/>
                <w:szCs w:val="20"/>
                <w:color w:val="auto"/>
              </w:rPr>
            </w:pPr>
            <w:r>
              <w:rPr>
                <w:rFonts w:ascii="Arial" w:cs="Arial" w:eastAsia="Arial" w:hAnsi="Arial"/>
                <w:sz w:val="16"/>
                <w:szCs w:val="16"/>
                <w:color w:val="auto"/>
              </w:rPr>
              <w:t>The fair value of the derivative liabilities is as follows: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1"/>
        </w:trPr>
        <w:tc>
          <w:tcPr>
            <w:tcW w:w="7240" w:type="dxa"/>
            <w:vAlign w:val="bottom"/>
          </w:tcPr>
          <w:p>
            <w:pPr>
              <w:spacing w:after="0"/>
              <w:rPr>
                <w:sz w:val="24"/>
                <w:szCs w:val="24"/>
                <w:color w:val="auto"/>
              </w:rPr>
            </w:pPr>
          </w:p>
        </w:tc>
        <w:tc>
          <w:tcPr>
            <w:tcW w:w="184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December 31,</w:t>
            </w:r>
          </w:p>
        </w:tc>
        <w:tc>
          <w:tcPr>
            <w:tcW w:w="1700" w:type="dxa"/>
            <w:vAlign w:val="bottom"/>
            <w:gridSpan w:val="2"/>
          </w:tcPr>
          <w:p>
            <w:pPr>
              <w:ind w:left="500"/>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24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E5FFFF"/>
            </w:tcBorders>
          </w:tcPr>
          <w:p>
            <w:pPr>
              <w:spacing w:after="0"/>
              <w:rPr>
                <w:sz w:val="18"/>
                <w:szCs w:val="18"/>
                <w:color w:val="auto"/>
              </w:rPr>
            </w:pPr>
          </w:p>
        </w:tc>
      </w:tr>
      <w:tr>
        <w:trPr>
          <w:trHeight w:val="188"/>
        </w:trPr>
        <w:tc>
          <w:tcPr>
            <w:tcW w:w="72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58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5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Interest rate swaps</w:t>
            </w:r>
          </w:p>
        </w:tc>
        <w:tc>
          <w:tcPr>
            <w:tcW w:w="1580" w:type="dxa"/>
            <w:vAlign w:val="bottom"/>
          </w:tcPr>
          <w:p>
            <w:pPr>
              <w:jc w:val="right"/>
              <w:spacing w:after="0"/>
              <w:rPr>
                <w:sz w:val="20"/>
                <w:szCs w:val="20"/>
                <w:color w:val="auto"/>
              </w:rPr>
            </w:pPr>
            <w:r>
              <w:rPr>
                <w:rFonts w:ascii="Arial" w:cs="Arial" w:eastAsia="Arial" w:hAnsi="Arial"/>
                <w:sz w:val="16"/>
                <w:szCs w:val="16"/>
                <w:color w:val="auto"/>
              </w:rPr>
              <w:t>49,891</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129,700</w:t>
            </w:r>
          </w:p>
        </w:tc>
        <w:tc>
          <w:tcPr>
            <w:tcW w:w="120" w:type="dxa"/>
            <w:vAlign w:val="bottom"/>
          </w:tcPr>
          <w:p>
            <w:pPr>
              <w:spacing w:after="0"/>
              <w:rPr>
                <w:sz w:val="17"/>
                <w:szCs w:val="17"/>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w:t>
            </w:r>
          </w:p>
        </w:tc>
        <w:tc>
          <w:tcPr>
            <w:tcW w:w="260" w:type="dxa"/>
            <w:vAlign w:val="bottom"/>
            <w:shd w:val="clear" w:color="auto" w:fill="E5FFFF"/>
          </w:tcPr>
          <w:p>
            <w:pPr>
              <w:spacing w:after="0"/>
              <w:rPr>
                <w:sz w:val="17"/>
                <w:szCs w:val="17"/>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E5FFFF"/>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Cross currency swaps</w:t>
            </w:r>
          </w:p>
        </w:tc>
        <w:tc>
          <w:tcPr>
            <w:tcW w:w="184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7,515</w:t>
            </w:r>
          </w:p>
        </w:tc>
        <w:tc>
          <w:tcPr>
            <w:tcW w:w="120" w:type="dxa"/>
            <w:vAlign w:val="bottom"/>
            <w:shd w:val="clear" w:color="auto" w:fill="E5FFFF"/>
          </w:tcPr>
          <w:p>
            <w:pPr>
              <w:spacing w:after="0"/>
              <w:rPr>
                <w:sz w:val="17"/>
                <w:szCs w:val="17"/>
                <w:color w:val="auto"/>
              </w:rPr>
            </w:pPr>
          </w:p>
        </w:tc>
      </w:tr>
      <w:tr>
        <w:trPr>
          <w:trHeight w:val="23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49,932</w:t>
            </w:r>
          </w:p>
        </w:tc>
        <w:tc>
          <w:tcPr>
            <w:tcW w:w="260" w:type="dxa"/>
            <w:vAlign w:val="bottom"/>
            <w:tcBorders>
              <w:bottom w:val="single" w:sz="8" w:color="E5FFFF"/>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137,471</w:t>
            </w:r>
          </w:p>
        </w:tc>
        <w:tc>
          <w:tcPr>
            <w:tcW w:w="120" w:type="dxa"/>
            <w:vAlign w:val="bottom"/>
            <w:tcBorders>
              <w:bottom w:val="single" w:sz="8" w:color="E5FFFF"/>
            </w:tcBorders>
          </w:tcPr>
          <w:p>
            <w:pPr>
              <w:spacing w:after="0"/>
              <w:rPr>
                <w:sz w:val="20"/>
                <w:szCs w:val="20"/>
                <w:color w:val="auto"/>
              </w:rPr>
            </w:pPr>
          </w:p>
        </w:tc>
      </w:tr>
      <w:tr>
        <w:trPr>
          <w:trHeight w:val="183"/>
        </w:trPr>
        <w:tc>
          <w:tcPr>
            <w:tcW w:w="7240" w:type="dxa"/>
            <w:vAlign w:val="bottom"/>
            <w:shd w:val="clear" w:color="auto" w:fill="E5FFFF"/>
          </w:tcPr>
          <w:p>
            <w:pPr>
              <w:spacing w:after="0" w:line="166" w:lineRule="exact"/>
              <w:rPr>
                <w:sz w:val="20"/>
                <w:szCs w:val="20"/>
                <w:color w:val="auto"/>
              </w:rPr>
            </w:pPr>
            <w:r>
              <w:rPr>
                <w:rFonts w:ascii="Arial" w:cs="Arial" w:eastAsia="Arial" w:hAnsi="Arial"/>
                <w:sz w:val="16"/>
                <w:szCs w:val="16"/>
                <w:color w:val="auto"/>
              </w:rPr>
              <w:t>Derivative financial instruments, current liability</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8,095</w:t>
            </w:r>
          </w:p>
        </w:tc>
        <w:tc>
          <w:tcPr>
            <w:tcW w:w="260" w:type="dxa"/>
            <w:vAlign w:val="bottom"/>
            <w:shd w:val="clear" w:color="auto" w:fill="E5FFFF"/>
          </w:tcPr>
          <w:p>
            <w:pPr>
              <w:spacing w:after="0"/>
              <w:rPr>
                <w:sz w:val="15"/>
                <w:szCs w:val="15"/>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34,616</w:t>
            </w:r>
          </w:p>
        </w:tc>
        <w:tc>
          <w:tcPr>
            <w:tcW w:w="120" w:type="dxa"/>
            <w:vAlign w:val="bottom"/>
            <w:shd w:val="clear" w:color="auto" w:fill="E5FFFF"/>
          </w:tcPr>
          <w:p>
            <w:pPr>
              <w:spacing w:after="0"/>
              <w:rPr>
                <w:sz w:val="15"/>
                <w:szCs w:val="15"/>
                <w:color w:val="auto"/>
              </w:rPr>
            </w:pPr>
          </w:p>
        </w:tc>
      </w:tr>
      <w:tr>
        <w:trPr>
          <w:trHeight w:val="203"/>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41,837</w:t>
            </w:r>
          </w:p>
        </w:tc>
        <w:tc>
          <w:tcPr>
            <w:tcW w:w="2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102,855</w:t>
            </w:r>
          </w:p>
        </w:tc>
        <w:tc>
          <w:tcPr>
            <w:tcW w:w="120" w:type="dxa"/>
            <w:vAlign w:val="bottom"/>
            <w:tcBorders>
              <w:bottom w:val="single" w:sz="8" w:color="E5FFFF"/>
            </w:tcBorders>
          </w:tcPr>
          <w:p>
            <w:pPr>
              <w:spacing w:after="0"/>
              <w:rPr>
                <w:sz w:val="17"/>
                <w:szCs w:val="17"/>
                <w:color w:val="auto"/>
              </w:rPr>
            </w:pPr>
          </w:p>
        </w:tc>
      </w:tr>
      <w:tr>
        <w:trPr>
          <w:trHeight w:val="196"/>
        </w:trPr>
        <w:tc>
          <w:tcPr>
            <w:tcW w:w="72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49,932</w:t>
            </w:r>
          </w:p>
        </w:tc>
        <w:tc>
          <w:tcPr>
            <w:tcW w:w="260" w:type="dxa"/>
            <w:vAlign w:val="bottom"/>
            <w:tcBorders>
              <w:bottom w:val="single" w:sz="8" w:color="E5FFFF"/>
            </w:tcBorders>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137,471</w:t>
            </w:r>
          </w:p>
        </w:tc>
        <w:tc>
          <w:tcPr>
            <w:tcW w:w="120" w:type="dxa"/>
            <w:vAlign w:val="bottom"/>
            <w:tcBorders>
              <w:bottom w:val="single" w:sz="8" w:color="E5FFFF"/>
            </w:tcBorders>
            <w:shd w:val="clear" w:color="auto" w:fill="E5FFFF"/>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firstLine="356"/>
        <w:spacing w:after="0" w:line="273" w:lineRule="auto"/>
        <w:rPr>
          <w:sz w:val="20"/>
          <w:szCs w:val="20"/>
          <w:color w:val="auto"/>
        </w:rPr>
      </w:pPr>
      <w:r>
        <w:rPr>
          <w:rFonts w:ascii="Arial" w:cs="Arial" w:eastAsia="Arial" w:hAnsi="Arial"/>
          <w:sz w:val="16"/>
          <w:szCs w:val="16"/>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(“USD”) London Interbank Offered Rate (“LIBOR”), and the Group effects quarterly payments to the bank on the notional amounts at the respective fixed rates.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4"/>
          </w:tcPr>
          <w:p>
            <w:pPr>
              <w:ind w:left="70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Trade</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Effective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Termination</w:t>
            </w: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Fixed Interest</w:t>
            </w: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r>
      <w:tr>
        <w:trPr>
          <w:trHeight w:val="213"/>
        </w:trPr>
        <w:tc>
          <w:tcPr>
            <w:tcW w:w="124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240" w:type="dxa"/>
            <w:vAlign w:val="bottom"/>
          </w:tcPr>
          <w:p>
            <w:pPr>
              <w:spacing w:after="0"/>
              <w:rPr>
                <w:sz w:val="18"/>
                <w:szCs w:val="18"/>
                <w:color w:val="auto"/>
              </w:rPr>
            </w:pPr>
          </w:p>
        </w:tc>
        <w:tc>
          <w:tcPr>
            <w:tcW w:w="1920" w:type="dxa"/>
            <w:vAlign w:val="bottom"/>
            <w:gridSpan w:val="2"/>
          </w:tcPr>
          <w:p>
            <w:pPr>
              <w:ind w:left="360"/>
              <w:spacing w:after="0"/>
              <w:rPr>
                <w:sz w:val="20"/>
                <w:szCs w:val="20"/>
                <w:color w:val="auto"/>
              </w:rPr>
            </w:pPr>
            <w:r>
              <w:rPr>
                <w:rFonts w:ascii="Arial" w:cs="Arial" w:eastAsia="Arial" w:hAnsi="Arial"/>
                <w:sz w:val="16"/>
                <w:szCs w:val="16"/>
                <w:b w:val="1"/>
                <w:bCs w:val="1"/>
                <w:color w:val="auto"/>
              </w:rPr>
              <w:t>Counterparty</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Date</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Date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Date</w:t>
            </w: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Rate</w:t>
            </w: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199"/>
        </w:trPr>
        <w:tc>
          <w:tcPr>
            <w:tcW w:w="12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4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2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2016</w:t>
            </w:r>
          </w:p>
        </w:tc>
        <w:tc>
          <w:tcPr>
            <w:tcW w:w="2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2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2020</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Deutsche Bank AG</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July 2016</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2016</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66,667</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Deutsche Bank AG</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0"/>
              </w:rPr>
              <w:t>July 2016</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2016</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66,667</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DNB</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July 2016</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2016</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1.719%</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73,333</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73,333</w:t>
            </w:r>
          </w:p>
        </w:tc>
      </w:tr>
      <w:tr>
        <w:trPr>
          <w:trHeight w:val="19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HSBC Bank plc</w:t>
            </w:r>
          </w:p>
        </w:tc>
        <w:tc>
          <w:tcPr>
            <w:tcW w:w="90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1240" w:type="dxa"/>
            <w:vAlign w:val="bottom"/>
            <w:shd w:val="clear" w:color="auto" w:fill="E5FFFF"/>
          </w:tcPr>
          <w:p>
            <w:pPr>
              <w:spacing w:after="0"/>
              <w:rPr>
                <w:sz w:val="18"/>
                <w:szCs w:val="18"/>
                <w:color w:val="auto"/>
              </w:rPr>
            </w:pP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(“HSBC”)</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0"/>
              </w:rPr>
              <w:t>July 2016</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2016</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1.79%</w:t>
            </w:r>
          </w:p>
        </w:tc>
        <w:tc>
          <w:tcPr>
            <w:tcW w:w="22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2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33,333</w:t>
            </w:r>
          </w:p>
        </w:tc>
      </w:tr>
      <w:tr>
        <w:trPr>
          <w:trHeight w:val="19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Nordea Bank Finland</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1240" w:type="dxa"/>
            <w:vAlign w:val="bottom"/>
          </w:tcPr>
          <w:p>
            <w:pPr>
              <w:spacing w:after="0"/>
              <w:rPr>
                <w:sz w:val="18"/>
                <w:szCs w:val="18"/>
                <w:color w:val="auto"/>
              </w:rPr>
            </w:pP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(“Nordea”)</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July 2016</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2016</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1.815%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66,667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r>
      <w:tr>
        <w:trPr>
          <w:trHeight w:val="196"/>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Skandinavinska Enskilda</w:t>
            </w:r>
          </w:p>
        </w:tc>
        <w:tc>
          <w:tcPr>
            <w:tcW w:w="9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2"/>
        </w:trPr>
        <w:tc>
          <w:tcPr>
            <w:tcW w:w="1240" w:type="dxa"/>
            <w:vAlign w:val="bottom"/>
            <w:shd w:val="clear" w:color="auto" w:fill="E5FFFF"/>
          </w:tcPr>
          <w:p>
            <w:pPr>
              <w:spacing w:after="0"/>
              <w:rPr>
                <w:sz w:val="18"/>
                <w:szCs w:val="18"/>
                <w:color w:val="auto"/>
              </w:rPr>
            </w:pP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Banken AB (“SEB”)</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0"/>
              </w:rPr>
              <w:t>July 2016</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2016</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1.8405%</w:t>
            </w:r>
          </w:p>
        </w:tc>
        <w:tc>
          <w:tcPr>
            <w:tcW w:w="22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50,000</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 xml:space="preserve">GasLog </w:t>
            </w:r>
            <w:r>
              <w:rPr>
                <w:rFonts w:ascii="Arial" w:cs="Arial" w:eastAsia="Arial" w:hAnsi="Arial"/>
                <w:sz w:val="8"/>
                <w:szCs w:val="8"/>
                <w:color w:val="auto"/>
              </w:rPr>
              <w:t>(1)</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HSBC</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Feb 2017</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Feb 2017</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Feb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2.005%/2.170%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100,000</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100,000</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Nordea</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1"/>
              </w:rPr>
              <w:t>Feb 2017</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88"/>
              </w:rPr>
              <w:t>Feb 2017</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1"/>
              </w:rPr>
              <w:t>Mar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2.0145%</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100,000</w:t>
            </w:r>
          </w:p>
        </w:tc>
      </w:tr>
      <w:tr>
        <w:trPr>
          <w:trHeight w:val="19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ABN AMRO Bank NV</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1240" w:type="dxa"/>
            <w:vAlign w:val="bottom"/>
          </w:tcPr>
          <w:p>
            <w:pPr>
              <w:spacing w:after="0"/>
              <w:rPr>
                <w:sz w:val="18"/>
                <w:szCs w:val="18"/>
                <w:color w:val="auto"/>
              </w:rPr>
            </w:pP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(“ABN”)</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Feb 2017</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Feb 2017</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Mar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2.003%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100,000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100,000</w:t>
            </w:r>
          </w:p>
        </w:tc>
      </w:tr>
      <w:tr>
        <w:trPr>
          <w:trHeight w:val="206"/>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Nordea</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2020</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2026</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3.070%</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E5FFFF"/>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Nordea</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May 2018</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2026</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2.562%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66,667</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SEB</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2020</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3.025%</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E5FFFF"/>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SEB</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April 2018</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2.300%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DNB</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2020</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3.056%</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E5FFFF"/>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DNB</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2018</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2.472%</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73,333</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73,333</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HSBC</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9"/>
              </w:rPr>
              <w:t>April 2018</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2.475%</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2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33,333</w:t>
            </w:r>
          </w:p>
        </w:tc>
      </w:tr>
      <w:tr>
        <w:trPr>
          <w:trHeight w:val="202"/>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HSBC</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April 2018</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2.550%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33,333</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33,333</w:t>
            </w:r>
          </w:p>
        </w:tc>
      </w:tr>
      <w:tr>
        <w:trPr>
          <w:trHeight w:val="19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Citibank Europe Plc.</w:t>
            </w:r>
          </w:p>
        </w:tc>
        <w:tc>
          <w:tcPr>
            <w:tcW w:w="90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1240" w:type="dxa"/>
            <w:vAlign w:val="bottom"/>
            <w:shd w:val="clear" w:color="auto" w:fill="E5FFFF"/>
          </w:tcPr>
          <w:p>
            <w:pPr>
              <w:spacing w:after="0"/>
              <w:rPr>
                <w:sz w:val="18"/>
                <w:szCs w:val="18"/>
                <w:color w:val="auto"/>
              </w:rPr>
            </w:pP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(“CITI”)</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2020</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3.082%</w:t>
            </w:r>
          </w:p>
        </w:tc>
        <w:tc>
          <w:tcPr>
            <w:tcW w:w="22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E5FFFF"/>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CITI</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May 2018</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2021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3.095%</w:t>
            </w:r>
          </w:p>
        </w:tc>
        <w:tc>
          <w:tcPr>
            <w:tcW w:w="220" w:type="dxa"/>
            <w:vAlign w:val="bottom"/>
          </w:tcPr>
          <w:p>
            <w:pPr>
              <w:spacing w:after="0"/>
              <w:rPr>
                <w:sz w:val="17"/>
                <w:szCs w:val="17"/>
                <w:color w:val="auto"/>
              </w:rPr>
            </w:pPr>
          </w:p>
        </w:tc>
        <w:tc>
          <w:tcPr>
            <w:tcW w:w="1500" w:type="dxa"/>
            <w:vAlign w:val="bottom"/>
            <w:gridSpan w:val="2"/>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SEB</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0"/>
              </w:rPr>
              <w:t>Dec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2"/>
              </w:rPr>
              <w:t>Oct 2018</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2026</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2.745%</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50,000</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Nordea</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Dec 2018</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Oct 2018</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2028</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2.793%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66,667</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DNB</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0"/>
              </w:rPr>
              <w:t>Dec 2018</w:t>
            </w:r>
          </w:p>
        </w:tc>
        <w:tc>
          <w:tcPr>
            <w:tcW w:w="112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88"/>
              </w:rPr>
              <w:t>Jan 2019</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0"/>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2.685%</w:t>
            </w:r>
          </w:p>
        </w:tc>
        <w:tc>
          <w:tcPr>
            <w:tcW w:w="22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73,333</w:t>
            </w:r>
          </w:p>
        </w:tc>
      </w:tr>
      <w:tr>
        <w:trPr>
          <w:trHeight w:val="202"/>
        </w:trPr>
        <w:tc>
          <w:tcPr>
            <w:tcW w:w="1240" w:type="dxa"/>
            <w:vAlign w:val="bottom"/>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SEB</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Dec 2018</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2020</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2024</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2.958%</w:t>
            </w:r>
          </w:p>
        </w:tc>
        <w:tc>
          <w:tcPr>
            <w:tcW w:w="220" w:type="dxa"/>
            <w:vAlign w:val="bottom"/>
          </w:tcPr>
          <w:p>
            <w:pPr>
              <w:spacing w:after="0"/>
              <w:rPr>
                <w:sz w:val="17"/>
                <w:szCs w:val="17"/>
                <w:color w:val="auto"/>
              </w:rPr>
            </w:pPr>
          </w:p>
        </w:tc>
        <w:tc>
          <w:tcPr>
            <w:tcW w:w="1500" w:type="dxa"/>
            <w:vAlign w:val="bottom"/>
            <w:gridSpan w:val="2"/>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(2)</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Nordea</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0"/>
              </w:rPr>
              <w:t>Dec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July 2020</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May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2.937%</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E5FFFF"/>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tcPr>
          <w:p>
            <w:pPr>
              <w:spacing w:after="0"/>
              <w:rPr>
                <w:sz w:val="20"/>
                <w:szCs w:val="20"/>
                <w:color w:val="auto"/>
              </w:rPr>
            </w:pPr>
            <w:r>
              <w:rPr>
                <w:rFonts w:ascii="Arial" w:cs="Arial" w:eastAsia="Arial" w:hAnsi="Arial"/>
                <w:sz w:val="16"/>
                <w:szCs w:val="16"/>
                <w:color w:val="auto"/>
              </w:rPr>
              <w:t>GasLog</w:t>
            </w:r>
            <w:r>
              <w:rPr>
                <w:rFonts w:ascii="Arial" w:cs="Arial" w:eastAsia="Arial" w:hAnsi="Arial"/>
                <w:sz w:val="8"/>
                <w:szCs w:val="8"/>
                <w:color w:val="auto"/>
              </w:rPr>
              <w:t>(2)</w:t>
            </w:r>
          </w:p>
        </w:tc>
        <w:tc>
          <w:tcPr>
            <w:tcW w:w="2160" w:type="dxa"/>
            <w:vAlign w:val="bottom"/>
            <w:gridSpan w:val="3"/>
          </w:tcPr>
          <w:p>
            <w:pPr>
              <w:ind w:left="240"/>
              <w:spacing w:after="0"/>
              <w:rPr>
                <w:sz w:val="20"/>
                <w:szCs w:val="20"/>
                <w:color w:val="auto"/>
              </w:rPr>
            </w:pPr>
            <w:r>
              <w:rPr>
                <w:rFonts w:ascii="Arial" w:cs="Arial" w:eastAsia="Arial" w:hAnsi="Arial"/>
                <w:sz w:val="16"/>
                <w:szCs w:val="16"/>
                <w:color w:val="auto"/>
              </w:rPr>
              <w:t>ING Bank N.V.</w:t>
            </w: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May 2020</w:t>
            </w: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July 2020</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July 2024</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3.127%</w:t>
            </w:r>
          </w:p>
        </w:tc>
        <w:tc>
          <w:tcPr>
            <w:tcW w:w="220" w:type="dxa"/>
            <w:vAlign w:val="bottom"/>
          </w:tcPr>
          <w:p>
            <w:pPr>
              <w:spacing w:after="0"/>
              <w:rPr>
                <w:sz w:val="17"/>
                <w:szCs w:val="17"/>
                <w:color w:val="auto"/>
              </w:rPr>
            </w:pPr>
          </w:p>
        </w:tc>
        <w:tc>
          <w:tcPr>
            <w:tcW w:w="1500" w:type="dxa"/>
            <w:vAlign w:val="bottom"/>
            <w:gridSpan w:val="2"/>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N/A</w:t>
            </w:r>
          </w:p>
        </w:tc>
      </w:tr>
      <w:tr>
        <w:trPr>
          <w:trHeight w:val="203"/>
        </w:trPr>
        <w:tc>
          <w:tcPr>
            <w:tcW w:w="124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60" w:type="dxa"/>
            <w:vAlign w:val="bottom"/>
            <w:gridSpan w:val="3"/>
            <w:shd w:val="clear" w:color="auto" w:fill="E5FFFF"/>
          </w:tcPr>
          <w:p>
            <w:pPr>
              <w:ind w:left="240"/>
              <w:spacing w:after="0"/>
              <w:rPr>
                <w:sz w:val="20"/>
                <w:szCs w:val="20"/>
                <w:color w:val="auto"/>
              </w:rPr>
            </w:pPr>
            <w:r>
              <w:rPr>
                <w:rFonts w:ascii="Arial" w:cs="Arial" w:eastAsia="Arial" w:hAnsi="Arial"/>
                <w:sz w:val="16"/>
                <w:szCs w:val="16"/>
                <w:color w:val="auto"/>
              </w:rPr>
              <w:t>DNB</w:t>
            </w:r>
          </w:p>
        </w:tc>
        <w:tc>
          <w:tcPr>
            <w:tcW w:w="11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0"/>
              </w:rPr>
              <w:t>Dec 2018</w:t>
            </w:r>
          </w:p>
        </w:tc>
        <w:tc>
          <w:tcPr>
            <w:tcW w:w="112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9"/>
              </w:rPr>
              <w:t>April 2020</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7"/>
              </w:rPr>
              <w:t>April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2.979%</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N/A</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60,000</w:t>
            </w:r>
          </w:p>
        </w:tc>
      </w:tr>
      <w:tr>
        <w:trPr>
          <w:trHeight w:val="204"/>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1,170,000</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1,230,000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-4445</wp:posOffset>
            </wp:positionV>
            <wp:extent cx="261429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2614295" cy="25400"/>
                    </a:xfrm>
                    <a:prstGeom prst="rect">
                      <a:avLst/>
                    </a:prstGeom>
                    <a:noFill/>
                  </pic:spPr>
                </pic:pic>
              </a:graphicData>
            </a:graphic>
          </wp:anchor>
        </w:drawing>
      </w:r>
    </w:p>
    <w:p>
      <w:pPr>
        <w:ind w:left="140" w:hanging="132"/>
        <w:spacing w:after="0"/>
        <w:tabs>
          <w:tab w:leader="none" w:pos="140" w:val="left"/>
        </w:tabs>
        <w:numPr>
          <w:ilvl w:val="0"/>
          <w:numId w:val="502"/>
        </w:numPr>
        <w:rPr>
          <w:rFonts w:ascii="Arial" w:cs="Arial" w:eastAsia="Arial" w:hAnsi="Arial"/>
          <w:sz w:val="16"/>
          <w:szCs w:val="16"/>
          <w:color w:val="auto"/>
          <w:vertAlign w:val="superscript"/>
        </w:rPr>
      </w:pPr>
      <w:r>
        <w:rPr>
          <w:rFonts w:ascii="Arial" w:cs="Arial" w:eastAsia="Arial" w:hAnsi="Arial"/>
          <w:sz w:val="13"/>
          <w:szCs w:val="13"/>
          <w:color w:val="auto"/>
        </w:rPr>
        <w:t>The fixed interest rate was agreed at 2.005% until May 2020 and was increased at 2.17% from May 2020 to February 2022.</w:t>
      </w:r>
    </w:p>
    <w:p>
      <w:pPr>
        <w:ind w:right="220" w:firstLine="8"/>
        <w:spacing w:after="0" w:line="207" w:lineRule="auto"/>
        <w:tabs>
          <w:tab w:leader="none" w:pos="163" w:val="left"/>
        </w:tabs>
        <w:numPr>
          <w:ilvl w:val="0"/>
          <w:numId w:val="502"/>
        </w:numPr>
        <w:rPr>
          <w:rFonts w:ascii="Arial" w:cs="Arial" w:eastAsia="Arial" w:hAnsi="Arial"/>
          <w:sz w:val="18"/>
          <w:szCs w:val="18"/>
          <w:color w:val="auto"/>
          <w:vertAlign w:val="superscript"/>
        </w:rPr>
      </w:pPr>
      <w:r>
        <w:rPr>
          <w:rFonts w:ascii="Arial" w:cs="Arial" w:eastAsia="Arial" w:hAnsi="Arial"/>
          <w:sz w:val="14"/>
          <w:szCs w:val="14"/>
          <w:color w:val="auto"/>
        </w:rPr>
        <w:t>In May 2020, the Group terminated an interest rate swap with Nordea originally maturing in July 2024 and replaced it with a new swap with ING Bank N.V. of the same notional amount of $100,000 and the same maturity date of July 2024 with an effective date of July 2020. The impact of these parallel transactions for the Group was a loss of $41.</w:t>
      </w:r>
    </w:p>
    <w:p>
      <w:pPr>
        <w:spacing w:after="0" w:line="193" w:lineRule="exact"/>
        <w:rPr>
          <w:sz w:val="20"/>
          <w:szCs w:val="20"/>
          <w:color w:val="auto"/>
        </w:rPr>
      </w:pPr>
    </w:p>
    <w:p>
      <w:pPr>
        <w:ind w:right="360" w:firstLine="383"/>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The change in the fair value of these contracts for the three and six months ended June 30, 2020 amounted to a net loss of $9,847 and a net loss of $79,827, respectively (for the three and six months ended June 30, 2019: a net loss of $31,951 and a net loss of $52,705, respectively), which was recognized against profit or loss in the period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2" w:name="page253"/>
    <w:bookmarkEnd w:id="252"/>
    <w:p>
      <w:pPr>
        <w:ind w:right="240"/>
        <w:spacing w:after="0" w:line="369" w:lineRule="auto"/>
        <w:rPr>
          <w:sz w:val="20"/>
          <w:szCs w:val="20"/>
          <w:color w:val="auto"/>
        </w:rPr>
      </w:pPr>
      <w:r>
        <w:rPr>
          <w:rFonts w:ascii="Arial" w:cs="Arial" w:eastAsia="Arial" w:hAnsi="Arial"/>
          <w:sz w:val="14"/>
          <w:szCs w:val="14"/>
          <w:color w:val="auto"/>
        </w:rPr>
        <w:t>incurred and is included in Gain/(loss) on derivatives. During the three and six months ended June 30, 2020, the net loss of $9,847 and $79,827, respectively derived from changes in the LIBOR curve as well as modifications of the Group’s interest swap portfolio that includes interest rate swap agreements with maturities out to 2028.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w:t>
      </w:r>
    </w:p>
    <w:p>
      <w:pPr>
        <w:spacing w:after="0" w:line="23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6"/>
          <w:szCs w:val="16"/>
          <w:color w:val="auto"/>
        </w:rPr>
        <w:t>The Group entered into CCSs which converted the floating interest rate exposure and the variability of the USD functional currency equivalent cash flows into a fixed interest rate and principal on maturity with respect to the NOK 2021 Bonds and maintains CCSs which convert the floating interest rate exposure and the variability of the USD functional currency equivalent cash flows into a floating interest rate and principal on maturity with respect to NOK 2024 Bonds, in order to hedge the Group’s exposure to fluctuations deriving from Norwegian Krone (“NOK”).</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CCSs qualified as cash flow hedging instruments for accounting purposes.</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principal terms of the CCSs designated as cash flow hedging instruments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ind w:left="74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Effective</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Termination</w:t>
            </w: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Fixed Interest</w:t>
            </w:r>
          </w:p>
        </w:tc>
        <w:tc>
          <w:tcPr>
            <w:tcW w:w="156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r>
      <w:tr>
        <w:trPr>
          <w:trHeight w:val="213"/>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2040" w:type="dxa"/>
            <w:vAlign w:val="bottom"/>
            <w:gridSpan w:val="2"/>
          </w:tcPr>
          <w:p>
            <w:pPr>
              <w:ind w:left="420"/>
              <w:spacing w:after="0"/>
              <w:rPr>
                <w:sz w:val="20"/>
                <w:szCs w:val="20"/>
                <w:color w:val="auto"/>
              </w:rPr>
            </w:pPr>
            <w:r>
              <w:rPr>
                <w:rFonts w:ascii="Arial" w:cs="Arial" w:eastAsia="Arial" w:hAnsi="Arial"/>
                <w:sz w:val="16"/>
                <w:szCs w:val="16"/>
                <w:b w:val="1"/>
                <w:bCs w:val="1"/>
                <w:color w:val="auto"/>
              </w:rPr>
              <w:t>Counterparty</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Trade Date</w:t>
            </w: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Rate</w:t>
            </w: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199"/>
        </w:trPr>
        <w:tc>
          <w:tcPr>
            <w:tcW w:w="920" w:type="dxa"/>
            <w:vAlign w:val="bottom"/>
            <w:tcBorders>
              <w:top w:val="single" w:sz="8" w:color="auto"/>
            </w:tcBorders>
            <w:shd w:val="clear" w:color="auto" w:fill="E5FFFF"/>
          </w:tcPr>
          <w:p>
            <w:pPr>
              <w:spacing w:after="0" w:line="199"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22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DNB</w:t>
            </w:r>
          </w:p>
        </w:tc>
        <w:tc>
          <w:tcPr>
            <w:tcW w:w="2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2019</w:t>
            </w:r>
          </w:p>
        </w:tc>
        <w:tc>
          <w:tcPr>
            <w:tcW w:w="2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2019</w:t>
            </w:r>
          </w:p>
        </w:tc>
        <w:tc>
          <w:tcPr>
            <w:tcW w:w="2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2024</w:t>
            </w:r>
          </w:p>
        </w:tc>
        <w:tc>
          <w:tcPr>
            <w:tcW w:w="2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6"/>
              </w:rPr>
              <w:t>floating</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32,850</w:t>
            </w:r>
          </w:p>
        </w:tc>
        <w:tc>
          <w:tcPr>
            <w:tcW w:w="2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32,850</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1140" w:type="dxa"/>
            <w:vAlign w:val="bottom"/>
            <w:gridSpan w:val="2"/>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2040" w:type="dxa"/>
            <w:vAlign w:val="bottom"/>
            <w:gridSpan w:val="2"/>
          </w:tcPr>
          <w:p>
            <w:pPr>
              <w:spacing w:after="0"/>
              <w:rPr>
                <w:sz w:val="20"/>
                <w:szCs w:val="20"/>
                <w:color w:val="auto"/>
              </w:rPr>
            </w:pPr>
            <w:r>
              <w:rPr>
                <w:rFonts w:ascii="Arial" w:cs="Arial" w:eastAsia="Arial" w:hAnsi="Arial"/>
                <w:sz w:val="16"/>
                <w:szCs w:val="16"/>
                <w:color w:val="auto"/>
              </w:rPr>
              <w:t>SEB</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Nov 2019</w:t>
            </w: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Nov 2019</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Nov 2024</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floating</w:t>
            </w:r>
          </w:p>
        </w:tc>
        <w:tc>
          <w:tcPr>
            <w:tcW w:w="1340" w:type="dxa"/>
            <w:vAlign w:val="bottom"/>
          </w:tcPr>
          <w:p>
            <w:pPr>
              <w:jc w:val="right"/>
              <w:spacing w:after="0"/>
              <w:rPr>
                <w:sz w:val="20"/>
                <w:szCs w:val="20"/>
                <w:color w:val="auto"/>
              </w:rPr>
            </w:pPr>
            <w:r>
              <w:rPr>
                <w:rFonts w:ascii="Arial" w:cs="Arial" w:eastAsia="Arial" w:hAnsi="Arial"/>
                <w:sz w:val="16"/>
                <w:szCs w:val="16"/>
                <w:color w:val="auto"/>
              </w:rPr>
              <w:t>32,850</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32,850</w:t>
            </w:r>
          </w:p>
        </w:tc>
      </w:tr>
      <w:tr>
        <w:trPr>
          <w:trHeight w:val="203"/>
        </w:trPr>
        <w:tc>
          <w:tcPr>
            <w:tcW w:w="114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GasLog</w:t>
            </w:r>
            <w:r>
              <w:rPr>
                <w:rFonts w:ascii="Arial" w:cs="Arial" w:eastAsia="Arial" w:hAnsi="Arial"/>
                <w:sz w:val="21"/>
                <w:szCs w:val="21"/>
                <w:color w:val="auto"/>
                <w:vertAlign w:val="superscript"/>
              </w:rPr>
              <w:t>(1)</w:t>
            </w:r>
          </w:p>
        </w:tc>
        <w:tc>
          <w:tcPr>
            <w:tcW w:w="2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124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Nov 2019</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Nov 2019</w:t>
            </w:r>
          </w:p>
        </w:tc>
        <w:tc>
          <w:tcPr>
            <w:tcW w:w="134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Nov 2024</w:t>
            </w:r>
          </w:p>
        </w:tc>
        <w:tc>
          <w:tcPr>
            <w:tcW w:w="15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6"/>
              </w:rPr>
              <w:t>floating</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32,850</w:t>
            </w:r>
          </w:p>
        </w:tc>
        <w:tc>
          <w:tcPr>
            <w:tcW w:w="22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32,850</w:t>
            </w:r>
          </w:p>
        </w:tc>
      </w:tr>
      <w:tr>
        <w:trPr>
          <w:trHeight w:val="204"/>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98,550</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98,550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-4445</wp:posOffset>
            </wp:positionV>
            <wp:extent cx="268287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2682875" cy="25400"/>
                    </a:xfrm>
                    <a:prstGeom prst="rect">
                      <a:avLst/>
                    </a:prstGeom>
                    <a:noFill/>
                  </pic:spPr>
                </pic:pic>
              </a:graphicData>
            </a:graphic>
          </wp:anchor>
        </w:drawing>
      </w:r>
    </w:p>
    <w:p>
      <w:pPr>
        <w:spacing w:after="0" w:line="7" w:lineRule="exact"/>
        <w:rPr>
          <w:sz w:val="20"/>
          <w:szCs w:val="20"/>
          <w:color w:val="auto"/>
        </w:rPr>
      </w:pPr>
    </w:p>
    <w:p>
      <w:pPr>
        <w:ind w:left="260" w:right="240" w:hanging="124"/>
        <w:spacing w:after="0" w:line="275" w:lineRule="auto"/>
        <w:tabs>
          <w:tab w:leader="none" w:pos="260" w:val="left"/>
        </w:tabs>
        <w:numPr>
          <w:ilvl w:val="0"/>
          <w:numId w:val="503"/>
        </w:numPr>
        <w:rPr>
          <w:rFonts w:ascii="Arial" w:cs="Arial" w:eastAsia="Arial" w:hAnsi="Arial"/>
          <w:sz w:val="15"/>
          <w:szCs w:val="15"/>
          <w:color w:val="auto"/>
          <w:vertAlign w:val="superscript"/>
        </w:rPr>
      </w:pPr>
      <w:r>
        <w:rPr>
          <w:rFonts w:ascii="Arial" w:cs="Arial" w:eastAsia="Arial" w:hAnsi="Arial"/>
          <w:sz w:val="12"/>
          <w:szCs w:val="12"/>
          <w:color w:val="auto"/>
        </w:rPr>
        <w:t>On November 27, 2019, in conjunction with the issuance of the NOK 2024 Bonds, the Group entered into these CCSs to exchange interest payments and principal on maturity on the same terms as the NOK 2024 Bonds.</w:t>
      </w:r>
    </w:p>
    <w:p>
      <w:pPr>
        <w:spacing w:after="0" w:line="166" w:lineRule="exact"/>
        <w:rPr>
          <w:sz w:val="20"/>
          <w:szCs w:val="20"/>
          <w:color w:val="auto"/>
        </w:rPr>
      </w:pPr>
    </w:p>
    <w:p>
      <w:pPr>
        <w:ind w:right="40" w:firstLine="356"/>
        <w:spacing w:after="0" w:line="291" w:lineRule="auto"/>
        <w:rPr>
          <w:sz w:val="20"/>
          <w:szCs w:val="20"/>
          <w:color w:val="auto"/>
        </w:rPr>
      </w:pPr>
      <w:r>
        <w:rPr>
          <w:rFonts w:ascii="Arial" w:cs="Arial" w:eastAsia="Arial" w:hAnsi="Arial"/>
          <w:sz w:val="15"/>
          <w:szCs w:val="15"/>
          <w:color w:val="auto"/>
        </w:rPr>
        <w:t>For the three and six months ended June 30, 2020, the effective portion of changes in the fair value of CCSs amounting to a gain of $8,985 and a loss of $11,782, respectively, has been recognized in Other comprehensive income (for the three and six months ended June 30, 2019: a loss of $219 and a loss of $916, respectively). For the three and six months ended June 30, 2020, a loss of $240 and $455, respectively, was recycled to profit or loss representing the realized loss on CCSs in relation to the interest expenses component of the hedge (for the three and six months ended June 30, 2019: a loss of $147 and $309, respectively). Additionally, for the three and six months ended June 30, 2020, a loss of $7,344 and a gain of $9,098, respectively, was recognized in Other comprehensive income in relation to the retranslation of the NOK Bonds in U.S. dollars as of June 30, 2020 (for the three and six months ended June 30, 2019: a loss of $1,153 and a loss of $1,857,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40" w:firstLine="383"/>
        <w:spacing w:after="0" w:line="297" w:lineRule="auto"/>
        <w:rPr>
          <w:sz w:val="20"/>
          <w:szCs w:val="20"/>
          <w:color w:val="auto"/>
        </w:rPr>
      </w:pPr>
      <w:r>
        <w:rPr>
          <w:rFonts w:ascii="Arial" w:cs="Arial" w:eastAsia="Arial" w:hAnsi="Arial"/>
          <w:sz w:val="15"/>
          <w:szCs w:val="15"/>
          <w:color w:val="auto"/>
        </w:rPr>
        <w:t>The Group uses forward foreign exchange contracts to mitigate foreign exchange transaction exposures in British Pounds Sterling (“GBP”), Euros (“EUR”), Singapore dollars (“SGD”) and Japanese Yen (“JPY”). Under these forward foreign exchange contracts, the bank counterparty will effect fixed payments in GBP or EUR or SGD or JPY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Fixed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Exchange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Counterparty</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Trade Date</w:t>
            </w:r>
          </w:p>
        </w:tc>
        <w:tc>
          <w:tcPr>
            <w:tcW w:w="13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Settlement Dates</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900" w:type="dxa"/>
            <w:vAlign w:val="bottom"/>
            <w:gridSpan w:val="2"/>
            <w:vMerge w:val="continue"/>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(USD/EUR)</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ABN</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November 2019</w:t>
            </w:r>
          </w:p>
        </w:tc>
        <w:tc>
          <w:tcPr>
            <w:tcW w:w="2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July-December 2020</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1.1347-1.1452</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Citibank</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November 2019</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20" w:type="dxa"/>
            <w:vAlign w:val="bottom"/>
          </w:tcPr>
          <w:p>
            <w:pPr>
              <w:spacing w:after="0"/>
              <w:rPr>
                <w:sz w:val="17"/>
                <w:szCs w:val="17"/>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July-December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1.1341-1.1444</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€6,000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36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4"/>
              </w:rPr>
              <w:t>HSBC</w:t>
            </w:r>
          </w:p>
        </w:tc>
        <w:tc>
          <w:tcPr>
            <w:tcW w:w="170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1"/>
              </w:rPr>
              <w:t>November 2019</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0"/>
              </w:rPr>
              <w:t>Sept-December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1.1348-1.1410</w:t>
            </w:r>
          </w:p>
        </w:tc>
        <w:tc>
          <w:tcPr>
            <w:tcW w:w="2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SEB</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November 2019</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20" w:type="dxa"/>
            <w:vAlign w:val="bottom"/>
          </w:tcPr>
          <w:p>
            <w:pPr>
              <w:spacing w:after="0"/>
              <w:rPr>
                <w:sz w:val="17"/>
                <w:szCs w:val="17"/>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Sept-December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1.1357-1.1419</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36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5"/>
              </w:rPr>
              <w:t>OCBC</w:t>
            </w:r>
          </w:p>
        </w:tc>
        <w:tc>
          <w:tcPr>
            <w:tcW w:w="170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1"/>
              </w:rPr>
              <w:t>November 2019</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w:t>
            </w:r>
          </w:p>
        </w:tc>
        <w:tc>
          <w:tcPr>
            <w:tcW w:w="220" w:type="dxa"/>
            <w:vAlign w:val="bottom"/>
            <w:shd w:val="clear" w:color="auto" w:fill="E5FFFF"/>
          </w:tcPr>
          <w:p>
            <w:pPr>
              <w:spacing w:after="0"/>
              <w:rPr>
                <w:sz w:val="17"/>
                <w:szCs w:val="17"/>
                <w:color w:val="auto"/>
              </w:rPr>
            </w:pPr>
          </w:p>
        </w:tc>
        <w:tc>
          <w:tcPr>
            <w:tcW w:w="190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93"/>
              </w:rPr>
              <w:t>July-August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1.1305</w:t>
            </w:r>
          </w:p>
        </w:tc>
        <w:tc>
          <w:tcPr>
            <w:tcW w:w="2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Fixed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Exchange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Counterparty</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Trade Date</w:t>
            </w:r>
          </w:p>
        </w:tc>
        <w:tc>
          <w:tcPr>
            <w:tcW w:w="13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Settlement Dates</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900" w:type="dxa"/>
            <w:vAlign w:val="bottom"/>
            <w:gridSpan w:val="2"/>
            <w:vMerge w:val="continue"/>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(USD/SGD)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OCBC</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November 2019</w:t>
            </w:r>
          </w:p>
        </w:tc>
        <w:tc>
          <w:tcPr>
            <w:tcW w:w="2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July-September 2020</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1.3524</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S$1,500</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Citibank</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February 2020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20" w:type="dxa"/>
            <w:vAlign w:val="bottom"/>
          </w:tcPr>
          <w:p>
            <w:pPr>
              <w:spacing w:after="0"/>
              <w:rPr>
                <w:sz w:val="17"/>
                <w:szCs w:val="17"/>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July-September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1.3861-1.3867</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S$3,000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48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68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S$4,500</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F-17</w:t>
            </w: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Fixed</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Total Exchange</w:t>
            </w:r>
          </w:p>
        </w:tc>
        <w:tc>
          <w:tcPr>
            <w:tcW w:w="0" w:type="dxa"/>
            <w:vAlign w:val="bottom"/>
          </w:tcPr>
          <w:p>
            <w:pPr>
              <w:spacing w:after="0"/>
              <w:rPr>
                <w:sz w:val="1"/>
                <w:szCs w:val="1"/>
                <w:color w:val="auto"/>
              </w:rPr>
            </w:pPr>
          </w:p>
        </w:tc>
      </w:tr>
      <w:tr>
        <w:trPr>
          <w:trHeight w:val="148"/>
        </w:trPr>
        <w:tc>
          <w:tcPr>
            <w:tcW w:w="19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Counterparty</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Trade Date</w:t>
            </w:r>
          </w:p>
        </w:tc>
        <w:tc>
          <w:tcPr>
            <w:tcW w:w="1360" w:type="dxa"/>
            <w:vAlign w:val="bottom"/>
            <w:gridSpan w:val="2"/>
            <w:vMerge w:val="continue"/>
          </w:tcPr>
          <w:p>
            <w:pPr>
              <w:spacing w:after="0"/>
              <w:rPr>
                <w:sz w:val="12"/>
                <w:szCs w:val="12"/>
                <w:color w:val="auto"/>
              </w:rPr>
            </w:pPr>
          </w:p>
        </w:tc>
        <w:tc>
          <w:tcPr>
            <w:tcW w:w="1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Settlement Dates</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1900" w:type="dxa"/>
            <w:vAlign w:val="bottom"/>
            <w:gridSpan w:val="2"/>
            <w:vMerge w:val="continue"/>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(USD/JPY)</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17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4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6"/>
              </w:rPr>
              <w:t>Citibank</w:t>
            </w:r>
          </w:p>
        </w:tc>
        <w:tc>
          <w:tcPr>
            <w:tcW w:w="2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December 2019</w:t>
            </w:r>
          </w:p>
        </w:tc>
        <w:tc>
          <w:tcPr>
            <w:tcW w:w="2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right"/>
              <w:ind w:right="244"/>
              <w:spacing w:after="0"/>
              <w:rPr>
                <w:sz w:val="20"/>
                <w:szCs w:val="20"/>
                <w:color w:val="auto"/>
              </w:rPr>
            </w:pPr>
            <w:r>
              <w:rPr>
                <w:rFonts w:ascii="Arial" w:cs="Arial" w:eastAsia="Arial" w:hAnsi="Arial"/>
                <w:sz w:val="16"/>
                <w:szCs w:val="16"/>
                <w:color w:val="auto"/>
              </w:rPr>
              <w:t>November 2020</w:t>
            </w:r>
          </w:p>
        </w:tc>
        <w:tc>
          <w:tcPr>
            <w:tcW w:w="22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107.3409</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JP¥29,397</w:t>
            </w:r>
          </w:p>
        </w:tc>
        <w:tc>
          <w:tcPr>
            <w:tcW w:w="100" w:type="dxa"/>
            <w:vAlign w:val="bottom"/>
            <w:tcBorders>
              <w:top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JP¥29,397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40" w:firstLine="356"/>
        <w:spacing w:after="0" w:line="305" w:lineRule="auto"/>
        <w:rPr>
          <w:sz w:val="20"/>
          <w:szCs w:val="20"/>
          <w:color w:val="auto"/>
        </w:rPr>
      </w:pPr>
      <w:r>
        <w:rPr>
          <w:rFonts w:ascii="Arial" w:cs="Arial" w:eastAsia="Arial" w:hAnsi="Arial"/>
          <w:sz w:val="15"/>
          <w:szCs w:val="15"/>
          <w:color w:val="auto"/>
        </w:rPr>
        <w:t>The derivative instruments listed above were not designated as cash flow hedging instruments as of June 30, 2020. The change in the fair value of these contracts for the three and six months ended June 30, 2020 amounted to a net gain of $748 and a net loss of $604, respectively (for the three and six months ended June 30, 2019: a net gain of $1,170 and $774, respectively), which was recognized against profit or loss in the period incurred and is included in Loss on derivatives.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20"/>
                <w:szCs w:val="20"/>
                <w:color w:val="auto"/>
              </w:rPr>
            </w:pPr>
            <w:r>
              <w:rPr>
                <w:rFonts w:ascii="Arial" w:cs="Arial" w:eastAsia="Arial" w:hAnsi="Arial"/>
                <w:sz w:val="16"/>
                <w:szCs w:val="16"/>
                <w:b w:val="1"/>
                <w:bCs w:val="1"/>
                <w:color w:val="auto"/>
              </w:rPr>
              <w:t>18. Financial Costs and Loss on Derivatives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4900" w:type="dxa"/>
            <w:vAlign w:val="bottom"/>
          </w:tcPr>
          <w:p>
            <w:pPr>
              <w:ind w:left="420"/>
              <w:spacing w:after="0"/>
              <w:rPr>
                <w:sz w:val="20"/>
                <w:szCs w:val="20"/>
                <w:color w:val="auto"/>
              </w:rPr>
            </w:pPr>
            <w:r>
              <w:rPr>
                <w:rFonts w:ascii="Arial" w:cs="Arial" w:eastAsia="Arial" w:hAnsi="Arial"/>
                <w:sz w:val="16"/>
                <w:szCs w:val="16"/>
                <w:color w:val="auto"/>
                <w:w w:val="95"/>
              </w:rPr>
              <w:t>An analysis of financial costs and loss on derivatives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4900" w:type="dxa"/>
            <w:vAlign w:val="bottom"/>
          </w:tcPr>
          <w:p>
            <w:pPr>
              <w:spacing w:after="0"/>
              <w:rPr>
                <w:sz w:val="24"/>
                <w:szCs w:val="24"/>
                <w:color w:val="auto"/>
              </w:rPr>
            </w:pPr>
          </w:p>
        </w:tc>
        <w:tc>
          <w:tcPr>
            <w:tcW w:w="328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three months ended</w:t>
            </w:r>
          </w:p>
        </w:tc>
        <w:tc>
          <w:tcPr>
            <w:tcW w:w="3060" w:type="dxa"/>
            <w:vAlign w:val="bottom"/>
            <w:gridSpan w:val="4"/>
          </w:tcPr>
          <w:p>
            <w:pPr>
              <w:jc w:val="right"/>
              <w:ind w:right="720"/>
              <w:spacing w:after="0"/>
              <w:rPr>
                <w:sz w:val="20"/>
                <w:szCs w:val="20"/>
                <w:color w:val="auto"/>
              </w:rPr>
            </w:pPr>
            <w:r>
              <w:rPr>
                <w:rFonts w:ascii="Arial" w:cs="Arial" w:eastAsia="Arial" w:hAnsi="Arial"/>
                <w:sz w:val="16"/>
                <w:szCs w:val="16"/>
                <w:b w:val="1"/>
                <w:bCs w:val="1"/>
                <w:color w:val="auto"/>
              </w:rPr>
              <w:t>For the six months ended</w:t>
            </w:r>
          </w:p>
        </w:tc>
      </w:tr>
      <w:tr>
        <w:trPr>
          <w:trHeight w:val="213"/>
        </w:trPr>
        <w:tc>
          <w:tcPr>
            <w:tcW w:w="490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6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16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2019</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4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3,224</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3,697</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7,385</w:t>
            </w:r>
          </w:p>
        </w:tc>
        <w:tc>
          <w:tcPr>
            <w:tcW w:w="2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7,514</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360" w:type="dxa"/>
            <w:vAlign w:val="bottom"/>
          </w:tcPr>
          <w:p>
            <w:pPr>
              <w:jc w:val="right"/>
              <w:spacing w:after="0"/>
              <w:rPr>
                <w:sz w:val="20"/>
                <w:szCs w:val="20"/>
                <w:color w:val="auto"/>
              </w:rPr>
            </w:pPr>
            <w:r>
              <w:rPr>
                <w:rFonts w:ascii="Arial" w:cs="Arial" w:eastAsia="Arial" w:hAnsi="Arial"/>
                <w:sz w:val="16"/>
                <w:szCs w:val="16"/>
                <w:color w:val="auto"/>
              </w:rPr>
              <w:t>32,383</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25,147</w:t>
            </w:r>
          </w:p>
        </w:tc>
        <w:tc>
          <w:tcPr>
            <w:tcW w:w="1340" w:type="dxa"/>
            <w:vAlign w:val="bottom"/>
          </w:tcPr>
          <w:p>
            <w:pPr>
              <w:jc w:val="right"/>
              <w:spacing w:after="0"/>
              <w:rPr>
                <w:sz w:val="20"/>
                <w:szCs w:val="20"/>
                <w:color w:val="auto"/>
              </w:rPr>
            </w:pPr>
            <w:r>
              <w:rPr>
                <w:rFonts w:ascii="Arial" w:cs="Arial" w:eastAsia="Arial" w:hAnsi="Arial"/>
                <w:sz w:val="16"/>
                <w:szCs w:val="16"/>
                <w:color w:val="auto"/>
              </w:rPr>
              <w:t>62,974</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51,973</w:t>
            </w: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bonds and realized loss on CCS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8,256</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8,856</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15,739</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18,340</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Lease charge</w:t>
            </w:r>
          </w:p>
        </w:tc>
        <w:tc>
          <w:tcPr>
            <w:tcW w:w="1360" w:type="dxa"/>
            <w:vAlign w:val="bottom"/>
          </w:tcPr>
          <w:p>
            <w:pPr>
              <w:jc w:val="right"/>
              <w:spacing w:after="0"/>
              <w:rPr>
                <w:sz w:val="20"/>
                <w:szCs w:val="20"/>
                <w:color w:val="auto"/>
              </w:rPr>
            </w:pPr>
            <w:r>
              <w:rPr>
                <w:rFonts w:ascii="Arial" w:cs="Arial" w:eastAsia="Arial" w:hAnsi="Arial"/>
                <w:sz w:val="16"/>
                <w:szCs w:val="16"/>
                <w:color w:val="auto"/>
              </w:rPr>
              <w:t>2,635</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2,526</w:t>
            </w:r>
          </w:p>
        </w:tc>
        <w:tc>
          <w:tcPr>
            <w:tcW w:w="1340" w:type="dxa"/>
            <w:vAlign w:val="bottom"/>
          </w:tcPr>
          <w:p>
            <w:pPr>
              <w:jc w:val="right"/>
              <w:spacing w:after="0"/>
              <w:rPr>
                <w:sz w:val="20"/>
                <w:szCs w:val="20"/>
                <w:color w:val="auto"/>
              </w:rPr>
            </w:pPr>
            <w:r>
              <w:rPr>
                <w:rFonts w:ascii="Arial" w:cs="Arial" w:eastAsia="Arial" w:hAnsi="Arial"/>
                <w:sz w:val="16"/>
                <w:szCs w:val="16"/>
                <w:color w:val="auto"/>
              </w:rPr>
              <w:t>5,264</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5,075</w:t>
            </w: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Loss arising on bond repurchase</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1,937</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Other financial costs, net</w:t>
            </w:r>
          </w:p>
        </w:tc>
        <w:tc>
          <w:tcPr>
            <w:tcW w:w="1360" w:type="dxa"/>
            <w:vAlign w:val="bottom"/>
          </w:tcPr>
          <w:p>
            <w:pPr>
              <w:jc w:val="right"/>
              <w:spacing w:after="0"/>
              <w:rPr>
                <w:sz w:val="20"/>
                <w:szCs w:val="20"/>
                <w:color w:val="auto"/>
              </w:rPr>
            </w:pPr>
            <w:r>
              <w:rPr>
                <w:rFonts w:ascii="Arial" w:cs="Arial" w:eastAsia="Arial" w:hAnsi="Arial"/>
                <w:sz w:val="16"/>
                <w:szCs w:val="16"/>
                <w:color w:val="auto"/>
              </w:rPr>
              <w:t>399</w:t>
            </w:r>
          </w:p>
        </w:tc>
        <w:tc>
          <w:tcPr>
            <w:tcW w:w="2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3,331</w:t>
            </w:r>
          </w:p>
        </w:tc>
        <w:tc>
          <w:tcPr>
            <w:tcW w:w="1340" w:type="dxa"/>
            <w:vAlign w:val="bottom"/>
          </w:tcPr>
          <w:p>
            <w:pPr>
              <w:jc w:val="right"/>
              <w:spacing w:after="0"/>
              <w:rPr>
                <w:sz w:val="20"/>
                <w:szCs w:val="20"/>
                <w:color w:val="auto"/>
              </w:rPr>
            </w:pPr>
            <w:r>
              <w:rPr>
                <w:rFonts w:ascii="Arial" w:cs="Arial" w:eastAsia="Arial" w:hAnsi="Arial"/>
                <w:sz w:val="16"/>
                <w:szCs w:val="16"/>
                <w:color w:val="auto"/>
              </w:rPr>
              <w:t>1,042</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159</w:t>
            </w:r>
          </w:p>
        </w:tc>
      </w:tr>
      <w:tr>
        <w:trPr>
          <w:trHeight w:val="196"/>
        </w:trPr>
        <w:tc>
          <w:tcPr>
            <w:tcW w:w="4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financial costs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46,897</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43,557</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92,404</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84,998</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Unrealized loss on derivative financial instruments held for trading</w:t>
            </w: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49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(Note 17)</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30,781</w:t>
            </w:r>
          </w:p>
        </w:tc>
        <w:tc>
          <w:tcPr>
            <w:tcW w:w="28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9,140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51,931</w:t>
            </w:r>
          </w:p>
        </w:tc>
        <w:tc>
          <w:tcPr>
            <w:tcW w:w="28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80,472</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Realized (gain)/loss on interest rate swaps held for trading</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(1,226)</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2,731</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(2,961)</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3,600</w:t>
            </w:r>
          </w:p>
        </w:tc>
      </w:tr>
      <w:tr>
        <w:trPr>
          <w:trHeight w:val="203"/>
        </w:trPr>
        <w:tc>
          <w:tcPr>
            <w:tcW w:w="4900" w:type="dxa"/>
            <w:vAlign w:val="bottom"/>
            <w:shd w:val="clear" w:color="auto" w:fill="E5FFFF"/>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1,246</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531</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2,122</w:t>
            </w:r>
          </w:p>
        </w:tc>
        <w:tc>
          <w:tcPr>
            <w:tcW w:w="28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737</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Ineffective portion of cash flow hedges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1,065</w:t>
            </w: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(49)</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(218)</w:t>
            </w:r>
          </w:p>
        </w:tc>
      </w:tr>
      <w:tr>
        <w:trPr>
          <w:trHeight w:val="196"/>
        </w:trPr>
        <w:tc>
          <w:tcPr>
            <w:tcW w:w="49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loss on derivatives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30,799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13,467</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51,043</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84,591</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Cash Flow Reconciliations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reconciliation of the Group’s non-cash investing and financing activities for the periods ended June 30, 2019 and June 30, 2020 are presented in the tables below:</w:t>
      </w:r>
    </w:p>
    <w:p>
      <w:pPr>
        <w:spacing w:after="0" w:line="2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Other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Deferred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Non-cash</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financing costs,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6"/>
              </w:rPr>
              <w:t>Opening balance</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Cash flows</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income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items</w:t>
            </w: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assets</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rPr>
              <w:t>Borrowings outstanding as of</w:t>
            </w:r>
          </w:p>
        </w:tc>
        <w:tc>
          <w:tcPr>
            <w:tcW w:w="134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E5FFFF"/>
          </w:tcPr>
          <w:p>
            <w:pPr>
              <w:spacing w:after="0"/>
              <w:rPr>
                <w:sz w:val="20"/>
                <w:szCs w:val="20"/>
                <w:color w:val="auto"/>
              </w:rPr>
            </w:pPr>
            <w:r>
              <w:rPr>
                <w:rFonts w:ascii="Arial" w:cs="Arial" w:eastAsia="Arial" w:hAnsi="Arial"/>
                <w:sz w:val="16"/>
                <w:szCs w:val="16"/>
                <w:color w:val="auto"/>
              </w:rPr>
              <w:t>January 1, 2019</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2,828,459</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2,828,459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Arial" w:cs="Arial" w:eastAsia="Arial" w:hAnsi="Arial"/>
                <w:sz w:val="16"/>
                <w:szCs w:val="16"/>
                <w:color w:val="auto"/>
              </w:rPr>
              <w:t>Proceeds from bank loans and</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6"/>
                <w:szCs w:val="16"/>
                <w:color w:val="auto"/>
              </w:rPr>
              <w:t>bonds</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677,680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677,680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0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(445,604)</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(445,604)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(9,175)</w:t>
            </w:r>
          </w:p>
        </w:tc>
        <w:tc>
          <w:tcPr>
            <w:tcW w:w="1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(1,584)</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(3,056)</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(13,815)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w:t>
            </w:r>
          </w:p>
        </w:tc>
        <w:tc>
          <w:tcPr>
            <w:tcW w:w="13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deferred loan issuance costs and</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premium</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7,385</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Arial" w:cs="Arial" w:eastAsia="Arial" w:hAnsi="Arial"/>
                <w:sz w:val="16"/>
                <w:szCs w:val="16"/>
                <w:color w:val="auto"/>
              </w:rPr>
              <w:t>Retranslation of the 2021 NOK</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180"/>
              <w:spacing w:after="0"/>
              <w:rPr>
                <w:sz w:val="20"/>
                <w:szCs w:val="20"/>
                <w:color w:val="auto"/>
              </w:rPr>
            </w:pPr>
            <w:r>
              <w:rPr>
                <w:rFonts w:ascii="Arial" w:cs="Arial" w:eastAsia="Arial" w:hAnsi="Arial"/>
                <w:sz w:val="16"/>
                <w:szCs w:val="16"/>
                <w:color w:val="auto"/>
              </w:rPr>
              <w:t>Bonds in USD</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1,857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00" w:type="dxa"/>
            <w:vAlign w:val="bottom"/>
            <w:vMerge w:val="continue"/>
            <w:shd w:val="clear" w:color="auto" w:fill="E5FFFF"/>
          </w:tcPr>
          <w:p>
            <w:pPr>
              <w:spacing w:after="0"/>
              <w:rPr>
                <w:sz w:val="14"/>
                <w:szCs w:val="14"/>
                <w:color w:val="auto"/>
              </w:rPr>
            </w:pPr>
          </w:p>
        </w:tc>
        <w:tc>
          <w:tcPr>
            <w:tcW w:w="1580" w:type="dxa"/>
            <w:vAlign w:val="bottom"/>
            <w:gridSpan w:val="2"/>
            <w:vMerge w:val="restart"/>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2,828,459</w:t>
            </w:r>
          </w:p>
        </w:tc>
        <w:tc>
          <w:tcPr>
            <w:tcW w:w="11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222,901</w:t>
            </w:r>
          </w:p>
        </w:tc>
        <w:tc>
          <w:tcPr>
            <w:tcW w:w="100" w:type="dxa"/>
            <w:vAlign w:val="bottom"/>
            <w:shd w:val="clear" w:color="auto" w:fill="E5FFFF"/>
          </w:tcPr>
          <w:p>
            <w:pPr>
              <w:spacing w:after="0"/>
              <w:rPr>
                <w:sz w:val="14"/>
                <w:szCs w:val="14"/>
                <w:color w:val="auto"/>
              </w:rPr>
            </w:pPr>
          </w:p>
        </w:tc>
        <w:tc>
          <w:tcPr>
            <w:tcW w:w="1700" w:type="dxa"/>
            <w:vAlign w:val="bottom"/>
            <w:gridSpan w:val="3"/>
            <w:vMerge w:val="restart"/>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1,857</w:t>
            </w:r>
          </w:p>
        </w:tc>
        <w:tc>
          <w:tcPr>
            <w:tcW w:w="1340" w:type="dxa"/>
            <w:vAlign w:val="bottom"/>
            <w:gridSpan w:val="2"/>
            <w:vMerge w:val="restart"/>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5,801</w:t>
            </w:r>
          </w:p>
        </w:tc>
        <w:tc>
          <w:tcPr>
            <w:tcW w:w="156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6"/>
                <w:szCs w:val="16"/>
                <w:b w:val="1"/>
                <w:bCs w:val="1"/>
                <w:color w:val="auto"/>
              </w:rPr>
              <w:t>(3,056)</w:t>
            </w:r>
          </w:p>
        </w:tc>
        <w:tc>
          <w:tcPr>
            <w:tcW w:w="122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3,055,962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June 30, 2019</w:t>
            </w:r>
          </w:p>
        </w:tc>
        <w:tc>
          <w:tcPr>
            <w:tcW w:w="1580" w:type="dxa"/>
            <w:vAlign w:val="bottom"/>
            <w:gridSpan w:val="2"/>
            <w:vMerge w:val="continue"/>
            <w:shd w:val="clear" w:color="auto" w:fill="E5FFFF"/>
          </w:tcPr>
          <w:p>
            <w:pPr>
              <w:spacing w:after="0"/>
              <w:rPr>
                <w:sz w:val="17"/>
                <w:szCs w:val="17"/>
                <w:color w:val="auto"/>
              </w:rPr>
            </w:pPr>
          </w:p>
        </w:tc>
        <w:tc>
          <w:tcPr>
            <w:tcW w:w="1140" w:type="dxa"/>
            <w:vAlign w:val="bottom"/>
            <w:vMerge w:val="continue"/>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3"/>
            <w:vMerge w:val="continue"/>
            <w:shd w:val="clear" w:color="auto" w:fill="E5FFFF"/>
          </w:tcPr>
          <w:p>
            <w:pPr>
              <w:spacing w:after="0"/>
              <w:rPr>
                <w:sz w:val="17"/>
                <w:szCs w:val="17"/>
                <w:color w:val="auto"/>
              </w:rPr>
            </w:pPr>
          </w:p>
        </w:tc>
        <w:tc>
          <w:tcPr>
            <w:tcW w:w="1340" w:type="dxa"/>
            <w:vAlign w:val="bottom"/>
            <w:gridSpan w:val="2"/>
            <w:vMerge w:val="continue"/>
            <w:shd w:val="clear" w:color="auto" w:fill="E5FFFF"/>
          </w:tcPr>
          <w:p>
            <w:pPr>
              <w:spacing w:after="0"/>
              <w:rPr>
                <w:sz w:val="17"/>
                <w:szCs w:val="17"/>
                <w:color w:val="auto"/>
              </w:rPr>
            </w:pPr>
          </w:p>
        </w:tc>
        <w:tc>
          <w:tcPr>
            <w:tcW w:w="1560" w:type="dxa"/>
            <w:vAlign w:val="bottom"/>
            <w:gridSpan w:val="2"/>
            <w:vMerge w:val="continue"/>
            <w:shd w:val="clear" w:color="auto" w:fill="E5FFFF"/>
          </w:tcPr>
          <w:p>
            <w:pPr>
              <w:spacing w:after="0"/>
              <w:rPr>
                <w:sz w:val="17"/>
                <w:szCs w:val="17"/>
                <w:color w:val="auto"/>
              </w:rPr>
            </w:pPr>
          </w:p>
        </w:tc>
        <w:tc>
          <w:tcPr>
            <w:tcW w:w="1220" w:type="dxa"/>
            <w:vAlign w:val="bottom"/>
            <w:gridSpan w:val="2"/>
            <w:vMerge w:val="continue"/>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Other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Deferred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Non-cash</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financing costs,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6"/>
              </w:rPr>
              <w:t>Opening balance</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Cash flows</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income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items</w:t>
            </w: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assets</w:t>
            </w: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rPr>
              <w:t>Borrowings outstanding as of</w:t>
            </w:r>
          </w:p>
        </w:tc>
        <w:tc>
          <w:tcPr>
            <w:tcW w:w="134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E5FFFF"/>
          </w:tcPr>
          <w:p>
            <w:pPr>
              <w:spacing w:after="0"/>
              <w:rPr>
                <w:sz w:val="20"/>
                <w:szCs w:val="20"/>
                <w:color w:val="auto"/>
              </w:rPr>
            </w:pPr>
            <w:r>
              <w:rPr>
                <w:rFonts w:ascii="Arial" w:cs="Arial" w:eastAsia="Arial" w:hAnsi="Arial"/>
                <w:sz w:val="16"/>
                <w:szCs w:val="16"/>
                <w:color w:val="auto"/>
              </w:rPr>
              <w:t>January 1, 2020</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3,147,395</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3,147,395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Arial" w:cs="Arial" w:eastAsia="Arial" w:hAnsi="Arial"/>
                <w:sz w:val="16"/>
                <w:szCs w:val="16"/>
                <w:color w:val="auto"/>
              </w:rPr>
              <w:t>Proceeds from bank loans and</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Arial" w:cs="Arial" w:eastAsia="Arial" w:hAnsi="Arial"/>
                <w:sz w:val="16"/>
                <w:szCs w:val="16"/>
                <w:color w:val="auto"/>
              </w:rPr>
              <w:t>bonds</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401,911</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401,911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00" w:type="dxa"/>
            <w:vAlign w:val="bottom"/>
            <w:shd w:val="clear" w:color="auto" w:fill="E5FFFF"/>
          </w:tcPr>
          <w:p>
            <w:pPr>
              <w:spacing w:after="0"/>
              <w:rPr>
                <w:sz w:val="20"/>
                <w:szCs w:val="20"/>
                <w:color w:val="auto"/>
              </w:rPr>
            </w:pPr>
            <w:r>
              <w:rPr>
                <w:rFonts w:ascii="Arial" w:cs="Arial" w:eastAsia="Arial" w:hAnsi="Arial"/>
                <w:sz w:val="16"/>
                <w:szCs w:val="16"/>
                <w:color w:val="auto"/>
              </w:rPr>
              <w:t>Bank loan and bond repayments</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(150,508)</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(8,063)</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(158,571)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Arial" w:cs="Arial" w:eastAsia="Arial" w:hAnsi="Arial"/>
                <w:sz w:val="16"/>
                <w:szCs w:val="16"/>
                <w:color w:val="auto"/>
              </w:rPr>
              <w:t>Payment for bond repurchase at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180"/>
              <w:spacing w:after="0"/>
              <w:rPr>
                <w:sz w:val="20"/>
                <w:szCs w:val="20"/>
                <w:color w:val="auto"/>
              </w:rPr>
            </w:pPr>
            <w:r>
              <w:rPr>
                <w:rFonts w:ascii="Arial" w:cs="Arial" w:eastAsia="Arial" w:hAnsi="Arial"/>
                <w:sz w:val="16"/>
                <w:szCs w:val="16"/>
                <w:color w:val="auto"/>
              </w:rPr>
              <w:t>premium</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00" w:type="dxa"/>
            <w:vAlign w:val="bottom"/>
            <w:shd w:val="clear" w:color="auto" w:fill="E5FFFF"/>
          </w:tcPr>
          <w:p>
            <w:pPr>
              <w:spacing w:after="0"/>
              <w:rPr>
                <w:sz w:val="20"/>
                <w:szCs w:val="20"/>
                <w:color w:val="auto"/>
              </w:rPr>
            </w:pPr>
            <w:r>
              <w:rPr>
                <w:rFonts w:ascii="Arial" w:cs="Arial" w:eastAsia="Arial" w:hAnsi="Arial"/>
                <w:sz w:val="16"/>
                <w:szCs w:val="16"/>
                <w:color w:val="auto"/>
              </w:rPr>
              <w:t>Additions in deferred loan fees</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(7,605)</w:t>
            </w:r>
          </w:p>
        </w:tc>
        <w:tc>
          <w:tcPr>
            <w:tcW w:w="1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982</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(1,375)</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Arial" w:cs="Arial" w:eastAsia="Arial" w:hAnsi="Arial"/>
                <w:sz w:val="16"/>
                <w:szCs w:val="16"/>
                <w:color w:val="auto"/>
              </w:rPr>
              <w:t>Amortization of deferred loan</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180"/>
              <w:spacing w:after="0"/>
              <w:rPr>
                <w:sz w:val="20"/>
                <w:szCs w:val="20"/>
                <w:color w:val="auto"/>
              </w:rPr>
            </w:pPr>
            <w:r>
              <w:rPr>
                <w:rFonts w:ascii="Arial" w:cs="Arial" w:eastAsia="Arial" w:hAnsi="Arial"/>
                <w:sz w:val="16"/>
                <w:szCs w:val="16"/>
                <w:color w:val="auto"/>
              </w:rPr>
              <w:t>issuance costs and premium</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7,514</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00" w:type="dxa"/>
            <w:vAlign w:val="bottom"/>
            <w:shd w:val="clear" w:color="auto" w:fill="E5FFFF"/>
          </w:tcPr>
          <w:p>
            <w:pPr>
              <w:spacing w:after="0"/>
              <w:rPr>
                <w:sz w:val="20"/>
                <w:szCs w:val="20"/>
                <w:color w:val="auto"/>
              </w:rPr>
            </w:pPr>
            <w:r>
              <w:rPr>
                <w:rFonts w:ascii="Arial" w:cs="Arial" w:eastAsia="Arial" w:hAnsi="Arial"/>
                <w:sz w:val="16"/>
                <w:szCs w:val="16"/>
                <w:color w:val="auto"/>
              </w:rPr>
              <w:t>Retranslation of the 2021 NOK</w:t>
            </w:r>
          </w:p>
        </w:tc>
        <w:tc>
          <w:tcPr>
            <w:tcW w:w="1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Bonds in USD</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(9,098)</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(6,174)</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(15,272)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6"/>
                <w:szCs w:val="16"/>
                <w:b w:val="1"/>
                <w:bCs w:val="1"/>
                <w:color w:val="auto"/>
              </w:rPr>
              <w:t>Borrowings outstanding as of</w:t>
            </w: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0" w:type="dxa"/>
            <w:vAlign w:val="bottom"/>
            <w:vMerge w:val="continue"/>
          </w:tcPr>
          <w:p>
            <w:pPr>
              <w:spacing w:after="0"/>
              <w:rPr>
                <w:sz w:val="14"/>
                <w:szCs w:val="14"/>
                <w:color w:val="auto"/>
              </w:rPr>
            </w:pP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3,147,395</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241,861</w:t>
            </w:r>
          </w:p>
        </w:tc>
        <w:tc>
          <w:tcPr>
            <w:tcW w:w="100" w:type="dxa"/>
            <w:vAlign w:val="bottom"/>
          </w:tcPr>
          <w:p>
            <w:pPr>
              <w:spacing w:after="0"/>
              <w:rPr>
                <w:sz w:val="14"/>
                <w:szCs w:val="14"/>
                <w:color w:val="auto"/>
              </w:rPr>
            </w:pPr>
          </w:p>
        </w:tc>
        <w:tc>
          <w:tcPr>
            <w:tcW w:w="170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(9,098)</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(5,741)</w:t>
            </w: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(1,375)</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3,373,042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80"/>
              <w:spacing w:after="0"/>
              <w:rPr>
                <w:sz w:val="20"/>
                <w:szCs w:val="20"/>
                <w:color w:val="auto"/>
              </w:rPr>
            </w:pPr>
            <w:r>
              <w:rPr>
                <w:rFonts w:ascii="Arial" w:cs="Arial" w:eastAsia="Arial" w:hAnsi="Arial"/>
                <w:sz w:val="16"/>
                <w:szCs w:val="16"/>
                <w:b w:val="1"/>
                <w:bCs w:val="1"/>
                <w:color w:val="auto"/>
              </w:rPr>
              <w:t>June 30, 2020</w:t>
            </w:r>
          </w:p>
        </w:tc>
        <w:tc>
          <w:tcPr>
            <w:tcW w:w="15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right"/>
              <w:ind w:right="1360"/>
              <w:spacing w:after="0"/>
              <w:rPr>
                <w:sz w:val="20"/>
                <w:szCs w:val="20"/>
                <w:color w:val="auto"/>
              </w:rPr>
            </w:pPr>
            <w:r>
              <w:rPr>
                <w:rFonts w:ascii="Arial" w:cs="Arial" w:eastAsia="Arial" w:hAnsi="Arial"/>
                <w:sz w:val="14"/>
                <w:szCs w:val="14"/>
                <w:color w:val="auto"/>
              </w:rPr>
              <w:t>F-18</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0" w:right="299" w:bottom="808" w:gutter="0" w:footer="0" w:header="0"/>
        </w:sectPr>
      </w:pPr>
    </w:p>
    <w:bookmarkStart w:id="254" w:name="page255"/>
    <w:bookmarkEnd w:id="254"/>
    <w:p>
      <w:pPr>
        <w:ind w:left="420"/>
        <w:spacing w:after="0"/>
        <w:rPr>
          <w:sz w:val="20"/>
          <w:szCs w:val="20"/>
          <w:color w:val="auto"/>
        </w:rPr>
      </w:pPr>
      <w:r>
        <w:rPr>
          <w:rFonts w:ascii="Arial" w:cs="Arial" w:eastAsia="Arial" w:hAnsi="Arial"/>
          <w:sz w:val="15"/>
          <w:szCs w:val="15"/>
          <w:color w:val="auto"/>
        </w:rPr>
        <w:t>A reconciliation of derivatives arising from financing activities is as follows:</w:t>
      </w:r>
    </w:p>
    <w:p>
      <w:pPr>
        <w:sectPr>
          <w:pgSz w:w="11900" w:h="16838" w:orient="portrait"/>
          <w:cols w:equalWidth="0" w:num="1">
            <w:col w:w="11280"/>
          </w:cols>
          <w:pgMar w:left="320" w:top="34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Net derivative assets as of January 1, 2019</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Unrealized loss on derivative financial instruments held for trading (Note 18)</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Ineffective portion of cash flow hedges (Note 18) Effective portion of changes in the fair value of derivatives designated as cash flow hedging instruments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derivative assets/(liabilities) as of June 30, 2019</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Other comprehensive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16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Opening balance</w:t>
            </w:r>
          </w:p>
        </w:tc>
        <w:tc>
          <w:tcPr>
            <w:tcW w:w="232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income</w:t>
            </w:r>
          </w:p>
        </w:tc>
        <w:tc>
          <w:tcPr>
            <w:tcW w:w="16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w w:val="99"/>
              </w:rPr>
              <w:t>Non-cash items</w:t>
            </w:r>
          </w:p>
        </w:tc>
        <w:tc>
          <w:tcPr>
            <w:tcW w:w="1400" w:type="dxa"/>
            <w:vAlign w:val="bottom"/>
            <w:gridSpan w:val="3"/>
          </w:tcPr>
          <w:p>
            <w:pPr>
              <w:jc w:val="right"/>
              <w:ind w:right="555"/>
              <w:spacing w:after="0"/>
              <w:rPr>
                <w:sz w:val="20"/>
                <w:szCs w:val="20"/>
                <w:color w:val="auto"/>
              </w:rPr>
            </w:pPr>
            <w:r>
              <w:rPr>
                <w:rFonts w:ascii="Arial" w:cs="Arial" w:eastAsia="Arial" w:hAnsi="Arial"/>
                <w:sz w:val="16"/>
                <w:szCs w:val="16"/>
                <w:b w:val="1"/>
                <w:bCs w:val="1"/>
                <w:color w:val="auto"/>
              </w:rPr>
              <w:t>Total</w:t>
            </w:r>
          </w:p>
        </w:tc>
      </w:tr>
      <w:tr>
        <w:trPr>
          <w:trHeight w:val="203"/>
        </w:trPr>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280" w:type="dxa"/>
            <w:vAlign w:val="bottom"/>
          </w:tcPr>
          <w:p>
            <w:pPr>
              <w:spacing w:after="0"/>
              <w:rPr>
                <w:sz w:val="17"/>
                <w:szCs w:val="17"/>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91"/>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39"/>
              <w:spacing w:after="0"/>
              <w:rPr>
                <w:sz w:val="20"/>
                <w:szCs w:val="20"/>
                <w:color w:val="auto"/>
              </w:rPr>
            </w:pPr>
            <w:r>
              <w:rPr>
                <w:rFonts w:ascii="Arial" w:cs="Arial" w:eastAsia="Arial" w:hAnsi="Arial"/>
                <w:sz w:val="16"/>
                <w:szCs w:val="16"/>
                <w:color w:val="auto"/>
              </w:rPr>
              <w:t>(51,931)</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(51,931</w:t>
            </w:r>
            <w:r>
              <w:rPr>
                <w:rFonts w:ascii="Arial" w:cs="Arial" w:eastAsia="Arial" w:hAnsi="Arial"/>
                <w:sz w:val="17"/>
                <w:szCs w:val="17"/>
                <w:color w:val="auto"/>
              </w:rPr>
              <w:t>)</w:t>
            </w:r>
          </w:p>
        </w:tc>
      </w:tr>
      <w:tr>
        <w:trPr>
          <w:trHeight w:val="206"/>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r>
      <w:tr>
        <w:trPr>
          <w:trHeight w:val="405"/>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320" w:type="dxa"/>
            <w:vAlign w:val="bottom"/>
            <w:gridSpan w:val="2"/>
          </w:tcPr>
          <w:p>
            <w:pPr>
              <w:jc w:val="right"/>
              <w:ind w:right="200"/>
              <w:spacing w:after="0"/>
              <w:rPr>
                <w:sz w:val="20"/>
                <w:szCs w:val="20"/>
                <w:color w:val="auto"/>
              </w:rPr>
            </w:pPr>
            <w:r>
              <w:rPr>
                <w:rFonts w:ascii="Arial" w:cs="Arial" w:eastAsia="Arial" w:hAnsi="Arial"/>
                <w:sz w:val="16"/>
                <w:szCs w:val="16"/>
                <w:color w:val="auto"/>
              </w:rPr>
              <w:t>(607)</w:t>
            </w:r>
          </w:p>
        </w:tc>
        <w:tc>
          <w:tcPr>
            <w:tcW w:w="16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5"/>
              <w:spacing w:after="0"/>
              <w:rPr>
                <w:sz w:val="20"/>
                <w:szCs w:val="20"/>
                <w:color w:val="auto"/>
              </w:rPr>
            </w:pPr>
            <w:r>
              <w:rPr>
                <w:rFonts w:ascii="Arial" w:cs="Arial" w:eastAsia="Arial" w:hAnsi="Arial"/>
                <w:sz w:val="16"/>
                <w:szCs w:val="16"/>
                <w:color w:val="auto"/>
              </w:rPr>
              <w:t>(607)</w:t>
            </w:r>
          </w:p>
        </w:tc>
      </w:tr>
      <w:tr>
        <w:trPr>
          <w:trHeight w:val="213"/>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3,096</w:t>
            </w:r>
          </w:p>
        </w:tc>
        <w:tc>
          <w:tcPr>
            <w:tcW w:w="280" w:type="dxa"/>
            <w:vAlign w:val="bottom"/>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(51,882</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(49,393</w:t>
            </w:r>
          </w:p>
        </w:tc>
        <w:tc>
          <w:tcPr>
            <w:tcW w:w="40" w:type="dxa"/>
            <w:vAlign w:val="bottom"/>
          </w:tcPr>
          <w:p>
            <w:pPr>
              <w:jc w:val="right"/>
              <w:ind w:right="15"/>
              <w:spacing w:after="0"/>
              <w:rPr>
                <w:sz w:val="20"/>
                <w:szCs w:val="20"/>
                <w:color w:val="auto"/>
              </w:rPr>
            </w:pPr>
            <w:r>
              <w:rPr>
                <w:rFonts w:ascii="Arial" w:cs="Arial" w:eastAsia="Arial" w:hAnsi="Arial"/>
                <w:sz w:val="1"/>
                <w:szCs w:val="1"/>
                <w:b w:val="1"/>
                <w:bCs w:val="1"/>
                <w:color w:val="auto"/>
                <w:w w:val="4294967281"/>
              </w:rPr>
              <w:t>)</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-950595</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-556895</wp:posOffset>
            </wp:positionV>
            <wp:extent cx="713232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-170815</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380"/>
            <w:col w:w="7040"/>
          </w:cols>
          <w:pgMar w:left="320" w:top="346" w:right="29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w w:val="98"/>
              </w:rPr>
              <w:t>Other</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w w:val="86"/>
              </w:rPr>
              <w:t>comprehensive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Opening balance</w:t>
            </w:r>
          </w:p>
        </w:tc>
        <w:tc>
          <w:tcPr>
            <w:tcW w:w="12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Cash flows</w:t>
            </w:r>
          </w:p>
        </w:tc>
        <w:tc>
          <w:tcPr>
            <w:tcW w:w="82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81"/>
              </w:rPr>
              <w:t>loss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7"/>
              </w:rPr>
              <w:t>Non-cash items</w:t>
            </w:r>
          </w:p>
        </w:tc>
        <w:tc>
          <w:tcPr>
            <w:tcW w:w="134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liabilities as of January 1, 2020</w:t>
            </w:r>
          </w:p>
        </w:tc>
        <w:tc>
          <w:tcPr>
            <w:tcW w:w="13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(45,931)</w:t>
            </w:r>
          </w:p>
        </w:tc>
        <w:tc>
          <w:tcPr>
            <w:tcW w:w="22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left w:val="single" w:sz="8" w:color="E5FFFF"/>
            </w:tcBorders>
            <w:shd w:val="clear" w:color="auto" w:fill="E5FFFF"/>
          </w:tcPr>
          <w:p>
            <w:pPr>
              <w:spacing w:after="0"/>
              <w:rPr>
                <w:sz w:val="17"/>
                <w:szCs w:val="17"/>
                <w:color w:val="auto"/>
              </w:rPr>
            </w:pPr>
          </w:p>
        </w:tc>
        <w:tc>
          <w:tcPr>
            <w:tcW w:w="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spacing w:after="0"/>
              <w:rPr>
                <w:sz w:val="17"/>
                <w:szCs w:val="17"/>
                <w:color w:val="auto"/>
              </w:rPr>
            </w:pPr>
          </w:p>
        </w:tc>
        <w:tc>
          <w:tcPr>
            <w:tcW w:w="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(45,931</w:t>
            </w:r>
          </w:p>
        </w:tc>
        <w:tc>
          <w:tcPr>
            <w:tcW w:w="12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20"/>
                <w:szCs w:val="20"/>
                <w:color w:val="auto"/>
              </w:rPr>
            </w:pPr>
            <w:r>
              <w:rPr>
                <w:rFonts w:ascii="Arial" w:cs="Arial" w:eastAsia="Arial" w:hAnsi="Arial"/>
                <w:sz w:val="16"/>
                <w:szCs w:val="16"/>
                <w:color w:val="auto"/>
              </w:rPr>
              <w:t>Unrealized loss on derivative financial instruments held</w:t>
            </w: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(80,472</w:t>
            </w: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Arial" w:cs="Arial" w:eastAsia="Arial" w:hAnsi="Arial"/>
                <w:sz w:val="16"/>
                <w:szCs w:val="16"/>
                <w:color w:val="auto"/>
              </w:rPr>
              <w:t>for trading (Note 18)</w:t>
            </w:r>
          </w:p>
        </w:tc>
        <w:tc>
          <w:tcPr>
            <w:tcW w:w="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gridSpan w:val="4"/>
          </w:tcPr>
          <w:p>
            <w:pPr>
              <w:jc w:val="right"/>
              <w:ind w:right="79"/>
              <w:spacing w:after="0"/>
              <w:rPr>
                <w:sz w:val="20"/>
                <w:szCs w:val="20"/>
                <w:color w:val="auto"/>
              </w:rPr>
            </w:pPr>
            <w:r>
              <w:rPr>
                <w:rFonts w:ascii="Arial" w:cs="Arial" w:eastAsia="Arial" w:hAnsi="Arial"/>
                <w:sz w:val="16"/>
                <w:szCs w:val="16"/>
                <w:color w:val="auto"/>
              </w:rPr>
              <w:t>(80,472)</w:t>
            </w: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 (Note 18)</w:t>
            </w:r>
          </w:p>
        </w:tc>
        <w:tc>
          <w:tcPr>
            <w:tcW w:w="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left w:val="single" w:sz="8" w:color="E5FFFF"/>
            </w:tcBorders>
            <w:shd w:val="clear" w:color="auto" w:fill="E5FFFF"/>
          </w:tcPr>
          <w:p>
            <w:pPr>
              <w:spacing w:after="0"/>
              <w:rPr>
                <w:sz w:val="17"/>
                <w:szCs w:val="17"/>
                <w:color w:val="auto"/>
              </w:rPr>
            </w:pPr>
          </w:p>
        </w:tc>
        <w:tc>
          <w:tcPr>
            <w:tcW w:w="9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4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218</w:t>
            </w:r>
          </w:p>
        </w:tc>
        <w:tc>
          <w:tcPr>
            <w:tcW w:w="22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41"/>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Payment for interest rate swaps termination</w:t>
            </w:r>
          </w:p>
        </w:tc>
        <w:tc>
          <w:tcPr>
            <w:tcW w:w="6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10,811</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6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1"/>
              <w:spacing w:after="0"/>
              <w:rPr>
                <w:sz w:val="20"/>
                <w:szCs w:val="20"/>
                <w:color w:val="auto"/>
              </w:rPr>
            </w:pPr>
            <w:r>
              <w:rPr>
                <w:rFonts w:ascii="Arial" w:cs="Arial" w:eastAsia="Arial" w:hAnsi="Arial"/>
                <w:sz w:val="16"/>
                <w:szCs w:val="16"/>
                <w:color w:val="auto"/>
              </w:rPr>
              <w:t>10,811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Proceeds from entering into interest rate swaps</w:t>
            </w:r>
          </w:p>
        </w:tc>
        <w:tc>
          <w:tcPr>
            <w:tcW w:w="6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Borders>
              <w:left w:val="single" w:sz="8" w:color="E5FFFF"/>
            </w:tcBorders>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(10,770)</w:t>
            </w:r>
          </w:p>
        </w:tc>
        <w:tc>
          <w:tcPr>
            <w:tcW w:w="6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FFF"/>
          </w:tcPr>
          <w:p>
            <w:pPr>
              <w:spacing w:after="0"/>
              <w:rPr>
                <w:sz w:val="18"/>
                <w:szCs w:val="18"/>
                <w:color w:val="auto"/>
              </w:rPr>
            </w:pPr>
          </w:p>
        </w:tc>
        <w:tc>
          <w:tcPr>
            <w:tcW w:w="600" w:type="dxa"/>
            <w:vAlign w:val="bottom"/>
            <w:gridSpan w:val="3"/>
            <w:shd w:val="clear" w:color="auto" w:fill="E5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(10,770</w:t>
            </w:r>
            <w:r>
              <w:rPr>
                <w:rFonts w:ascii="Arial" w:cs="Arial" w:eastAsia="Arial" w:hAnsi="Arial"/>
                <w:sz w:val="17"/>
                <w:szCs w:val="17"/>
                <w:color w:val="auto"/>
              </w:rPr>
              <w:t>)</w:t>
            </w: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Payment for CCS termination</w:t>
            </w:r>
          </w:p>
        </w:tc>
        <w:tc>
          <w:tcPr>
            <w:tcW w:w="6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4,051</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gridSpan w:val="4"/>
          </w:tcPr>
          <w:p>
            <w:pPr>
              <w:jc w:val="right"/>
              <w:ind w:right="79"/>
              <w:spacing w:after="0"/>
              <w:rPr>
                <w:sz w:val="20"/>
                <w:szCs w:val="20"/>
                <w:color w:val="auto"/>
              </w:rPr>
            </w:pPr>
            <w:r>
              <w:rPr>
                <w:rFonts w:ascii="Arial" w:cs="Arial" w:eastAsia="Arial" w:hAnsi="Arial"/>
                <w:sz w:val="16"/>
                <w:szCs w:val="16"/>
                <w:color w:val="auto"/>
              </w:rPr>
              <w:t>(4,051)</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Effective portion of changes in the fair value of</w:t>
            </w:r>
          </w:p>
        </w:tc>
        <w:tc>
          <w:tcPr>
            <w:tcW w:w="6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340" w:type="dxa"/>
            <w:vAlign w:val="bottom"/>
            <w:tcBorders>
              <w:left w:val="single" w:sz="8" w:color="E5FFFF"/>
            </w:tcBorders>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6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40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9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color w:val="auto"/>
              </w:rPr>
              <w:t>(11,327</w:t>
            </w:r>
            <w:r>
              <w:rPr>
                <w:rFonts w:ascii="Arial" w:cs="Arial" w:eastAsia="Arial" w:hAnsi="Arial"/>
                <w:sz w:val="17"/>
                <w:szCs w:val="17"/>
                <w:color w:val="auto"/>
              </w:rPr>
              <w:t>)</w:t>
            </w:r>
          </w:p>
        </w:tc>
        <w:tc>
          <w:tcPr>
            <w:tcW w:w="1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w w:val="97"/>
              </w:rPr>
              <w:t>derivatives designated as cash flow hedging instruments</w:t>
            </w:r>
          </w:p>
        </w:tc>
        <w:tc>
          <w:tcPr>
            <w:tcW w:w="6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8"/>
                <w:szCs w:val="18"/>
                <w:color w:val="auto"/>
              </w:rPr>
            </w:pPr>
          </w:p>
        </w:tc>
        <w:tc>
          <w:tcPr>
            <w:tcW w:w="340" w:type="dxa"/>
            <w:vAlign w:val="bottom"/>
            <w:tcBorders>
              <w:left w:val="single" w:sz="8" w:color="E5FFFF"/>
            </w:tcBorders>
            <w:shd w:val="clear" w:color="auto" w:fill="E5FFFF"/>
          </w:tcPr>
          <w:p>
            <w:pPr>
              <w:spacing w:after="0"/>
              <w:rPr>
                <w:sz w:val="18"/>
                <w:szCs w:val="18"/>
                <w:color w:val="auto"/>
              </w:rPr>
            </w:pPr>
          </w:p>
        </w:tc>
        <w:tc>
          <w:tcPr>
            <w:tcW w:w="9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right"/>
              <w:ind w:right="99"/>
              <w:spacing w:after="0"/>
              <w:rPr>
                <w:sz w:val="20"/>
                <w:szCs w:val="20"/>
                <w:color w:val="auto"/>
              </w:rPr>
            </w:pPr>
            <w:r>
              <w:rPr>
                <w:rFonts w:ascii="Arial" w:cs="Arial" w:eastAsia="Arial" w:hAnsi="Arial"/>
                <w:sz w:val="16"/>
                <w:szCs w:val="16"/>
                <w:color w:val="auto"/>
                <w:w w:val="93"/>
              </w:rPr>
              <w:t>(11,327)</w:t>
            </w:r>
          </w:p>
        </w:tc>
        <w:tc>
          <w:tcPr>
            <w:tcW w:w="940" w:type="dxa"/>
            <w:vAlign w:val="bottom"/>
            <w:shd w:val="clear" w:color="auto" w:fill="E5FFFF"/>
          </w:tcPr>
          <w:p>
            <w:pPr>
              <w:spacing w:after="0"/>
              <w:rPr>
                <w:sz w:val="18"/>
                <w:szCs w:val="18"/>
                <w:color w:val="auto"/>
              </w:rPr>
            </w:pPr>
          </w:p>
        </w:tc>
        <w:tc>
          <w:tcPr>
            <w:tcW w:w="600" w:type="dxa"/>
            <w:vAlign w:val="bottom"/>
            <w:gridSpan w:val="3"/>
            <w:shd w:val="clear" w:color="auto" w:fill="E5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vMerge w:val="continue"/>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6"/>
                <w:szCs w:val="16"/>
                <w:b w:val="1"/>
                <w:bCs w:val="1"/>
                <w:color w:val="auto"/>
              </w:rPr>
              <w:t>Net derivative liabilities as of June 30, 2020</w:t>
            </w: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1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40" w:type="dxa"/>
            <w:vAlign w:val="bottom"/>
            <w:vMerge w:val="continue"/>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(45,931</w:t>
            </w:r>
          </w:p>
        </w:tc>
        <w:tc>
          <w:tcPr>
            <w:tcW w:w="220" w:type="dxa"/>
            <w:vAlign w:val="bottom"/>
            <w:vMerge w:val="continue"/>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4,092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(11,327</w:t>
            </w:r>
          </w:p>
        </w:tc>
        <w:tc>
          <w:tcPr>
            <w:tcW w:w="240" w:type="dxa"/>
            <w:vAlign w:val="bottom"/>
            <w:vMerge w:val="continue"/>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(84,305</w:t>
            </w:r>
          </w:p>
        </w:tc>
        <w:tc>
          <w:tcPr>
            <w:tcW w:w="22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(137,471</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360" w:type="dxa"/>
            <w:vAlign w:val="bottom"/>
            <w:gridSpan w:val="12"/>
          </w:tcPr>
          <w:p>
            <w:pPr>
              <w:ind w:left="420"/>
              <w:spacing w:after="0"/>
              <w:rPr>
                <w:sz w:val="20"/>
                <w:szCs w:val="20"/>
                <w:color w:val="auto"/>
              </w:rPr>
            </w:pPr>
            <w:r>
              <w:rPr>
                <w:rFonts w:ascii="Arial" w:cs="Arial" w:eastAsia="Arial" w:hAnsi="Arial"/>
                <w:sz w:val="16"/>
                <w:szCs w:val="16"/>
                <w:color w:val="auto"/>
                <w:w w:val="96"/>
              </w:rPr>
              <w:t>A reconciliation of tangible fixed assets and vessels under construction arising from investing activities is as follows: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Opening balance</w:t>
            </w:r>
          </w:p>
        </w:tc>
        <w:tc>
          <w:tcPr>
            <w:tcW w:w="340" w:type="dxa"/>
            <w:vAlign w:val="bottom"/>
          </w:tcPr>
          <w:p>
            <w:pPr>
              <w:spacing w:after="0"/>
              <w:rPr>
                <w:sz w:val="24"/>
                <w:szCs w:val="24"/>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Cash flows</w:t>
            </w:r>
          </w:p>
        </w:tc>
        <w:tc>
          <w:tcPr>
            <w:tcW w:w="120" w:type="dxa"/>
            <w:vAlign w:val="bottom"/>
          </w:tcPr>
          <w:p>
            <w:pPr>
              <w:spacing w:after="0"/>
              <w:rPr>
                <w:sz w:val="24"/>
                <w:szCs w:val="24"/>
                <w:color w:val="auto"/>
              </w:rPr>
            </w:pPr>
          </w:p>
        </w:tc>
        <w:tc>
          <w:tcPr>
            <w:tcW w:w="2180" w:type="dxa"/>
            <w:vAlign w:val="bottom"/>
            <w:gridSpan w:val="6"/>
          </w:tcPr>
          <w:p>
            <w:pPr>
              <w:jc w:val="right"/>
              <w:ind w:right="779"/>
              <w:spacing w:after="0"/>
              <w:rPr>
                <w:sz w:val="20"/>
                <w:szCs w:val="20"/>
                <w:color w:val="auto"/>
              </w:rPr>
            </w:pPr>
            <w:r>
              <w:rPr>
                <w:rFonts w:ascii="Arial" w:cs="Arial" w:eastAsia="Arial" w:hAnsi="Arial"/>
                <w:sz w:val="16"/>
                <w:szCs w:val="16"/>
                <w:b w:val="1"/>
                <w:bCs w:val="1"/>
                <w:color w:val="auto"/>
              </w:rPr>
              <w:t>Non-cash items</w:t>
            </w:r>
          </w:p>
        </w:tc>
        <w:tc>
          <w:tcPr>
            <w:tcW w:w="13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4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w w:val="98"/>
              </w:rPr>
              <w:t>Tangible fixed assets and vessels under construction as</w:t>
            </w:r>
          </w:p>
        </w:tc>
        <w:tc>
          <w:tcPr>
            <w:tcW w:w="60" w:type="dxa"/>
            <w:vAlign w:val="bottom"/>
            <w:tcBorders>
              <w:top w:val="single" w:sz="8" w:color="E5FFFF"/>
            </w:tcBorders>
            <w:shd w:val="clear" w:color="auto" w:fill="E5FFFF"/>
          </w:tcPr>
          <w:p>
            <w:pPr>
              <w:spacing w:after="0"/>
              <w:rPr>
                <w:sz w:val="15"/>
                <w:szCs w:val="15"/>
                <w:color w:val="auto"/>
              </w:rPr>
            </w:pPr>
          </w:p>
        </w:tc>
        <w:tc>
          <w:tcPr>
            <w:tcW w:w="13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left w:val="single" w:sz="8" w:color="E5FFFF"/>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66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40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6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of January 1, 2019</w:t>
            </w:r>
          </w:p>
        </w:tc>
        <w:tc>
          <w:tcPr>
            <w:tcW w:w="15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4,482,857</w:t>
            </w:r>
          </w:p>
        </w:tc>
        <w:tc>
          <w:tcPr>
            <w:tcW w:w="340" w:type="dxa"/>
            <w:vAlign w:val="bottom"/>
            <w:tcBorders>
              <w:left w:val="single" w:sz="8" w:color="E5FFFF"/>
            </w:tcBorders>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40" w:type="dxa"/>
            <w:vAlign w:val="bottom"/>
            <w:gridSpan w:val="4"/>
            <w:shd w:val="clear" w:color="auto" w:fill="E5FFFF"/>
          </w:tcPr>
          <w:p>
            <w:pPr>
              <w:jc w:val="right"/>
              <w:ind w:right="51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4,482,857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Additions</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256,888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(7,245)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249,643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Returns for capital expenditures</w:t>
            </w:r>
          </w:p>
        </w:tc>
        <w:tc>
          <w:tcPr>
            <w:tcW w:w="6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left w:val="single" w:sz="8" w:color="E5FFFF"/>
            </w:tcBorders>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(5,629)</w:t>
            </w:r>
          </w:p>
        </w:tc>
        <w:tc>
          <w:tcPr>
            <w:tcW w:w="1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40" w:type="dxa"/>
            <w:vAlign w:val="bottom"/>
            <w:gridSpan w:val="4"/>
            <w:shd w:val="clear" w:color="auto" w:fill="E5FFFF"/>
          </w:tcPr>
          <w:p>
            <w:pPr>
              <w:jc w:val="right"/>
              <w:ind w:right="51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(5,629)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Depreciation expense</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(75,869)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(75,869)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w w:val="96"/>
              </w:rPr>
              <w:t>Tangible fixed assets and vessels under construction</w:t>
            </w:r>
          </w:p>
        </w:tc>
        <w:tc>
          <w:tcPr>
            <w:tcW w:w="60" w:type="dxa"/>
            <w:vAlign w:val="bottom"/>
            <w:shd w:val="clear" w:color="auto" w:fill="E5FF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vMerge w:val="continue"/>
            <w:shd w:val="clear" w:color="auto" w:fill="E5FFFF"/>
          </w:tcPr>
          <w:p>
            <w:pPr>
              <w:spacing w:after="0"/>
              <w:rPr>
                <w:sz w:val="14"/>
                <w:szCs w:val="14"/>
                <w:color w:val="auto"/>
              </w:rPr>
            </w:pPr>
          </w:p>
        </w:tc>
        <w:tc>
          <w:tcPr>
            <w:tcW w:w="60" w:type="dxa"/>
            <w:vAlign w:val="bottom"/>
            <w:vMerge w:val="restart"/>
            <w:shd w:val="clear" w:color="auto" w:fill="E5FFFF"/>
          </w:tcPr>
          <w:p>
            <w:pPr>
              <w:spacing w:after="0"/>
              <w:rPr>
                <w:sz w:val="14"/>
                <w:szCs w:val="14"/>
                <w:color w:val="auto"/>
              </w:rPr>
            </w:pPr>
          </w:p>
        </w:tc>
        <w:tc>
          <w:tcPr>
            <w:tcW w:w="152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4,482,857</w:t>
            </w:r>
          </w:p>
        </w:tc>
        <w:tc>
          <w:tcPr>
            <w:tcW w:w="340" w:type="dxa"/>
            <w:vAlign w:val="bottom"/>
            <w:tcBorders>
              <w:left w:val="single" w:sz="8" w:color="E5FFFF"/>
            </w:tcBorders>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251,259</w:t>
            </w:r>
          </w:p>
        </w:tc>
        <w:tc>
          <w:tcPr>
            <w:tcW w:w="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40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200" w:type="dxa"/>
            <w:vAlign w:val="bottom"/>
            <w:gridSpan w:val="2"/>
            <w:vMerge w:val="restart"/>
            <w:shd w:val="clear" w:color="auto" w:fill="E5FFFF"/>
          </w:tcPr>
          <w:p>
            <w:pPr>
              <w:jc w:val="right"/>
              <w:ind w:right="119"/>
              <w:spacing w:after="0"/>
              <w:rPr>
                <w:sz w:val="20"/>
                <w:szCs w:val="20"/>
                <w:color w:val="auto"/>
              </w:rPr>
            </w:pPr>
            <w:r>
              <w:rPr>
                <w:rFonts w:ascii="Arial" w:cs="Arial" w:eastAsia="Arial" w:hAnsi="Arial"/>
                <w:sz w:val="16"/>
                <w:szCs w:val="16"/>
                <w:b w:val="1"/>
                <w:bCs w:val="1"/>
                <w:color w:val="auto"/>
              </w:rPr>
              <w:t>(83,114)</w:t>
            </w:r>
          </w:p>
        </w:tc>
        <w:tc>
          <w:tcPr>
            <w:tcW w:w="1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340" w:type="dxa"/>
            <w:vAlign w:val="bottom"/>
            <w:gridSpan w:val="3"/>
            <w:vMerge w:val="restart"/>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4,651,002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 of June 30, 2019</w:t>
            </w:r>
          </w:p>
        </w:tc>
        <w:tc>
          <w:tcPr>
            <w:tcW w:w="60" w:type="dxa"/>
            <w:vAlign w:val="bottom"/>
            <w:vMerge w:val="continue"/>
            <w:shd w:val="clear" w:color="auto" w:fill="E5FFFF"/>
          </w:tcPr>
          <w:p>
            <w:pPr>
              <w:spacing w:after="0"/>
              <w:rPr>
                <w:sz w:val="17"/>
                <w:szCs w:val="17"/>
                <w:color w:val="auto"/>
              </w:rPr>
            </w:pPr>
          </w:p>
        </w:tc>
        <w:tc>
          <w:tcPr>
            <w:tcW w:w="1520" w:type="dxa"/>
            <w:vAlign w:val="bottom"/>
            <w:gridSpan w:val="2"/>
            <w:vMerge w:val="continue"/>
            <w:shd w:val="clear" w:color="auto" w:fill="E5FFFF"/>
          </w:tcPr>
          <w:p>
            <w:pPr>
              <w:spacing w:after="0"/>
              <w:rPr>
                <w:sz w:val="17"/>
                <w:szCs w:val="17"/>
                <w:color w:val="auto"/>
              </w:rPr>
            </w:pPr>
          </w:p>
        </w:tc>
        <w:tc>
          <w:tcPr>
            <w:tcW w:w="340" w:type="dxa"/>
            <w:vAlign w:val="bottom"/>
            <w:tcBorders>
              <w:left w:val="single" w:sz="8" w:color="E5FFFF"/>
            </w:tcBorders>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60" w:type="dxa"/>
            <w:vAlign w:val="bottom"/>
            <w:vMerge w:val="continue"/>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0" w:type="dxa"/>
            <w:vAlign w:val="bottom"/>
            <w:gridSpan w:val="2"/>
            <w:vMerge w:val="continue"/>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gridSpan w:val="3"/>
            <w:vMerge w:val="continue"/>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Opening balance</w:t>
            </w:r>
          </w:p>
        </w:tc>
        <w:tc>
          <w:tcPr>
            <w:tcW w:w="340" w:type="dxa"/>
            <w:vAlign w:val="bottom"/>
          </w:tcPr>
          <w:p>
            <w:pPr>
              <w:spacing w:after="0"/>
              <w:rPr>
                <w:sz w:val="24"/>
                <w:szCs w:val="24"/>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Cash flows</w:t>
            </w:r>
          </w:p>
        </w:tc>
        <w:tc>
          <w:tcPr>
            <w:tcW w:w="120" w:type="dxa"/>
            <w:vAlign w:val="bottom"/>
          </w:tcPr>
          <w:p>
            <w:pPr>
              <w:spacing w:after="0"/>
              <w:rPr>
                <w:sz w:val="24"/>
                <w:szCs w:val="24"/>
                <w:color w:val="auto"/>
              </w:rPr>
            </w:pPr>
          </w:p>
        </w:tc>
        <w:tc>
          <w:tcPr>
            <w:tcW w:w="2180" w:type="dxa"/>
            <w:vAlign w:val="bottom"/>
            <w:gridSpan w:val="6"/>
          </w:tcPr>
          <w:p>
            <w:pPr>
              <w:jc w:val="right"/>
              <w:ind w:right="779"/>
              <w:spacing w:after="0"/>
              <w:rPr>
                <w:sz w:val="20"/>
                <w:szCs w:val="20"/>
                <w:color w:val="auto"/>
              </w:rPr>
            </w:pPr>
            <w:r>
              <w:rPr>
                <w:rFonts w:ascii="Arial" w:cs="Arial" w:eastAsia="Arial" w:hAnsi="Arial"/>
                <w:sz w:val="16"/>
                <w:szCs w:val="16"/>
                <w:b w:val="1"/>
                <w:bCs w:val="1"/>
                <w:color w:val="auto"/>
              </w:rPr>
              <w:t>Non-cash items</w:t>
            </w:r>
          </w:p>
        </w:tc>
        <w:tc>
          <w:tcPr>
            <w:tcW w:w="134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4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w w:val="98"/>
              </w:rPr>
              <w:t>Tangible fixed assets and vessels under construction as</w:t>
            </w:r>
          </w:p>
        </w:tc>
        <w:tc>
          <w:tcPr>
            <w:tcW w:w="60" w:type="dxa"/>
            <w:vAlign w:val="bottom"/>
            <w:tcBorders>
              <w:top w:val="single" w:sz="8" w:color="E5FFFF"/>
            </w:tcBorders>
            <w:shd w:val="clear" w:color="auto" w:fill="E5FFFF"/>
          </w:tcPr>
          <w:p>
            <w:pPr>
              <w:spacing w:after="0"/>
              <w:rPr>
                <w:sz w:val="15"/>
                <w:szCs w:val="15"/>
                <w:color w:val="auto"/>
              </w:rPr>
            </w:pPr>
          </w:p>
        </w:tc>
        <w:tc>
          <w:tcPr>
            <w:tcW w:w="13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left w:val="single" w:sz="8" w:color="E5FFFF"/>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66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40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6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auto"/>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of January 1, 2020</w:t>
            </w:r>
          </w:p>
        </w:tc>
        <w:tc>
          <w:tcPr>
            <w:tcW w:w="15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4,630,388</w:t>
            </w:r>
          </w:p>
        </w:tc>
        <w:tc>
          <w:tcPr>
            <w:tcW w:w="340" w:type="dxa"/>
            <w:vAlign w:val="bottom"/>
            <w:tcBorders>
              <w:left w:val="single" w:sz="8" w:color="E5FFFF"/>
            </w:tcBorders>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40" w:type="dxa"/>
            <w:vAlign w:val="bottom"/>
            <w:gridSpan w:val="4"/>
            <w:shd w:val="clear" w:color="auto" w:fill="E5FFFF"/>
          </w:tcPr>
          <w:p>
            <w:pPr>
              <w:jc w:val="right"/>
              <w:ind w:right="51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4,630,388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Additions (Note 5)</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374,605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1,239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color w:val="auto"/>
              </w:rPr>
              <w:t>375,844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Disposals (Note 5)</w:t>
            </w:r>
          </w:p>
        </w:tc>
        <w:tc>
          <w:tcPr>
            <w:tcW w:w="6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left w:val="single" w:sz="8" w:color="E5FFFF"/>
            </w:tcBorders>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(3,029)</w:t>
            </w: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(3,029)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color w:val="auto"/>
              </w:rPr>
              <w:t>Depreciation expense (Note 5)</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(79,745)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(79,745)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 (Note 5)</w:t>
            </w:r>
          </w:p>
        </w:tc>
        <w:tc>
          <w:tcPr>
            <w:tcW w:w="6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left w:val="single" w:sz="8" w:color="E5FFFF"/>
            </w:tcBorders>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ind w:right="119"/>
              <w:spacing w:after="0"/>
              <w:rPr>
                <w:sz w:val="20"/>
                <w:szCs w:val="20"/>
                <w:color w:val="auto"/>
              </w:rPr>
            </w:pPr>
            <w:r>
              <w:rPr>
                <w:rFonts w:ascii="Arial" w:cs="Arial" w:eastAsia="Arial" w:hAnsi="Arial"/>
                <w:sz w:val="16"/>
                <w:szCs w:val="16"/>
                <w:color w:val="auto"/>
              </w:rPr>
              <w:t>(22,454)</w:t>
            </w: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(22,454)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6"/>
                <w:szCs w:val="16"/>
                <w:b w:val="1"/>
                <w:bCs w:val="1"/>
                <w:color w:val="auto"/>
                <w:w w:val="96"/>
              </w:rPr>
              <w:t>Tangible fixed assets and vessels under construction</w:t>
            </w:r>
          </w:p>
        </w:tc>
        <w:tc>
          <w:tcPr>
            <w:tcW w:w="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vMerge w:val="continue"/>
          </w:tcPr>
          <w:p>
            <w:pPr>
              <w:spacing w:after="0"/>
              <w:rPr>
                <w:sz w:val="14"/>
                <w:szCs w:val="14"/>
                <w:color w:val="auto"/>
              </w:rPr>
            </w:pPr>
          </w:p>
        </w:tc>
        <w:tc>
          <w:tcPr>
            <w:tcW w:w="60" w:type="dxa"/>
            <w:vAlign w:val="bottom"/>
            <w:vMerge w:val="restart"/>
          </w:tcPr>
          <w:p>
            <w:pPr>
              <w:spacing w:after="0"/>
              <w:rPr>
                <w:sz w:val="14"/>
                <w:szCs w:val="14"/>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4,630,388</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374,605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119"/>
              <w:spacing w:after="0"/>
              <w:rPr>
                <w:sz w:val="20"/>
                <w:szCs w:val="20"/>
                <w:color w:val="auto"/>
              </w:rPr>
            </w:pPr>
            <w:r>
              <w:rPr>
                <w:rFonts w:ascii="Arial" w:cs="Arial" w:eastAsia="Arial" w:hAnsi="Arial"/>
                <w:sz w:val="16"/>
                <w:szCs w:val="16"/>
                <w:b w:val="1"/>
                <w:bCs w:val="1"/>
                <w:color w:val="auto"/>
              </w:rPr>
              <w:t>(103,989)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rPr>
              <w:t>4,901,004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Arial" w:cs="Arial" w:eastAsia="Arial" w:hAnsi="Arial"/>
                <w:sz w:val="16"/>
                <w:szCs w:val="16"/>
                <w:b w:val="1"/>
                <w:bCs w:val="1"/>
                <w:color w:val="auto"/>
              </w:rPr>
              <w:t>as of June 30, 2020</w:t>
            </w:r>
          </w:p>
        </w:tc>
        <w:tc>
          <w:tcPr>
            <w:tcW w:w="6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gridSpan w:val="4"/>
          </w:tcPr>
          <w:p>
            <w:pPr>
              <w:jc w:val="right"/>
              <w:ind w:right="1020"/>
              <w:spacing w:after="0"/>
              <w:rPr>
                <w:sz w:val="20"/>
                <w:szCs w:val="20"/>
                <w:color w:val="auto"/>
              </w:rPr>
            </w:pPr>
            <w:r>
              <w:rPr>
                <w:rFonts w:ascii="Arial" w:cs="Arial" w:eastAsia="Arial" w:hAnsi="Arial"/>
                <w:sz w:val="14"/>
                <w:szCs w:val="14"/>
                <w:color w:val="auto"/>
              </w:rPr>
              <w:t>F-19</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type w:val="continuous"/>
        </w:sectPr>
      </w:pPr>
    </w:p>
    <w:bookmarkStart w:id="255" w:name="page256"/>
    <w:bookmarkEnd w:id="255"/>
    <w:p>
      <w:pPr>
        <w:ind w:left="42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Opening balance</w:t>
            </w:r>
          </w:p>
        </w:tc>
        <w:tc>
          <w:tcPr>
            <w:tcW w:w="17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Cash flows</w:t>
            </w:r>
          </w:p>
        </w:tc>
        <w:tc>
          <w:tcPr>
            <w:tcW w:w="19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Non-cash items</w:t>
            </w:r>
          </w:p>
        </w:tc>
        <w:tc>
          <w:tcPr>
            <w:tcW w:w="2080" w:type="dxa"/>
            <w:vAlign w:val="bottom"/>
            <w:gridSpan w:val="2"/>
          </w:tcPr>
          <w:p>
            <w:pPr>
              <w:ind w:left="8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2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2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40" w:type="dxa"/>
            <w:vAlign w:val="bottom"/>
          </w:tcPr>
          <w:p>
            <w:pPr>
              <w:spacing w:after="0"/>
              <w:rPr>
                <w:sz w:val="17"/>
                <w:szCs w:val="17"/>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Lease charge (Note 18)</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300"/>
              <w:spacing w:after="0"/>
              <w:rPr>
                <w:sz w:val="20"/>
                <w:szCs w:val="20"/>
                <w:color w:val="auto"/>
              </w:rPr>
            </w:pPr>
            <w:r>
              <w:rPr>
                <w:rFonts w:ascii="Arial" w:cs="Arial" w:eastAsia="Arial" w:hAnsi="Arial"/>
                <w:sz w:val="16"/>
                <w:szCs w:val="16"/>
                <w:color w:val="auto"/>
              </w:rPr>
              <w:t>5,264</w:t>
            </w:r>
          </w:p>
        </w:tc>
        <w:tc>
          <w:tcPr>
            <w:tcW w:w="2040" w:type="dxa"/>
            <w:vAlign w:val="bottom"/>
          </w:tcPr>
          <w:p>
            <w:pPr>
              <w:jc w:val="right"/>
              <w:spacing w:after="0"/>
              <w:rPr>
                <w:sz w:val="20"/>
                <w:szCs w:val="20"/>
                <w:color w:val="auto"/>
              </w:rPr>
            </w:pPr>
            <w:r>
              <w:rPr>
                <w:rFonts w:ascii="Arial" w:cs="Arial" w:eastAsia="Arial" w:hAnsi="Arial"/>
                <w:sz w:val="16"/>
                <w:szCs w:val="16"/>
                <w:color w:val="auto"/>
              </w:rPr>
              <w:t>5,264</w:t>
            </w:r>
          </w:p>
        </w:tc>
        <w:tc>
          <w:tcPr>
            <w:tcW w:w="40" w:type="dxa"/>
            <w:vAlign w:val="bottom"/>
          </w:tcPr>
          <w:p>
            <w:pPr>
              <w:spacing w:after="0"/>
              <w:rPr>
                <w:sz w:val="17"/>
                <w:szCs w:val="17"/>
                <w:color w:val="auto"/>
              </w:rPr>
            </w:pPr>
          </w:p>
        </w:tc>
      </w:tr>
      <w:tr>
        <w:trPr>
          <w:trHeight w:val="203"/>
        </w:trPr>
        <w:tc>
          <w:tcPr>
            <w:tcW w:w="3580" w:type="dxa"/>
            <w:vAlign w:val="bottom"/>
            <w:shd w:val="clear" w:color="auto" w:fill="E5FFFF"/>
          </w:tcPr>
          <w:p>
            <w:pPr>
              <w:spacing w:after="0"/>
              <w:rPr>
                <w:sz w:val="20"/>
                <w:szCs w:val="20"/>
                <w:color w:val="auto"/>
              </w:rPr>
            </w:pPr>
            <w:r>
              <w:rPr>
                <w:rFonts w:ascii="Arial" w:cs="Arial" w:eastAsia="Arial" w:hAnsi="Arial"/>
                <w:sz w:val="16"/>
                <w:szCs w:val="16"/>
                <w:color w:val="auto"/>
              </w:rPr>
              <w:t>Additions</w:t>
            </w:r>
          </w:p>
        </w:tc>
        <w:tc>
          <w:tcPr>
            <w:tcW w:w="18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1,081</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1,081</w:t>
            </w:r>
          </w:p>
        </w:tc>
        <w:tc>
          <w:tcPr>
            <w:tcW w:w="40" w:type="dxa"/>
            <w:vAlign w:val="bottom"/>
          </w:tcPr>
          <w:p>
            <w:pPr>
              <w:spacing w:after="0"/>
              <w:rPr>
                <w:sz w:val="17"/>
                <w:szCs w:val="17"/>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Payments for interest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(5,266)</w:t>
            </w:r>
          </w:p>
        </w:tc>
        <w:tc>
          <w:tcPr>
            <w:tcW w:w="1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(5,266)</w:t>
            </w:r>
          </w:p>
        </w:tc>
        <w:tc>
          <w:tcPr>
            <w:tcW w:w="40" w:type="dxa"/>
            <w:vAlign w:val="bottom"/>
          </w:tcPr>
          <w:p>
            <w:pPr>
              <w:spacing w:after="0"/>
              <w:rPr>
                <w:sz w:val="17"/>
                <w:szCs w:val="17"/>
                <w:color w:val="auto"/>
              </w:rPr>
            </w:pPr>
          </w:p>
        </w:tc>
      </w:tr>
      <w:tr>
        <w:trPr>
          <w:trHeight w:val="203"/>
        </w:trPr>
        <w:tc>
          <w:tcPr>
            <w:tcW w:w="358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(4,770)</w:t>
            </w:r>
          </w:p>
        </w:tc>
        <w:tc>
          <w:tcPr>
            <w:tcW w:w="19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(46)</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(4,816)</w:t>
            </w:r>
          </w:p>
        </w:tc>
        <w:tc>
          <w:tcPr>
            <w:tcW w:w="40" w:type="dxa"/>
            <w:vAlign w:val="bottom"/>
          </w:tcPr>
          <w:p>
            <w:pPr>
              <w:spacing w:after="0"/>
              <w:rPr>
                <w:sz w:val="17"/>
                <w:szCs w:val="17"/>
                <w:color w:val="auto"/>
              </w:rPr>
            </w:pPr>
          </w:p>
        </w:tc>
      </w:tr>
      <w:tr>
        <w:trPr>
          <w:trHeight w:val="20"/>
        </w:trPr>
        <w:tc>
          <w:tcPr>
            <w:tcW w:w="3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580" w:type="dxa"/>
            <w:vAlign w:val="bottom"/>
          </w:tcPr>
          <w:p>
            <w:pPr>
              <w:spacing w:after="0"/>
              <w:rPr>
                <w:sz w:val="20"/>
                <w:szCs w:val="20"/>
                <w:color w:val="auto"/>
              </w:rPr>
            </w:pPr>
            <w:r>
              <w:rPr>
                <w:rFonts w:ascii="Arial" w:cs="Arial" w:eastAsia="Arial" w:hAnsi="Arial"/>
                <w:sz w:val="16"/>
                <w:szCs w:val="16"/>
                <w:b w:val="1"/>
                <w:bCs w:val="1"/>
                <w:color w:val="auto"/>
              </w:rPr>
              <w:t>Lease liabilities as of June 30, 2019</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213,374</w:t>
            </w:r>
          </w:p>
        </w:tc>
        <w:tc>
          <w:tcPr>
            <w:tcW w:w="22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(10,036)</w:t>
            </w:r>
          </w:p>
        </w:tc>
        <w:tc>
          <w:tcPr>
            <w:tcW w:w="1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6,299</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209,637</w:t>
            </w:r>
          </w:p>
        </w:tc>
        <w:tc>
          <w:tcPr>
            <w:tcW w:w="4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3580" w:type="dxa"/>
            <w:vAlign w:val="bottom"/>
          </w:tcPr>
          <w:p>
            <w:pPr>
              <w:spacing w:after="0"/>
              <w:rPr>
                <w:sz w:val="24"/>
                <w:szCs w:val="24"/>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Opening balance</w:t>
            </w:r>
          </w:p>
        </w:tc>
        <w:tc>
          <w:tcPr>
            <w:tcW w:w="17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Cash flows</w:t>
            </w:r>
          </w:p>
        </w:tc>
        <w:tc>
          <w:tcPr>
            <w:tcW w:w="19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Non-cash items</w:t>
            </w:r>
          </w:p>
        </w:tc>
        <w:tc>
          <w:tcPr>
            <w:tcW w:w="2080" w:type="dxa"/>
            <w:vAlign w:val="bottom"/>
            <w:gridSpan w:val="2"/>
          </w:tcPr>
          <w:p>
            <w:pPr>
              <w:ind w:left="8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2020</w:t>
            </w: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204,930</w:t>
            </w:r>
          </w:p>
        </w:tc>
        <w:tc>
          <w:tcPr>
            <w:tcW w:w="22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2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204,930</w:t>
            </w:r>
          </w:p>
        </w:tc>
        <w:tc>
          <w:tcPr>
            <w:tcW w:w="40" w:type="dxa"/>
            <w:vAlign w:val="bottom"/>
          </w:tcPr>
          <w:p>
            <w:pPr>
              <w:spacing w:after="0"/>
              <w:rPr>
                <w:sz w:val="17"/>
                <w:szCs w:val="17"/>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Lease charge (Note 18)</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300"/>
              <w:spacing w:after="0"/>
              <w:rPr>
                <w:sz w:val="20"/>
                <w:szCs w:val="20"/>
                <w:color w:val="auto"/>
              </w:rPr>
            </w:pPr>
            <w:r>
              <w:rPr>
                <w:rFonts w:ascii="Arial" w:cs="Arial" w:eastAsia="Arial" w:hAnsi="Arial"/>
                <w:sz w:val="16"/>
                <w:szCs w:val="16"/>
                <w:color w:val="auto"/>
              </w:rPr>
              <w:t>5,075</w:t>
            </w:r>
          </w:p>
        </w:tc>
        <w:tc>
          <w:tcPr>
            <w:tcW w:w="2040" w:type="dxa"/>
            <w:vAlign w:val="bottom"/>
          </w:tcPr>
          <w:p>
            <w:pPr>
              <w:jc w:val="right"/>
              <w:spacing w:after="0"/>
              <w:rPr>
                <w:sz w:val="20"/>
                <w:szCs w:val="20"/>
                <w:color w:val="auto"/>
              </w:rPr>
            </w:pPr>
            <w:r>
              <w:rPr>
                <w:rFonts w:ascii="Arial" w:cs="Arial" w:eastAsia="Arial" w:hAnsi="Arial"/>
                <w:sz w:val="16"/>
                <w:szCs w:val="16"/>
                <w:color w:val="auto"/>
              </w:rPr>
              <w:t>5,075</w:t>
            </w:r>
          </w:p>
        </w:tc>
        <w:tc>
          <w:tcPr>
            <w:tcW w:w="40" w:type="dxa"/>
            <w:vAlign w:val="bottom"/>
          </w:tcPr>
          <w:p>
            <w:pPr>
              <w:spacing w:after="0"/>
              <w:rPr>
                <w:sz w:val="17"/>
                <w:szCs w:val="17"/>
                <w:color w:val="auto"/>
              </w:rPr>
            </w:pPr>
          </w:p>
        </w:tc>
      </w:tr>
      <w:tr>
        <w:trPr>
          <w:trHeight w:val="203"/>
        </w:trPr>
        <w:tc>
          <w:tcPr>
            <w:tcW w:w="3580" w:type="dxa"/>
            <w:vAlign w:val="bottom"/>
            <w:shd w:val="clear" w:color="auto" w:fill="E5FFFF"/>
          </w:tcPr>
          <w:p>
            <w:pPr>
              <w:spacing w:after="0"/>
              <w:rPr>
                <w:sz w:val="20"/>
                <w:szCs w:val="20"/>
                <w:color w:val="auto"/>
              </w:rPr>
            </w:pPr>
            <w:r>
              <w:rPr>
                <w:rFonts w:ascii="Arial" w:cs="Arial" w:eastAsia="Arial" w:hAnsi="Arial"/>
                <w:sz w:val="16"/>
                <w:szCs w:val="16"/>
                <w:color w:val="auto"/>
              </w:rPr>
              <w:t>Additions</w:t>
            </w:r>
          </w:p>
        </w:tc>
        <w:tc>
          <w:tcPr>
            <w:tcW w:w="18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1,047</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1,047</w:t>
            </w:r>
          </w:p>
        </w:tc>
        <w:tc>
          <w:tcPr>
            <w:tcW w:w="40" w:type="dxa"/>
            <w:vAlign w:val="bottom"/>
          </w:tcPr>
          <w:p>
            <w:pPr>
              <w:spacing w:after="0"/>
              <w:rPr>
                <w:sz w:val="17"/>
                <w:szCs w:val="17"/>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Payments for interest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(5,069)</w:t>
            </w:r>
          </w:p>
        </w:tc>
        <w:tc>
          <w:tcPr>
            <w:tcW w:w="1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(5,069)</w:t>
            </w:r>
          </w:p>
        </w:tc>
        <w:tc>
          <w:tcPr>
            <w:tcW w:w="40" w:type="dxa"/>
            <w:vAlign w:val="bottom"/>
          </w:tcPr>
          <w:p>
            <w:pPr>
              <w:spacing w:after="0"/>
              <w:rPr>
                <w:sz w:val="17"/>
                <w:szCs w:val="17"/>
                <w:color w:val="auto"/>
              </w:rPr>
            </w:pPr>
          </w:p>
        </w:tc>
      </w:tr>
      <w:tr>
        <w:trPr>
          <w:trHeight w:val="203"/>
        </w:trPr>
        <w:tc>
          <w:tcPr>
            <w:tcW w:w="358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1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(5,182)</w:t>
            </w:r>
          </w:p>
        </w:tc>
        <w:tc>
          <w:tcPr>
            <w:tcW w:w="19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(108)</w:t>
            </w:r>
          </w:p>
        </w:tc>
        <w:tc>
          <w:tcPr>
            <w:tcW w:w="20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(5,290)</w:t>
            </w:r>
          </w:p>
        </w:tc>
        <w:tc>
          <w:tcPr>
            <w:tcW w:w="40" w:type="dxa"/>
            <w:vAlign w:val="bottom"/>
          </w:tcPr>
          <w:p>
            <w:pPr>
              <w:spacing w:after="0"/>
              <w:rPr>
                <w:sz w:val="17"/>
                <w:szCs w:val="17"/>
                <w:color w:val="auto"/>
              </w:rPr>
            </w:pPr>
          </w:p>
        </w:tc>
      </w:tr>
      <w:tr>
        <w:trPr>
          <w:trHeight w:val="20"/>
        </w:trPr>
        <w:tc>
          <w:tcPr>
            <w:tcW w:w="3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3580" w:type="dxa"/>
            <w:vAlign w:val="bottom"/>
          </w:tcPr>
          <w:p>
            <w:pPr>
              <w:spacing w:after="0"/>
              <w:rPr>
                <w:sz w:val="20"/>
                <w:szCs w:val="20"/>
                <w:color w:val="auto"/>
              </w:rPr>
            </w:pPr>
            <w:r>
              <w:rPr>
                <w:rFonts w:ascii="Arial" w:cs="Arial" w:eastAsia="Arial" w:hAnsi="Arial"/>
                <w:sz w:val="16"/>
                <w:szCs w:val="16"/>
                <w:b w:val="1"/>
                <w:bCs w:val="1"/>
                <w:color w:val="auto"/>
              </w:rPr>
              <w:t>Lease liabilities as of June 30, 2020</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204,930</w:t>
            </w:r>
          </w:p>
        </w:tc>
        <w:tc>
          <w:tcPr>
            <w:tcW w:w="22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(10,251)</w:t>
            </w:r>
          </w:p>
        </w:tc>
        <w:tc>
          <w:tcPr>
            <w:tcW w:w="1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6,014</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200,693</w:t>
            </w:r>
          </w:p>
        </w:tc>
        <w:tc>
          <w:tcPr>
            <w:tcW w:w="40" w:type="dxa"/>
            <w:vAlign w:val="bottom"/>
          </w:tcPr>
          <w:p>
            <w:pPr>
              <w:spacing w:after="0"/>
              <w:rPr>
                <w:sz w:val="24"/>
                <w:szCs w:val="24"/>
                <w:color w:val="auto"/>
              </w:rPr>
            </w:pPr>
          </w:p>
        </w:tc>
      </w:tr>
      <w:tr>
        <w:trPr>
          <w:trHeight w:val="20"/>
        </w:trPr>
        <w:tc>
          <w:tcPr>
            <w:tcW w:w="35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equity offerings arising from financing activities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4"/>
          </w:tcPr>
          <w:p>
            <w:pPr>
              <w:ind w:left="340"/>
              <w:spacing w:after="0"/>
              <w:rPr>
                <w:sz w:val="20"/>
                <w:szCs w:val="20"/>
                <w:color w:val="auto"/>
              </w:rPr>
            </w:pPr>
            <w:r>
              <w:rPr>
                <w:rFonts w:ascii="Arial" w:cs="Arial" w:eastAsia="Arial" w:hAnsi="Arial"/>
                <w:sz w:val="16"/>
                <w:szCs w:val="16"/>
                <w:b w:val="1"/>
                <w:bCs w:val="1"/>
                <w:color w:val="auto"/>
              </w:rPr>
              <w:t>Cash flows</w:t>
            </w:r>
          </w:p>
        </w:tc>
        <w:tc>
          <w:tcPr>
            <w:tcW w:w="1940" w:type="dxa"/>
            <w:vAlign w:val="bottom"/>
            <w:gridSpan w:val="4"/>
          </w:tcPr>
          <w:p>
            <w:pPr>
              <w:ind w:left="300"/>
              <w:spacing w:after="0"/>
              <w:rPr>
                <w:sz w:val="20"/>
                <w:szCs w:val="20"/>
                <w:color w:val="auto"/>
              </w:rPr>
            </w:pPr>
            <w:r>
              <w:rPr>
                <w:rFonts w:ascii="Arial" w:cs="Arial" w:eastAsia="Arial" w:hAnsi="Arial"/>
                <w:sz w:val="16"/>
                <w:szCs w:val="16"/>
                <w:b w:val="1"/>
                <w:bCs w:val="1"/>
                <w:color w:val="auto"/>
              </w:rPr>
              <w:t>Non-cash items</w:t>
            </w:r>
          </w:p>
        </w:tc>
        <w:tc>
          <w:tcPr>
            <w:tcW w:w="206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44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Equity related costs</w:t>
            </w:r>
          </w:p>
        </w:tc>
        <w:tc>
          <w:tcPr>
            <w:tcW w:w="1420" w:type="dxa"/>
            <w:vAlign w:val="bottom"/>
            <w:tcBorders>
              <w:top w:val="single" w:sz="8" w:color="auto"/>
              <w:bottom w:val="single" w:sz="8" w:color="auto"/>
            </w:tcBorders>
            <w:gridSpan w:val="2"/>
            <w:shd w:val="clear" w:color="auto" w:fill="E5FFFF"/>
          </w:tcPr>
          <w:p>
            <w:pPr>
              <w:ind w:left="1120"/>
              <w:spacing w:after="0"/>
              <w:rPr>
                <w:sz w:val="20"/>
                <w:szCs w:val="20"/>
                <w:color w:val="auto"/>
              </w:rPr>
            </w:pPr>
            <w:r>
              <w:rPr>
                <w:rFonts w:ascii="Arial" w:cs="Arial" w:eastAsia="Arial" w:hAnsi="Arial"/>
                <w:sz w:val="16"/>
                <w:szCs w:val="16"/>
                <w:color w:val="auto"/>
                <w:w w:val="74"/>
              </w:rPr>
              <w:t>(894)</w:t>
            </w: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406</w:t>
            </w:r>
          </w:p>
        </w:tc>
        <w:tc>
          <w:tcPr>
            <w:tcW w:w="1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0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(488)</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Net payments for equity offerings in the period ended June 30, 2019</w:t>
            </w:r>
          </w:p>
        </w:tc>
        <w:tc>
          <w:tcPr>
            <w:tcW w:w="1420" w:type="dxa"/>
            <w:vAlign w:val="bottom"/>
            <w:tcBorders>
              <w:bottom w:val="single" w:sz="8" w:color="auto"/>
            </w:tcBorders>
            <w:gridSpan w:val="2"/>
          </w:tcPr>
          <w:p>
            <w:pPr>
              <w:ind w:left="1120"/>
              <w:spacing w:after="0"/>
              <w:rPr>
                <w:sz w:val="20"/>
                <w:szCs w:val="20"/>
                <w:color w:val="auto"/>
              </w:rPr>
            </w:pPr>
            <w:r>
              <w:rPr>
                <w:rFonts w:ascii="Arial" w:cs="Arial" w:eastAsia="Arial" w:hAnsi="Arial"/>
                <w:sz w:val="16"/>
                <w:szCs w:val="16"/>
                <w:b w:val="1"/>
                <w:bCs w:val="1"/>
                <w:color w:val="auto"/>
                <w:w w:val="87"/>
              </w:rPr>
              <w:t>(894</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(488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4"/>
          </w:tcPr>
          <w:p>
            <w:pPr>
              <w:ind w:left="260"/>
              <w:spacing w:after="0"/>
              <w:rPr>
                <w:sz w:val="20"/>
                <w:szCs w:val="20"/>
                <w:color w:val="auto"/>
              </w:rPr>
            </w:pPr>
            <w:r>
              <w:rPr>
                <w:rFonts w:ascii="Arial" w:cs="Arial" w:eastAsia="Arial" w:hAnsi="Arial"/>
                <w:sz w:val="16"/>
                <w:szCs w:val="16"/>
                <w:b w:val="1"/>
                <w:bCs w:val="1"/>
                <w:color w:val="auto"/>
              </w:rPr>
              <w:t>Cash flows</w:t>
            </w:r>
          </w:p>
        </w:tc>
        <w:tc>
          <w:tcPr>
            <w:tcW w:w="1940" w:type="dxa"/>
            <w:vAlign w:val="bottom"/>
            <w:gridSpan w:val="4"/>
          </w:tcPr>
          <w:p>
            <w:pPr>
              <w:ind w:left="180"/>
              <w:spacing w:after="0"/>
              <w:rPr>
                <w:sz w:val="20"/>
                <w:szCs w:val="20"/>
                <w:color w:val="auto"/>
              </w:rPr>
            </w:pPr>
            <w:r>
              <w:rPr>
                <w:rFonts w:ascii="Arial" w:cs="Arial" w:eastAsia="Arial" w:hAnsi="Arial"/>
                <w:sz w:val="16"/>
                <w:szCs w:val="16"/>
                <w:b w:val="1"/>
                <w:bCs w:val="1"/>
                <w:color w:val="auto"/>
              </w:rPr>
              <w:t>Non-cash items</w:t>
            </w:r>
          </w:p>
        </w:tc>
        <w:tc>
          <w:tcPr>
            <w:tcW w:w="20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Proceeds from equity offerings</w:t>
            </w:r>
          </w:p>
        </w:tc>
        <w:tc>
          <w:tcPr>
            <w:tcW w:w="80" w:type="dxa"/>
            <w:vAlign w:val="bottom"/>
            <w:tcBorders>
              <w:top w:val="single" w:sz="8" w:color="auto"/>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36,000</w:t>
            </w:r>
          </w:p>
        </w:tc>
        <w:tc>
          <w:tcPr>
            <w:tcW w:w="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ind w:left="1360"/>
              <w:spacing w:after="0"/>
              <w:rPr>
                <w:sz w:val="20"/>
                <w:szCs w:val="20"/>
                <w:color w:val="auto"/>
              </w:rPr>
            </w:pPr>
            <w:r>
              <w:rPr>
                <w:rFonts w:ascii="Arial" w:cs="Arial" w:eastAsia="Arial" w:hAnsi="Arial"/>
                <w:sz w:val="16"/>
                <w:szCs w:val="16"/>
                <w:color w:val="auto"/>
                <w:w w:val="87"/>
              </w:rPr>
              <w:t>—</w:t>
            </w:r>
          </w:p>
        </w:tc>
        <w:tc>
          <w:tcPr>
            <w:tcW w:w="300" w:type="dxa"/>
            <w:vAlign w:val="bottom"/>
            <w:tcBorders>
              <w:top w:val="single" w:sz="8" w:color="E5FFFF"/>
            </w:tcBorders>
            <w:gridSpan w:val="2"/>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36,000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Equity related costs</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1120"/>
              <w:spacing w:after="0"/>
              <w:rPr>
                <w:sz w:val="20"/>
                <w:szCs w:val="20"/>
                <w:color w:val="auto"/>
              </w:rPr>
            </w:pPr>
            <w:r>
              <w:rPr>
                <w:rFonts w:ascii="Arial" w:cs="Arial" w:eastAsia="Arial" w:hAnsi="Arial"/>
                <w:sz w:val="16"/>
                <w:szCs w:val="16"/>
                <w:color w:val="auto"/>
                <w:w w:val="98"/>
              </w:rPr>
              <w:t>(15)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(1,099)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Net proceeds from equity offerings in the period ended June 30, 2020</w:t>
            </w:r>
          </w:p>
        </w:tc>
        <w:tc>
          <w:tcPr>
            <w:tcW w:w="14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b w:val="1"/>
                <w:bCs w:val="1"/>
                <w:color w:val="auto"/>
              </w:rPr>
              <w:t>35,985</w:t>
            </w:r>
          </w:p>
        </w:tc>
        <w:tc>
          <w:tcPr>
            <w:tcW w:w="2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6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(1,099)</w:t>
            </w:r>
          </w:p>
        </w:tc>
        <w:tc>
          <w:tcPr>
            <w:tcW w:w="1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8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34,886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Share-Based Compensation</w:t>
      </w:r>
    </w:p>
    <w:p>
      <w:pPr>
        <w:spacing w:after="0" w:line="239" w:lineRule="exact"/>
        <w:rPr>
          <w:sz w:val="20"/>
          <w:szCs w:val="20"/>
          <w:color w:val="auto"/>
        </w:rPr>
      </w:pPr>
    </w:p>
    <w:p>
      <w:pPr>
        <w:ind w:right="180" w:firstLine="357"/>
        <w:spacing w:after="0" w:line="273" w:lineRule="auto"/>
        <w:rPr>
          <w:sz w:val="20"/>
          <w:szCs w:val="20"/>
          <w:color w:val="auto"/>
        </w:rPr>
      </w:pPr>
      <w:r>
        <w:rPr>
          <w:rFonts w:ascii="Arial" w:cs="Arial" w:eastAsia="Arial" w:hAnsi="Arial"/>
          <w:sz w:val="16"/>
          <w:szCs w:val="16"/>
          <w:color w:val="auto"/>
        </w:rPr>
        <w:t>The terms of the 2013 Omnibus Incentive Compensation Plan (the “Plan”) and the assumptions for the valuation of Restricted Stock Units (“RSUs”) and Stock Appreciation Rights or Stock Options (collectively the “SARs”) and the terms of the GasLog Partners’ 2015 Long-Term Incentive Plan (the “GasLog Partners’ Plan”) and the assumptions for the valuation of Restricted Common Units (“RCUs”) and Performance Common Units (“PCUs”) have been disclosed in Note 22 “Share-Based Compensation” in the annual audited consolidated financial statements for the year ended December 31, 2019.</w:t>
      </w:r>
    </w:p>
    <w:p>
      <w:pPr>
        <w:spacing w:after="0" w:line="189" w:lineRule="exact"/>
        <w:rPr>
          <w:sz w:val="20"/>
          <w:szCs w:val="20"/>
          <w:color w:val="auto"/>
        </w:rPr>
      </w:pPr>
    </w:p>
    <w:p>
      <w:pPr>
        <w:ind w:firstLine="324"/>
        <w:spacing w:after="0" w:line="262" w:lineRule="auto"/>
        <w:rPr>
          <w:sz w:val="20"/>
          <w:szCs w:val="20"/>
          <w:color w:val="auto"/>
        </w:rPr>
      </w:pPr>
      <w:r>
        <w:rPr>
          <w:rFonts w:ascii="Arial" w:cs="Arial" w:eastAsia="Arial" w:hAnsi="Arial"/>
          <w:sz w:val="15"/>
          <w:szCs w:val="15"/>
          <w:color w:val="auto"/>
        </w:rPr>
        <w:t>On April 1, 2020, GasLog granted to executives, managers and certain employees of the Group 496,742 RSUs and 496,742 Performance Stock Units (“PSUs”) in accordance with the Plan. The RSUs will vest incrementally with one third of the RSUs vesting on each of April 1, 2021, 2022 and 2023 and the PSUs will vest on April 1, 2023. Vesting of the PSUs is also subject to the achievement of certain performance targets in relation to the total shareholder return (“TSR”) achieved by the Company during the performance period weighted at 50%, the operating expenses reduction (“Opex reduction”) weighted at 25% and the general and administrative expense reduction (“G&amp;A reduction”) weighted at 25%. Specifically, TSR is benchmarked against the TSR of a selected group of peer companies. TSR above the 75</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percentile of the peer group results in 100% of the award vesting; TSR between the 25</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and 75</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percentile of the peer group results in the achieved percentile of award vesting and TSR below the 25</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percentile of the peer group results in none of the award vesting. In addition, achieving more than 100%, 95%-100%, 90%-94% and 85%-89% of the three-year target Opex reduction results in 100% plus 1 point for each point in excess of target, 100%, 75% and 50% of award vesting, respectively while achieving less than 85% of target cost reduction results in none of the award vesting. Finally, achieving more than 100%, 95%-100%, 90%-94% and 85%-89% of the target G&amp;A reduction results in 100% plus 1 point for each point in excess of target, 100%, 75% and 50% of award vesting, respectively while achieving less than 85% of target cost reduction, results in none of the award vesting. The compensation cost for the PSUs is recognized on an accelerated basis as though each separately vesting portion of PSUs is a separate award. The holders are entitled to cash distributions that will be accrued and settled on vesting.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6" w:name="page257"/>
    <w:bookmarkEnd w:id="256"/>
    <w:tbl>
      <w:tblPr>
        <w:tblLayout w:type="fixed"/>
        <w:tblInd w:w="2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Fair value at</w:t>
            </w:r>
          </w:p>
        </w:tc>
      </w:tr>
      <w:tr>
        <w:trPr>
          <w:trHeight w:val="213"/>
        </w:trPr>
        <w:tc>
          <w:tcPr>
            <w:tcW w:w="2500" w:type="dxa"/>
            <w:vAlign w:val="bottom"/>
            <w:gridSpan w:val="3"/>
          </w:tcPr>
          <w:p>
            <w:pPr>
              <w:spacing w:after="0"/>
              <w:rPr>
                <w:sz w:val="20"/>
                <w:szCs w:val="20"/>
                <w:color w:val="auto"/>
              </w:rPr>
            </w:pPr>
            <w:r>
              <w:rPr>
                <w:rFonts w:ascii="Arial" w:cs="Arial" w:eastAsia="Arial" w:hAnsi="Arial"/>
                <w:sz w:val="16"/>
                <w:szCs w:val="16"/>
                <w:b w:val="1"/>
                <w:bCs w:val="1"/>
                <w:color w:val="auto"/>
              </w:rPr>
              <w:t>Awards</w:t>
            </w: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Number</w:t>
            </w: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Grant date</w:t>
            </w: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rPr>
              <w:t>grant date</w:t>
            </w:r>
          </w:p>
        </w:tc>
      </w:tr>
      <w:tr>
        <w:trPr>
          <w:trHeight w:val="199"/>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RSUs</w:t>
            </w:r>
          </w:p>
        </w:tc>
        <w:tc>
          <w:tcPr>
            <w:tcW w:w="1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496,742</w:t>
            </w:r>
          </w:p>
        </w:tc>
        <w:tc>
          <w:tcPr>
            <w:tcW w:w="24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April 1, 2020</w:t>
            </w:r>
          </w:p>
        </w:tc>
        <w:tc>
          <w:tcPr>
            <w:tcW w:w="2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$3.51</w:t>
            </w:r>
          </w:p>
        </w:tc>
      </w:tr>
      <w:tr>
        <w:trPr>
          <w:trHeight w:val="206"/>
        </w:trPr>
        <w:tc>
          <w:tcPr>
            <w:tcW w:w="2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PSUs</w:t>
            </w:r>
          </w:p>
        </w:tc>
        <w:tc>
          <w:tcPr>
            <w:tcW w:w="880" w:type="dxa"/>
            <w:vAlign w:val="bottom"/>
          </w:tcPr>
          <w:p>
            <w:pPr>
              <w:jc w:val="right"/>
              <w:spacing w:after="0"/>
              <w:rPr>
                <w:sz w:val="20"/>
                <w:szCs w:val="20"/>
                <w:color w:val="auto"/>
              </w:rPr>
            </w:pPr>
            <w:r>
              <w:rPr>
                <w:rFonts w:ascii="Arial" w:cs="Arial" w:eastAsia="Arial" w:hAnsi="Arial"/>
                <w:sz w:val="16"/>
                <w:szCs w:val="16"/>
                <w:color w:val="auto"/>
              </w:rPr>
              <w:t>496,742</w:t>
            </w:r>
          </w:p>
        </w:tc>
        <w:tc>
          <w:tcPr>
            <w:tcW w:w="24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April 1, 2020</w:t>
            </w:r>
          </w:p>
        </w:tc>
        <w:tc>
          <w:tcPr>
            <w:tcW w:w="1320" w:type="dxa"/>
            <w:vAlign w:val="bottom"/>
          </w:tcPr>
          <w:p>
            <w:pPr>
              <w:jc w:val="right"/>
              <w:spacing w:after="0"/>
              <w:rPr>
                <w:sz w:val="20"/>
                <w:szCs w:val="20"/>
                <w:color w:val="auto"/>
              </w:rPr>
            </w:pPr>
            <w:r>
              <w:rPr>
                <w:rFonts w:ascii="Arial" w:cs="Arial" w:eastAsia="Arial" w:hAnsi="Arial"/>
                <w:sz w:val="16"/>
                <w:szCs w:val="16"/>
                <w:color w:val="auto"/>
              </w:rPr>
              <w:t>$3.51</w:t>
            </w:r>
          </w:p>
        </w:tc>
      </w:tr>
    </w:tbl>
    <w:p>
      <w:pPr>
        <w:spacing w:after="0" w:line="202" w:lineRule="exact"/>
        <w:rPr>
          <w:sz w:val="20"/>
          <w:szCs w:val="20"/>
          <w:color w:val="auto"/>
        </w:rPr>
      </w:pPr>
    </w:p>
    <w:p>
      <w:pPr>
        <w:ind w:right="360" w:firstLine="357"/>
        <w:spacing w:after="0" w:line="369" w:lineRule="auto"/>
        <w:rPr>
          <w:sz w:val="20"/>
          <w:szCs w:val="20"/>
          <w:color w:val="auto"/>
        </w:rPr>
      </w:pPr>
      <w:r>
        <w:rPr>
          <w:rFonts w:ascii="Arial" w:cs="Arial" w:eastAsia="Arial" w:hAnsi="Arial"/>
          <w:sz w:val="14"/>
          <w:szCs w:val="14"/>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firstLine="357"/>
        <w:spacing w:after="0" w:line="293" w:lineRule="auto"/>
        <w:rPr>
          <w:sz w:val="20"/>
          <w:szCs w:val="20"/>
          <w:color w:val="auto"/>
        </w:rPr>
      </w:pPr>
      <w:r>
        <w:rPr>
          <w:rFonts w:ascii="Arial" w:cs="Arial" w:eastAsia="Arial" w:hAnsi="Arial"/>
          <w:sz w:val="16"/>
          <w:szCs w:val="16"/>
          <w:color w:val="auto"/>
        </w:rPr>
        <w:t>The fair value of the RSUs and PSUs was determined by using the grant date closing price of $3.51 per common unit and was not further adjusted since the holders are entitled to dividends.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gridSpan w:val="3"/>
          </w:tcPr>
          <w:p>
            <w:pPr>
              <w:spacing w:after="0"/>
              <w:rPr>
                <w:sz w:val="20"/>
                <w:szCs w:val="20"/>
                <w:color w:val="auto"/>
              </w:rPr>
            </w:pPr>
            <w:r>
              <w:rPr>
                <w:rFonts w:ascii="Arial" w:cs="Arial" w:eastAsia="Arial" w:hAnsi="Arial"/>
                <w:sz w:val="16"/>
                <w:szCs w:val="16"/>
                <w:b w:val="1"/>
                <w:bCs w:val="1"/>
                <w:color w:val="auto"/>
              </w:rPr>
              <w:t>Movement in RSUs, SARs and PSUs during the period</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380" w:type="dxa"/>
            <w:vAlign w:val="bottom"/>
            <w:gridSpan w:val="3"/>
          </w:tcPr>
          <w:p>
            <w:pPr>
              <w:ind w:left="360"/>
              <w:spacing w:after="0"/>
              <w:rPr>
                <w:sz w:val="20"/>
                <w:szCs w:val="20"/>
                <w:color w:val="auto"/>
              </w:rPr>
            </w:pPr>
            <w:r>
              <w:rPr>
                <w:rFonts w:ascii="Arial" w:cs="Arial" w:eastAsia="Arial" w:hAnsi="Arial"/>
                <w:sz w:val="16"/>
                <w:szCs w:val="16"/>
                <w:color w:val="auto"/>
                <w:w w:val="92"/>
              </w:rPr>
              <w:t>The summary of RSUs, SARs and PSUs is presented below:</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 price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Aggregate fair</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awards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per share</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contractual life</w:t>
            </w: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3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RSUs</w:t>
            </w:r>
          </w:p>
        </w:tc>
        <w:tc>
          <w:tcPr>
            <w:tcW w:w="180" w:type="dxa"/>
            <w:vAlign w:val="bottom"/>
            <w:tcBorders>
              <w:top w:val="single" w:sz="8" w:color="auto"/>
            </w:tcBorders>
            <w:shd w:val="clear" w:color="auto" w:fill="E5FFFF"/>
          </w:tcPr>
          <w:p>
            <w:pPr>
              <w:spacing w:after="0"/>
              <w:rPr>
                <w:sz w:val="16"/>
                <w:szCs w:val="16"/>
                <w:color w:val="auto"/>
              </w:rPr>
            </w:pPr>
          </w:p>
        </w:tc>
        <w:tc>
          <w:tcPr>
            <w:tcW w:w="116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58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E5FFFF"/>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367,162</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14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5,988</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3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496,742</w:t>
            </w:r>
          </w:p>
        </w:tc>
        <w:tc>
          <w:tcPr>
            <w:tcW w:w="14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Vested during the period</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(200,863)</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(1,059)</w:t>
            </w:r>
          </w:p>
        </w:tc>
        <w:tc>
          <w:tcPr>
            <w:tcW w:w="14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35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Outstanding as of June 30, 2020</w:t>
            </w: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661,982</w:t>
            </w:r>
          </w:p>
        </w:tc>
        <w:tc>
          <w:tcPr>
            <w:tcW w:w="140" w:type="dxa"/>
            <w:vAlign w:val="bottom"/>
            <w:tcBorders>
              <w:bottom w:val="single" w:sz="8" w:color="E5FFFF"/>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E5FFFF"/>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w:t>
            </w:r>
          </w:p>
        </w:tc>
        <w:tc>
          <w:tcPr>
            <w:tcW w:w="140" w:type="dxa"/>
            <w:vAlign w:val="bottom"/>
            <w:tcBorders>
              <w:bottom w:val="single" w:sz="8" w:color="E5FFFF"/>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4,498</w:t>
            </w:r>
          </w:p>
        </w:tc>
        <w:tc>
          <w:tcPr>
            <w:tcW w:w="12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54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SARs</w:t>
            </w:r>
          </w:p>
        </w:tc>
        <w:tc>
          <w:tcPr>
            <w:tcW w:w="180" w:type="dxa"/>
            <w:vAlign w:val="bottom"/>
            <w:shd w:val="clear" w:color="auto" w:fill="E5FFFF"/>
          </w:tcPr>
          <w:p>
            <w:pPr>
              <w:spacing w:after="0"/>
              <w:rPr>
                <w:sz w:val="13"/>
                <w:szCs w:val="13"/>
                <w:color w:val="auto"/>
              </w:rPr>
            </w:pPr>
          </w:p>
        </w:tc>
        <w:tc>
          <w:tcPr>
            <w:tcW w:w="1160" w:type="dxa"/>
            <w:vAlign w:val="bottom"/>
            <w:shd w:val="clear" w:color="auto" w:fill="E5FFFF"/>
          </w:tcPr>
          <w:p>
            <w:pPr>
              <w:spacing w:after="0"/>
              <w:rPr>
                <w:sz w:val="13"/>
                <w:szCs w:val="13"/>
                <w:color w:val="auto"/>
              </w:rPr>
            </w:pPr>
          </w:p>
        </w:tc>
        <w:tc>
          <w:tcPr>
            <w:tcW w:w="140" w:type="dxa"/>
            <w:vAlign w:val="bottom"/>
            <w:shd w:val="clear" w:color="auto" w:fill="E5FFFF"/>
          </w:tcPr>
          <w:p>
            <w:pPr>
              <w:spacing w:after="0"/>
              <w:rPr>
                <w:sz w:val="13"/>
                <w:szCs w:val="13"/>
                <w:color w:val="auto"/>
              </w:rPr>
            </w:pPr>
          </w:p>
        </w:tc>
        <w:tc>
          <w:tcPr>
            <w:tcW w:w="134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580" w:type="dxa"/>
            <w:vAlign w:val="bottom"/>
            <w:shd w:val="clear" w:color="auto" w:fill="E5FFFF"/>
          </w:tcPr>
          <w:p>
            <w:pPr>
              <w:spacing w:after="0"/>
              <w:rPr>
                <w:sz w:val="13"/>
                <w:szCs w:val="13"/>
                <w:color w:val="auto"/>
              </w:rPr>
            </w:pPr>
          </w:p>
        </w:tc>
        <w:tc>
          <w:tcPr>
            <w:tcW w:w="140" w:type="dxa"/>
            <w:vAlign w:val="bottom"/>
            <w:shd w:val="clear" w:color="auto" w:fill="E5FFFF"/>
          </w:tcPr>
          <w:p>
            <w:pPr>
              <w:spacing w:after="0"/>
              <w:rPr>
                <w:sz w:val="13"/>
                <w:szCs w:val="13"/>
                <w:color w:val="auto"/>
              </w:rPr>
            </w:pPr>
          </w:p>
        </w:tc>
        <w:tc>
          <w:tcPr>
            <w:tcW w:w="13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2,630,173</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14.46</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6.53</w:t>
            </w:r>
          </w:p>
        </w:tc>
        <w:tc>
          <w:tcPr>
            <w:tcW w:w="14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11,367</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(1,085)</w:t>
            </w:r>
          </w:p>
        </w:tc>
        <w:tc>
          <w:tcPr>
            <w:tcW w:w="14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Expired during the period</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(17,326)</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5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June 30, 2020</w:t>
            </w:r>
          </w:p>
        </w:tc>
        <w:tc>
          <w:tcPr>
            <w:tcW w:w="180" w:type="dxa"/>
            <w:vAlign w:val="bottom"/>
            <w:tcBorders>
              <w:top w:val="single" w:sz="8" w:color="auto"/>
              <w:bottom w:val="single" w:sz="8" w:color="auto"/>
            </w:tcBorders>
            <w:shd w:val="clear" w:color="auto" w:fill="E5FFFF"/>
          </w:tcPr>
          <w:p>
            <w:pPr>
              <w:spacing w:after="0"/>
              <w:rPr>
                <w:sz w:val="17"/>
                <w:szCs w:val="17"/>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2,611,762</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14.47</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6.03</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11,290</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Arial" w:cs="Arial" w:eastAsia="Arial" w:hAnsi="Arial"/>
                <w:sz w:val="16"/>
                <w:szCs w:val="16"/>
                <w:b w:val="1"/>
                <w:bCs w:val="1"/>
                <w:color w:val="auto"/>
              </w:rPr>
              <w:t>PSUs</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3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Granted during the period</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496,742</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5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June 30, 2020</w:t>
            </w:r>
          </w:p>
        </w:tc>
        <w:tc>
          <w:tcPr>
            <w:tcW w:w="180" w:type="dxa"/>
            <w:vAlign w:val="bottom"/>
            <w:tcBorders>
              <w:top w:val="single" w:sz="8" w:color="auto"/>
              <w:bottom w:val="single" w:sz="8" w:color="auto"/>
            </w:tcBorders>
            <w:shd w:val="clear" w:color="auto" w:fill="E5FFFF"/>
          </w:tcPr>
          <w:p>
            <w:pPr>
              <w:spacing w:after="0"/>
              <w:rPr>
                <w:sz w:val="17"/>
                <w:szCs w:val="17"/>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496,742</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2.75</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1,744</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June 30, 2020, 2,344,849 SARs have vested but have not been exercised.</w:t>
      </w:r>
    </w:p>
    <w:p>
      <w:pPr>
        <w:spacing w:after="0" w:line="235"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On April 1, 2020, GasLog Partners granted to its executives 233,688 RCUs and 233,688 PCUs in accordance with the GasLog Partners’ Plan. The RCUs and PCUs will vest on April 1, 2023. The holders are entitled to cash distributions that will be accrued and settled on vesting.</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257" w:name="page258"/>
    <w:bookmarkEnd w:id="257"/>
    <w:tbl>
      <w:tblPr>
        <w:tblLayout w:type="fixed"/>
        <w:tblInd w:w="2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Fair value at</w:t>
            </w:r>
          </w:p>
        </w:tc>
      </w:tr>
      <w:tr>
        <w:trPr>
          <w:trHeight w:val="213"/>
        </w:trPr>
        <w:tc>
          <w:tcPr>
            <w:tcW w:w="2500" w:type="dxa"/>
            <w:vAlign w:val="bottom"/>
            <w:gridSpan w:val="3"/>
          </w:tcPr>
          <w:p>
            <w:pPr>
              <w:spacing w:after="0"/>
              <w:rPr>
                <w:sz w:val="20"/>
                <w:szCs w:val="20"/>
                <w:color w:val="auto"/>
              </w:rPr>
            </w:pPr>
            <w:r>
              <w:rPr>
                <w:rFonts w:ascii="Arial" w:cs="Arial" w:eastAsia="Arial" w:hAnsi="Arial"/>
                <w:sz w:val="16"/>
                <w:szCs w:val="16"/>
                <w:b w:val="1"/>
                <w:bCs w:val="1"/>
                <w:color w:val="auto"/>
              </w:rPr>
              <w:t>Awards</w:t>
            </w: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Number</w:t>
            </w: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Grant date</w:t>
            </w: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rPr>
              <w:t>grant date</w:t>
            </w:r>
          </w:p>
        </w:tc>
      </w:tr>
      <w:tr>
        <w:trPr>
          <w:trHeight w:val="199"/>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RCUs</w:t>
            </w:r>
          </w:p>
        </w:tc>
        <w:tc>
          <w:tcPr>
            <w:tcW w:w="1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233,688</w:t>
            </w:r>
          </w:p>
        </w:tc>
        <w:tc>
          <w:tcPr>
            <w:tcW w:w="240" w:type="dxa"/>
            <w:vAlign w:val="bottom"/>
            <w:tcBorders>
              <w:top w:val="single" w:sz="8" w:color="E5FFFF"/>
            </w:tcBorders>
            <w:shd w:val="clear" w:color="auto" w:fill="E5FFFF"/>
          </w:tcPr>
          <w:p>
            <w:pPr>
              <w:spacing w:after="0"/>
              <w:rPr>
                <w:sz w:val="17"/>
                <w:szCs w:val="17"/>
                <w:color w:val="auto"/>
              </w:rPr>
            </w:pPr>
          </w:p>
        </w:tc>
        <w:tc>
          <w:tcPr>
            <w:tcW w:w="17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April 1, 2020</w:t>
            </w:r>
          </w:p>
        </w:tc>
        <w:tc>
          <w:tcPr>
            <w:tcW w:w="2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$2.02</w:t>
            </w:r>
          </w:p>
        </w:tc>
      </w:tr>
      <w:tr>
        <w:trPr>
          <w:trHeight w:val="206"/>
        </w:trPr>
        <w:tc>
          <w:tcPr>
            <w:tcW w:w="2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PCUs</w:t>
            </w:r>
          </w:p>
        </w:tc>
        <w:tc>
          <w:tcPr>
            <w:tcW w:w="880" w:type="dxa"/>
            <w:vAlign w:val="bottom"/>
          </w:tcPr>
          <w:p>
            <w:pPr>
              <w:jc w:val="right"/>
              <w:spacing w:after="0"/>
              <w:rPr>
                <w:sz w:val="20"/>
                <w:szCs w:val="20"/>
                <w:color w:val="auto"/>
              </w:rPr>
            </w:pPr>
            <w:r>
              <w:rPr>
                <w:rFonts w:ascii="Arial" w:cs="Arial" w:eastAsia="Arial" w:hAnsi="Arial"/>
                <w:sz w:val="16"/>
                <w:szCs w:val="16"/>
                <w:color w:val="auto"/>
              </w:rPr>
              <w:t>233,688</w:t>
            </w:r>
          </w:p>
        </w:tc>
        <w:tc>
          <w:tcPr>
            <w:tcW w:w="24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April 1, 2020</w:t>
            </w:r>
          </w:p>
        </w:tc>
        <w:tc>
          <w:tcPr>
            <w:tcW w:w="1320" w:type="dxa"/>
            <w:vAlign w:val="bottom"/>
          </w:tcPr>
          <w:p>
            <w:pPr>
              <w:jc w:val="right"/>
              <w:spacing w:after="0"/>
              <w:rPr>
                <w:sz w:val="20"/>
                <w:szCs w:val="20"/>
                <w:color w:val="auto"/>
              </w:rPr>
            </w:pPr>
            <w:r>
              <w:rPr>
                <w:rFonts w:ascii="Arial" w:cs="Arial" w:eastAsia="Arial" w:hAnsi="Arial"/>
                <w:sz w:val="16"/>
                <w:szCs w:val="16"/>
                <w:color w:val="auto"/>
              </w:rPr>
              <w:t>$2.02</w:t>
            </w:r>
          </w:p>
        </w:tc>
      </w:tr>
    </w:tbl>
    <w:p>
      <w:pPr>
        <w:spacing w:after="0" w:line="202" w:lineRule="exact"/>
        <w:rPr>
          <w:sz w:val="20"/>
          <w:szCs w:val="20"/>
          <w:color w:val="auto"/>
        </w:rPr>
      </w:pPr>
    </w:p>
    <w:p>
      <w:pPr>
        <w:ind w:right="60" w:firstLine="357"/>
        <w:spacing w:after="0" w:line="278" w:lineRule="auto"/>
        <w:rPr>
          <w:sz w:val="20"/>
          <w:szCs w:val="20"/>
          <w:color w:val="auto"/>
        </w:rPr>
      </w:pPr>
      <w:r>
        <w:rPr>
          <w:rFonts w:ascii="Arial" w:cs="Arial" w:eastAsia="Arial" w:hAnsi="Arial"/>
          <w:sz w:val="16"/>
          <w:szCs w:val="16"/>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w:t>
      </w:r>
    </w:p>
    <w:p>
      <w:pPr>
        <w:spacing w:after="0" w:line="239" w:lineRule="exact"/>
        <w:rPr>
          <w:sz w:val="20"/>
          <w:szCs w:val="20"/>
          <w:color w:val="auto"/>
        </w:rPr>
      </w:pPr>
    </w:p>
    <w:p>
      <w:pPr>
        <w:ind w:right="240" w:firstLine="357"/>
        <w:spacing w:after="0" w:line="293" w:lineRule="auto"/>
        <w:rPr>
          <w:sz w:val="20"/>
          <w:szCs w:val="20"/>
          <w:color w:val="auto"/>
        </w:rPr>
      </w:pPr>
      <w:r>
        <w:rPr>
          <w:rFonts w:ascii="Arial" w:cs="Arial" w:eastAsia="Arial" w:hAnsi="Arial"/>
          <w:sz w:val="16"/>
          <w:szCs w:val="16"/>
          <w:color w:val="auto"/>
        </w:rPr>
        <w:t>The fair value of the RCUs and PCUs in accordance with the GasLog Partners’ Plan was determined by using the grant date closing price of $2.02 per common unit and was not further adjusted since the holders are entitled to cash distributions.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gridSpan w:val="2"/>
          </w:tcPr>
          <w:p>
            <w:pPr>
              <w:spacing w:after="0"/>
              <w:rPr>
                <w:sz w:val="20"/>
                <w:szCs w:val="20"/>
                <w:color w:val="auto"/>
              </w:rPr>
            </w:pPr>
            <w:r>
              <w:rPr>
                <w:rFonts w:ascii="Arial" w:cs="Arial" w:eastAsia="Arial" w:hAnsi="Arial"/>
                <w:sz w:val="16"/>
                <w:szCs w:val="16"/>
                <w:b w:val="1"/>
                <w:bCs w:val="1"/>
                <w:color w:val="auto"/>
              </w:rPr>
              <w:t>Movement in RCUs and PCUs during the period</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400" w:type="dxa"/>
            <w:vAlign w:val="bottom"/>
            <w:gridSpan w:val="2"/>
          </w:tcPr>
          <w:p>
            <w:pPr>
              <w:ind w:left="340"/>
              <w:spacing w:after="0"/>
              <w:rPr>
                <w:sz w:val="20"/>
                <w:szCs w:val="20"/>
                <w:color w:val="auto"/>
              </w:rPr>
            </w:pPr>
            <w:r>
              <w:rPr>
                <w:rFonts w:ascii="Arial" w:cs="Arial" w:eastAsia="Arial" w:hAnsi="Arial"/>
                <w:sz w:val="16"/>
                <w:szCs w:val="16"/>
                <w:color w:val="auto"/>
              </w:rPr>
              <w:t>The summary of RCUs and PCUs is presented below:</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Number of</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4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awards</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life</w:t>
            </w:r>
          </w:p>
        </w:tc>
        <w:tc>
          <w:tcPr>
            <w:tcW w:w="14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4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RCUs</w:t>
            </w:r>
          </w:p>
        </w:tc>
        <w:tc>
          <w:tcPr>
            <w:tcW w:w="1540" w:type="dxa"/>
            <w:vAlign w:val="bottom"/>
            <w:tcBorders>
              <w:top w:val="single" w:sz="8" w:color="auto"/>
            </w:tcBorders>
            <w:shd w:val="clear" w:color="auto" w:fill="E5FFFF"/>
          </w:tcPr>
          <w:p>
            <w:pPr>
              <w:spacing w:after="0"/>
              <w:rPr>
                <w:sz w:val="16"/>
                <w:szCs w:val="16"/>
                <w:color w:val="auto"/>
              </w:rPr>
            </w:pPr>
          </w:p>
        </w:tc>
        <w:tc>
          <w:tcPr>
            <w:tcW w:w="340" w:type="dxa"/>
            <w:vAlign w:val="bottom"/>
            <w:tcBorders>
              <w:top w:val="single" w:sz="8" w:color="E5FFFF"/>
            </w:tcBorders>
            <w:shd w:val="clear" w:color="auto" w:fill="E5FFFF"/>
          </w:tcPr>
          <w:p>
            <w:pPr>
              <w:spacing w:after="0"/>
              <w:rPr>
                <w:sz w:val="16"/>
                <w:szCs w:val="16"/>
                <w:color w:val="auto"/>
              </w:rPr>
            </w:pPr>
          </w:p>
        </w:tc>
        <w:tc>
          <w:tcPr>
            <w:tcW w:w="140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420" w:type="dxa"/>
            <w:vAlign w:val="bottom"/>
            <w:tcBorders>
              <w:top w:val="single" w:sz="8" w:color="auto"/>
            </w:tcBorders>
            <w:shd w:val="clear" w:color="auto" w:fill="E5FFFF"/>
          </w:tcPr>
          <w:p>
            <w:pPr>
              <w:spacing w:after="0"/>
              <w:rPr>
                <w:sz w:val="16"/>
                <w:szCs w:val="16"/>
                <w:color w:val="auto"/>
              </w:rPr>
            </w:pPr>
          </w:p>
        </w:tc>
        <w:tc>
          <w:tcPr>
            <w:tcW w:w="6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76,467</w:t>
            </w: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1,790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Granted during the period</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233,688</w:t>
            </w:r>
          </w:p>
        </w:tc>
        <w:tc>
          <w:tcPr>
            <w:tcW w:w="34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472</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Vested during the period</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(37,327)</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June 30, 2020</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272,828</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2.54</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1,380</w:t>
            </w:r>
          </w:p>
        </w:tc>
        <w:tc>
          <w:tcPr>
            <w:tcW w:w="6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6"/>
                <w:szCs w:val="16"/>
                <w:b w:val="1"/>
                <w:bCs w:val="1"/>
                <w:color w:val="auto"/>
              </w:rPr>
              <w:t>PCUs</w:t>
            </w: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444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Outstanding as of January 1, 2020</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76,467</w:t>
            </w:r>
          </w:p>
        </w:tc>
        <w:tc>
          <w:tcPr>
            <w:tcW w:w="34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1.26</w:t>
            </w:r>
          </w:p>
        </w:tc>
        <w:tc>
          <w:tcPr>
            <w:tcW w:w="120" w:type="dxa"/>
            <w:vAlign w:val="bottom"/>
            <w:shd w:val="clear" w:color="auto" w:fill="E5FFFF"/>
          </w:tcPr>
          <w:p>
            <w:pPr>
              <w:spacing w:after="0"/>
              <w:rPr>
                <w:sz w:val="17"/>
                <w:szCs w:val="17"/>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1,790</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540" w:type="dxa"/>
            <w:vAlign w:val="bottom"/>
          </w:tcPr>
          <w:p>
            <w:pPr>
              <w:jc w:val="right"/>
              <w:spacing w:after="0"/>
              <w:rPr>
                <w:sz w:val="20"/>
                <w:szCs w:val="20"/>
                <w:color w:val="auto"/>
              </w:rPr>
            </w:pPr>
            <w:r>
              <w:rPr>
                <w:rFonts w:ascii="Arial" w:cs="Arial" w:eastAsia="Arial" w:hAnsi="Arial"/>
                <w:sz w:val="16"/>
                <w:szCs w:val="16"/>
                <w:color w:val="auto"/>
              </w:rPr>
              <w:t>233,688</w:t>
            </w:r>
          </w:p>
        </w:tc>
        <w:tc>
          <w:tcPr>
            <w:tcW w:w="34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Vested during the period</w:t>
            </w:r>
          </w:p>
        </w:tc>
        <w:tc>
          <w:tcPr>
            <w:tcW w:w="18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(31,105)</w:t>
            </w:r>
          </w:p>
        </w:tc>
        <w:tc>
          <w:tcPr>
            <w:tcW w:w="15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Forfeited during the period</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(6,222)</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(148)</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Outstanding as of June 30, 2020</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272,828</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2.54</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40" w:firstLine="357"/>
        <w:spacing w:after="0" w:line="328" w:lineRule="auto"/>
        <w:rPr>
          <w:sz w:val="20"/>
          <w:szCs w:val="20"/>
          <w:color w:val="auto"/>
        </w:rPr>
      </w:pPr>
      <w:r>
        <w:rPr>
          <w:rFonts w:ascii="Arial" w:cs="Arial" w:eastAsia="Arial" w:hAnsi="Arial"/>
          <w:sz w:val="15"/>
          <w:szCs w:val="15"/>
          <w:color w:val="auto"/>
        </w:rPr>
        <w:t>The total expense recognized in respect of share-based compensation for the three and six months ended June 30, 2020 was $1,646 and $2,992 (for the three and six months ended June 30, 2019: $1,266 and $2,587). The total accrued cash distribution as of June 30, 2020 is $762 (December 31, 2019: $1,176).</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Earnings/(losses) per Share (“EPS”)</w:t>
      </w:r>
    </w:p>
    <w:p>
      <w:pPr>
        <w:spacing w:after="0" w:line="239"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Basic earnings/(losses) per share was calculated by dividing the net profit/(loss) for the period attributable to the owners of the common shares by the weighted average number of common shares issued and outstanding during the period.</w:t>
      </w:r>
    </w:p>
    <w:p>
      <w:pPr>
        <w:spacing w:after="0" w:line="172" w:lineRule="exact"/>
        <w:rPr>
          <w:sz w:val="20"/>
          <w:szCs w:val="20"/>
          <w:color w:val="auto"/>
        </w:rPr>
      </w:pPr>
    </w:p>
    <w:p>
      <w:pPr>
        <w:ind w:right="280" w:firstLine="356"/>
        <w:spacing w:after="0" w:line="293" w:lineRule="auto"/>
        <w:rPr>
          <w:sz w:val="20"/>
          <w:szCs w:val="20"/>
          <w:color w:val="auto"/>
        </w:rPr>
      </w:pPr>
      <w:r>
        <w:rPr>
          <w:rFonts w:ascii="Arial" w:cs="Arial" w:eastAsia="Arial" w:hAnsi="Arial"/>
          <w:sz w:val="16"/>
          <w:szCs w:val="16"/>
          <w:color w:val="auto"/>
        </w:rPr>
        <w:t>Diluted earnings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reflects the earnings/(losses) and share data used in the basic and diluted earnings per share computations: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3100" w:type="dxa"/>
            <w:vAlign w:val="bottom"/>
            <w:gridSpan w:val="4"/>
          </w:tcPr>
          <w:p>
            <w:pPr>
              <w:jc w:val="right"/>
              <w:ind w:right="755"/>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7420" w:type="dxa"/>
            <w:vAlign w:val="bottom"/>
          </w:tcPr>
          <w:p>
            <w:pPr>
              <w:spacing w:after="0"/>
              <w:rPr>
                <w:sz w:val="18"/>
                <w:szCs w:val="18"/>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June 30, 2019</w:t>
            </w:r>
          </w:p>
        </w:tc>
        <w:tc>
          <w:tcPr>
            <w:tcW w:w="1300" w:type="dxa"/>
            <w:vAlign w:val="bottom"/>
            <w:gridSpan w:val="2"/>
          </w:tcPr>
          <w:p>
            <w:pPr>
              <w:jc w:val="right"/>
              <w:ind w:right="195"/>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185"/>
        </w:trPr>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loss per share</w:t>
            </w:r>
          </w:p>
        </w:tc>
        <w:tc>
          <w:tcPr>
            <w:tcW w:w="1260" w:type="dxa"/>
            <w:vAlign w:val="bottom"/>
            <w:tcBorders>
              <w:top w:val="single" w:sz="8" w:color="auto"/>
            </w:tcBorders>
            <w:shd w:val="clear" w:color="auto" w:fill="E5FFFF"/>
          </w:tcPr>
          <w:p>
            <w:pPr>
              <w:spacing w:after="0"/>
              <w:rPr>
                <w:sz w:val="16"/>
                <w:szCs w:val="16"/>
                <w:color w:val="auto"/>
              </w:rPr>
            </w:pPr>
          </w:p>
        </w:tc>
        <w:tc>
          <w:tcPr>
            <w:tcW w:w="540" w:type="dxa"/>
            <w:vAlign w:val="bottom"/>
            <w:tcBorders>
              <w:top w:val="single" w:sz="8" w:color="E5FFFF"/>
            </w:tcBorders>
            <w:shd w:val="clear" w:color="auto" w:fill="E5FFFF"/>
          </w:tcPr>
          <w:p>
            <w:pPr>
              <w:spacing w:after="0"/>
              <w:rPr>
                <w:sz w:val="16"/>
                <w:szCs w:val="16"/>
                <w:color w:val="auto"/>
              </w:rPr>
            </w:pPr>
          </w:p>
        </w:tc>
        <w:tc>
          <w:tcPr>
            <w:tcW w:w="1280" w:type="dxa"/>
            <w:vAlign w:val="bottom"/>
            <w:tcBorders>
              <w:top w:val="single" w:sz="8" w:color="auto"/>
              <w:right w:val="single" w:sz="8" w:color="E5FFFF"/>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Loss for the period attributable to owners of the Group</w:t>
            </w:r>
          </w:p>
        </w:tc>
        <w:tc>
          <w:tcPr>
            <w:tcW w:w="1800" w:type="dxa"/>
            <w:vAlign w:val="bottom"/>
            <w:gridSpan w:val="2"/>
          </w:tcPr>
          <w:p>
            <w:pPr>
              <w:jc w:val="right"/>
              <w:ind w:right="460"/>
              <w:spacing w:after="0"/>
              <w:rPr>
                <w:sz w:val="20"/>
                <w:szCs w:val="20"/>
                <w:color w:val="auto"/>
              </w:rPr>
            </w:pPr>
            <w:r>
              <w:rPr>
                <w:rFonts w:ascii="Arial" w:cs="Arial" w:eastAsia="Arial" w:hAnsi="Arial"/>
                <w:sz w:val="16"/>
                <w:szCs w:val="16"/>
                <w:color w:val="auto"/>
              </w:rPr>
              <w:t>(25,998)</w:t>
            </w:r>
          </w:p>
        </w:tc>
        <w:tc>
          <w:tcPr>
            <w:tcW w:w="1280" w:type="dxa"/>
            <w:vAlign w:val="bottom"/>
          </w:tcPr>
          <w:p>
            <w:pPr>
              <w:jc w:val="right"/>
              <w:spacing w:after="0"/>
              <w:rPr>
                <w:sz w:val="20"/>
                <w:szCs w:val="20"/>
                <w:color w:val="auto"/>
              </w:rPr>
            </w:pPr>
            <w:r>
              <w:rPr>
                <w:rFonts w:ascii="Arial" w:cs="Arial" w:eastAsia="Arial" w:hAnsi="Arial"/>
                <w:sz w:val="16"/>
                <w:szCs w:val="16"/>
                <w:color w:val="auto"/>
              </w:rPr>
              <w:t>(21,348)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Plus:</w:t>
            </w:r>
          </w:p>
        </w:tc>
        <w:tc>
          <w:tcPr>
            <w:tcW w:w="12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280" w:type="dxa"/>
            <w:vAlign w:val="bottom"/>
            <w:tcBorders>
              <w:right w:val="single" w:sz="8" w:color="E5FFFF"/>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800" w:type="dxa"/>
            <w:vAlign w:val="bottom"/>
            <w:gridSpan w:val="2"/>
          </w:tcPr>
          <w:p>
            <w:pPr>
              <w:jc w:val="right"/>
              <w:ind w:right="460"/>
              <w:spacing w:after="0"/>
              <w:rPr>
                <w:sz w:val="20"/>
                <w:szCs w:val="20"/>
                <w:color w:val="auto"/>
              </w:rPr>
            </w:pPr>
            <w:r>
              <w:rPr>
                <w:rFonts w:ascii="Arial" w:cs="Arial" w:eastAsia="Arial" w:hAnsi="Arial"/>
                <w:sz w:val="16"/>
                <w:szCs w:val="16"/>
                <w:color w:val="auto"/>
              </w:rPr>
              <w:t>(2,516)</w:t>
            </w:r>
          </w:p>
        </w:tc>
        <w:tc>
          <w:tcPr>
            <w:tcW w:w="1280" w:type="dxa"/>
            <w:vAlign w:val="bottom"/>
          </w:tcPr>
          <w:p>
            <w:pPr>
              <w:jc w:val="right"/>
              <w:spacing w:after="0"/>
              <w:rPr>
                <w:sz w:val="20"/>
                <w:szCs w:val="20"/>
                <w:color w:val="auto"/>
              </w:rPr>
            </w:pPr>
            <w:r>
              <w:rPr>
                <w:rFonts w:ascii="Arial" w:cs="Arial" w:eastAsia="Arial" w:hAnsi="Arial"/>
                <w:sz w:val="16"/>
                <w:szCs w:val="16"/>
                <w:color w:val="auto"/>
              </w:rPr>
              <w:t>(2,516)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 attributable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(28,514)</w:t>
            </w:r>
          </w:p>
        </w:tc>
        <w:tc>
          <w:tcPr>
            <w:tcW w:w="54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(23,864)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80,847,127</w:t>
            </w:r>
          </w:p>
        </w:tc>
        <w:tc>
          <w:tcPr>
            <w:tcW w:w="5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80,848,314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loss per share</w:t>
            </w:r>
          </w:p>
        </w:tc>
        <w:tc>
          <w:tcPr>
            <w:tcW w:w="180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b w:val="1"/>
                <w:bCs w:val="1"/>
                <w:color w:val="auto"/>
              </w:rPr>
              <w:t>(0.35)</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loss per share</w:t>
            </w:r>
          </w:p>
        </w:tc>
        <w:tc>
          <w:tcPr>
            <w:tcW w:w="12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Loss for the period attributable to owners of the Group used in the calculation of diluted loss per share</w:t>
            </w:r>
          </w:p>
        </w:tc>
        <w:tc>
          <w:tcPr>
            <w:tcW w:w="180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(28,514)</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(23,864)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80,847,127</w:t>
            </w:r>
          </w:p>
        </w:tc>
        <w:tc>
          <w:tcPr>
            <w:tcW w:w="54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80,848,314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80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loss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80,847,127</w:t>
            </w:r>
          </w:p>
        </w:tc>
        <w:tc>
          <w:tcPr>
            <w:tcW w:w="540" w:type="dxa"/>
            <w:vAlign w:val="bottom"/>
            <w:tcBorders>
              <w:bottom w:val="single" w:sz="8" w:color="E5FF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80,848,314</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loss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(0.35</w:t>
            </w:r>
          </w:p>
        </w:tc>
        <w:tc>
          <w:tcPr>
            <w:tcW w:w="540" w:type="dxa"/>
            <w:vAlign w:val="bottom"/>
            <w:shd w:val="clear" w:color="auto" w:fill="E5FFFF"/>
          </w:tcPr>
          <w:p>
            <w:pPr>
              <w:jc w:val="right"/>
              <w:ind w:right="460"/>
              <w:spacing w:after="0"/>
              <w:rPr>
                <w:sz w:val="20"/>
                <w:szCs w:val="20"/>
                <w:color w:val="auto"/>
              </w:rPr>
            </w:pPr>
            <w:r>
              <w:rPr>
                <w:rFonts w:ascii="Arial" w:cs="Arial" w:eastAsia="Arial" w:hAnsi="Arial"/>
                <w:sz w:val="8"/>
                <w:szCs w:val="8"/>
                <w:b w:val="1"/>
                <w:bCs w:val="1"/>
                <w:color w:val="auto"/>
                <w:w w:val="73"/>
              </w:rPr>
              <w:t>)</w:t>
            </w:r>
          </w:p>
        </w:tc>
        <w:tc>
          <w:tcPr>
            <w:tcW w:w="128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420" w:type="dxa"/>
            <w:vAlign w:val="bottom"/>
          </w:tcPr>
          <w:p>
            <w:pPr>
              <w:spacing w:after="0"/>
              <w:rPr>
                <w:sz w:val="24"/>
                <w:szCs w:val="24"/>
                <w:color w:val="auto"/>
              </w:rPr>
            </w:pPr>
          </w:p>
        </w:tc>
        <w:tc>
          <w:tcPr>
            <w:tcW w:w="3100" w:type="dxa"/>
            <w:vAlign w:val="bottom"/>
            <w:gridSpan w:val="4"/>
          </w:tcPr>
          <w:p>
            <w:pPr>
              <w:jc w:val="right"/>
              <w:ind w:right="835"/>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3"/>
        </w:trPr>
        <w:tc>
          <w:tcPr>
            <w:tcW w:w="7420" w:type="dxa"/>
            <w:vAlign w:val="bottom"/>
          </w:tcPr>
          <w:p>
            <w:pPr>
              <w:spacing w:after="0"/>
              <w:rPr>
                <w:sz w:val="18"/>
                <w:szCs w:val="18"/>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June 30, 2019</w:t>
            </w:r>
          </w:p>
        </w:tc>
        <w:tc>
          <w:tcPr>
            <w:tcW w:w="1300" w:type="dxa"/>
            <w:vAlign w:val="bottom"/>
            <w:gridSpan w:val="2"/>
          </w:tcPr>
          <w:p>
            <w:pPr>
              <w:jc w:val="right"/>
              <w:ind w:right="195"/>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186"/>
        </w:trPr>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loss per share</w:t>
            </w:r>
          </w:p>
        </w:tc>
        <w:tc>
          <w:tcPr>
            <w:tcW w:w="1260" w:type="dxa"/>
            <w:vAlign w:val="bottom"/>
            <w:tcBorders>
              <w:top w:val="single" w:sz="8" w:color="auto"/>
            </w:tcBorders>
            <w:shd w:val="clear" w:color="auto" w:fill="E5FFFF"/>
          </w:tcPr>
          <w:p>
            <w:pPr>
              <w:spacing w:after="0"/>
              <w:rPr>
                <w:sz w:val="16"/>
                <w:szCs w:val="16"/>
                <w:color w:val="auto"/>
              </w:rPr>
            </w:pPr>
          </w:p>
        </w:tc>
        <w:tc>
          <w:tcPr>
            <w:tcW w:w="540" w:type="dxa"/>
            <w:vAlign w:val="bottom"/>
            <w:tcBorders>
              <w:top w:val="single" w:sz="8" w:color="E5FFFF"/>
            </w:tcBorders>
            <w:shd w:val="clear" w:color="auto" w:fill="E5FFFF"/>
          </w:tcPr>
          <w:p>
            <w:pPr>
              <w:spacing w:after="0"/>
              <w:rPr>
                <w:sz w:val="16"/>
                <w:szCs w:val="16"/>
                <w:color w:val="auto"/>
              </w:rPr>
            </w:pPr>
          </w:p>
        </w:tc>
        <w:tc>
          <w:tcPr>
            <w:tcW w:w="1280" w:type="dxa"/>
            <w:vAlign w:val="bottom"/>
            <w:tcBorders>
              <w:top w:val="single" w:sz="8" w:color="auto"/>
              <w:right w:val="single" w:sz="8" w:color="E5FFFF"/>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Loss for the period attributable to owners of the Group</w:t>
            </w:r>
          </w:p>
        </w:tc>
        <w:tc>
          <w:tcPr>
            <w:tcW w:w="1800" w:type="dxa"/>
            <w:vAlign w:val="bottom"/>
            <w:gridSpan w:val="2"/>
          </w:tcPr>
          <w:p>
            <w:pPr>
              <w:jc w:val="right"/>
              <w:ind w:right="460"/>
              <w:spacing w:after="0"/>
              <w:rPr>
                <w:sz w:val="20"/>
                <w:szCs w:val="20"/>
                <w:color w:val="auto"/>
              </w:rPr>
            </w:pPr>
            <w:r>
              <w:rPr>
                <w:rFonts w:ascii="Arial" w:cs="Arial" w:eastAsia="Arial" w:hAnsi="Arial"/>
                <w:sz w:val="16"/>
                <w:szCs w:val="16"/>
                <w:color w:val="auto"/>
              </w:rPr>
              <w:t>(36,945)</w:t>
            </w:r>
          </w:p>
        </w:tc>
        <w:tc>
          <w:tcPr>
            <w:tcW w:w="1280" w:type="dxa"/>
            <w:vAlign w:val="bottom"/>
          </w:tcPr>
          <w:p>
            <w:pPr>
              <w:jc w:val="right"/>
              <w:spacing w:after="0"/>
              <w:rPr>
                <w:sz w:val="20"/>
                <w:szCs w:val="20"/>
                <w:color w:val="auto"/>
              </w:rPr>
            </w:pPr>
            <w:r>
              <w:rPr>
                <w:rFonts w:ascii="Arial" w:cs="Arial" w:eastAsia="Arial" w:hAnsi="Arial"/>
                <w:sz w:val="16"/>
                <w:szCs w:val="16"/>
                <w:color w:val="auto"/>
              </w:rPr>
              <w:t>(72,827)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Plus:</w:t>
            </w:r>
          </w:p>
        </w:tc>
        <w:tc>
          <w:tcPr>
            <w:tcW w:w="126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280" w:type="dxa"/>
            <w:vAlign w:val="bottom"/>
            <w:tcBorders>
              <w:right w:val="single" w:sz="8" w:color="E5FFFF"/>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800" w:type="dxa"/>
            <w:vAlign w:val="bottom"/>
            <w:gridSpan w:val="2"/>
          </w:tcPr>
          <w:p>
            <w:pPr>
              <w:jc w:val="right"/>
              <w:ind w:right="460"/>
              <w:spacing w:after="0"/>
              <w:rPr>
                <w:sz w:val="20"/>
                <w:szCs w:val="20"/>
                <w:color w:val="auto"/>
              </w:rPr>
            </w:pPr>
            <w:r>
              <w:rPr>
                <w:rFonts w:ascii="Arial" w:cs="Arial" w:eastAsia="Arial" w:hAnsi="Arial"/>
                <w:sz w:val="16"/>
                <w:szCs w:val="16"/>
                <w:color w:val="auto"/>
              </w:rPr>
              <w:t>(5,031)</w:t>
            </w:r>
          </w:p>
        </w:tc>
        <w:tc>
          <w:tcPr>
            <w:tcW w:w="1280" w:type="dxa"/>
            <w:vAlign w:val="bottom"/>
          </w:tcPr>
          <w:p>
            <w:pPr>
              <w:jc w:val="right"/>
              <w:spacing w:after="0"/>
              <w:rPr>
                <w:sz w:val="20"/>
                <w:szCs w:val="20"/>
                <w:color w:val="auto"/>
              </w:rPr>
            </w:pPr>
            <w:r>
              <w:rPr>
                <w:rFonts w:ascii="Arial" w:cs="Arial" w:eastAsia="Arial" w:hAnsi="Arial"/>
                <w:sz w:val="16"/>
                <w:szCs w:val="16"/>
                <w:color w:val="auto"/>
              </w:rPr>
              <w:t>(5,032)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Loss for the period attributable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(41,976)</w:t>
            </w:r>
          </w:p>
        </w:tc>
        <w:tc>
          <w:tcPr>
            <w:tcW w:w="54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(77,859)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80,836,442</w:t>
            </w:r>
          </w:p>
        </w:tc>
        <w:tc>
          <w:tcPr>
            <w:tcW w:w="540" w:type="dxa"/>
            <w:vAlign w:val="bottom"/>
            <w:tcBorders>
              <w:bottom w:val="single" w:sz="8" w:color="E5FF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80,777,161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loss per share</w:t>
            </w:r>
          </w:p>
        </w:tc>
        <w:tc>
          <w:tcPr>
            <w:tcW w:w="180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b w:val="1"/>
                <w:bCs w:val="1"/>
                <w:color w:val="auto"/>
              </w:rPr>
              <w:t>(0.52)</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loss per share</w:t>
            </w:r>
          </w:p>
        </w:tc>
        <w:tc>
          <w:tcPr>
            <w:tcW w:w="12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Loss for the period attributable to owners of the Group used in the calculation of diluted loss per share</w:t>
            </w:r>
          </w:p>
        </w:tc>
        <w:tc>
          <w:tcPr>
            <w:tcW w:w="1800" w:type="dxa"/>
            <w:vAlign w:val="bottom"/>
            <w:gridSpan w:val="2"/>
            <w:shd w:val="clear" w:color="auto" w:fill="E5FFFF"/>
          </w:tcPr>
          <w:p>
            <w:pPr>
              <w:jc w:val="right"/>
              <w:ind w:right="460"/>
              <w:spacing w:after="0"/>
              <w:rPr>
                <w:sz w:val="20"/>
                <w:szCs w:val="20"/>
                <w:color w:val="auto"/>
              </w:rPr>
            </w:pPr>
            <w:r>
              <w:rPr>
                <w:rFonts w:ascii="Arial" w:cs="Arial" w:eastAsia="Arial" w:hAnsi="Arial"/>
                <w:sz w:val="16"/>
                <w:szCs w:val="16"/>
                <w:color w:val="auto"/>
              </w:rPr>
              <w:t>(41,976)</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(77,859)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80,836,442</w:t>
            </w:r>
          </w:p>
        </w:tc>
        <w:tc>
          <w:tcPr>
            <w:tcW w:w="54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80,777,161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800" w:type="dxa"/>
            <w:vAlign w:val="bottom"/>
            <w:gridSpan w:val="2"/>
            <w:shd w:val="clear" w:color="auto" w:fill="E5FFFF"/>
          </w:tcPr>
          <w:p>
            <w:pPr>
              <w:jc w:val="right"/>
              <w:ind w:right="50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loss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80,836,442</w:t>
            </w:r>
          </w:p>
        </w:tc>
        <w:tc>
          <w:tcPr>
            <w:tcW w:w="540" w:type="dxa"/>
            <w:vAlign w:val="bottom"/>
            <w:tcBorders>
              <w:bottom w:val="single" w:sz="8" w:color="E5FF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80,777,161</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196"/>
        </w:trPr>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loss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(0.52</w:t>
            </w:r>
          </w:p>
        </w:tc>
        <w:tc>
          <w:tcPr>
            <w:tcW w:w="540" w:type="dxa"/>
            <w:vAlign w:val="bottom"/>
            <w:shd w:val="clear" w:color="auto" w:fill="E5FFFF"/>
          </w:tcPr>
          <w:p>
            <w:pPr>
              <w:jc w:val="right"/>
              <w:ind w:right="460"/>
              <w:spacing w:after="0"/>
              <w:rPr>
                <w:sz w:val="20"/>
                <w:szCs w:val="20"/>
                <w:color w:val="auto"/>
              </w:rPr>
            </w:pPr>
            <w:r>
              <w:rPr>
                <w:rFonts w:ascii="Arial" w:cs="Arial" w:eastAsia="Arial" w:hAnsi="Arial"/>
                <w:sz w:val="8"/>
                <w:szCs w:val="8"/>
                <w:b w:val="1"/>
                <w:bCs w:val="1"/>
                <w:color w:val="auto"/>
                <w:w w:val="73"/>
              </w:rPr>
              <w:t>)</w:t>
            </w:r>
          </w:p>
        </w:tc>
        <w:tc>
          <w:tcPr>
            <w:tcW w:w="128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520" w:firstLine="418"/>
        <w:spacing w:after="0" w:line="293" w:lineRule="auto"/>
        <w:rPr>
          <w:sz w:val="20"/>
          <w:szCs w:val="20"/>
          <w:color w:val="auto"/>
        </w:rPr>
      </w:pPr>
      <w:r>
        <w:rPr>
          <w:rFonts w:ascii="Arial" w:cs="Arial" w:eastAsia="Arial" w:hAnsi="Arial"/>
          <w:sz w:val="16"/>
          <w:szCs w:val="16"/>
          <w:color w:val="auto"/>
        </w:rPr>
        <w:t>The Group excluded the dilutive effect of 2,611,762 SARs, 661,982 RSUs and 496,742 PSUs (June 30, 2019: 2,666,031 SARs 378,967 RSUs and nil PSUs) in calculating diluted EPS for the three and six months ended June 30, 2020, as they were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Subsequent Events</w:t>
      </w:r>
    </w:p>
    <w:p>
      <w:pPr>
        <w:spacing w:after="0" w:line="239" w:lineRule="exact"/>
        <w:rPr>
          <w:sz w:val="20"/>
          <w:szCs w:val="20"/>
          <w:color w:val="auto"/>
        </w:rPr>
      </w:pPr>
    </w:p>
    <w:p>
      <w:pPr>
        <w:jc w:val="both"/>
        <w:ind w:right="20" w:firstLine="356"/>
        <w:spacing w:after="0" w:line="278" w:lineRule="auto"/>
        <w:rPr>
          <w:sz w:val="20"/>
          <w:szCs w:val="20"/>
          <w:color w:val="auto"/>
        </w:rPr>
      </w:pPr>
      <w:r>
        <w:rPr>
          <w:rFonts w:ascii="Arial" w:cs="Arial" w:eastAsia="Arial" w:hAnsi="Arial"/>
          <w:sz w:val="16"/>
          <w:szCs w:val="16"/>
          <w:color w:val="auto"/>
        </w:rPr>
        <w:t xml:space="preserve">On July 15, 2020, GasLog took delivery of the </w:t>
      </w:r>
      <w:r>
        <w:rPr>
          <w:rFonts w:ascii="Arial" w:cs="Arial" w:eastAsia="Arial" w:hAnsi="Arial"/>
          <w:sz w:val="16"/>
          <w:szCs w:val="16"/>
          <w:i w:val="1"/>
          <w:iCs w:val="1"/>
          <w:color w:val="auto"/>
        </w:rPr>
        <w:t>GasLog Westminster</w:t>
      </w:r>
      <w:r>
        <w:rPr>
          <w:rFonts w:ascii="Arial" w:cs="Arial" w:eastAsia="Arial" w:hAnsi="Arial"/>
          <w:sz w:val="16"/>
          <w:szCs w:val="16"/>
          <w:color w:val="auto"/>
        </w:rPr>
        <w:t>, a 180,000 cbm LNG carrier with X-DF propulsion constructed by Samsung. Despite the industrial disruption in South Korea caused by the COVID-19 outbreak, the vessel was delivered on time and on budget. Upon delivery, the vessel immediately commenced its seven-year charter with a wholly-owned subsidiary of Centrica plc.</w:t>
      </w:r>
    </w:p>
    <w:p>
      <w:pPr>
        <w:spacing w:after="0" w:line="184" w:lineRule="exact"/>
        <w:rPr>
          <w:sz w:val="20"/>
          <w:szCs w:val="20"/>
          <w:color w:val="auto"/>
        </w:rPr>
      </w:pPr>
    </w:p>
    <w:p>
      <w:pPr>
        <w:ind w:firstLine="383"/>
        <w:spacing w:after="0" w:line="269" w:lineRule="auto"/>
        <w:rPr>
          <w:sz w:val="20"/>
          <w:szCs w:val="20"/>
          <w:color w:val="auto"/>
        </w:rPr>
      </w:pPr>
      <w:r>
        <w:rPr>
          <w:rFonts w:ascii="Arial" w:cs="Arial" w:eastAsia="Arial" w:hAnsi="Arial"/>
          <w:sz w:val="16"/>
          <w:szCs w:val="16"/>
          <w:color w:val="auto"/>
        </w:rPr>
        <w:t xml:space="preserve">On July 16, 2020, GasLog Partners entered into a credit agreement of $260,331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$8,597 beginning in January 2021, with a final balloon amount of $174,361 payable concurrently with the last installment in July 2025. Interest on the facility will be payable at a rate of USD LIBOR plus a margin. The relevant amount of $260,331 was drawn on July 21, 2020, out of which $258,532 was used to refinance the outstanding indebtedness of GAS-twenty Ltd., GAS-seven Ltd. and GAS-eight Ltd., the respective entities owning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The facility includes customary restrictive covenants aligned with the ones in the existing bank credit facilities of the Partnership.</w:t>
      </w:r>
    </w:p>
    <w:p>
      <w:pPr>
        <w:spacing w:after="0" w:line="190" w:lineRule="exact"/>
        <w:rPr>
          <w:sz w:val="20"/>
          <w:szCs w:val="20"/>
          <w:color w:val="auto"/>
        </w:rPr>
      </w:pPr>
    </w:p>
    <w:p>
      <w:pPr>
        <w:ind w:right="20" w:firstLine="383"/>
        <w:spacing w:after="0" w:line="283" w:lineRule="auto"/>
        <w:rPr>
          <w:sz w:val="20"/>
          <w:szCs w:val="20"/>
          <w:color w:val="auto"/>
        </w:rPr>
      </w:pPr>
      <w:r>
        <w:rPr>
          <w:rFonts w:ascii="Arial" w:cs="Arial" w:eastAsia="Arial" w:hAnsi="Arial"/>
          <w:sz w:val="15"/>
          <w:szCs w:val="15"/>
          <w:color w:val="auto"/>
        </w:rPr>
        <w:t>Also, on July 16, 2020, GasLog Partners entered into a credit agreement of $193,713 with DNB Bank ASA, London Branch, and ING Bank N.V., London Branch, each an original lender, with DNB Bank ASA, London Branch acting as security agent and trustee for and on behalf of the other finance parties mentioned above, in order to refinance the existing indebtedness due in 2021 on three of its vessels. The facility will amortize over ten equal semi-annual instalments of $8,599 beginning in</w:t>
      </w:r>
    </w:p>
    <w:p>
      <w:pPr>
        <w:spacing w:after="0" w:line="1" w:lineRule="exact"/>
        <w:rPr>
          <w:sz w:val="20"/>
          <w:szCs w:val="20"/>
          <w:color w:val="auto"/>
        </w:rPr>
      </w:pPr>
    </w:p>
    <w:p>
      <w:pPr>
        <w:ind w:right="240"/>
        <w:spacing w:after="0" w:line="314" w:lineRule="auto"/>
        <w:rPr>
          <w:sz w:val="20"/>
          <w:szCs w:val="20"/>
          <w:color w:val="auto"/>
        </w:rPr>
      </w:pPr>
      <w:r>
        <w:rPr>
          <w:rFonts w:ascii="Arial" w:cs="Arial" w:eastAsia="Arial" w:hAnsi="Arial"/>
          <w:sz w:val="14"/>
          <w:szCs w:val="14"/>
          <w:color w:val="auto"/>
        </w:rPr>
        <w:t xml:space="preserve">January 2021, with a final balloon amount of $107,723 payable concurrently with the last instalment in July 2025. Interest on the facility will be payable at a rate of USD LIBOR plus a margin. DNB Bank ASA, London Branch and ING Bank N.V., London Branch were also registered as hedging providers under the facility. The relevant amount of $193,713 was drawn on July 21, 2020, out of which $174,867 was used to refinance the outstanding indebtedness of GAS-nineteen Ltd., GAS-twenty one Ltd. and GAS-twenty seven Ltd., the respective entities owning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Becki Anne</w:t>
      </w:r>
      <w:r>
        <w:rPr>
          <w:rFonts w:ascii="Arial" w:cs="Arial" w:eastAsia="Arial" w:hAnsi="Arial"/>
          <w:sz w:val="14"/>
          <w:szCs w:val="14"/>
          <w:color w:val="auto"/>
        </w:rPr>
        <w:t>. The facility includes customary restrictive covenants aligned with the ones in the existing bank credit facilities of the Partnership. Finally, in July 2020, GasLog Partners entered into four new interest rate swap agreements with an aggregate notional amount of $133,333 due in 2024 and 2025 with the hedging providers under the facility.</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GasLog has concurrently refinanced the existing indebtedness due in 2021 for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9" w:name="page260"/>
    <w:bookmarkEnd w:id="259"/>
    <w:p>
      <w:pPr>
        <w:spacing w:after="0" w:line="287" w:lineRule="auto"/>
        <w:rPr>
          <w:sz w:val="20"/>
          <w:szCs w:val="20"/>
          <w:color w:val="auto"/>
        </w:rPr>
      </w:pPr>
      <w:r>
        <w:rPr>
          <w:rFonts w:ascii="Arial" w:cs="Arial" w:eastAsia="Arial" w:hAnsi="Arial"/>
          <w:sz w:val="15"/>
          <w:szCs w:val="15"/>
          <w:i w:val="1"/>
          <w:iCs w:val="1"/>
          <w:color w:val="auto"/>
        </w:rPr>
        <w:t>Skagen</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Saratoga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Salem</w:t>
      </w:r>
      <w:r>
        <w:rPr>
          <w:rFonts w:ascii="Arial" w:cs="Arial" w:eastAsia="Arial" w:hAnsi="Arial"/>
          <w:sz w:val="15"/>
          <w:szCs w:val="15"/>
          <w:color w:val="auto"/>
        </w:rPr>
        <w:t>, and the</w:t>
      </w:r>
      <w:r>
        <w:rPr>
          <w:rFonts w:ascii="Arial" w:cs="Arial" w:eastAsia="Arial" w:hAnsi="Arial"/>
          <w:sz w:val="15"/>
          <w:szCs w:val="15"/>
          <w:i w:val="1"/>
          <w:iCs w:val="1"/>
          <w:color w:val="auto"/>
        </w:rPr>
        <w:t xml:space="preserve"> Methane Lydon Volney </w:t>
      </w:r>
      <w:r>
        <w:rPr>
          <w:rFonts w:ascii="Arial" w:cs="Arial" w:eastAsia="Arial" w:hAnsi="Arial"/>
          <w:sz w:val="15"/>
          <w:szCs w:val="15"/>
          <w:color w:val="auto"/>
        </w:rPr>
        <w:t>by entering into a credit agreement of $576,888. ABN AMRO Bank N.V., Citigroup</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Global Markets Limited and Nordea Bank ABP, Filial I Norge acted as global co-ordinators and bookrunners, while HSBC Bank plc acted as mandated lead arranger; Credit Agricole Corporate and Investment Bank acted as lead arranger and Unicredit Bank AG and National Bank of Australia Limited acted as arrangers, each of those being an original lender. ABN AMRO Bank N.V. was appointed by the other finance parties in this syndicate as security agent and trustee. The facility comprises of a $494,475 Term Loan Facility which will amortize on a quarterly basis (following an initial repayment six months after the initial drawdown equal to the sum of two quarterly repayments), with a final balloon amount payable concurrently with the last installment in June 2025 and a $82,413 revolving loan facility which also matures in June 2025. Interest on the facility will be payable at a rate of USD LIBOR plus a margin. An amount of $576,888 was drawn on July 21, 2020, out of which $557,026 was used to refinance the outstanding indebtedness of GAS-one Ltd., GAS-two Ltd., GAS-six Ltd., GAS-nine Ltd., GAS-ten Ltd., and GAS-eighteen Ltd., the respective entities owning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Savannah</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Singapore</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Skagen</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Saratoga</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Salem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Lydon Volney</w:t>
      </w:r>
      <w:r>
        <w:rPr>
          <w:rFonts w:ascii="Arial" w:cs="Arial" w:eastAsia="Arial" w:hAnsi="Arial"/>
          <w:sz w:val="15"/>
          <w:szCs w:val="15"/>
          <w:color w:val="auto"/>
        </w:rPr>
        <w:t>. The balance of the proceeds will be used</w:t>
      </w:r>
      <w:r>
        <w:rPr>
          <w:rFonts w:ascii="Arial" w:cs="Arial" w:eastAsia="Arial" w:hAnsi="Arial"/>
          <w:sz w:val="15"/>
          <w:szCs w:val="15"/>
          <w:i w:val="1"/>
          <w:iCs w:val="1"/>
          <w:color w:val="auto"/>
        </w:rPr>
        <w:t xml:space="preserve"> </w:t>
      </w:r>
      <w:r>
        <w:rPr>
          <w:rFonts w:ascii="Arial" w:cs="Arial" w:eastAsia="Arial" w:hAnsi="Arial"/>
          <w:sz w:val="15"/>
          <w:szCs w:val="15"/>
          <w:color w:val="auto"/>
        </w:rPr>
        <w:t>for general corporate and working capital purposes.</w:t>
      </w:r>
    </w:p>
    <w:p>
      <w:pPr>
        <w:spacing w:after="0" w:line="178" w:lineRule="exact"/>
        <w:rPr>
          <w:sz w:val="20"/>
          <w:szCs w:val="20"/>
          <w:color w:val="auto"/>
        </w:rPr>
      </w:pPr>
    </w:p>
    <w:p>
      <w:pPr>
        <w:ind w:right="60" w:firstLine="383"/>
        <w:spacing w:after="0" w:line="297" w:lineRule="auto"/>
        <w:rPr>
          <w:sz w:val="20"/>
          <w:szCs w:val="20"/>
          <w:color w:val="auto"/>
        </w:rPr>
      </w:pPr>
      <w:r>
        <w:rPr>
          <w:rFonts w:ascii="Arial" w:cs="Arial" w:eastAsia="Arial" w:hAnsi="Arial"/>
          <w:sz w:val="15"/>
          <w:szCs w:val="15"/>
          <w:color w:val="auto"/>
        </w:rPr>
        <w:t xml:space="preserve">On July 30, 2020, GasLog entered into a credit agreement with National Bank of Greece S.A. for the refinancing of GAS-fifteen Ltd., the entity owning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Chelsea</w:t>
      </w:r>
      <w:r>
        <w:rPr>
          <w:rFonts w:ascii="Arial" w:cs="Arial" w:eastAsia="Arial" w:hAnsi="Arial"/>
          <w:sz w:val="15"/>
          <w:szCs w:val="15"/>
          <w:color w:val="auto"/>
        </w:rPr>
        <w:t>. Funded on July 31, 2020, the facility provides $96,815 of additional financing, refinancing the $92,153 of outstanding indebtedness of</w:t>
      </w:r>
      <w:r>
        <w:rPr>
          <w:rFonts w:ascii="Arial" w:cs="Arial" w:eastAsia="Arial" w:hAnsi="Arial"/>
          <w:sz w:val="15"/>
          <w:szCs w:val="15"/>
          <w:i w:val="1"/>
          <w:iCs w:val="1"/>
          <w:color w:val="auto"/>
        </w:rPr>
        <w:t xml:space="preserve"> GasLog Chelsea </w:t>
      </w:r>
      <w:r>
        <w:rPr>
          <w:rFonts w:ascii="Arial" w:cs="Arial" w:eastAsia="Arial" w:hAnsi="Arial"/>
          <w:sz w:val="15"/>
          <w:szCs w:val="15"/>
          <w:color w:val="auto"/>
        </w:rPr>
        <w:t>and</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contributing to the $30,195 of incremental liquidity for general corporate and working capital purposes referenced above. National Bank of Greece S.A. is acting as the sole original lender. The facility will amortize on a quarterly basis, with a final balloon amount payable concurrently with the last instalment in July 2025.</w:t>
      </w:r>
    </w:p>
    <w:p>
      <w:pPr>
        <w:spacing w:after="0" w:line="172" w:lineRule="exact"/>
        <w:rPr>
          <w:sz w:val="20"/>
          <w:szCs w:val="20"/>
          <w:color w:val="auto"/>
        </w:rPr>
      </w:pPr>
    </w:p>
    <w:p>
      <w:pPr>
        <w:ind w:right="200" w:firstLine="356"/>
        <w:spacing w:after="0" w:line="293" w:lineRule="auto"/>
        <w:rPr>
          <w:sz w:val="20"/>
          <w:szCs w:val="20"/>
          <w:color w:val="auto"/>
        </w:rPr>
      </w:pPr>
      <w:r>
        <w:rPr>
          <w:rFonts w:ascii="Arial" w:cs="Arial" w:eastAsia="Arial" w:hAnsi="Arial"/>
          <w:sz w:val="16"/>
          <w:szCs w:val="16"/>
          <w:color w:val="auto"/>
        </w:rPr>
        <w:t>On August 4, 2020, the board of directors declared a quarterly cash dividend of $0.05 per common share payable on August 27, 2020 to shareholders of record as of August 17, 2020.</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32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4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76589D"/>
    <w:multiLevelType w:val="hybridMultilevel"/>
    <w:lvl w:ilvl="0">
      <w:lvlJc w:val="left"/>
      <w:lvlText w:val="*"/>
      <w:numFmt w:val="bullet"/>
      <w:start w:val="1"/>
    </w:lvl>
  </w:abstractNum>
  <w:abstractNum w:abstractNumId="1">
    <w:nsid w:val="327FAC77"/>
    <w:multiLevelType w:val="hybridMultilevel"/>
    <w:lvl w:ilvl="0">
      <w:lvlJc w:val="left"/>
      <w:lvlText w:val="(%1)"/>
      <w:numFmt w:val="decimal"/>
      <w:start w:val="1"/>
    </w:lvl>
  </w:abstractNum>
  <w:abstractNum w:abstractNumId="2">
    <w:nsid w:val="5A606509"/>
    <w:multiLevelType w:val="hybridMultilevel"/>
    <w:lvl w:ilvl="0">
      <w:lvlJc w:val="left"/>
      <w:lvlText w:val="1"/>
      <w:numFmt w:val="bullet"/>
      <w:start w:val="1"/>
    </w:lvl>
  </w:abstractNum>
  <w:abstractNum w:abstractNumId="3">
    <w:nsid w:val="6F38E6D1"/>
    <w:multiLevelType w:val="hybridMultilevel"/>
    <w:lvl w:ilvl="0">
      <w:lvlJc w:val="left"/>
      <w:lvlText w:val="(%1)"/>
      <w:numFmt w:val="lowerLetter"/>
      <w:start w:val="1"/>
    </w:lvl>
  </w:abstractNum>
  <w:abstractNum w:abstractNumId="4">
    <w:nsid w:val="46111BA5"/>
    <w:multiLevelType w:val="hybridMultilevel"/>
    <w:lvl w:ilvl="0">
      <w:lvlJc w:val="left"/>
      <w:lvlText w:val="(%1)"/>
      <w:numFmt w:val="lowerLetter"/>
      <w:start w:val="1"/>
    </w:lvl>
  </w:abstractNum>
  <w:abstractNum w:abstractNumId="5">
    <w:nsid w:val="5E963896"/>
    <w:multiLevelType w:val="hybridMultilevel"/>
    <w:lvl w:ilvl="0">
      <w:lvlJc w:val="left"/>
      <w:lvlText w:val="(%1)"/>
      <w:numFmt w:val="lowerLetter"/>
      <w:start w:val="1"/>
    </w:lvl>
  </w:abstractNum>
  <w:abstractNum w:abstractNumId="6">
    <w:nsid w:val="775BA7C1"/>
    <w:multiLevelType w:val="hybridMultilevel"/>
    <w:lvl w:ilvl="0">
      <w:lvlJc w:val="left"/>
      <w:lvlText w:val="(%1)"/>
      <w:numFmt w:val="lowerLetter"/>
      <w:start w:val="1"/>
    </w:lvl>
  </w:abstractNum>
  <w:abstractNum w:abstractNumId="7">
    <w:nsid w:val="1DD6D6F4"/>
    <w:multiLevelType w:val="hybridMultilevel"/>
    <w:lvl w:ilvl="0">
      <w:lvlJc w:val="left"/>
      <w:lvlText w:val="(%1)"/>
      <w:numFmt w:val="lowerLetter"/>
      <w:start w:val="2"/>
    </w:lvl>
  </w:abstractNum>
  <w:abstractNum w:abstractNumId="8">
    <w:nsid w:val="769A091F"/>
    <w:multiLevelType w:val="hybridMultilevel"/>
    <w:lvl w:ilvl="0">
      <w:lvlJc w:val="left"/>
      <w:lvlText w:val="(%1)"/>
      <w:numFmt w:val="lowerLetter"/>
      <w:start w:val="1"/>
    </w:lvl>
  </w:abstractNum>
  <w:abstractNum w:abstractNumId="9">
    <w:nsid w:val="4695AE95"/>
    <w:multiLevelType w:val="hybridMultilevel"/>
    <w:lvl w:ilvl="0">
      <w:lvlJc w:val="left"/>
      <w:lvlText w:val="(%1)"/>
      <w:numFmt w:val="lowerLetter"/>
      <w:start w:val="3"/>
    </w:lvl>
  </w:abstractNum>
  <w:abstractNum w:abstractNumId="10">
    <w:nsid w:val="777A4EAA"/>
    <w:multiLevelType w:val="hybridMultilevel"/>
    <w:lvl w:ilvl="0">
      <w:lvlJc w:val="left"/>
      <w:lvlText w:val="(%1)"/>
      <w:numFmt w:val="lowerLetter"/>
      <w:start w:val="1"/>
    </w:lvl>
  </w:abstractNum>
  <w:abstractNum w:abstractNumId="11">
    <w:nsid w:val="3F48B982"/>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abstractNum>
  <w:abstractNum w:abstractNumId="12">
    <w:nsid w:val="46BA8FCA"/>
    <w:multiLevelType w:val="hybridMultilevel"/>
    <w:lvl w:ilvl="0">
      <w:lvlJc w:val="left"/>
      <w:lvlText w:val="(%1)"/>
      <w:numFmt w:val="lowerRoman"/>
      <w:start w:val="2"/>
    </w:lvl>
  </w:abstractNum>
  <w:abstractNum w:abstractNumId="13">
    <w:nsid w:val="7835626C"/>
    <w:multiLevelType w:val="hybridMultilevel"/>
    <w:lvl w:ilvl="0">
      <w:lvlJc w:val="left"/>
      <w:lvlText w:val="(%1)"/>
      <w:numFmt w:val="lowerLetter"/>
      <w:start w:val="1"/>
    </w:lvl>
  </w:abstractNum>
  <w:abstractNum w:abstractNumId="14">
    <w:nsid w:val="665ACA49"/>
    <w:multiLevelType w:val="hybridMultilevel"/>
    <w:lvl w:ilvl="0">
      <w:lvlJc w:val="left"/>
      <w:lvlText w:val="(%1)"/>
      <w:numFmt w:val="lowerLetter"/>
      <w:start w:val="1"/>
    </w:lvl>
  </w:abstractNum>
  <w:abstractNum w:abstractNumId="15">
    <w:nsid w:val="6835B2AE"/>
    <w:multiLevelType w:val="hybridMultilevel"/>
    <w:lvl w:ilvl="0">
      <w:lvlJc w:val="left"/>
      <w:lvlText w:val="(%1)"/>
      <w:numFmt w:val="lowerRoman"/>
      <w:start w:val="1"/>
    </w:lvl>
    <w:lvl w:ilvl="1">
      <w:lvlJc w:val="left"/>
      <w:lvlText w:val="(%2)"/>
      <w:numFmt w:val="upperLetter"/>
      <w:start w:val="1"/>
    </w:lvl>
  </w:abstractNum>
  <w:abstractNum w:abstractNumId="16">
    <w:nsid w:val="4C187C90"/>
    <w:multiLevelType w:val="hybridMultilevel"/>
    <w:lvl w:ilvl="0">
      <w:lvlJc w:val="left"/>
      <w:lvlText w:val="(%1)"/>
      <w:numFmt w:val="lowerRoman"/>
      <w:start w:val="2"/>
    </w:lvl>
  </w:abstractNum>
  <w:abstractNum w:abstractNumId="17">
    <w:nsid w:val="541F28CD"/>
    <w:multiLevelType w:val="hybridMultilevel"/>
    <w:lvl w:ilvl="0">
      <w:lvlJc w:val="left"/>
      <w:lvlText w:val="(%1)"/>
      <w:numFmt w:val="lowerLetter"/>
      <w:start w:val="1"/>
    </w:lvl>
  </w:abstractNum>
  <w:abstractNum w:abstractNumId="18">
    <w:nsid w:val="7F65FD16"/>
    <w:multiLevelType w:val="hybridMultilevel"/>
    <w:lvl w:ilvl="0">
      <w:lvlJc w:val="left"/>
      <w:lvlText w:val="(%1)"/>
      <w:numFmt w:val="lowerLetter"/>
      <w:start w:val="1"/>
    </w:lvl>
  </w:abstractNum>
  <w:abstractNum w:abstractNumId="19">
    <w:nsid w:val="77C9FD68"/>
    <w:multiLevelType w:val="hybridMultilevel"/>
    <w:lvl w:ilvl="0">
      <w:lvlJc w:val="left"/>
      <w:lvlText w:val="(%1)"/>
      <w:numFmt w:val="lowerLetter"/>
      <w:start w:val="1"/>
    </w:lvl>
  </w:abstractNum>
  <w:abstractNum w:abstractNumId="20">
    <w:nsid w:val="298A92BA"/>
    <w:multiLevelType w:val="hybridMultilevel"/>
    <w:lvl w:ilvl="0">
      <w:lvlJc w:val="left"/>
      <w:lvlText w:val="(%1)"/>
      <w:numFmt w:val="lowerLetter"/>
      <w:start w:val="1"/>
    </w:lvl>
  </w:abstractNum>
  <w:abstractNum w:abstractNumId="21">
    <w:nsid w:val="6FE95EAC"/>
    <w:multiLevelType w:val="hybridMultilevel"/>
    <w:lvl w:ilvl="0">
      <w:lvlJc w:val="left"/>
      <w:lvlText w:val="(%1)"/>
      <w:numFmt w:val="lowerLetter"/>
      <w:start w:val="1"/>
    </w:lvl>
  </w:abstractNum>
  <w:abstractNum w:abstractNumId="22">
    <w:nsid w:val="4B697C7A"/>
    <w:multiLevelType w:val="hybridMultilevel"/>
    <w:lvl w:ilvl="0">
      <w:lvlJc w:val="left"/>
      <w:lvlText w:val="(%1)"/>
      <w:numFmt w:val="lowerLetter"/>
      <w:start w:val="1"/>
    </w:lvl>
  </w:abstractNum>
  <w:abstractNum w:abstractNumId="23">
    <w:nsid w:val="51A27AA6"/>
    <w:multiLevelType w:val="hybridMultilevel"/>
    <w:lvl w:ilvl="0">
      <w:lvlJc w:val="left"/>
      <w:lvlText w:val="(%1)"/>
      <w:numFmt w:val="lowerLetter"/>
      <w:start w:val="1"/>
    </w:lvl>
  </w:abstractNum>
  <w:abstractNum w:abstractNumId="24">
    <w:nsid w:val="613183F2"/>
    <w:multiLevelType w:val="hybridMultilevel"/>
    <w:lvl w:ilvl="0">
      <w:lvlJc w:val="left"/>
      <w:lvlText w:val="(%1)"/>
      <w:numFmt w:val="lowerLetter"/>
      <w:start w:val="1"/>
    </w:lvl>
  </w:abstractNum>
  <w:abstractNum w:abstractNumId="25">
    <w:nsid w:val="634102B4"/>
    <w:multiLevelType w:val="hybridMultilevel"/>
    <w:lvl w:ilvl="0">
      <w:lvlJc w:val="left"/>
      <w:lvlText w:val="(%1)"/>
      <w:numFmt w:val="lowerLetter"/>
      <w:start w:val="1"/>
    </w:lvl>
  </w:abstractNum>
  <w:abstractNum w:abstractNumId="26">
    <w:nsid w:val="65BF9DA8"/>
    <w:multiLevelType w:val="hybridMultilevel"/>
    <w:lvl w:ilvl="0">
      <w:lvlJc w:val="left"/>
      <w:lvlText w:val="(%1)"/>
      <w:numFmt w:val="lowerRoman"/>
      <w:start w:val="1"/>
    </w:lvl>
    <w:lvl w:ilvl="1">
      <w:lvlJc w:val="left"/>
      <w:lvlText w:val="(%2)"/>
      <w:numFmt w:val="upperLetter"/>
      <w:start w:val="1"/>
    </w:lvl>
  </w:abstractNum>
  <w:abstractNum w:abstractNumId="27">
    <w:nsid w:val="21A2ECCA"/>
    <w:multiLevelType w:val="hybridMultilevel"/>
    <w:lvl w:ilvl="0">
      <w:lvlJc w:val="left"/>
      <w:lvlText w:val="(%1)"/>
      <w:numFmt w:val="lowerRoman"/>
      <w:start w:val="2"/>
    </w:lvl>
  </w:abstractNum>
  <w:abstractNum w:abstractNumId="28">
    <w:nsid w:val="4D5C4899"/>
    <w:multiLevelType w:val="hybridMultilevel"/>
    <w:lvl w:ilvl="0">
      <w:lvlJc w:val="left"/>
      <w:lvlText w:val="(%1)"/>
      <w:numFmt w:val="lowerLetter"/>
      <w:start w:val="1"/>
    </w:lvl>
  </w:abstractNum>
  <w:abstractNum w:abstractNumId="29">
    <w:nsid w:val="3C3B72B2"/>
    <w:multiLevelType w:val="hybridMultilevel"/>
    <w:lvl w:ilvl="0">
      <w:lvlJc w:val="left"/>
      <w:lvlText w:val="(%1)"/>
      <w:numFmt w:val="lowerLetter"/>
      <w:start w:val="2"/>
    </w:lvl>
  </w:abstractNum>
  <w:abstractNum w:abstractNumId="30">
    <w:nsid w:val="155EC4C2"/>
    <w:multiLevelType w:val="hybridMultilevel"/>
    <w:lvl w:ilvl="0">
      <w:lvlJc w:val="left"/>
      <w:lvlText w:val="(%1)"/>
      <w:numFmt w:val="lowerLetter"/>
      <w:start w:val="1"/>
    </w:lvl>
    <w:lvl w:ilvl="1">
      <w:lvlJc w:val="left"/>
      <w:lvlText w:val="(%2)"/>
      <w:numFmt w:val="lowerRoman"/>
      <w:start w:val="1"/>
    </w:lvl>
  </w:abstractNum>
  <w:abstractNum w:abstractNumId="31">
    <w:nsid w:val="65D2A137"/>
    <w:multiLevelType w:val="hybridMultilevel"/>
    <w:lvl w:ilvl="0">
      <w:lvlJc w:val="left"/>
      <w:lvlText w:val="(%1)"/>
      <w:numFmt w:val="lowerLetter"/>
      <w:start w:val="1"/>
    </w:lvl>
  </w:abstractNum>
  <w:abstractNum w:abstractNumId="32">
    <w:nsid w:val="6EBB1F2A"/>
    <w:multiLevelType w:val="hybridMultilevel"/>
    <w:lvl w:ilvl="0">
      <w:lvlJc w:val="left"/>
      <w:lvlText w:val="(%1)"/>
      <w:numFmt w:val="lowerLetter"/>
      <w:start w:val="1"/>
    </w:lvl>
  </w:abstractNum>
  <w:abstractNum w:abstractNumId="33">
    <w:nsid w:val="6FBF29CB"/>
    <w:multiLevelType w:val="hybridMultilevel"/>
    <w:lvl w:ilvl="0">
      <w:lvlJc w:val="left"/>
      <w:lvlText w:val="(%1)"/>
      <w:numFmt w:val="lowerLetter"/>
      <w:start w:val="1"/>
    </w:lvl>
  </w:abstractNum>
  <w:abstractNum w:abstractNumId="34">
    <w:nsid w:val="550B8808"/>
    <w:multiLevelType w:val="hybridMultilevel"/>
    <w:lvl w:ilvl="0">
      <w:lvlJc w:val="left"/>
      <w:lvlText w:val="(%1)"/>
      <w:numFmt w:val="lowerLetter"/>
      <w:start w:val="1"/>
    </w:lvl>
  </w:abstractNum>
  <w:abstractNum w:abstractNumId="35">
    <w:nsid w:val="34CC3ACF"/>
    <w:multiLevelType w:val="hybridMultilevel"/>
    <w:lvl w:ilvl="0">
      <w:lvlJc w:val="left"/>
      <w:lvlText w:val="(%1)"/>
      <w:numFmt w:val="lowerLetter"/>
      <w:start w:val="3"/>
    </w:lvl>
  </w:abstractNum>
  <w:abstractNum w:abstractNumId="36">
    <w:nsid w:val="4E556261"/>
    <w:multiLevelType w:val="hybridMultilevel"/>
    <w:lvl w:ilvl="0">
      <w:lvlJc w:val="left"/>
      <w:lvlText w:val="(%1)"/>
      <w:numFmt w:val="lowerLetter"/>
      <w:start w:val="1"/>
    </w:lvl>
  </w:abstractNum>
  <w:abstractNum w:abstractNumId="37">
    <w:nsid w:val="4C672FC9"/>
    <w:multiLevelType w:val="hybridMultilevel"/>
    <w:lvl w:ilvl="0">
      <w:lvlJc w:val="left"/>
      <w:lvlText w:val="(%1)"/>
      <w:numFmt w:val="lowerLetter"/>
      <w:start w:val="1"/>
    </w:lvl>
  </w:abstractNum>
  <w:abstractNum w:abstractNumId="38">
    <w:nsid w:val="52A311C3"/>
    <w:multiLevelType w:val="hybridMultilevel"/>
    <w:lvl w:ilvl="0">
      <w:lvlJc w:val="left"/>
      <w:lvlText w:val="(%1)"/>
      <w:numFmt w:val="lowerLetter"/>
      <w:start w:val="1"/>
    </w:lvl>
  </w:abstractNum>
  <w:abstractNum w:abstractNumId="39">
    <w:nsid w:val="44EF6B80"/>
    <w:multiLevelType w:val="hybridMultilevel"/>
    <w:lvl w:ilvl="0">
      <w:lvlJc w:val="left"/>
      <w:lvlText w:val="(%1)"/>
      <w:numFmt w:val="lowerLetter"/>
      <w:start w:val="1"/>
    </w:lvl>
    <w:lvl w:ilvl="1">
      <w:lvlJc w:val="left"/>
      <w:lvlText w:val="(%2)"/>
      <w:numFmt w:val="lowerRoman"/>
      <w:start w:val="1"/>
    </w:lvl>
  </w:abstractNum>
  <w:abstractNum w:abstractNumId="40">
    <w:nsid w:val="12FCDE5E"/>
    <w:multiLevelType w:val="hybridMultilevel"/>
    <w:lvl w:ilvl="0">
      <w:lvlJc w:val="left"/>
      <w:lvlText w:val="(%1)"/>
      <w:numFmt w:val="lowerLetter"/>
      <w:start w:val="1"/>
    </w:lvl>
  </w:abstractNum>
  <w:abstractNum w:abstractNumId="41">
    <w:nsid w:val="4A1D606E"/>
    <w:multiLevelType w:val="hybridMultilevel"/>
    <w:lvl w:ilvl="0">
      <w:lvlJc w:val="left"/>
      <w:lvlText w:val="(%1)"/>
      <w:numFmt w:val="lowerLetter"/>
      <w:start w:val="1"/>
    </w:lvl>
  </w:abstractNum>
  <w:abstractNum w:abstractNumId="42">
    <w:nsid w:val="4382503"/>
    <w:multiLevelType w:val="hybridMultilevel"/>
    <w:lvl w:ilvl="0">
      <w:lvlJc w:val="left"/>
      <w:lvlText w:val="(%1)"/>
      <w:numFmt w:val="lowerLetter"/>
      <w:start w:val="1"/>
    </w:lvl>
  </w:abstractNum>
  <w:abstractNum w:abstractNumId="43">
    <w:nsid w:val="59B76E28"/>
    <w:multiLevelType w:val="hybridMultilevel"/>
    <w:lvl w:ilvl="0">
      <w:lvlJc w:val="left"/>
      <w:lvlText w:val="(%1)"/>
      <w:numFmt w:val="lowerLetter"/>
      <w:start w:val="1"/>
    </w:lvl>
  </w:abstractNum>
  <w:abstractNum w:abstractNumId="44">
    <w:nsid w:val="4252C2DA"/>
    <w:multiLevelType w:val="hybridMultilevel"/>
    <w:lvl w:ilvl="0">
      <w:lvlJc w:val="left"/>
      <w:lvlText w:val="(%1)"/>
      <w:numFmt w:val="lowerLetter"/>
      <w:start w:val="1"/>
    </w:lvl>
  </w:abstractNum>
  <w:abstractNum w:abstractNumId="45">
    <w:nsid w:val="6A92EF4C"/>
    <w:multiLevelType w:val="hybridMultilevel"/>
    <w:lvl w:ilvl="0">
      <w:lvlJc w:val="left"/>
      <w:lvlText w:val="(%1)"/>
      <w:numFmt w:val="lowerLetter"/>
      <w:start w:val="1"/>
    </w:lvl>
    <w:lvl w:ilvl="1">
      <w:lvlJc w:val="left"/>
      <w:lvlText w:val="(%2)"/>
      <w:numFmt w:val="lowerRoman"/>
      <w:start w:val="1"/>
    </w:lvl>
  </w:abstractNum>
  <w:abstractNum w:abstractNumId="46">
    <w:nsid w:val="41ED20D7"/>
    <w:multiLevelType w:val="hybridMultilevel"/>
    <w:lvl w:ilvl="0">
      <w:lvlJc w:val="left"/>
      <w:lvlText w:val="(%1)"/>
      <w:numFmt w:val="lowerLetter"/>
      <w:start w:val="1"/>
    </w:lvl>
  </w:abstractNum>
  <w:abstractNum w:abstractNumId="47">
    <w:nsid w:val="E6B3F6A"/>
    <w:multiLevelType w:val="hybridMultilevel"/>
    <w:lvl w:ilvl="0">
      <w:lvlJc w:val="left"/>
      <w:lvlText w:val="(%1)"/>
      <w:numFmt w:val="lowerLetter"/>
      <w:start w:val="1"/>
    </w:lvl>
  </w:abstractNum>
  <w:abstractNum w:abstractNumId="48">
    <w:nsid w:val="3EB21819"/>
    <w:multiLevelType w:val="hybridMultilevel"/>
    <w:lvl w:ilvl="0">
      <w:lvlJc w:val="left"/>
      <w:lvlText w:val="(%1)"/>
      <w:numFmt w:val="lowerLetter"/>
      <w:start w:val="3"/>
    </w:lvl>
  </w:abstractNum>
  <w:abstractNum w:abstractNumId="49">
    <w:nsid w:val="41531DED"/>
    <w:multiLevelType w:val="hybridMultilevel"/>
    <w:lvl w:ilvl="0">
      <w:lvlJc w:val="left"/>
      <w:lvlText w:val="(%1)"/>
      <w:numFmt w:val="lowerLetter"/>
      <w:start w:val="1"/>
    </w:lvl>
  </w:abstractNum>
  <w:abstractNum w:abstractNumId="50">
    <w:nsid w:val="6353CD2"/>
    <w:multiLevelType w:val="hybridMultilevel"/>
    <w:lvl w:ilvl="0">
      <w:lvlJc w:val="left"/>
      <w:lvlText w:val="(%1)"/>
      <w:numFmt w:val="lowerLetter"/>
      <w:start w:val="1"/>
    </w:lvl>
  </w:abstractNum>
  <w:abstractNum w:abstractNumId="51">
    <w:nsid w:val="683CAAD3"/>
    <w:multiLevelType w:val="hybridMultilevel"/>
    <w:lvl w:ilvl="0">
      <w:lvlJc w:val="left"/>
      <w:lvlText w:val="(%1)"/>
      <w:numFmt w:val="lowerLetter"/>
      <w:start w:val="1"/>
    </w:lvl>
  </w:abstractNum>
  <w:abstractNum w:abstractNumId="52">
    <w:nsid w:val="313C7C99"/>
    <w:multiLevelType w:val="hybridMultilevel"/>
    <w:lvl w:ilvl="0">
      <w:lvlJc w:val="left"/>
      <w:lvlText w:val="(%1)"/>
      <w:numFmt w:val="lowerLetter"/>
      <w:start w:val="1"/>
    </w:lvl>
  </w:abstractNum>
  <w:abstractNum w:abstractNumId="53">
    <w:nsid w:val="519EB94C"/>
    <w:multiLevelType w:val="hybridMultilevel"/>
    <w:lvl w:ilvl="0">
      <w:lvlJc w:val="left"/>
      <w:lvlText w:val="(%1)"/>
      <w:numFmt w:val="lowerLetter"/>
      <w:start w:val="1"/>
    </w:lvl>
  </w:abstractNum>
  <w:abstractNum w:abstractNumId="54">
    <w:nsid w:val="39DF2579"/>
    <w:multiLevelType w:val="hybridMultilevel"/>
    <w:lvl w:ilvl="0">
      <w:lvlJc w:val="left"/>
      <w:lvlText w:val="(%1)"/>
      <w:numFmt w:val="lowerLetter"/>
      <w:start w:val="3"/>
    </w:lvl>
  </w:abstractNum>
  <w:abstractNum w:abstractNumId="55">
    <w:nsid w:val="126E008B"/>
    <w:multiLevelType w:val="hybridMultilevel"/>
    <w:lvl w:ilvl="0">
      <w:lvlJc w:val="left"/>
      <w:lvlText w:val="(%1)"/>
      <w:numFmt w:val="lowerLetter"/>
      <w:start w:val="1"/>
    </w:lvl>
  </w:abstractNum>
  <w:abstractNum w:abstractNumId="56">
    <w:nsid w:val="34DFBC00"/>
    <w:multiLevelType w:val="hybridMultilevel"/>
    <w:lvl w:ilvl="0">
      <w:lvlJc w:val="left"/>
      <w:lvlText w:val="(%1)"/>
      <w:numFmt w:val="lowerLetter"/>
      <w:start w:val="1"/>
    </w:lvl>
  </w:abstractNum>
  <w:abstractNum w:abstractNumId="57">
    <w:nsid w:val="1F9EC322"/>
    <w:multiLevelType w:val="hybridMultilevel"/>
    <w:lvl w:ilvl="0">
      <w:lvlJc w:val="left"/>
      <w:lvlText w:val="(%1)"/>
      <w:numFmt w:val="lowerLetter"/>
      <w:start w:val="1"/>
    </w:lvl>
  </w:abstractNum>
  <w:abstractNum w:abstractNumId="58">
    <w:nsid w:val="3410ED56"/>
    <w:multiLevelType w:val="hybridMultilevel"/>
    <w:lvl w:ilvl="0">
      <w:lvlJc w:val="left"/>
      <w:lvlText w:val="(%1)"/>
      <w:numFmt w:val="lowerLetter"/>
      <w:start w:val="1"/>
    </w:lvl>
  </w:abstractNum>
  <w:abstractNum w:abstractNumId="59">
    <w:nsid w:val="23C049A"/>
    <w:multiLevelType w:val="hybridMultilevel"/>
    <w:lvl w:ilvl="0">
      <w:lvlJc w:val="left"/>
      <w:lvlText w:val="(%1)"/>
      <w:numFmt w:val="lowerLetter"/>
      <w:start w:val="1"/>
    </w:lvl>
  </w:abstractNum>
  <w:abstractNum w:abstractNumId="60">
    <w:nsid w:val="5BDA35D4"/>
    <w:multiLevelType w:val="hybridMultilevel"/>
    <w:lvl w:ilvl="0">
      <w:lvlJc w:val="left"/>
      <w:lvlText w:val="(%1)"/>
      <w:numFmt w:val="lowerLetter"/>
      <w:start w:val="1"/>
    </w:lvl>
  </w:abstractNum>
  <w:abstractNum w:abstractNumId="61">
    <w:nsid w:val="496FB218"/>
    <w:multiLevelType w:val="hybridMultilevel"/>
    <w:lvl w:ilvl="0">
      <w:lvlJc w:val="left"/>
      <w:lvlText w:val="(%1)"/>
      <w:numFmt w:val="lowerLetter"/>
      <w:start w:val="1"/>
    </w:lvl>
    <w:lvl w:ilvl="1">
      <w:lvlJc w:val="left"/>
      <w:lvlText w:val="(%2)"/>
      <w:numFmt w:val="lowerRoman"/>
      <w:start w:val="1"/>
    </w:lvl>
  </w:abstractNum>
  <w:abstractNum w:abstractNumId="62">
    <w:nsid w:val="680EA5D1"/>
    <w:multiLevelType w:val="hybridMultilevel"/>
    <w:lvl w:ilvl="0">
      <w:lvlJc w:val="left"/>
      <w:lvlText w:val="(%1)"/>
      <w:numFmt w:val="lowerLetter"/>
      <w:start w:val="1"/>
    </w:lvl>
  </w:abstractNum>
  <w:abstractNum w:abstractNumId="63">
    <w:nsid w:val="4A9554FE"/>
    <w:multiLevelType w:val="hybridMultilevel"/>
    <w:lvl w:ilvl="0">
      <w:lvlJc w:val="left"/>
      <w:lvlText w:val="(%1)"/>
      <w:numFmt w:val="lowerLetter"/>
      <w:start w:val="1"/>
    </w:lvl>
  </w:abstractNum>
  <w:abstractNum w:abstractNumId="64">
    <w:nsid w:val="392EDBE4"/>
    <w:multiLevelType w:val="hybridMultilevel"/>
    <w:lvl w:ilvl="0">
      <w:lvlJc w:val="left"/>
      <w:lvlText w:val="(%1)"/>
      <w:numFmt w:val="lowerLetter"/>
      <w:start w:val="2"/>
    </w:lvl>
  </w:abstractNum>
  <w:abstractNum w:abstractNumId="65">
    <w:nsid w:val="3D1A2DD9"/>
    <w:multiLevelType w:val="hybridMultilevel"/>
    <w:lvl w:ilvl="0">
      <w:lvlJc w:val="left"/>
      <w:lvlText w:val="(%1)"/>
      <w:numFmt w:val="lowerLetter"/>
      <w:start w:val="1"/>
    </w:lvl>
  </w:abstractNum>
  <w:abstractNum w:abstractNumId="66">
    <w:nsid w:val="7F618FCD"/>
    <w:multiLevelType w:val="hybridMultilevel"/>
    <w:lvl w:ilvl="0">
      <w:lvlJc w:val="left"/>
      <w:lvlText w:val="(%1)"/>
      <w:numFmt w:val="lowerLetter"/>
      <w:start w:val="1"/>
    </w:lvl>
  </w:abstractNum>
  <w:abstractNum w:abstractNumId="67">
    <w:nsid w:val="7843E45"/>
    <w:multiLevelType w:val="hybridMultilevel"/>
    <w:lvl w:ilvl="0">
      <w:lvlJc w:val="left"/>
      <w:lvlText w:val="(%1)"/>
      <w:numFmt w:val="lowerLetter"/>
      <w:start w:val="1"/>
    </w:lvl>
  </w:abstractNum>
  <w:abstractNum w:abstractNumId="68">
    <w:nsid w:val="9815DA3"/>
    <w:multiLevelType w:val="hybridMultilevel"/>
    <w:lvl w:ilvl="0">
      <w:lvlJc w:val="left"/>
      <w:lvlText w:val="(%1)"/>
      <w:numFmt w:val="lowerLetter"/>
      <w:start w:val="1"/>
    </w:lvl>
  </w:abstractNum>
  <w:abstractNum w:abstractNumId="69">
    <w:nsid w:val="5204A191"/>
    <w:multiLevelType w:val="hybridMultilevel"/>
    <w:lvl w:ilvl="0">
      <w:lvlJc w:val="left"/>
      <w:lvlText w:val="(%1)"/>
      <w:numFmt w:val="lowerRoman"/>
      <w:start w:val="1"/>
    </w:lvl>
    <w:lvl w:ilvl="1">
      <w:lvlJc w:val="left"/>
      <w:lvlText w:val="(%2)"/>
      <w:numFmt w:val="upperLetter"/>
      <w:start w:val="1"/>
    </w:lvl>
  </w:abstractNum>
  <w:abstractNum w:abstractNumId="70">
    <w:nsid w:val="4C73A9C6"/>
    <w:multiLevelType w:val="hybridMultilevel"/>
    <w:lvl w:ilvl="0">
      <w:lvlJc w:val="left"/>
      <w:lvlText w:val="%1"/>
      <w:numFmt w:val="upperLetter"/>
      <w:start w:val="1"/>
    </w:lvl>
    <w:lvl w:ilvl="1">
      <w:lvlJc w:val="left"/>
      <w:lvlText w:val="(%2)"/>
      <w:numFmt w:val="decimal"/>
      <w:start w:val="1"/>
    </w:lvl>
  </w:abstractNum>
  <w:abstractNum w:abstractNumId="71">
    <w:nsid w:val="1C7E3C01"/>
    <w:multiLevelType w:val="hybridMultilevel"/>
    <w:lvl w:ilvl="0">
      <w:lvlJc w:val="left"/>
      <w:lvlText w:val="(%1)"/>
      <w:numFmt w:val="upperLetter"/>
      <w:start w:val="2"/>
    </w:lvl>
    <w:lvl w:ilvl="1">
      <w:lvlJc w:val="left"/>
      <w:lvlText w:val="%2"/>
      <w:numFmt w:val="decimal"/>
      <w:start w:val="1"/>
    </w:lvl>
  </w:abstractNum>
  <w:abstractNum w:abstractNumId="72">
    <w:nsid w:val="1C2201FF"/>
    <w:multiLevelType w:val="hybridMultilevel"/>
    <w:lvl w:ilvl="0">
      <w:lvlJc w:val="left"/>
      <w:lvlText w:val="(%1)"/>
      <w:numFmt w:val="lowerRoman"/>
      <w:start w:val="14"/>
    </w:lvl>
    <w:lvl w:ilvl="1">
      <w:lvlJc w:val="left"/>
      <w:lvlText w:val="(%2)"/>
      <w:numFmt w:val="upperLetter"/>
      <w:start w:val="1"/>
    </w:lvl>
  </w:abstractNum>
  <w:abstractNum w:abstractNumId="73">
    <w:nsid w:val="50ABCEC9"/>
    <w:multiLevelType w:val="hybridMultilevel"/>
    <w:lvl w:ilvl="0">
      <w:lvlJc w:val="left"/>
      <w:lvlText w:val="(%1)"/>
      <w:numFmt w:val="lowerRoman"/>
      <w:start w:val="21"/>
    </w:lvl>
    <w:lvl w:ilvl="1">
      <w:lvlJc w:val="left"/>
      <w:lvlText w:val="(%2)"/>
      <w:numFmt w:val="upperLetter"/>
      <w:start w:val="1"/>
    </w:lvl>
  </w:abstractNum>
  <w:abstractNum w:abstractNumId="74">
    <w:nsid w:val="7635AA2A"/>
    <w:multiLevelType w:val="hybridMultilevel"/>
    <w:lvl w:ilvl="0">
      <w:lvlJc w:val="left"/>
      <w:lvlText w:val="(%1)"/>
      <w:numFmt w:val="lowerRoman"/>
      <w:start w:val="23"/>
    </w:lvl>
  </w:abstractNum>
  <w:abstractNum w:abstractNumId="75">
    <w:nsid w:val="5E74C4D9"/>
    <w:multiLevelType w:val="hybridMultilevel"/>
    <w:lvl w:ilvl="0">
      <w:lvlJc w:val="left"/>
      <w:lvlText w:val="%1"/>
      <w:numFmt w:val="lowerLetter"/>
      <w:start w:val="1"/>
    </w:lvl>
    <w:lvl w:ilvl="1">
      <w:lvlJc w:val="left"/>
      <w:lvlText w:val="(%2)"/>
      <w:numFmt w:val="lowerRoman"/>
      <w:start w:val="32"/>
    </w:lvl>
  </w:abstractNum>
  <w:abstractNum w:abstractNumId="76">
    <w:nsid w:val="3B3EBE15"/>
    <w:multiLevelType w:val="hybridMultilevel"/>
    <w:lvl w:ilvl="0">
      <w:lvlJc w:val="left"/>
      <w:lvlText w:val="(%1)"/>
      <w:numFmt w:val="lowerLetter"/>
      <w:start w:val="2"/>
    </w:lvl>
    <w:lvl w:ilvl="1">
      <w:lvlJc w:val="left"/>
      <w:lvlText w:val="%2"/>
      <w:numFmt w:val="lowerRoman"/>
      <w:start w:val="1"/>
    </w:lvl>
  </w:abstractNum>
  <w:abstractNum w:abstractNumId="77">
    <w:nsid w:val="3822CB01"/>
    <w:multiLevelType w:val="hybridMultilevel"/>
    <w:lvl w:ilvl="0">
      <w:lvlJc w:val="left"/>
      <w:lvlText w:val="(%1)"/>
      <w:numFmt w:val="lowerLetter"/>
      <w:start w:val="1"/>
    </w:lvl>
  </w:abstractNum>
  <w:abstractNum w:abstractNumId="78">
    <w:nsid w:val="6CE00443"/>
    <w:multiLevelType w:val="hybridMultilevel"/>
    <w:lvl w:ilvl="0">
      <w:lvlJc w:val="left"/>
      <w:lvlText w:val="2"/>
      <w:numFmt w:val="bullet"/>
      <w:start w:val="1"/>
    </w:lvl>
  </w:abstractNum>
  <w:abstractNum w:abstractNumId="79">
    <w:nsid w:val="79F0D62F"/>
    <w:multiLevelType w:val="hybridMultilevel"/>
    <w:lvl w:ilvl="0">
      <w:lvlJc w:val="left"/>
      <w:lvlText w:val="(%1)"/>
      <w:numFmt w:val="lowerLetter"/>
      <w:start w:val="1"/>
    </w:lvl>
  </w:abstractNum>
  <w:abstractNum w:abstractNumId="80">
    <w:nsid w:val="7975E8EE"/>
    <w:multiLevelType w:val="hybridMultilevel"/>
    <w:lvl w:ilvl="0">
      <w:lvlJc w:val="left"/>
      <w:lvlText w:val="(%1)"/>
      <w:numFmt w:val="lowerLetter"/>
      <w:start w:val="1"/>
    </w:lvl>
    <w:lvl w:ilvl="1">
      <w:lvlJc w:val="left"/>
      <w:lvlText w:val="(%2)"/>
      <w:numFmt w:val="lowerRoman"/>
      <w:start w:val="1"/>
    </w:lvl>
  </w:abstractNum>
  <w:abstractNum w:abstractNumId="81">
    <w:nsid w:val="73154115"/>
    <w:multiLevelType w:val="hybridMultilevel"/>
    <w:lvl w:ilvl="0">
      <w:lvlJc w:val="left"/>
      <w:lvlText w:val="(%1)"/>
      <w:numFmt w:val="lowerLetter"/>
      <w:start w:val="4"/>
    </w:lvl>
    <w:lvl w:ilvl="1">
      <w:lvlJc w:val="left"/>
      <w:lvlText w:val="(%2)"/>
      <w:numFmt w:val="lowerRoman"/>
      <w:start w:val="1"/>
    </w:lvl>
  </w:abstractNum>
  <w:abstractNum w:abstractNumId="82">
    <w:nsid w:val="622D8102"/>
    <w:multiLevelType w:val="hybridMultilevel"/>
    <w:lvl w:ilvl="0">
      <w:lvlJc w:val="left"/>
      <w:lvlText w:val="(%1)"/>
      <w:numFmt w:val="lowerRoman"/>
      <w:start w:val="1"/>
    </w:lvl>
  </w:abstractNum>
  <w:abstractNum w:abstractNumId="83">
    <w:nsid w:val="2AB26587"/>
    <w:multiLevelType w:val="hybridMultilevel"/>
    <w:lvl w:ilvl="0">
      <w:lvlJc w:val="left"/>
      <w:lvlText w:val="3"/>
      <w:numFmt w:val="bullet"/>
      <w:start w:val="1"/>
    </w:lvl>
  </w:abstractNum>
  <w:abstractNum w:abstractNumId="84">
    <w:nsid w:val="44B3FA61"/>
    <w:multiLevelType w:val="hybridMultilevel"/>
    <w:lvl w:ilvl="0">
      <w:lvlJc w:val="left"/>
      <w:lvlText w:val="(%1)"/>
      <w:numFmt w:val="lowerLetter"/>
      <w:start w:val="1"/>
    </w:lvl>
  </w:abstractNum>
  <w:abstractNum w:abstractNumId="85">
    <w:nsid w:val="1C0CA67C"/>
    <w:multiLevelType w:val="hybridMultilevel"/>
    <w:lvl w:ilvl="0">
      <w:lvlJc w:val="left"/>
      <w:lvlText w:val="4"/>
      <w:numFmt w:val="bullet"/>
      <w:start w:val="1"/>
    </w:lvl>
  </w:abstractNum>
  <w:abstractNum w:abstractNumId="86">
    <w:nsid w:val="3D206613"/>
    <w:multiLevelType w:val="hybridMultilevel"/>
    <w:lvl w:ilvl="0">
      <w:lvlJc w:val="left"/>
      <w:lvlText w:val="(%1)"/>
      <w:numFmt w:val="lowerLetter"/>
      <w:start w:val="1"/>
    </w:lvl>
    <w:lvl w:ilvl="1">
      <w:lvlJc w:val="left"/>
      <w:lvlText w:val="(%2)"/>
      <w:numFmt w:val="lowerRoman"/>
      <w:start w:val="1"/>
    </w:lvl>
  </w:abstractNum>
  <w:abstractNum w:abstractNumId="87">
    <w:nsid w:val="7993B662"/>
    <w:multiLevelType w:val="hybridMultilevel"/>
    <w:lvl w:ilvl="0">
      <w:lvlJc w:val="left"/>
      <w:lvlText w:val="5"/>
      <w:numFmt w:val="bullet"/>
      <w:start w:val="1"/>
    </w:lvl>
  </w:abstractNum>
  <w:abstractNum w:abstractNumId="88">
    <w:nsid w:val="3BAB699E"/>
    <w:multiLevelType w:val="hybridMultilevel"/>
    <w:lvl w:ilvl="0">
      <w:lvlJc w:val="left"/>
      <w:lvlText w:val="(%1)"/>
      <w:numFmt w:val="lowerLetter"/>
      <w:start w:val="1"/>
    </w:lvl>
    <w:lvl w:ilvl="1">
      <w:lvlJc w:val="left"/>
      <w:lvlText w:val="(%2)"/>
      <w:numFmt w:val="lowerRoman"/>
      <w:start w:val="1"/>
    </w:lvl>
  </w:abstractNum>
  <w:abstractNum w:abstractNumId="89">
    <w:nsid w:val="71315369"/>
    <w:multiLevelType w:val="hybridMultilevel"/>
    <w:lvl w:ilvl="0">
      <w:lvlJc w:val="left"/>
      <w:lvlText w:val="(%1)"/>
      <w:numFmt w:val="lowerLetter"/>
      <w:start w:val="5"/>
    </w:lvl>
  </w:abstractNum>
  <w:abstractNum w:abstractNumId="90">
    <w:nsid w:val="7BCFBAFC"/>
    <w:multiLevelType w:val="hybridMultilevel"/>
    <w:lvl w:ilvl="0">
      <w:lvlJc w:val="left"/>
      <w:lvlText w:val="(%1)"/>
      <w:numFmt w:val="lowerLetter"/>
      <w:start w:val="1"/>
    </w:lvl>
    <w:lvl w:ilvl="1">
      <w:lvlJc w:val="left"/>
      <w:lvlText w:val="(%2)"/>
      <w:numFmt w:val="lowerRoman"/>
      <w:start w:val="1"/>
    </w:lvl>
  </w:abstractNum>
  <w:abstractNum w:abstractNumId="91">
    <w:nsid w:val="17859F72"/>
    <w:multiLevelType w:val="hybridMultilevel"/>
    <w:lvl w:ilvl="0">
      <w:lvlJc w:val="left"/>
      <w:lvlText w:val="(%1)"/>
      <w:numFmt w:val="lowerLetter"/>
      <w:start w:val="6"/>
    </w:lvl>
    <w:lvl w:ilvl="1">
      <w:lvlJc w:val="left"/>
      <w:lvlText w:val="(%2)"/>
      <w:numFmt w:val="lowerRoman"/>
      <w:start w:val="1"/>
    </w:lvl>
  </w:abstractNum>
  <w:abstractNum w:abstractNumId="92">
    <w:nsid w:val="3AA10581"/>
    <w:multiLevelType w:val="hybridMultilevel"/>
    <w:lvl w:ilvl="0">
      <w:lvlJc w:val="left"/>
      <w:lvlText w:val="(%1)"/>
      <w:numFmt w:val="lowerRoman"/>
      <w:start w:val="4"/>
    </w:lvl>
  </w:abstractNum>
  <w:abstractNum w:abstractNumId="93">
    <w:nsid w:val="63DE60CD"/>
    <w:multiLevelType w:val="hybridMultilevel"/>
    <w:lvl w:ilvl="0">
      <w:lvlJc w:val="left"/>
      <w:lvlText w:val="(%1)"/>
      <w:numFmt w:val="lowerLetter"/>
      <w:start w:val="1"/>
    </w:lvl>
  </w:abstractNum>
  <w:abstractNum w:abstractNumId="94">
    <w:nsid w:val="621AF471"/>
    <w:multiLevelType w:val="hybridMultilevel"/>
    <w:lvl w:ilvl="0">
      <w:lvlJc w:val="left"/>
      <w:lvlText w:val="6"/>
      <w:numFmt w:val="bullet"/>
      <w:start w:val="1"/>
    </w:lvl>
  </w:abstractNum>
  <w:abstractNum w:abstractNumId="95">
    <w:nsid w:val="73CFE1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6">
    <w:nsid w:val="20F88EA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7">
    <w:nsid w:val="617C843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98">
    <w:nsid w:val="7B541FAB"/>
    <w:multiLevelType w:val="hybridMultilevel"/>
    <w:lvl w:ilvl="0">
      <w:lvlJc w:val="left"/>
      <w:lvlText w:val="(%1)"/>
      <w:numFmt w:val="lowerLetter"/>
      <w:start w:val="1"/>
    </w:lvl>
  </w:abstractNum>
  <w:abstractNum w:abstractNumId="99">
    <w:nsid w:val="2A79EC49"/>
    <w:multiLevelType w:val="hybridMultilevel"/>
    <w:lvl w:ilvl="0">
      <w:lvlJc w:val="left"/>
      <w:lvlText w:val="7"/>
      <w:numFmt w:val="bullet"/>
      <w:start w:val="1"/>
    </w:lvl>
  </w:abstractNum>
  <w:abstractNum w:abstractNumId="100">
    <w:nsid w:val="338125CF"/>
    <w:multiLevelType w:val="hybridMultilevel"/>
    <w:lvl w:ilvl="0">
      <w:lvlJc w:val="left"/>
      <w:lvlText w:val="(%1)"/>
      <w:numFmt w:val="lowerLetter"/>
      <w:start w:val="1"/>
    </w:lvl>
  </w:abstractNum>
  <w:abstractNum w:abstractNumId="101">
    <w:nsid w:val="47C7C97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2">
    <w:nsid w:val="46F8284B"/>
    <w:multiLevelType w:val="hybridMultilevel"/>
    <w:lvl w:ilvl="0">
      <w:lvlJc w:val="left"/>
      <w:lvlText w:val="(%1)"/>
      <w:numFmt w:val="lowerLetter"/>
      <w:start w:val="1"/>
    </w:lvl>
  </w:abstractNum>
  <w:abstractNum w:abstractNumId="103">
    <w:nsid w:val="4FA327CE"/>
    <w:multiLevelType w:val="hybridMultilevel"/>
    <w:lvl w:ilvl="0">
      <w:lvlJc w:val="left"/>
      <w:lvlText w:val="(%1)"/>
      <w:numFmt w:val="lowerLetter"/>
      <w:start w:val="2"/>
    </w:lvl>
  </w:abstractNum>
  <w:abstractNum w:abstractNumId="104">
    <w:nsid w:val="1873983A"/>
    <w:multiLevelType w:val="hybridMultilevel"/>
    <w:lvl w:ilvl="0">
      <w:lvlJc w:val="left"/>
      <w:lvlText w:val="(%1)"/>
      <w:numFmt w:val="lowerLetter"/>
      <w:start w:val="1"/>
    </w:lvl>
    <w:lvl w:ilvl="1">
      <w:lvlJc w:val="left"/>
      <w:lvlText w:val="(%2)"/>
      <w:numFmt w:val="lowerRoman"/>
      <w:start w:val="1"/>
    </w:lvl>
  </w:abstractNum>
  <w:abstractNum w:abstractNumId="105">
    <w:nsid w:val="3D2DD275"/>
    <w:multiLevelType w:val="hybridMultilevel"/>
    <w:lvl w:ilvl="0">
      <w:lvlJc w:val="left"/>
      <w:lvlText w:val="(%1)"/>
      <w:numFmt w:val="lowerLetter"/>
      <w:start w:val="2"/>
    </w:lvl>
  </w:abstractNum>
  <w:abstractNum w:abstractNumId="106">
    <w:nsid w:val="2E17ECA7"/>
    <w:multiLevelType w:val="hybridMultilevel"/>
    <w:lvl w:ilvl="0">
      <w:lvlJc w:val="left"/>
      <w:lvlText w:val="(%1)"/>
      <w:numFmt w:val="lowerLetter"/>
      <w:start w:val="3"/>
    </w:lvl>
    <w:lvl w:ilvl="1">
      <w:lvlJc w:val="left"/>
      <w:lvlText w:val="(%2)"/>
      <w:numFmt w:val="lowerRoman"/>
      <w:start w:val="1"/>
    </w:lvl>
  </w:abstractNum>
  <w:abstractNum w:abstractNumId="107">
    <w:nsid w:val="53B2564F"/>
    <w:multiLevelType w:val="hybridMultilevel"/>
    <w:lvl w:ilvl="0">
      <w:lvlJc w:val="left"/>
      <w:lvlText w:val="(%1)"/>
      <w:numFmt w:val="lowerLetter"/>
      <w:start w:val="1"/>
    </w:lvl>
  </w:abstractNum>
  <w:abstractNum w:abstractNumId="108">
    <w:nsid w:val="75509D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9">
    <w:nsid w:val="1AF7F0E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0">
    <w:nsid w:val="4DA32C7E"/>
    <w:multiLevelType w:val="hybridMultilevel"/>
    <w:lvl w:ilvl="0">
      <w:lvlJc w:val="left"/>
      <w:lvlText w:val="(%1)"/>
      <w:numFmt w:val="lowerLetter"/>
      <w:start w:val="1"/>
    </w:lvl>
  </w:abstractNum>
  <w:abstractNum w:abstractNumId="111">
    <w:nsid w:val="6EC68664"/>
    <w:multiLevelType w:val="hybridMultilevel"/>
    <w:lvl w:ilvl="0">
      <w:lvlJc w:val="left"/>
      <w:lvlText w:val="(%1)"/>
      <w:numFmt w:val="lowerLetter"/>
      <w:start w:val="4"/>
    </w:lvl>
  </w:abstractNum>
  <w:abstractNum w:abstractNumId="112">
    <w:nsid w:val="E0D31FF"/>
    <w:multiLevelType w:val="hybridMultilevel"/>
    <w:lvl w:ilvl="0">
      <w:lvlJc w:val="left"/>
      <w:lvlText w:val="(%1)"/>
      <w:numFmt w:val="lowerLetter"/>
      <w:start w:val="1"/>
    </w:lvl>
  </w:abstractNum>
  <w:abstractNum w:abstractNumId="113">
    <w:nsid w:val="2FD0AD81"/>
    <w:multiLevelType w:val="hybridMultilevel"/>
    <w:lvl w:ilvl="0">
      <w:lvlJc w:val="left"/>
      <w:lvlText w:val="8"/>
      <w:numFmt w:val="bullet"/>
      <w:start w:val="1"/>
    </w:lvl>
  </w:abstractNum>
  <w:abstractNum w:abstractNumId="114">
    <w:nsid w:val="1978EBEB"/>
    <w:multiLevelType w:val="hybridMultilevel"/>
    <w:lvl w:ilvl="0">
      <w:lvlJc w:val="left"/>
      <w:lvlText w:val="(%1)"/>
      <w:numFmt w:val="lowerLetter"/>
      <w:start w:val="1"/>
    </w:lvl>
  </w:abstractNum>
  <w:abstractNum w:abstractNumId="115">
    <w:nsid w:val="52C12C61"/>
    <w:multiLevelType w:val="hybridMultilevel"/>
    <w:lvl w:ilvl="0">
      <w:lvlJc w:val="left"/>
      <w:lvlText w:val="(%1)"/>
      <w:numFmt w:val="lowerLetter"/>
      <w:start w:val="1"/>
    </w:lvl>
    <w:lvl w:ilvl="1">
      <w:lvlJc w:val="left"/>
      <w:lvlText w:val="(%2)"/>
      <w:numFmt w:val="lowerRoman"/>
      <w:start w:val="1"/>
    </w:lvl>
  </w:abstractNum>
  <w:abstractNum w:abstractNumId="116">
    <w:nsid w:val="4BDD53FD"/>
    <w:multiLevelType w:val="hybridMultilevel"/>
    <w:lvl w:ilvl="0">
      <w:lvlJc w:val="left"/>
      <w:lvlText w:val="(%1)"/>
      <w:numFmt w:val="lowerLetter"/>
      <w:start w:val="1"/>
    </w:lvl>
  </w:abstractNum>
  <w:abstractNum w:abstractNumId="117">
    <w:nsid w:val="569951FE"/>
    <w:multiLevelType w:val="hybridMultilevel"/>
    <w:lvl w:ilvl="0">
      <w:lvlJc w:val="left"/>
      <w:lvlText w:val="(%1)"/>
      <w:numFmt w:val="lowerLetter"/>
      <w:start w:val="2"/>
    </w:lvl>
  </w:abstractNum>
  <w:abstractNum w:abstractNumId="118">
    <w:nsid w:val="4C54E2C3"/>
    <w:multiLevelType w:val="hybridMultilevel"/>
    <w:lvl w:ilvl="0">
      <w:lvlJc w:val="left"/>
      <w:lvlText w:val="9"/>
      <w:numFmt w:val="bullet"/>
      <w:start w:val="1"/>
    </w:lvl>
  </w:abstractNum>
  <w:abstractNum w:abstractNumId="119">
    <w:nsid w:val="788BD9B"/>
    <w:multiLevelType w:val="hybridMultilevel"/>
    <w:lvl w:ilvl="0">
      <w:lvlJc w:val="left"/>
      <w:lvlText w:val="(%1)"/>
      <w:numFmt w:val="lowerLetter"/>
      <w:start w:val="1"/>
    </w:lvl>
    <w:lvl w:ilvl="1">
      <w:lvlJc w:val="left"/>
      <w:lvlText w:val="(%2)"/>
      <w:numFmt w:val="decimal"/>
      <w:start w:val="3"/>
    </w:lvl>
  </w:abstractNum>
  <w:abstractNum w:abstractNumId="120">
    <w:nsid w:val="47CAA567"/>
    <w:multiLevelType w:val="hybridMultilevel"/>
    <w:lvl w:ilvl="0">
      <w:lvlJc w:val="left"/>
      <w:lvlText w:val="(%1)"/>
      <w:numFmt w:val="lowerLetter"/>
      <w:start w:val="1"/>
    </w:lvl>
  </w:abstractNum>
  <w:abstractNum w:abstractNumId="121">
    <w:nsid w:val="48249DBF"/>
    <w:multiLevelType w:val="hybridMultilevel"/>
    <w:lvl w:ilvl="0">
      <w:lvlJc w:val="left"/>
      <w:lvlText w:val="(%1)"/>
      <w:numFmt w:val="lowerLetter"/>
      <w:start w:val="2"/>
    </w:lvl>
    <w:lvl w:ilvl="1">
      <w:lvlJc w:val="left"/>
      <w:lvlText w:val="(%2)"/>
      <w:numFmt w:val="lowerRoman"/>
      <w:start w:val="1"/>
    </w:lvl>
  </w:abstractNum>
  <w:abstractNum w:abstractNumId="122">
    <w:nsid w:val="1F0E5D0D"/>
    <w:multiLevelType w:val="hybridMultilevel"/>
    <w:lvl w:ilvl="0">
      <w:lvlJc w:val="left"/>
      <w:lvlText w:val="(%1)"/>
      <w:numFmt w:val="lowerLetter"/>
      <w:start w:val="1"/>
    </w:lvl>
    <w:lvl w:ilvl="1">
      <w:lvlJc w:val="left"/>
      <w:lvlText w:val="(%2)"/>
      <w:numFmt w:val="lowerRoman"/>
      <w:start w:val="1"/>
    </w:lvl>
  </w:abstractNum>
  <w:abstractNum w:abstractNumId="123">
    <w:nsid w:val="26BAAE9"/>
    <w:multiLevelType w:val="hybridMultilevel"/>
    <w:lvl w:ilvl="0">
      <w:lvlJc w:val="left"/>
      <w:lvlText w:val="(%1)"/>
      <w:numFmt w:val="lowerLetter"/>
      <w:start w:val="5"/>
    </w:lvl>
  </w:abstractNum>
  <w:abstractNum w:abstractNumId="124">
    <w:nsid w:val="2C02FE8C"/>
    <w:multiLevelType w:val="hybridMultilevel"/>
    <w:lvl w:ilvl="0">
      <w:lvlJc w:val="left"/>
      <w:lvlText w:val="(%1)"/>
      <w:numFmt w:val="lowerLetter"/>
      <w:start w:val="1"/>
    </w:lvl>
  </w:abstractNum>
  <w:abstractNum w:abstractNumId="125">
    <w:nsid w:val="129517E"/>
    <w:multiLevelType w:val="hybridMultilevel"/>
    <w:lvl w:ilvl="0">
      <w:lvlJc w:val="left"/>
      <w:lvlText w:val="(%1)"/>
      <w:numFmt w:val="lowerLetter"/>
      <w:start w:val="1"/>
    </w:lvl>
  </w:abstractNum>
  <w:abstractNum w:abstractNumId="126">
    <w:nsid w:val="763B8C4E"/>
    <w:multiLevelType w:val="hybridMultilevel"/>
    <w:lvl w:ilvl="0">
      <w:lvlJc w:val="left"/>
      <w:lvlText w:val="(%1)"/>
      <w:numFmt w:val="lowerLetter"/>
      <w:start w:val="1"/>
    </w:lvl>
  </w:abstractNum>
  <w:abstractNum w:abstractNumId="127">
    <w:nsid w:val="4CFB8D32"/>
    <w:multiLevelType w:val="hybridMultilevel"/>
    <w:lvl w:ilvl="0">
      <w:lvlJc w:val="left"/>
      <w:lvlText w:val="(%1)"/>
      <w:numFmt w:val="lowerLetter"/>
      <w:start w:val="2"/>
    </w:lvl>
  </w:abstractNum>
  <w:abstractNum w:abstractNumId="128">
    <w:nsid w:val="62A5D5BD"/>
    <w:multiLevelType w:val="hybridMultilevel"/>
    <w:lvl w:ilvl="0">
      <w:lvlJc w:val="left"/>
      <w:lvlText w:val="(%1)"/>
      <w:numFmt w:val="lowerLetter"/>
      <w:start w:val="1"/>
    </w:lvl>
  </w:abstractNum>
  <w:abstractNum w:abstractNumId="129">
    <w:nsid w:val="718FABF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0">
    <w:nsid w:val="7775797C"/>
    <w:multiLevelType w:val="hybridMultilevel"/>
    <w:lvl w:ilvl="0">
      <w:lvlJc w:val="left"/>
      <w:lvlText w:val="(%1)"/>
      <w:numFmt w:val="lowerRoman"/>
      <w:start w:val="2"/>
    </w:lvl>
  </w:abstractNum>
  <w:abstractNum w:abstractNumId="131">
    <w:nsid w:val="1626FB8C"/>
    <w:multiLevelType w:val="hybridMultilevel"/>
    <w:lvl w:ilvl="0">
      <w:lvlJc w:val="left"/>
      <w:lvlText w:val="%1"/>
      <w:numFmt w:val="lowerLetter"/>
      <w:start w:val="1"/>
    </w:lvl>
    <w:lvl w:ilvl="1">
      <w:lvlJc w:val="left"/>
      <w:lvlText w:val="(%2)"/>
      <w:numFmt w:val="lowerRoman"/>
      <w:start w:val="4"/>
    </w:lvl>
  </w:abstractNum>
  <w:abstractNum w:abstractNumId="132">
    <w:nsid w:val="3957756A"/>
    <w:multiLevelType w:val="hybridMultilevel"/>
    <w:lvl w:ilvl="0">
      <w:lvlJc w:val="left"/>
      <w:lvlText w:val="(%1)"/>
      <w:numFmt w:val="lowerLetter"/>
      <w:start w:val="3"/>
    </w:lvl>
    <w:lvl w:ilvl="1">
      <w:lvlJc w:val="left"/>
      <w:lvlText w:val="%2"/>
      <w:numFmt w:val="lowerRoman"/>
      <w:start w:val="1"/>
    </w:lvl>
  </w:abstractNum>
  <w:abstractNum w:abstractNumId="133">
    <w:nsid w:val="3E6DA1C7"/>
    <w:multiLevelType w:val="hybridMultilevel"/>
    <w:lvl w:ilvl="0">
      <w:lvlJc w:val="left"/>
      <w:lvlText w:val="(%1)"/>
      <w:numFmt w:val="lowerLetter"/>
      <w:start w:val="1"/>
    </w:lvl>
  </w:abstractNum>
  <w:abstractNum w:abstractNumId="134">
    <w:nsid w:val="65CA23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51CB0DA4"/>
    <w:multiLevelType w:val="hybridMultilevel"/>
    <w:lvl w:ilvl="0">
      <w:lvlJc w:val="left"/>
      <w:lvlText w:val="%1"/>
      <w:numFmt w:val="lowerLetter"/>
      <w:start w:val="1"/>
    </w:lvl>
    <w:lvl w:ilvl="1">
      <w:lvlJc w:val="left"/>
      <w:lvlText w:val="(%2)"/>
      <w:numFmt w:val="lowerLetter"/>
      <w:start w:val="61"/>
    </w:lvl>
  </w:abstractNum>
  <w:abstractNum w:abstractNumId="136">
    <w:nsid w:val="7B9B743C"/>
    <w:multiLevelType w:val="hybridMultilevel"/>
    <w:lvl w:ilvl="0">
      <w:lvlJc w:val="left"/>
      <w:lvlText w:val="(%1)"/>
      <w:numFmt w:val="lowerLetter"/>
      <w:start w:val="4"/>
    </w:lvl>
    <w:lvl w:ilvl="1">
      <w:lvlJc w:val="left"/>
      <w:lvlText w:val="(%2)"/>
      <w:numFmt w:val="lowerLetter"/>
      <w:start w:val="9"/>
    </w:lvl>
  </w:abstractNum>
  <w:abstractNum w:abstractNumId="137">
    <w:nsid w:val="13E21002"/>
    <w:multiLevelType w:val="hybridMultilevel"/>
    <w:lvl w:ilvl="0">
      <w:lvlJc w:val="left"/>
      <w:lvlText w:val="(%1)"/>
      <w:numFmt w:val="lowerRoman"/>
      <w:start w:val="2"/>
    </w:lvl>
  </w:abstractNum>
  <w:abstractNum w:abstractNumId="138">
    <w:nsid w:val="257D63F4"/>
    <w:multiLevelType w:val="hybridMultilevel"/>
    <w:lvl w:ilvl="0">
      <w:lvlJc w:val="left"/>
      <w:lvlText w:val="%1"/>
      <w:numFmt w:val="lowerLetter"/>
      <w:start w:val="1"/>
    </w:lvl>
    <w:lvl w:ilvl="1">
      <w:lvlJc w:val="left"/>
      <w:lvlText w:val="(%2)"/>
      <w:numFmt w:val="upperLetter"/>
      <w:start w:val="1"/>
    </w:lvl>
  </w:abstractNum>
  <w:abstractNum w:abstractNumId="139">
    <w:nsid w:val="70EC11B2"/>
    <w:multiLevelType w:val="hybridMultilevel"/>
    <w:lvl w:ilvl="0">
      <w:lvlJc w:val="left"/>
      <w:lvlText w:val="(%1)"/>
      <w:numFmt w:val="lowerLetter"/>
      <w:start w:val="6"/>
    </w:lvl>
    <w:lvl w:ilvl="1">
      <w:lvlJc w:val="left"/>
      <w:lvlText w:val="%2"/>
      <w:numFmt w:val="upperLetter"/>
      <w:start w:val="1"/>
    </w:lvl>
  </w:abstractNum>
  <w:abstractNum w:abstractNumId="140">
    <w:nsid w:val="2EDA00ED"/>
    <w:multiLevelType w:val="hybridMultilevel"/>
    <w:lvl w:ilvl="0">
      <w:lvlJc w:val="left"/>
      <w:lvlText w:val="(%1)"/>
      <w:numFmt w:val="lowerLetter"/>
      <w:start w:val="1"/>
    </w:lvl>
  </w:abstractNum>
  <w:abstractNum w:abstractNumId="141">
    <w:nsid w:val="73209072"/>
    <w:multiLevelType w:val="hybridMultilevel"/>
    <w:lvl w:ilvl="0">
      <w:lvlJc w:val="left"/>
      <w:lvlText w:val="(%1)"/>
      <w:numFmt w:val="lowerLetter"/>
      <w:start w:val="1"/>
    </w:lvl>
    <w:lvl w:ilvl="1">
      <w:lvlJc w:val="left"/>
      <w:lvlText w:val="(%2)"/>
      <w:numFmt w:val="lowerRoman"/>
      <w:start w:val="1"/>
    </w:lvl>
  </w:abstractNum>
  <w:abstractNum w:abstractNumId="142">
    <w:nsid w:val="5FB29816"/>
    <w:multiLevelType w:val="hybridMultilevel"/>
    <w:lvl w:ilvl="0">
      <w:lvlJc w:val="left"/>
      <w:lvlText w:val="(%1)"/>
      <w:numFmt w:val="lowerLetter"/>
      <w:start w:val="5"/>
    </w:lvl>
  </w:abstractNum>
  <w:abstractNum w:abstractNumId="143">
    <w:nsid w:val="3CE732EC"/>
    <w:multiLevelType w:val="hybridMultilevel"/>
    <w:lvl w:ilvl="0">
      <w:lvlJc w:val="left"/>
      <w:lvlText w:val="(%1)"/>
      <w:numFmt w:val="lowerLetter"/>
      <w:start w:val="1"/>
    </w:lvl>
  </w:abstractNum>
  <w:abstractNum w:abstractNumId="144">
    <w:nsid w:val="22F13DF3"/>
    <w:multiLevelType w:val="hybridMultilevel"/>
    <w:lvl w:ilvl="0">
      <w:lvlJc w:val="left"/>
      <w:lvlText w:val="(%1)"/>
      <w:numFmt w:val="lowerLetter"/>
      <w:start w:val="1"/>
    </w:lvl>
    <w:lvl w:ilvl="1">
      <w:lvlJc w:val="left"/>
      <w:lvlText w:val="(%2)"/>
      <w:numFmt w:val="lowerRoman"/>
      <w:start w:val="1"/>
    </w:lvl>
  </w:abstractNum>
  <w:abstractNum w:abstractNumId="145">
    <w:nsid w:val="792B8401"/>
    <w:multiLevelType w:val="hybridMultilevel"/>
    <w:lvl w:ilvl="0">
      <w:lvlJc w:val="left"/>
      <w:lvlText w:val="(%1)"/>
      <w:numFmt w:val="lowerLetter"/>
      <w:start w:val="1"/>
    </w:lvl>
  </w:abstractNum>
  <w:abstractNum w:abstractNumId="146">
    <w:nsid w:val="FA85F4D"/>
    <w:multiLevelType w:val="hybridMultilevel"/>
    <w:lvl w:ilvl="0">
      <w:lvlJc w:val="left"/>
      <w:lvlText w:val="(%1)"/>
      <w:numFmt w:val="lowerLetter"/>
      <w:start w:val="2"/>
    </w:lvl>
  </w:abstractNum>
  <w:abstractNum w:abstractNumId="147">
    <w:nsid w:val="6ECE91F0"/>
    <w:multiLevelType w:val="hybridMultilevel"/>
    <w:lvl w:ilvl="0">
      <w:lvlJc w:val="left"/>
      <w:lvlText w:val="(%1)"/>
      <w:numFmt w:val="lowerLetter"/>
      <w:start w:val="1"/>
    </w:lvl>
    <w:lvl w:ilvl="1">
      <w:lvlJc w:val="left"/>
      <w:lvlText w:val="(%2)"/>
      <w:numFmt w:val="lowerRoman"/>
      <w:start w:val="1"/>
    </w:lvl>
  </w:abstractNum>
  <w:abstractNum w:abstractNumId="148">
    <w:nsid w:val="4FC4D600"/>
    <w:multiLevelType w:val="hybridMultilevel"/>
    <w:lvl w:ilvl="0">
      <w:lvlJc w:val="left"/>
      <w:lvlText w:val="(%1)"/>
      <w:numFmt w:val="lowerLetter"/>
      <w:start w:val="1"/>
    </w:lvl>
    <w:lvl w:ilvl="1">
      <w:lvlJc w:val="left"/>
      <w:lvlText w:val="(%2)"/>
      <w:numFmt w:val="lowerRoman"/>
      <w:start w:val="1"/>
    </w:lvl>
  </w:abstractNum>
  <w:abstractNum w:abstractNumId="149">
    <w:nsid w:val="5BFD4210"/>
    <w:multiLevelType w:val="hybridMultilevel"/>
    <w:lvl w:ilvl="0">
      <w:lvlJc w:val="left"/>
      <w:lvlText w:val="(%1)"/>
      <w:numFmt w:val="lowerLetter"/>
      <w:start w:val="2"/>
    </w:lvl>
  </w:abstractNum>
  <w:abstractNum w:abstractNumId="150">
    <w:nsid w:val="76574F8B"/>
    <w:multiLevelType w:val="hybridMultilevel"/>
    <w:lvl w:ilvl="0">
      <w:lvlJc w:val="left"/>
      <w:lvlText w:val="(%1)"/>
      <w:numFmt w:val="lowerLetter"/>
      <w:start w:val="1"/>
    </w:lvl>
    <w:lvl w:ilvl="1">
      <w:lvlJc w:val="left"/>
      <w:lvlText w:val="(%2)"/>
      <w:numFmt w:val="lowerRoman"/>
      <w:start w:val="1"/>
    </w:lvl>
  </w:abstractNum>
  <w:abstractNum w:abstractNumId="151">
    <w:nsid w:val="178F7B67"/>
    <w:multiLevelType w:val="hybridMultilevel"/>
    <w:lvl w:ilvl="0">
      <w:lvlJc w:val="left"/>
      <w:lvlText w:val="%1"/>
      <w:numFmt w:val="lowerLetter"/>
      <w:start w:val="1"/>
    </w:lvl>
    <w:lvl w:ilvl="1">
      <w:lvlJc w:val="left"/>
      <w:lvlText w:val="(%2)"/>
      <w:numFmt w:val="lowerRoman"/>
      <w:start w:val="3"/>
    </w:lvl>
  </w:abstractNum>
  <w:abstractNum w:abstractNumId="152">
    <w:nsid w:val="2421DFCF"/>
    <w:multiLevelType w:val="hybridMultilevel"/>
    <w:lvl w:ilvl="0">
      <w:lvlJc w:val="left"/>
      <w:lvlText w:val="(%1)"/>
      <w:numFmt w:val="lowerLetter"/>
      <w:start w:val="2"/>
    </w:lvl>
    <w:lvl w:ilvl="1">
      <w:lvlJc w:val="left"/>
      <w:lvlText w:val="%2"/>
      <w:numFmt w:val="lowerRoman"/>
      <w:start w:val="1"/>
    </w:lvl>
  </w:abstractNum>
  <w:abstractNum w:abstractNumId="153">
    <w:nsid w:val="1565AC99"/>
    <w:multiLevelType w:val="hybridMultilevel"/>
    <w:lvl w:ilvl="0">
      <w:lvlJc w:val="left"/>
      <w:lvlText w:val="(%1)"/>
      <w:numFmt w:val="lowerLetter"/>
      <w:start w:val="1"/>
    </w:lvl>
    <w:lvl w:ilvl="1">
      <w:lvlJc w:val="left"/>
      <w:lvlText w:val="(%2)"/>
      <w:numFmt w:val="lowerRoman"/>
      <w:start w:val="1"/>
    </w:lvl>
  </w:abstractNum>
  <w:abstractNum w:abstractNumId="154">
    <w:nsid w:val="19FB2650"/>
    <w:multiLevelType w:val="hybridMultilevel"/>
    <w:lvl w:ilvl="0">
      <w:lvlJc w:val="left"/>
      <w:lvlText w:val="(%1)"/>
      <w:numFmt w:val="lowerLetter"/>
      <w:start w:val="1"/>
    </w:lvl>
    <w:lvl w:ilvl="1">
      <w:lvlJc w:val="left"/>
      <w:lvlText w:val="(%2)"/>
      <w:numFmt w:val="lowerRoman"/>
      <w:start w:val="1"/>
    </w:lvl>
  </w:abstractNum>
  <w:abstractNum w:abstractNumId="155">
    <w:nsid w:val="5024DE5B"/>
    <w:multiLevelType w:val="hybridMultilevel"/>
    <w:lvl w:ilvl="0">
      <w:lvlJc w:val="left"/>
      <w:lvlText w:val="(%1)"/>
      <w:numFmt w:val="lowerLetter"/>
      <w:start w:val="1"/>
    </w:lvl>
  </w:abstractNum>
  <w:abstractNum w:abstractNumId="156">
    <w:nsid w:val="168EFE17"/>
    <w:multiLevelType w:val="hybridMultilevel"/>
    <w:lvl w:ilvl="0">
      <w:lvlJc w:val="left"/>
      <w:lvlText w:val="(%1)"/>
      <w:numFmt w:val="lowerLetter"/>
      <w:start w:val="1"/>
    </w:lvl>
  </w:abstractNum>
  <w:abstractNum w:abstractNumId="157">
    <w:nsid w:val="1036B29F"/>
    <w:multiLevelType w:val="hybridMultilevel"/>
    <w:lvl w:ilvl="0">
      <w:lvlJc w:val="left"/>
      <w:lvlText w:val="(%1)"/>
      <w:numFmt w:val="lowerLetter"/>
      <w:start w:val="1"/>
    </w:lvl>
  </w:abstractNum>
  <w:abstractNum w:abstractNumId="158">
    <w:nsid w:val="1D206B8E"/>
    <w:multiLevelType w:val="hybridMultilevel"/>
    <w:lvl w:ilvl="0">
      <w:lvlJc w:val="left"/>
      <w:lvlText w:val="(%1)"/>
      <w:numFmt w:val="lowerLetter"/>
      <w:start w:val="1"/>
    </w:lvl>
  </w:abstractNum>
  <w:abstractNum w:abstractNumId="159">
    <w:nsid w:val="7934D3D4"/>
    <w:multiLevelType w:val="hybridMultilevel"/>
    <w:lvl w:ilvl="0">
      <w:lvlJc w:val="left"/>
      <w:lvlText w:val="(%1)"/>
      <w:numFmt w:val="lowerLetter"/>
      <w:start w:val="1"/>
    </w:lvl>
  </w:abstractNum>
  <w:abstractNum w:abstractNumId="160">
    <w:nsid w:val="1C65E98"/>
    <w:multiLevelType w:val="hybridMultilevel"/>
    <w:lvl w:ilvl="0">
      <w:lvlJc w:val="left"/>
      <w:lvlText w:val="(%1)"/>
      <w:numFmt w:val="lowerLetter"/>
      <w:start w:val="3"/>
    </w:lvl>
    <w:lvl w:ilvl="1">
      <w:lvlJc w:val="left"/>
      <w:lvlText w:val="(%2)"/>
      <w:numFmt w:val="upperLetter"/>
      <w:start w:val="1"/>
    </w:lvl>
  </w:abstractNum>
  <w:abstractNum w:abstractNumId="161">
    <w:nsid w:val="1495E50A"/>
    <w:multiLevelType w:val="hybridMultilevel"/>
    <w:lvl w:ilvl="0">
      <w:lvlJc w:val="left"/>
      <w:lvlText w:val="(%1)"/>
      <w:numFmt w:val="lowerRoman"/>
      <w:start w:val="2"/>
    </w:lvl>
  </w:abstractNum>
  <w:abstractNum w:abstractNumId="162">
    <w:nsid w:val="F5BCF61"/>
    <w:multiLevelType w:val="hybridMultilevel"/>
    <w:lvl w:ilvl="0">
      <w:lvlJc w:val="left"/>
      <w:lvlText w:val="(%1)"/>
      <w:numFmt w:val="decimal"/>
      <w:start w:val="1"/>
    </w:lvl>
  </w:abstractNum>
  <w:abstractNum w:abstractNumId="163">
    <w:nsid w:val="3B1DD403"/>
    <w:multiLevelType w:val="hybridMultilevel"/>
    <w:lvl w:ilvl="0">
      <w:lvlJc w:val="left"/>
      <w:lvlText w:val="(%1)"/>
      <w:numFmt w:val="lowerLetter"/>
      <w:start w:val="1"/>
    </w:lvl>
  </w:abstractNum>
  <w:abstractNum w:abstractNumId="164">
    <w:nsid w:val="530386D1"/>
    <w:multiLevelType w:val="hybridMultilevel"/>
    <w:lvl w:ilvl="0">
      <w:lvlJc w:val="left"/>
      <w:lvlText w:val="(%1)"/>
      <w:numFmt w:val="lowerLetter"/>
      <w:start w:val="1"/>
    </w:lvl>
  </w:abstractNum>
  <w:abstractNum w:abstractNumId="165">
    <w:nsid w:val="7525F2BC"/>
    <w:multiLevelType w:val="hybridMultilevel"/>
    <w:lvl w:ilvl="0">
      <w:lvlJc w:val="left"/>
      <w:lvlText w:val="(%1)"/>
      <w:numFmt w:val="lowerLetter"/>
      <w:start w:val="1"/>
    </w:lvl>
  </w:abstractNum>
  <w:abstractNum w:abstractNumId="166">
    <w:nsid w:val="CE8E1A7"/>
    <w:multiLevelType w:val="hybridMultilevel"/>
    <w:lvl w:ilvl="0">
      <w:lvlJc w:val="left"/>
      <w:lvlText w:val="(%1)"/>
      <w:numFmt w:val="lowerLetter"/>
      <w:start w:val="1"/>
    </w:lvl>
  </w:abstractNum>
  <w:abstractNum w:abstractNumId="167">
    <w:nsid w:val="4E9EFB0D"/>
    <w:multiLevelType w:val="hybridMultilevel"/>
    <w:lvl w:ilvl="0">
      <w:lvlJc w:val="left"/>
      <w:lvlText w:val="(%1)"/>
      <w:numFmt w:val="lowerLetter"/>
      <w:start w:val="1"/>
    </w:lvl>
    <w:lvl w:ilvl="1">
      <w:lvlJc w:val="left"/>
      <w:lvlText w:val="(%2)"/>
      <w:numFmt w:val="lowerRoman"/>
      <w:start w:val="1"/>
    </w:lvl>
  </w:abstractNum>
  <w:abstractNum w:abstractNumId="168">
    <w:nsid w:val="90802BE"/>
    <w:multiLevelType w:val="hybridMultilevel"/>
    <w:lvl w:ilvl="0">
      <w:lvlJc w:val="left"/>
      <w:lvlText w:val="(%1)"/>
      <w:numFmt w:val="lowerLetter"/>
      <w:start w:val="1"/>
    </w:lvl>
    <w:lvl w:ilvl="1">
      <w:lvlJc w:val="left"/>
      <w:lvlText w:val="(%2)"/>
      <w:numFmt w:val="lowerRoman"/>
      <w:start w:val="1"/>
    </w:lvl>
  </w:abstractNum>
  <w:abstractNum w:abstractNumId="169">
    <w:nsid w:val="3266459B"/>
    <w:multiLevelType w:val="hybridMultilevel"/>
    <w:lvl w:ilvl="0">
      <w:lvlJc w:val="left"/>
      <w:lvlText w:val="(%1)"/>
      <w:numFmt w:val="lowerLetter"/>
      <w:start w:val="3"/>
    </w:lvl>
    <w:lvl w:ilvl="1">
      <w:lvlJc w:val="left"/>
      <w:lvlText w:val="(%2)"/>
      <w:numFmt w:val="lowerRoman"/>
      <w:start w:val="1"/>
    </w:lvl>
  </w:abstractNum>
  <w:abstractNum w:abstractNumId="170">
    <w:nsid w:val="3F8B0CBF"/>
    <w:multiLevelType w:val="hybridMultilevel"/>
    <w:lvl w:ilvl="0">
      <w:lvlJc w:val="left"/>
      <w:lvlText w:val="(%1)"/>
      <w:numFmt w:val="lowerLetter"/>
      <w:start w:val="4"/>
    </w:lvl>
    <w:lvl w:ilvl="1">
      <w:lvlJc w:val="left"/>
      <w:lvlText w:val="(%2)"/>
      <w:numFmt w:val="lowerRoman"/>
      <w:start w:val="1"/>
    </w:lvl>
  </w:abstractNum>
  <w:abstractNum w:abstractNumId="171">
    <w:nsid w:val="37E203AB"/>
    <w:multiLevelType w:val="hybridMultilevel"/>
    <w:lvl w:ilvl="0">
      <w:lvlJc w:val="left"/>
      <w:lvlText w:val="(%1)"/>
      <w:numFmt w:val="lowerRoman"/>
      <w:start w:val="3"/>
    </w:lvl>
  </w:abstractNum>
  <w:abstractNum w:abstractNumId="172">
    <w:nsid w:val="2586D60E"/>
    <w:multiLevelType w:val="hybridMultilevel"/>
    <w:lvl w:ilvl="0">
      <w:lvlJc w:val="left"/>
      <w:lvlText w:val="(%1)"/>
      <w:numFmt w:val="lowerLetter"/>
      <w:start w:val="5"/>
    </w:lvl>
  </w:abstractNum>
  <w:abstractNum w:abstractNumId="173">
    <w:nsid w:val="1F3DA4D5"/>
    <w:multiLevelType w:val="hybridMultilevel"/>
    <w:lvl w:ilvl="0">
      <w:lvlJc w:val="left"/>
      <w:lvlText w:val="%1"/>
      <w:numFmt w:val="decimal"/>
      <w:start w:val="18"/>
    </w:lvl>
    <w:lvl w:ilvl="1">
      <w:lvlJc w:val="left"/>
      <w:lvlText w:val="(%2)"/>
      <w:numFmt w:val="lowerLetter"/>
      <w:start w:val="1"/>
    </w:lvl>
  </w:abstractNum>
  <w:abstractNum w:abstractNumId="174">
    <w:nsid w:val="74C93698"/>
    <w:multiLevelType w:val="hybridMultilevel"/>
    <w:lvl w:ilvl="0">
      <w:lvlJc w:val="left"/>
      <w:lvlText w:val="(%1)"/>
      <w:numFmt w:val="lowerLetter"/>
      <w:start w:val="1"/>
    </w:lvl>
  </w:abstractNum>
  <w:abstractNum w:abstractNumId="175">
    <w:nsid w:val="48781401"/>
    <w:multiLevelType w:val="hybridMultilevel"/>
    <w:lvl w:ilvl="0">
      <w:lvlJc w:val="left"/>
      <w:lvlText w:val="(%1)"/>
      <w:numFmt w:val="lowerLetter"/>
      <w:start w:val="1"/>
    </w:lvl>
  </w:abstractNum>
  <w:abstractNum w:abstractNumId="176">
    <w:nsid w:val="186928D6"/>
    <w:multiLevelType w:val="hybridMultilevel"/>
    <w:lvl w:ilvl="0">
      <w:lvlJc w:val="left"/>
      <w:lvlText w:val="(%1)"/>
      <w:numFmt w:val="lowerLetter"/>
      <w:start w:val="1"/>
    </w:lvl>
  </w:abstractNum>
  <w:abstractNum w:abstractNumId="177">
    <w:nsid w:val="47195E5"/>
    <w:multiLevelType w:val="hybridMultilevel"/>
    <w:lvl w:ilvl="0">
      <w:lvlJc w:val="left"/>
      <w:lvlText w:val="(%1)"/>
      <w:numFmt w:val="lowerLetter"/>
      <w:start w:val="1"/>
    </w:lvl>
  </w:abstractNum>
  <w:abstractNum w:abstractNumId="178">
    <w:nsid w:val="3746A5F2"/>
    <w:multiLevelType w:val="hybridMultilevel"/>
    <w:lvl w:ilvl="0">
      <w:lvlJc w:val="left"/>
      <w:lvlText w:val="(%1)"/>
      <w:numFmt w:val="lowerRoman"/>
      <w:start w:val="1"/>
    </w:lvl>
  </w:abstractNum>
  <w:abstractNum w:abstractNumId="179">
    <w:nsid w:val="682DFED6"/>
    <w:multiLevelType w:val="hybridMultilevel"/>
    <w:lvl w:ilvl="0">
      <w:lvlJc w:val="left"/>
      <w:lvlText w:val="(%1)"/>
      <w:numFmt w:val="lowerLetter"/>
      <w:start w:val="2"/>
    </w:lvl>
  </w:abstractNum>
  <w:abstractNum w:abstractNumId="180">
    <w:nsid w:val="606ED7F6"/>
    <w:multiLevelType w:val="hybridMultilevel"/>
    <w:lvl w:ilvl="0">
      <w:lvlJc w:val="left"/>
      <w:lvlText w:val="(%1)"/>
      <w:numFmt w:val="lowerLetter"/>
      <w:start w:val="1"/>
    </w:lvl>
  </w:abstractNum>
  <w:abstractNum w:abstractNumId="181">
    <w:nsid w:val="2D9DF57D"/>
    <w:multiLevelType w:val="hybridMultilevel"/>
    <w:lvl w:ilvl="0">
      <w:lvlJc w:val="left"/>
      <w:lvlText w:val="(%1)"/>
      <w:numFmt w:val="lowerLetter"/>
      <w:start w:val="1"/>
    </w:lvl>
  </w:abstractNum>
  <w:abstractNum w:abstractNumId="182">
    <w:nsid w:val="7FBD7A3E"/>
    <w:multiLevelType w:val="hybridMultilevel"/>
    <w:lvl w:ilvl="0">
      <w:lvlJc w:val="left"/>
      <w:lvlText w:val="(%1)"/>
      <w:numFmt w:val="lowerLetter"/>
      <w:start w:val="1"/>
    </w:lvl>
  </w:abstractNum>
  <w:abstractNum w:abstractNumId="183">
    <w:nsid w:val="490B7C5"/>
    <w:multiLevelType w:val="hybridMultilevel"/>
    <w:lvl w:ilvl="0">
      <w:lvlJc w:val="left"/>
      <w:lvlText w:val="(%1)"/>
      <w:numFmt w:val="lowerLetter"/>
      <w:start w:val="3"/>
    </w:lvl>
  </w:abstractNum>
  <w:abstractNum w:abstractNumId="184">
    <w:nsid w:val="4303A216"/>
    <w:multiLevelType w:val="hybridMultilevel"/>
    <w:lvl w:ilvl="0">
      <w:lvlJc w:val="left"/>
      <w:lvlText w:val="(%1)"/>
      <w:numFmt w:val="lowerLetter"/>
      <w:start w:val="1"/>
    </w:lvl>
  </w:abstractNum>
  <w:abstractNum w:abstractNumId="185">
    <w:nsid w:val="19B8A08E"/>
    <w:multiLevelType w:val="hybridMultilevel"/>
    <w:lvl w:ilvl="0">
      <w:lvlJc w:val="left"/>
      <w:lvlText w:val="(%1)"/>
      <w:numFmt w:val="lowerLetter"/>
      <w:start w:val="3"/>
    </w:lvl>
  </w:abstractNum>
  <w:abstractNum w:abstractNumId="186">
    <w:nsid w:val="54B59621"/>
    <w:multiLevelType w:val="hybridMultilevel"/>
    <w:lvl w:ilvl="0">
      <w:lvlJc w:val="left"/>
      <w:lvlText w:val="(%1)"/>
      <w:numFmt w:val="lowerLetter"/>
      <w:start w:val="1"/>
    </w:lvl>
  </w:abstractNum>
  <w:abstractNum w:abstractNumId="187">
    <w:nsid w:val="5992A02E"/>
    <w:multiLevelType w:val="hybridMultilevel"/>
    <w:lvl w:ilvl="0">
      <w:lvlJc w:val="left"/>
      <w:lvlText w:val="(%1)"/>
      <w:numFmt w:val="lowerLetter"/>
      <w:start w:val="1"/>
    </w:lvl>
  </w:abstractNum>
  <w:abstractNum w:abstractNumId="188">
    <w:nsid w:val="29EF532D"/>
    <w:multiLevelType w:val="hybridMultilevel"/>
    <w:lvl w:ilvl="0">
      <w:lvlJc w:val="left"/>
      <w:lvlText w:val="(%1)"/>
      <w:numFmt w:val="lowerLetter"/>
      <w:start w:val="1"/>
    </w:lvl>
  </w:abstractNum>
  <w:abstractNum w:abstractNumId="189">
    <w:nsid w:val="71D601AF"/>
    <w:multiLevelType w:val="hybridMultilevel"/>
    <w:lvl w:ilvl="0">
      <w:lvlJc w:val="left"/>
      <w:lvlText w:val="(%1)"/>
      <w:numFmt w:val="lowerLetter"/>
      <w:start w:val="1"/>
    </w:lvl>
  </w:abstractNum>
  <w:abstractNum w:abstractNumId="190">
    <w:nsid w:val="52C77402"/>
    <w:multiLevelType w:val="hybridMultilevel"/>
    <w:lvl w:ilvl="0">
      <w:lvlJc w:val="left"/>
      <w:lvlText w:val="(%1)"/>
      <w:numFmt w:val="lowerLetter"/>
      <w:start w:val="3"/>
    </w:lvl>
  </w:abstractNum>
  <w:abstractNum w:abstractNumId="191">
    <w:nsid w:val="2BB5B1C6"/>
    <w:multiLevelType w:val="hybridMultilevel"/>
    <w:lvl w:ilvl="0">
      <w:lvlJc w:val="left"/>
      <w:lvlText w:val="(%1)"/>
      <w:numFmt w:val="lowerLetter"/>
      <w:start w:val="1"/>
    </w:lvl>
  </w:abstractNum>
  <w:abstractNum w:abstractNumId="192">
    <w:nsid w:val="66BE6B9"/>
    <w:multiLevelType w:val="hybridMultilevel"/>
    <w:lvl w:ilvl="0">
      <w:lvlJc w:val="left"/>
      <w:lvlText w:val="(%1)"/>
      <w:numFmt w:val="lowerLetter"/>
      <w:start w:val="1"/>
    </w:lvl>
    <w:lvl w:ilvl="1">
      <w:lvlJc w:val="left"/>
      <w:lvlText w:val="(%2)"/>
      <w:numFmt w:val="lowerRoman"/>
      <w:start w:val="1"/>
    </w:lvl>
  </w:abstractNum>
  <w:abstractNum w:abstractNumId="193">
    <w:nsid w:val="62234363"/>
    <w:multiLevelType w:val="hybridMultilevel"/>
    <w:lvl w:ilvl="0">
      <w:lvlJc w:val="left"/>
      <w:lvlText w:val="(%1)"/>
      <w:numFmt w:val="lowerLetter"/>
      <w:start w:val="1"/>
    </w:lvl>
    <w:lvl w:ilvl="1">
      <w:lvlJc w:val="left"/>
      <w:lvlText w:val="(%2)"/>
      <w:numFmt w:val="lowerRoman"/>
      <w:start w:val="1"/>
    </w:lvl>
  </w:abstractNum>
  <w:abstractNum w:abstractNumId="194">
    <w:nsid w:val="66D385C9"/>
    <w:multiLevelType w:val="hybridMultilevel"/>
    <w:lvl w:ilvl="0">
      <w:lvlJc w:val="left"/>
      <w:lvlText w:val="(%1)"/>
      <w:numFmt w:val="lowerLetter"/>
      <w:start w:val="2"/>
    </w:lvl>
  </w:abstractNum>
  <w:abstractNum w:abstractNumId="195">
    <w:nsid w:val="596F6D8A"/>
    <w:multiLevelType w:val="hybridMultilevel"/>
    <w:lvl w:ilvl="0">
      <w:lvlJc w:val="left"/>
      <w:lvlText w:val="(%1)"/>
      <w:numFmt w:val="lowerLetter"/>
      <w:start w:val="1"/>
    </w:lvl>
  </w:abstractNum>
  <w:abstractNum w:abstractNumId="196">
    <w:nsid w:val="5749361F"/>
    <w:multiLevelType w:val="hybridMultilevel"/>
    <w:lvl w:ilvl="0">
      <w:lvlJc w:val="left"/>
      <w:lvlText w:val="(%1)"/>
      <w:numFmt w:val="lowerLetter"/>
      <w:start w:val="1"/>
    </w:lvl>
    <w:lvl w:ilvl="1">
      <w:lvlJc w:val="left"/>
      <w:lvlText w:val="(%2)"/>
      <w:numFmt w:val="lowerRoman"/>
      <w:start w:val="1"/>
    </w:lvl>
  </w:abstractNum>
  <w:abstractNum w:abstractNumId="197">
    <w:nsid w:val="73BC6770"/>
    <w:multiLevelType w:val="hybridMultilevel"/>
    <w:lvl w:ilvl="0">
      <w:lvlJc w:val="left"/>
      <w:lvlText w:val="(%1)"/>
      <w:numFmt w:val="lowerLetter"/>
      <w:start w:val="1"/>
    </w:lvl>
  </w:abstractNum>
  <w:abstractNum w:abstractNumId="198">
    <w:nsid w:val="280E6897"/>
    <w:multiLevelType w:val="hybridMultilevel"/>
    <w:lvl w:ilvl="0">
      <w:lvlJc w:val="left"/>
      <w:lvlText w:val="(%1)"/>
      <w:numFmt w:val="lowerLetter"/>
      <w:start w:val="1"/>
    </w:lvl>
    <w:lvl w:ilvl="1">
      <w:lvlJc w:val="left"/>
      <w:lvlText w:val="(%2)"/>
      <w:numFmt w:val="lowerRoman"/>
      <w:start w:val="1"/>
    </w:lvl>
  </w:abstractNum>
  <w:abstractNum w:abstractNumId="199">
    <w:nsid w:val="605138DE"/>
    <w:multiLevelType w:val="hybridMultilevel"/>
    <w:lvl w:ilvl="0">
      <w:lvlJc w:val="left"/>
      <w:lvlText w:val="(%1)"/>
      <w:numFmt w:val="lowerLetter"/>
      <w:start w:val="1"/>
    </w:lvl>
    <w:lvl w:ilvl="1">
      <w:lvlJc w:val="left"/>
      <w:lvlText w:val="(%2)"/>
      <w:numFmt w:val="lowerRoman"/>
      <w:start w:val="1"/>
    </w:lvl>
  </w:abstractNum>
  <w:abstractNum w:abstractNumId="200">
    <w:nsid w:val="2622AD0C"/>
    <w:multiLevelType w:val="hybridMultilevel"/>
    <w:lvl w:ilvl="0">
      <w:lvlJc w:val="left"/>
      <w:lvlText w:val="(%1)"/>
      <w:numFmt w:val="lowerLetter"/>
      <w:start w:val="2"/>
    </w:lvl>
  </w:abstractNum>
  <w:abstractNum w:abstractNumId="201">
    <w:nsid w:val="67997556"/>
    <w:multiLevelType w:val="hybridMultilevel"/>
    <w:lvl w:ilvl="0">
      <w:lvlJc w:val="left"/>
      <w:lvlText w:val="(%1)"/>
      <w:numFmt w:val="lowerLetter"/>
      <w:start w:val="1"/>
    </w:lvl>
    <w:lvl w:ilvl="1">
      <w:lvlJc w:val="left"/>
      <w:lvlText w:val="(%2)"/>
      <w:numFmt w:val="lowerRoman"/>
      <w:start w:val="1"/>
    </w:lvl>
  </w:abstractNum>
  <w:abstractNum w:abstractNumId="202">
    <w:nsid w:val="18333C89"/>
    <w:multiLevelType w:val="hybridMultilevel"/>
    <w:lvl w:ilvl="0">
      <w:lvlJc w:val="left"/>
      <w:lvlText w:val="(%1)"/>
      <w:numFmt w:val="lowerLetter"/>
      <w:start w:val="1"/>
    </w:lvl>
  </w:abstractNum>
  <w:abstractNum w:abstractNumId="203">
    <w:nsid w:val="4BA9831A"/>
    <w:multiLevelType w:val="hybridMultilevel"/>
    <w:lvl w:ilvl="0">
      <w:lvlJc w:val="left"/>
      <w:lvlText w:val="(%1)"/>
      <w:numFmt w:val="lowerLetter"/>
      <w:start w:val="1"/>
    </w:lvl>
  </w:abstractNum>
  <w:abstractNum w:abstractNumId="204">
    <w:nsid w:val="6D71A2B"/>
    <w:multiLevelType w:val="hybridMultilevel"/>
    <w:lvl w:ilvl="0">
      <w:lvlJc w:val="left"/>
      <w:lvlText w:val="(%1)"/>
      <w:numFmt w:val="lowerLetter"/>
      <w:start w:val="1"/>
    </w:lvl>
    <w:lvl w:ilvl="1">
      <w:lvlJc w:val="left"/>
      <w:lvlText w:val="(%2)"/>
      <w:numFmt w:val="lowerRoman"/>
      <w:start w:val="1"/>
    </w:lvl>
  </w:abstractNum>
  <w:abstractNum w:abstractNumId="205">
    <w:nsid w:val="CFC7321"/>
    <w:multiLevelType w:val="hybridMultilevel"/>
    <w:lvl w:ilvl="0">
      <w:lvlJc w:val="left"/>
      <w:lvlText w:val="(%1)"/>
      <w:numFmt w:val="lowerLetter"/>
      <w:start w:val="2"/>
    </w:lvl>
    <w:lvl w:ilvl="1">
      <w:lvlJc w:val="left"/>
      <w:lvlText w:val="(%2)"/>
      <w:numFmt w:val="lowerRoman"/>
      <w:start w:val="1"/>
    </w:lvl>
  </w:abstractNum>
  <w:abstractNum w:abstractNumId="206">
    <w:nsid w:val="1421971B"/>
    <w:multiLevelType w:val="hybridMultilevel"/>
    <w:lvl w:ilvl="0">
      <w:lvlJc w:val="left"/>
      <w:lvlText w:val="(%1)"/>
      <w:numFmt w:val="lowerLetter"/>
      <w:start w:val="4"/>
    </w:lvl>
  </w:abstractNum>
  <w:abstractNum w:abstractNumId="207">
    <w:nsid w:val="1F404301"/>
    <w:multiLevelType w:val="hybridMultilevel"/>
    <w:lvl w:ilvl="0">
      <w:lvlJc w:val="left"/>
      <w:lvlText w:val="(%1)"/>
      <w:numFmt w:val="lowerLetter"/>
      <w:start w:val="1"/>
    </w:lvl>
    <w:lvl w:ilvl="1">
      <w:lvlJc w:val="left"/>
      <w:lvlText w:val="(%2)"/>
      <w:numFmt w:val="lowerRoman"/>
      <w:start w:val="1"/>
    </w:lvl>
  </w:abstractNum>
  <w:abstractNum w:abstractNumId="208">
    <w:nsid w:val="116E0907"/>
    <w:multiLevelType w:val="hybridMultilevel"/>
    <w:lvl w:ilvl="0">
      <w:lvlJc w:val="left"/>
      <w:lvlText w:val="(%1)"/>
      <w:numFmt w:val="lowerLetter"/>
      <w:start w:val="2"/>
    </w:lvl>
  </w:abstractNum>
  <w:abstractNum w:abstractNumId="209">
    <w:nsid w:val="4B683D0D"/>
    <w:multiLevelType w:val="hybridMultilevel"/>
    <w:lvl w:ilvl="0">
      <w:lvlJc w:val="left"/>
      <w:lvlText w:val="(%1)"/>
      <w:numFmt w:val="lowerLetter"/>
      <w:start w:val="1"/>
    </w:lvl>
  </w:abstractNum>
  <w:abstractNum w:abstractNumId="210">
    <w:nsid w:val="76E41D8"/>
    <w:multiLevelType w:val="hybridMultilevel"/>
    <w:lvl w:ilvl="0">
      <w:lvlJc w:val="left"/>
      <w:lvlText w:val="(%1)"/>
      <w:numFmt w:val="lowerLetter"/>
      <w:start w:val="1"/>
    </w:lvl>
  </w:abstractNum>
  <w:abstractNum w:abstractNumId="211">
    <w:nsid w:val="71DCE0FD"/>
    <w:multiLevelType w:val="hybridMultilevel"/>
    <w:lvl w:ilvl="0">
      <w:lvlJc w:val="left"/>
      <w:lvlText w:val="(%1)"/>
      <w:numFmt w:val="lowerLetter"/>
      <w:start w:val="1"/>
    </w:lvl>
  </w:abstractNum>
  <w:abstractNum w:abstractNumId="212">
    <w:nsid w:val="7906328B"/>
    <w:multiLevelType w:val="hybridMultilevel"/>
    <w:lvl w:ilvl="0">
      <w:lvlJc w:val="left"/>
      <w:lvlText w:val="(%1)"/>
      <w:numFmt w:val="lowerLetter"/>
      <w:start w:val="1"/>
    </w:lvl>
  </w:abstractNum>
  <w:abstractNum w:abstractNumId="213">
    <w:nsid w:val="72BBC16"/>
    <w:multiLevelType w:val="hybridMultilevel"/>
    <w:lvl w:ilvl="0">
      <w:lvlJc w:val="left"/>
      <w:lvlText w:val="(%1)"/>
      <w:numFmt w:val="lowerLetter"/>
      <w:start w:val="1"/>
    </w:lvl>
  </w:abstractNum>
  <w:abstractNum w:abstractNumId="214">
    <w:nsid w:val="766D98C2"/>
    <w:multiLevelType w:val="hybridMultilevel"/>
    <w:lvl w:ilvl="0">
      <w:lvlJc w:val="left"/>
      <w:lvlText w:val="(%1)"/>
      <w:numFmt w:val="lowerLetter"/>
      <w:start w:val="1"/>
    </w:lvl>
  </w:abstractNum>
  <w:abstractNum w:abstractNumId="215">
    <w:nsid w:val="3C09D4A1"/>
    <w:multiLevelType w:val="hybridMultilevel"/>
    <w:lvl w:ilvl="0">
      <w:lvlJc w:val="left"/>
      <w:lvlText w:val="(%1)"/>
      <w:numFmt w:val="lowerLetter"/>
      <w:start w:val="1"/>
    </w:lvl>
  </w:abstractNum>
  <w:abstractNum w:abstractNumId="216">
    <w:nsid w:val="20E45CA4"/>
    <w:multiLevelType w:val="hybridMultilevel"/>
    <w:lvl w:ilvl="0">
      <w:lvlJc w:val="left"/>
      <w:lvlText w:val="(%1)"/>
      <w:numFmt w:val="lowerLetter"/>
      <w:start w:val="1"/>
    </w:lvl>
  </w:abstractNum>
  <w:abstractNum w:abstractNumId="217">
    <w:nsid w:val="4B232EE3"/>
    <w:multiLevelType w:val="hybridMultilevel"/>
    <w:lvl w:ilvl="0">
      <w:lvlJc w:val="left"/>
      <w:lvlText w:val="%1"/>
      <w:numFmt w:val="decimal"/>
      <w:start w:val="21"/>
    </w:lvl>
    <w:lvl w:ilvl="1">
      <w:lvlJc w:val="left"/>
      <w:lvlText w:val="(%2)"/>
      <w:numFmt w:val="lowerLetter"/>
      <w:start w:val="1"/>
    </w:lvl>
  </w:abstractNum>
  <w:abstractNum w:abstractNumId="218">
    <w:nsid w:val="159C74CF"/>
    <w:multiLevelType w:val="hybridMultilevel"/>
    <w:lvl w:ilvl="0">
      <w:lvlJc w:val="left"/>
      <w:lvlText w:val="(%1)"/>
      <w:numFmt w:val="lowerLetter"/>
      <w:start w:val="1"/>
    </w:lvl>
  </w:abstractNum>
  <w:abstractNum w:abstractNumId="219">
    <w:nsid w:val="4AD3AFD2"/>
    <w:multiLevelType w:val="hybridMultilevel"/>
    <w:lvl w:ilvl="0">
      <w:lvlJc w:val="left"/>
      <w:lvlText w:val="(%1)"/>
      <w:numFmt w:val="lowerRoman"/>
      <w:start w:val="1"/>
    </w:lvl>
  </w:abstractNum>
  <w:abstractNum w:abstractNumId="220">
    <w:nsid w:val="3CF93092"/>
    <w:multiLevelType w:val="hybridMultilevel"/>
    <w:lvl w:ilvl="0">
      <w:lvlJc w:val="left"/>
      <w:lvlText w:val="(%1)"/>
      <w:numFmt w:val="lowerLetter"/>
      <w:start w:val="1"/>
    </w:lvl>
    <w:lvl w:ilvl="1">
      <w:lvlJc w:val="left"/>
      <w:lvlText w:val="(%2)"/>
      <w:numFmt w:val="lowerLetter"/>
      <w:start w:val="9"/>
    </w:lvl>
  </w:abstractNum>
  <w:abstractNum w:abstractNumId="221">
    <w:nsid w:val="6863E8D2"/>
    <w:multiLevelType w:val="hybridMultilevel"/>
    <w:lvl w:ilvl="0">
      <w:lvlJc w:val="left"/>
      <w:lvlText w:val="(%1)"/>
      <w:numFmt w:val="lowerRoman"/>
      <w:start w:val="2"/>
    </w:lvl>
  </w:abstractNum>
  <w:abstractNum w:abstractNumId="222">
    <w:nsid w:val="76896198"/>
    <w:multiLevelType w:val="hybridMultilevel"/>
    <w:lvl w:ilvl="0">
      <w:lvlJc w:val="left"/>
      <w:lvlText w:val="(%1)"/>
      <w:numFmt w:val="lowerLetter"/>
      <w:start w:val="2"/>
    </w:lvl>
  </w:abstractNum>
  <w:abstractNum w:abstractNumId="223">
    <w:nsid w:val="4365174B"/>
    <w:multiLevelType w:val="hybridMultilevel"/>
    <w:lvl w:ilvl="0">
      <w:lvlJc w:val="left"/>
      <w:lvlText w:val="(%1)"/>
      <w:numFmt w:val="lowerLetter"/>
      <w:start w:val="1"/>
    </w:lvl>
    <w:lvl w:ilvl="1">
      <w:lvlJc w:val="left"/>
      <w:lvlText w:val="(%2)"/>
      <w:numFmt w:val="lowerRoman"/>
      <w:start w:val="1"/>
    </w:lvl>
  </w:abstractNum>
  <w:abstractNum w:abstractNumId="224">
    <w:nsid w:val="4A872C35"/>
    <w:multiLevelType w:val="hybridMultilevel"/>
    <w:lvl w:ilvl="0">
      <w:lvlJc w:val="left"/>
      <w:lvlText w:val="(%1)"/>
      <w:numFmt w:val="upperLetter"/>
      <w:start w:val="1"/>
    </w:lvl>
  </w:abstractNum>
  <w:abstractNum w:abstractNumId="225">
    <w:nsid w:val="5D5CE7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26">
    <w:nsid w:val="1CD484D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7">
    <w:nsid w:val="21D06255"/>
    <w:multiLevelType w:val="hybridMultilevel"/>
    <w:lvl w:ilvl="0">
      <w:lvlJc w:val="left"/>
      <w:lvlText w:val="(%1)"/>
      <w:numFmt w:val="lowerLetter"/>
      <w:start w:val="5"/>
    </w:lvl>
  </w:abstractNum>
  <w:abstractNum w:abstractNumId="228">
    <w:nsid w:val="51194ED1"/>
    <w:multiLevelType w:val="hybridMultilevel"/>
    <w:lvl w:ilvl="0">
      <w:lvlJc w:val="left"/>
      <w:lvlText w:val="(%1)"/>
      <w:numFmt w:val="lowerLetter"/>
      <w:start w:val="1"/>
    </w:lvl>
    <w:lvl w:ilvl="1">
      <w:lvlJc w:val="left"/>
      <w:lvlText w:val="(%2)"/>
      <w:numFmt w:val="lowerRoman"/>
      <w:start w:val="1"/>
    </w:lvl>
  </w:abstractNum>
  <w:abstractNum w:abstractNumId="229">
    <w:nsid w:val="44E2ED6C"/>
    <w:multiLevelType w:val="hybridMultilevel"/>
    <w:lvl w:ilvl="0">
      <w:lvlJc w:val="left"/>
      <w:lvlText w:val="(%1)"/>
      <w:numFmt w:val="lowerLetter"/>
      <w:start w:val="1"/>
    </w:lvl>
  </w:abstractNum>
  <w:abstractNum w:abstractNumId="230">
    <w:nsid w:val="2219B33"/>
    <w:multiLevelType w:val="hybridMultilevel"/>
    <w:lvl w:ilvl="0">
      <w:lvlJc w:val="left"/>
      <w:lvlText w:val="(%1)"/>
      <w:numFmt w:val="lowerLetter"/>
      <w:start w:val="1"/>
    </w:lvl>
  </w:abstractNum>
  <w:abstractNum w:abstractNumId="231">
    <w:nsid w:val="773BFBDD"/>
    <w:multiLevelType w:val="hybridMultilevel"/>
    <w:lvl w:ilvl="0">
      <w:lvlJc w:val="left"/>
      <w:lvlText w:val="(%1)"/>
      <w:numFmt w:val="lowerLetter"/>
      <w:start w:val="2"/>
    </w:lvl>
  </w:abstractNum>
  <w:abstractNum w:abstractNumId="232">
    <w:nsid w:val="2C7C62C2"/>
    <w:multiLevelType w:val="hybridMultilevel"/>
    <w:lvl w:ilvl="0">
      <w:lvlJc w:val="left"/>
      <w:lvlText w:val="(%1)"/>
      <w:numFmt w:val="lowerLetter"/>
      <w:start w:val="1"/>
    </w:lvl>
    <w:lvl w:ilvl="1">
      <w:lvlJc w:val="left"/>
      <w:lvlText w:val="(%2)"/>
      <w:numFmt w:val="lowerRoman"/>
      <w:start w:val="1"/>
    </w:lvl>
  </w:abstractNum>
  <w:abstractNum w:abstractNumId="233">
    <w:nsid w:val="1A54D7BC"/>
    <w:multiLevelType w:val="hybridMultilevel"/>
    <w:lvl w:ilvl="0">
      <w:lvlJc w:val="left"/>
      <w:lvlText w:val="(%1)"/>
      <w:numFmt w:val="lowerLetter"/>
      <w:start w:val="4"/>
    </w:lvl>
    <w:lvl w:ilvl="1">
      <w:lvlJc w:val="left"/>
      <w:lvlText w:val="(%2)"/>
      <w:numFmt w:val="lowerLetter"/>
      <w:start w:val="1"/>
    </w:lvl>
  </w:abstractNum>
  <w:abstractNum w:abstractNumId="234">
    <w:nsid w:val="42E57EF7"/>
    <w:multiLevelType w:val="hybridMultilevel"/>
    <w:lvl w:ilvl="0">
      <w:lvlJc w:val="left"/>
      <w:lvlText w:val="(%1)"/>
      <w:numFmt w:val="lowerLetter"/>
      <w:start w:val="1"/>
    </w:lvl>
  </w:abstractNum>
  <w:abstractNum w:abstractNumId="235">
    <w:nsid w:val="33537CED"/>
    <w:multiLevelType w:val="hybridMultilevel"/>
    <w:lvl w:ilvl="0">
      <w:lvlJc w:val="left"/>
      <w:lvlText w:val="(%1)"/>
      <w:numFmt w:val="lowerLetter"/>
      <w:start w:val="2"/>
    </w:lvl>
  </w:abstractNum>
  <w:abstractNum w:abstractNumId="236">
    <w:nsid w:val="27514ADE"/>
    <w:multiLevelType w:val="hybridMultilevel"/>
    <w:lvl w:ilvl="0">
      <w:lvlJc w:val="left"/>
      <w:lvlText w:val="(%1)"/>
      <w:numFmt w:val="lowerLetter"/>
      <w:start w:val="1"/>
    </w:lvl>
    <w:lvl w:ilvl="1">
      <w:lvlJc w:val="left"/>
      <w:lvlText w:val="(%2)"/>
      <w:numFmt w:val="lowerRoman"/>
      <w:start w:val="1"/>
    </w:lvl>
  </w:abstractNum>
  <w:abstractNum w:abstractNumId="237">
    <w:nsid w:val="57071613"/>
    <w:multiLevelType w:val="hybridMultilevel"/>
    <w:lvl w:ilvl="0">
      <w:lvlJc w:val="left"/>
      <w:lvlText w:val="(%1)"/>
      <w:numFmt w:val="lowerLetter"/>
      <w:start w:val="1"/>
    </w:lvl>
  </w:abstractNum>
  <w:abstractNum w:abstractNumId="238">
    <w:nsid w:val="5293BFEF"/>
    <w:multiLevelType w:val="hybridMultilevel"/>
    <w:lvl w:ilvl="0">
      <w:lvlJc w:val="left"/>
      <w:lvlText w:val="(%1)"/>
      <w:numFmt w:val="lowerLetter"/>
      <w:start w:val="1"/>
    </w:lvl>
  </w:abstractNum>
  <w:abstractNum w:abstractNumId="239">
    <w:nsid w:val="38BF53E5"/>
    <w:multiLevelType w:val="hybridMultilevel"/>
    <w:lvl w:ilvl="0">
      <w:lvlJc w:val="left"/>
      <w:lvlText w:val="(%1)"/>
      <w:numFmt w:val="lowerLetter"/>
      <w:start w:val="1"/>
    </w:lvl>
  </w:abstractNum>
  <w:abstractNum w:abstractNumId="240">
    <w:nsid w:val="226F532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1">
    <w:nsid w:val="5A0201C7"/>
    <w:multiLevelType w:val="hybridMultilevel"/>
    <w:lvl w:ilvl="0">
      <w:lvlJc w:val="left"/>
      <w:lvlText w:val="(%1)"/>
      <w:numFmt w:val="lowerLetter"/>
      <w:start w:val="1"/>
    </w:lvl>
    <w:lvl w:ilvl="1">
      <w:lvlJc w:val="left"/>
      <w:lvlText w:val="(%2)"/>
      <w:numFmt w:val="lowerRoman"/>
      <w:start w:val="1"/>
    </w:lvl>
  </w:abstractNum>
  <w:abstractNum w:abstractNumId="242">
    <w:nsid w:val="2A9C34E2"/>
    <w:multiLevelType w:val="hybridMultilevel"/>
    <w:lvl w:ilvl="0">
      <w:lvlJc w:val="left"/>
      <w:lvlText w:val="(%1)"/>
      <w:numFmt w:val="lowerLetter"/>
      <w:start w:val="2"/>
    </w:lvl>
  </w:abstractNum>
  <w:abstractNum w:abstractNumId="243">
    <w:nsid w:val="1B7585AB"/>
    <w:multiLevelType w:val="hybridMultilevel"/>
    <w:lvl w:ilvl="0">
      <w:lvlJc w:val="left"/>
      <w:lvlText w:val="(%1)"/>
      <w:numFmt w:val="lowerLetter"/>
      <w:start w:val="1"/>
    </w:lvl>
    <w:lvl w:ilvl="1">
      <w:lvlJc w:val="left"/>
      <w:lvlText w:val="(%2)"/>
      <w:numFmt w:val="lowerRoman"/>
      <w:start w:val="1"/>
    </w:lvl>
  </w:abstractNum>
  <w:abstractNum w:abstractNumId="244">
    <w:nsid w:val="612DBDD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45">
    <w:nsid w:val="2109CDA4"/>
    <w:multiLevelType w:val="hybridMultilevel"/>
    <w:lvl w:ilvl="0">
      <w:lvlJc w:val="left"/>
      <w:lvlText w:val="(%1)"/>
      <w:numFmt w:val="lowerLetter"/>
      <w:start w:val="1"/>
    </w:lvl>
  </w:abstractNum>
  <w:abstractNum w:abstractNumId="246">
    <w:nsid w:val="577F5A4D"/>
    <w:multiLevelType w:val="hybridMultilevel"/>
    <w:lvl w:ilvl="0">
      <w:lvlJc w:val="left"/>
      <w:lvlText w:val="(%1)"/>
      <w:numFmt w:val="lowerLetter"/>
      <w:start w:val="1"/>
    </w:lvl>
  </w:abstractNum>
  <w:abstractNum w:abstractNumId="247">
    <w:nsid w:val="2121A81"/>
    <w:multiLevelType w:val="hybridMultilevel"/>
    <w:lvl w:ilvl="0">
      <w:lvlJc w:val="left"/>
      <w:lvlText w:val="(%1)"/>
      <w:numFmt w:val="lowerLetter"/>
      <w:start w:val="1"/>
    </w:lvl>
  </w:abstractNum>
  <w:abstractNum w:abstractNumId="248">
    <w:nsid w:val="6C2CFC88"/>
    <w:multiLevelType w:val="hybridMultilevel"/>
    <w:lvl w:ilvl="0">
      <w:lvlJc w:val="left"/>
      <w:lvlText w:val="(%1)"/>
      <w:numFmt w:val="lowerLetter"/>
      <w:start w:val="1"/>
    </w:lvl>
  </w:abstractNum>
  <w:abstractNum w:abstractNumId="249">
    <w:nsid w:val="6D1BCF1C"/>
    <w:multiLevelType w:val="hybridMultilevel"/>
    <w:lvl w:ilvl="0">
      <w:lvlJc w:val="left"/>
      <w:lvlText w:val="(%1)"/>
      <w:numFmt w:val="lowerLetter"/>
      <w:start w:val="2"/>
    </w:lvl>
    <w:lvl w:ilvl="1">
      <w:lvlJc w:val="left"/>
      <w:lvlText w:val="(%2)"/>
      <w:numFmt w:val="lowerLetter"/>
      <w:start w:val="1"/>
    </w:lvl>
  </w:abstractNum>
  <w:abstractNum w:abstractNumId="250">
    <w:nsid w:val="4CE5CA53"/>
    <w:multiLevelType w:val="hybridMultilevel"/>
    <w:lvl w:ilvl="0">
      <w:lvlJc w:val="left"/>
      <w:lvlText w:val="(%1)"/>
      <w:numFmt w:val="lowerLetter"/>
      <w:start w:val="1"/>
    </w:lvl>
  </w:abstractNum>
  <w:abstractNum w:abstractNumId="251">
    <w:nsid w:val="29262D1A"/>
    <w:multiLevelType w:val="hybridMultilevel"/>
    <w:lvl w:ilvl="0">
      <w:lvlJc w:val="left"/>
      <w:lvlText w:val="(%1)"/>
      <w:numFmt w:val="lowerLetter"/>
      <w:start w:val="1"/>
    </w:lvl>
  </w:abstractNum>
  <w:abstractNum w:abstractNumId="252">
    <w:nsid w:val="557FB7EE"/>
    <w:multiLevelType w:val="hybridMultilevel"/>
    <w:lvl w:ilvl="0">
      <w:lvlJc w:val="left"/>
      <w:lvlText w:val="(%1)"/>
      <w:numFmt w:val="lowerLetter"/>
      <w:start w:val="1"/>
    </w:lvl>
  </w:abstractNum>
  <w:abstractNum w:abstractNumId="253">
    <w:nsid w:val="436F2BEB"/>
    <w:multiLevelType w:val="hybridMultilevel"/>
    <w:lvl w:ilvl="0">
      <w:lvlJc w:val="left"/>
      <w:lvlText w:val="(%1)"/>
      <w:numFmt w:val="lowerLetter"/>
      <w:start w:val="1"/>
    </w:lvl>
  </w:abstractNum>
  <w:abstractNum w:abstractNumId="254">
    <w:nsid w:val="6C8B4466"/>
    <w:multiLevelType w:val="hybridMultilevel"/>
    <w:lvl w:ilvl="0">
      <w:lvlJc w:val="left"/>
      <w:lvlText w:val="(%1)"/>
      <w:numFmt w:val="lowerLetter"/>
      <w:start w:val="1"/>
    </w:lvl>
  </w:abstractNum>
  <w:abstractNum w:abstractNumId="255">
    <w:nsid w:val="2006E424"/>
    <w:multiLevelType w:val="hybridMultilevel"/>
    <w:lvl w:ilvl="0">
      <w:lvlJc w:val="left"/>
      <w:lvlText w:val="(%1)"/>
      <w:numFmt w:val="lowerLetter"/>
      <w:start w:val="1"/>
    </w:lvl>
  </w:abstractNum>
  <w:abstractNum w:abstractNumId="256">
    <w:nsid w:val="20CC134C"/>
    <w:multiLevelType w:val="hybridMultilevel"/>
    <w:lvl w:ilvl="0">
      <w:lvlJc w:val="left"/>
      <w:lvlText w:val="(%1)"/>
      <w:numFmt w:val="lowerLetter"/>
      <w:start w:val="1"/>
    </w:lvl>
  </w:abstractNum>
  <w:abstractNum w:abstractNumId="257">
    <w:nsid w:val="95FC93B"/>
    <w:multiLevelType w:val="hybridMultilevel"/>
    <w:lvl w:ilvl="0">
      <w:lvlJc w:val="left"/>
      <w:lvlText w:val="(%1)"/>
      <w:numFmt w:val="lowerLetter"/>
      <w:start w:val="1"/>
    </w:lvl>
    <w:lvl w:ilvl="1">
      <w:lvlJc w:val="left"/>
      <w:lvlText w:val="(%2)"/>
      <w:numFmt w:val="lowerRoman"/>
      <w:start w:val="1"/>
    </w:lvl>
  </w:abstractNum>
  <w:abstractNum w:abstractNumId="258">
    <w:nsid w:val="41D74679"/>
    <w:multiLevelType w:val="hybridMultilevel"/>
    <w:lvl w:ilvl="0">
      <w:lvlJc w:val="left"/>
      <w:lvlText w:val="(%1)"/>
      <w:numFmt w:val="lowerLetter"/>
      <w:start w:val="1"/>
    </w:lvl>
  </w:abstractNum>
  <w:abstractNum w:abstractNumId="259">
    <w:nsid w:val="71E5621E"/>
    <w:multiLevelType w:val="hybridMultilevel"/>
    <w:lvl w:ilvl="0">
      <w:lvlJc w:val="left"/>
      <w:lvlText w:val="(%1)"/>
      <w:numFmt w:val="lowerLetter"/>
      <w:start w:val="1"/>
    </w:lvl>
  </w:abstractNum>
  <w:abstractNum w:abstractNumId="260">
    <w:nsid w:val="4E42B6A8"/>
    <w:multiLevelType w:val="hybridMultilevel"/>
    <w:lvl w:ilvl="0">
      <w:lvlJc w:val="left"/>
      <w:lvlText w:val="(%1)"/>
      <w:numFmt w:val="lowerLetter"/>
      <w:start w:val="1"/>
    </w:lvl>
  </w:abstractNum>
  <w:abstractNum w:abstractNumId="261">
    <w:nsid w:val="43F8E1AC"/>
    <w:multiLevelType w:val="hybridMultilevel"/>
    <w:lvl w:ilvl="0">
      <w:lvlJc w:val="left"/>
      <w:lvlText w:val="(%1)"/>
      <w:numFmt w:val="lowerLetter"/>
      <w:start w:val="1"/>
    </w:lvl>
  </w:abstractNum>
  <w:abstractNum w:abstractNumId="262">
    <w:nsid w:val="69215DFB"/>
    <w:multiLevelType w:val="hybridMultilevel"/>
    <w:lvl w:ilvl="0">
      <w:lvlJc w:val="left"/>
      <w:lvlText w:val="(%1)"/>
      <w:numFmt w:val="lowerLetter"/>
      <w:start w:val="2"/>
    </w:lvl>
  </w:abstractNum>
  <w:abstractNum w:abstractNumId="263">
    <w:nsid w:val="7ABF196A"/>
    <w:multiLevelType w:val="hybridMultilevel"/>
    <w:lvl w:ilvl="0">
      <w:lvlJc w:val="left"/>
      <w:lvlText w:val="(%1)"/>
      <w:numFmt w:val="lowerLetter"/>
      <w:start w:val="1"/>
    </w:lvl>
  </w:abstractNum>
  <w:abstractNum w:abstractNumId="264">
    <w:nsid w:val="5E4DB968"/>
    <w:multiLevelType w:val="hybridMultilevel"/>
    <w:lvl w:ilvl="0">
      <w:lvlJc w:val="left"/>
      <w:lvlText w:val="(%1)"/>
      <w:numFmt w:val="lowerLetter"/>
      <w:start w:val="1"/>
    </w:lvl>
    <w:lvl w:ilvl="1">
      <w:lvlJc w:val="left"/>
      <w:lvlText w:val="(%2)"/>
      <w:numFmt w:val="lowerRoman"/>
      <w:start w:val="1"/>
    </w:lvl>
  </w:abstractNum>
  <w:abstractNum w:abstractNumId="265">
    <w:nsid w:val="2C06DCF3"/>
    <w:multiLevelType w:val="hybridMultilevel"/>
    <w:lvl w:ilvl="0">
      <w:lvlJc w:val="left"/>
      <w:lvlText w:val="%1"/>
      <w:numFmt w:val="lowerLetter"/>
      <w:start w:val="1"/>
    </w:lvl>
    <w:lvl w:ilvl="1">
      <w:lvlJc w:val="left"/>
      <w:lvlText w:val="(%2)"/>
      <w:numFmt w:val="lowerRoman"/>
      <w:start w:val="3"/>
    </w:lvl>
  </w:abstractNum>
  <w:abstractNum w:abstractNumId="266">
    <w:nsid w:val="2E129658"/>
    <w:multiLevelType w:val="hybridMultilevel"/>
    <w:lvl w:ilvl="0">
      <w:lvlJc w:val="left"/>
      <w:lvlText w:val="(%1)"/>
      <w:numFmt w:val="lowerLetter"/>
      <w:start w:val="2"/>
    </w:lvl>
    <w:lvl w:ilvl="1">
      <w:lvlJc w:val="left"/>
      <w:lvlText w:val="%2"/>
      <w:numFmt w:val="lowerRoman"/>
      <w:start w:val="1"/>
    </w:lvl>
  </w:abstractNum>
  <w:abstractNum w:abstractNumId="267">
    <w:nsid w:val="59F0446"/>
    <w:multiLevelType w:val="hybridMultilevel"/>
    <w:lvl w:ilvl="0">
      <w:lvlJc w:val="left"/>
      <w:lvlText w:val="(%1)"/>
      <w:numFmt w:val="lowerLetter"/>
      <w:start w:val="1"/>
    </w:lvl>
  </w:abstractNum>
  <w:abstractNum w:abstractNumId="268">
    <w:nsid w:val="30DF306"/>
    <w:multiLevelType w:val="hybridMultilevel"/>
    <w:lvl w:ilvl="0">
      <w:lvlJc w:val="left"/>
      <w:lvlText w:val="(%1)"/>
      <w:numFmt w:val="lowerLetter"/>
      <w:start w:val="1"/>
    </w:lvl>
  </w:abstractNum>
  <w:abstractNum w:abstractNumId="269">
    <w:nsid w:val="A65647"/>
    <w:multiLevelType w:val="hybridMultilevel"/>
    <w:lvl w:ilvl="0">
      <w:lvlJc w:val="left"/>
      <w:lvlText w:val="(%1)"/>
      <w:numFmt w:val="lowerLetter"/>
      <w:start w:val="2"/>
    </w:lvl>
    <w:lvl w:ilvl="1">
      <w:lvlJc w:val="left"/>
      <w:lvlText w:val="(%2)"/>
      <w:numFmt w:val="lowerRoman"/>
      <w:start w:val="1"/>
    </w:lvl>
  </w:abstractNum>
  <w:abstractNum w:abstractNumId="270">
    <w:nsid w:val="3E5E582B"/>
    <w:multiLevelType w:val="hybridMultilevel"/>
    <w:lvl w:ilvl="0">
      <w:lvlJc w:val="left"/>
      <w:lvlText w:val="(%1)"/>
      <w:numFmt w:val="lowerLetter"/>
      <w:start w:val="4"/>
    </w:lvl>
    <w:lvl w:ilvl="1">
      <w:lvlJc w:val="left"/>
      <w:lvlText w:val="(%2)"/>
      <w:numFmt w:val="lowerRoman"/>
      <w:start w:val="1"/>
    </w:lvl>
  </w:abstractNum>
  <w:abstractNum w:abstractNumId="271">
    <w:nsid w:val="257D4626"/>
    <w:multiLevelType w:val="hybridMultilevel"/>
    <w:lvl w:ilvl="0">
      <w:lvlJc w:val="left"/>
      <w:lvlText w:val="(%1)"/>
      <w:numFmt w:val="lowerLetter"/>
      <w:start w:val="1"/>
    </w:lvl>
  </w:abstractNum>
  <w:abstractNum w:abstractNumId="272">
    <w:nsid w:val="5AA8580E"/>
    <w:multiLevelType w:val="hybridMultilevel"/>
    <w:lvl w:ilvl="0">
      <w:lvlJc w:val="left"/>
      <w:lvlText w:val="(%1)"/>
      <w:numFmt w:val="lowerLetter"/>
      <w:start w:val="1"/>
    </w:lvl>
  </w:abstractNum>
  <w:abstractNum w:abstractNumId="273">
    <w:nsid w:val="68FA8D0D"/>
    <w:multiLevelType w:val="hybridMultilevel"/>
    <w:lvl w:ilvl="0">
      <w:lvlJc w:val="left"/>
      <w:lvlText w:val="(%1)"/>
      <w:numFmt w:val="lowerLetter"/>
      <w:start w:val="3"/>
    </w:lvl>
  </w:abstractNum>
  <w:abstractNum w:abstractNumId="274">
    <w:nsid w:val="40F2CBD2"/>
    <w:multiLevelType w:val="hybridMultilevel"/>
    <w:lvl w:ilvl="0">
      <w:lvlJc w:val="left"/>
      <w:lvlText w:val="(%1)"/>
      <w:numFmt w:val="lowerLetter"/>
      <w:start w:val="1"/>
    </w:lvl>
  </w:abstractNum>
  <w:abstractNum w:abstractNumId="275">
    <w:nsid w:val="3BD615EB"/>
    <w:multiLevelType w:val="hybridMultilevel"/>
    <w:lvl w:ilvl="0">
      <w:lvlJc w:val="left"/>
      <w:lvlText w:val="(%1)"/>
      <w:numFmt w:val="lowerLetter"/>
      <w:start w:val="1"/>
    </w:lvl>
  </w:abstractNum>
  <w:abstractNum w:abstractNumId="276">
    <w:nsid w:val="A045AB2"/>
    <w:multiLevelType w:val="hybridMultilevel"/>
    <w:lvl w:ilvl="0">
      <w:lvlJc w:val="left"/>
      <w:lvlText w:val="(%1)"/>
      <w:numFmt w:val="lowerLetter"/>
      <w:start w:val="1"/>
    </w:lvl>
  </w:abstractNum>
  <w:abstractNum w:abstractNumId="277">
    <w:nsid w:val="1872261F"/>
    <w:multiLevelType w:val="hybridMultilevel"/>
    <w:lvl w:ilvl="0">
      <w:lvlJc w:val="left"/>
      <w:lvlText w:val="(%1)"/>
      <w:numFmt w:val="lowerLetter"/>
      <w:start w:val="1"/>
    </w:lvl>
  </w:abstractNum>
  <w:abstractNum w:abstractNumId="278">
    <w:nsid w:val="3DE8306C"/>
    <w:multiLevelType w:val="hybridMultilevel"/>
    <w:lvl w:ilvl="0">
      <w:lvlJc w:val="left"/>
      <w:lvlText w:val="(%1)"/>
      <w:numFmt w:val="lowerLetter"/>
      <w:start w:val="1"/>
    </w:lvl>
    <w:lvl w:ilvl="1">
      <w:lvlJc w:val="left"/>
      <w:lvlText w:val="(%2)"/>
      <w:numFmt w:val="lowerRoman"/>
      <w:start w:val="1"/>
    </w:lvl>
  </w:abstractNum>
  <w:abstractNum w:abstractNumId="279">
    <w:nsid w:val="7631573A"/>
    <w:multiLevelType w:val="hybridMultilevel"/>
    <w:lvl w:ilvl="0">
      <w:lvlJc w:val="left"/>
      <w:lvlText w:val="(%1)"/>
      <w:numFmt w:val="lowerLetter"/>
      <w:start w:val="1"/>
    </w:lvl>
  </w:abstractNum>
  <w:abstractNum w:abstractNumId="280">
    <w:nsid w:val="58DF53B"/>
    <w:multiLevelType w:val="hybridMultilevel"/>
    <w:lvl w:ilvl="0">
      <w:lvlJc w:val="left"/>
      <w:lvlText w:val="(%1)"/>
      <w:numFmt w:val="lowerLetter"/>
      <w:start w:val="1"/>
    </w:lvl>
    <w:lvl w:ilvl="1">
      <w:lvlJc w:val="left"/>
      <w:lvlText w:val="(%2)"/>
      <w:numFmt w:val="lowerRoman"/>
      <w:start w:val="1"/>
    </w:lvl>
  </w:abstractNum>
  <w:abstractNum w:abstractNumId="281">
    <w:nsid w:val="ACDFAC0"/>
    <w:multiLevelType w:val="hybridMultilevel"/>
    <w:lvl w:ilvl="0">
      <w:lvlJc w:val="left"/>
      <w:lvlText w:val="(%1)"/>
      <w:numFmt w:val="lowerLetter"/>
      <w:start w:val="1"/>
    </w:lvl>
    <w:lvl w:ilvl="1">
      <w:lvlJc w:val="left"/>
      <w:lvlText w:val="(%2)"/>
      <w:numFmt w:val="lowerRoman"/>
      <w:start w:val="1"/>
    </w:lvl>
  </w:abstractNum>
  <w:abstractNum w:abstractNumId="282">
    <w:nsid w:val="1F578454"/>
    <w:multiLevelType w:val="hybridMultilevel"/>
    <w:lvl w:ilvl="0">
      <w:lvlJc w:val="left"/>
      <w:lvlText w:val="(%1)"/>
      <w:numFmt w:val="lowerLetter"/>
      <w:start w:val="1"/>
    </w:lvl>
    <w:lvl w:ilvl="1">
      <w:lvlJc w:val="left"/>
      <w:lvlText w:val="(%2)"/>
      <w:numFmt w:val="lowerRoman"/>
      <w:start w:val="1"/>
    </w:lvl>
  </w:abstractNum>
  <w:abstractNum w:abstractNumId="283">
    <w:nsid w:val="5B0DAD2A"/>
    <w:multiLevelType w:val="hybridMultilevel"/>
    <w:lvl w:ilvl="0">
      <w:lvlJc w:val="left"/>
      <w:lvlText w:val="(%1)"/>
      <w:numFmt w:val="lowerLetter"/>
      <w:start w:val="1"/>
    </w:lvl>
  </w:abstractNum>
  <w:abstractNum w:abstractNumId="284">
    <w:nsid w:val="4E3D26AB"/>
    <w:multiLevelType w:val="hybridMultilevel"/>
    <w:lvl w:ilvl="0">
      <w:lvlJc w:val="left"/>
      <w:lvlText w:val="(%1)"/>
      <w:numFmt w:val="lowerLetter"/>
      <w:start w:val="1"/>
    </w:lvl>
    <w:lvl w:ilvl="1">
      <w:lvlJc w:val="left"/>
      <w:lvlText w:val="(%2)"/>
      <w:numFmt w:val="lowerRoman"/>
      <w:start w:val="1"/>
    </w:lvl>
  </w:abstractNum>
  <w:abstractNum w:abstractNumId="285">
    <w:nsid w:val="BE2C8BA"/>
    <w:multiLevelType w:val="hybridMultilevel"/>
    <w:lvl w:ilvl="0">
      <w:lvlJc w:val="left"/>
      <w:lvlText w:val="(%1)"/>
      <w:numFmt w:val="lowerRoman"/>
      <w:start w:val="3"/>
    </w:lvl>
  </w:abstractNum>
  <w:abstractNum w:abstractNumId="286">
    <w:nsid w:val="7B14914E"/>
    <w:multiLevelType w:val="hybridMultilevel"/>
    <w:lvl w:ilvl="0">
      <w:lvlJc w:val="left"/>
      <w:lvlText w:val="(%1)"/>
      <w:numFmt w:val="lowerLetter"/>
      <w:start w:val="2"/>
    </w:lvl>
  </w:abstractNum>
  <w:abstractNum w:abstractNumId="287">
    <w:nsid w:val="6F0939F8"/>
    <w:multiLevelType w:val="hybridMultilevel"/>
    <w:lvl w:ilvl="0">
      <w:lvlJc w:val="left"/>
      <w:lvlText w:val="(%1)"/>
      <w:numFmt w:val="lowerLetter"/>
      <w:start w:val="1"/>
    </w:lvl>
  </w:abstractNum>
  <w:abstractNum w:abstractNumId="288">
    <w:nsid w:val="154291F6"/>
    <w:multiLevelType w:val="hybridMultilevel"/>
    <w:lvl w:ilvl="0">
      <w:lvlJc w:val="left"/>
      <w:lvlText w:val="(%1)"/>
      <w:numFmt w:val="lowerLetter"/>
      <w:start w:val="1"/>
    </w:lvl>
  </w:abstractNum>
  <w:abstractNum w:abstractNumId="289">
    <w:nsid w:val="3CEBD7C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0">
    <w:nsid w:val="60EE9C16"/>
    <w:multiLevelType w:val="hybridMultilevel"/>
    <w:lvl w:ilvl="0">
      <w:lvlJc w:val="left"/>
      <w:lvlText w:val="(%1)"/>
      <w:numFmt w:val="lowerLetter"/>
      <w:start w:val="2"/>
    </w:lvl>
    <w:lvl w:ilvl="1">
      <w:lvlJc w:val="left"/>
      <w:lvlText w:val="(%2)"/>
      <w:numFmt w:val="lowerRoman"/>
      <w:start w:val="1"/>
    </w:lvl>
  </w:abstractNum>
  <w:abstractNum w:abstractNumId="291">
    <w:nsid w:val="6385489E"/>
    <w:multiLevelType w:val="hybridMultilevel"/>
    <w:lvl w:ilvl="0">
      <w:lvlJc w:val="left"/>
      <w:lvlText w:val="(%1)"/>
      <w:numFmt w:val="lowerLetter"/>
      <w:start w:val="1"/>
    </w:lvl>
  </w:abstractNum>
  <w:abstractNum w:abstractNumId="292">
    <w:nsid w:val="E4B973"/>
    <w:multiLevelType w:val="hybridMultilevel"/>
    <w:lvl w:ilvl="0">
      <w:lvlJc w:val="left"/>
      <w:lvlText w:val="(%1)"/>
      <w:numFmt w:val="lowerLetter"/>
      <w:start w:val="1"/>
    </w:lvl>
    <w:lvl w:ilvl="1">
      <w:lvlJc w:val="left"/>
      <w:lvlText w:val="(%2)"/>
      <w:numFmt w:val="lowerRoman"/>
      <w:start w:val="1"/>
    </w:lvl>
  </w:abstractNum>
  <w:abstractNum w:abstractNumId="293">
    <w:nsid w:val="4A0FFA11"/>
    <w:multiLevelType w:val="hybridMultilevel"/>
    <w:lvl w:ilvl="0">
      <w:lvlJc w:val="left"/>
      <w:lvlText w:val="(%1)"/>
      <w:numFmt w:val="lowerLetter"/>
      <w:start w:val="2"/>
    </w:lvl>
    <w:lvl w:ilvl="1">
      <w:lvlJc w:val="left"/>
      <w:lvlText w:val="(%2)"/>
      <w:numFmt w:val="lowerLetter"/>
      <w:start w:val="9"/>
    </w:lvl>
  </w:abstractNum>
  <w:abstractNum w:abstractNumId="294">
    <w:nsid w:val="5E446208"/>
    <w:multiLevelType w:val="hybridMultilevel"/>
    <w:lvl w:ilvl="0">
      <w:lvlJc w:val="left"/>
      <w:lvlText w:val="%1"/>
      <w:numFmt w:val="lowerLetter"/>
      <w:start w:val="1"/>
    </w:lvl>
    <w:lvl w:ilvl="1">
      <w:lvlJc w:val="left"/>
      <w:lvlText w:val="(%2)"/>
      <w:numFmt w:val="lowerRoman"/>
      <w:start w:val="2"/>
    </w:lvl>
  </w:abstractNum>
  <w:abstractNum w:abstractNumId="295">
    <w:nsid w:val="5F3272DB"/>
    <w:multiLevelType w:val="hybridMultilevel"/>
    <w:lvl w:ilvl="0">
      <w:lvlJc w:val="left"/>
      <w:lvlText w:val="(%1)"/>
      <w:numFmt w:val="lowerLetter"/>
      <w:start w:val="4"/>
    </w:lvl>
    <w:lvl w:ilvl="1">
      <w:lvlJc w:val="left"/>
      <w:lvlText w:val="(%2)"/>
      <w:numFmt w:val="lowerRoman"/>
      <w:start w:val="1"/>
    </w:lvl>
  </w:abstractNum>
  <w:abstractNum w:abstractNumId="296">
    <w:nsid w:val="7616D704"/>
    <w:multiLevelType w:val="hybridMultilevel"/>
    <w:lvl w:ilvl="0">
      <w:lvlJc w:val="left"/>
      <w:lvlText w:val="(%1)"/>
      <w:numFmt w:val="lowerLetter"/>
      <w:start w:val="1"/>
    </w:lvl>
    <w:lvl w:ilvl="1">
      <w:lvlJc w:val="left"/>
      <w:lvlText w:val="(%2)"/>
      <w:numFmt w:val="lowerLetter"/>
      <w:start w:val="9"/>
    </w:lvl>
  </w:abstractNum>
  <w:abstractNum w:abstractNumId="297">
    <w:nsid w:val="C56F860"/>
    <w:multiLevelType w:val="hybridMultilevel"/>
    <w:lvl w:ilvl="0">
      <w:lvlJc w:val="left"/>
      <w:lvlText w:val="(%1)"/>
      <w:numFmt w:val="lowerRoman"/>
      <w:start w:val="2"/>
    </w:lvl>
  </w:abstractNum>
  <w:abstractNum w:abstractNumId="298">
    <w:nsid w:val="64D1772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9">
    <w:nsid w:val="7924CA0A"/>
    <w:multiLevelType w:val="hybridMultilevel"/>
    <w:lvl w:ilvl="0">
      <w:lvlJc w:val="left"/>
      <w:lvlText w:val="%1"/>
      <w:numFmt w:val="lowerLetter"/>
      <w:start w:val="1"/>
    </w:lvl>
    <w:lvl w:ilvl="1">
      <w:lvlJc w:val="left"/>
      <w:lvlText w:val="(%2)"/>
      <w:numFmt w:val="lowerRoman"/>
      <w:start w:val="2"/>
    </w:lvl>
  </w:abstractNum>
  <w:abstractNum w:abstractNumId="300">
    <w:nsid w:val="CFD4EA7"/>
    <w:multiLevelType w:val="hybridMultilevel"/>
    <w:lvl w:ilvl="0">
      <w:lvlJc w:val="left"/>
      <w:lvlText w:val="(%1)"/>
      <w:numFmt w:val="lowerLetter"/>
      <w:start w:val="3"/>
    </w:lvl>
    <w:lvl w:ilvl="1">
      <w:lvlJc w:val="left"/>
      <w:lvlText w:val="(%2)"/>
      <w:numFmt w:val="lowerRoman"/>
      <w:start w:val="1"/>
    </w:lvl>
  </w:abstractNum>
  <w:abstractNum w:abstractNumId="301">
    <w:nsid w:val="232FCF4D"/>
    <w:multiLevelType w:val="hybridMultilevel"/>
    <w:lvl w:ilvl="0">
      <w:lvlJc w:val="left"/>
      <w:lvlText w:val="(%1)"/>
      <w:numFmt w:val="lowerLetter"/>
      <w:start w:val="1"/>
    </w:lvl>
  </w:abstractNum>
  <w:abstractNum w:abstractNumId="302">
    <w:nsid w:val="1EA21031"/>
    <w:multiLevelType w:val="hybridMultilevel"/>
    <w:lvl w:ilvl="0">
      <w:lvlJc w:val="left"/>
      <w:lvlText w:val="(%1)"/>
      <w:numFmt w:val="lowerLetter"/>
      <w:start w:val="2"/>
    </w:lvl>
    <w:lvl w:ilvl="1">
      <w:lvlJc w:val="left"/>
      <w:lvlText w:val="(%2)"/>
      <w:numFmt w:val="lowerRoman"/>
      <w:start w:val="1"/>
    </w:lvl>
  </w:abstractNum>
  <w:abstractNum w:abstractNumId="303">
    <w:nsid w:val="67A5A6B5"/>
    <w:multiLevelType w:val="hybridMultilevel"/>
    <w:lvl w:ilvl="0">
      <w:lvlJc w:val="left"/>
      <w:lvlText w:val="(%1)"/>
      <w:numFmt w:val="lowerLetter"/>
      <w:start w:val="1"/>
    </w:lvl>
  </w:abstractNum>
  <w:abstractNum w:abstractNumId="304">
    <w:nsid w:val="C2A5C5B"/>
    <w:multiLevelType w:val="hybridMultilevel"/>
    <w:lvl w:ilvl="0">
      <w:lvlJc w:val="left"/>
      <w:lvlText w:val="(%1)"/>
      <w:numFmt w:val="lowerRoman"/>
      <w:start w:val="1"/>
    </w:lvl>
  </w:abstractNum>
  <w:abstractNum w:abstractNumId="305">
    <w:nsid w:val="5F94DC03"/>
    <w:multiLevelType w:val="hybridMultilevel"/>
    <w:lvl w:ilvl="0">
      <w:lvlJc w:val="left"/>
      <w:lvlText w:val="(%1)"/>
      <w:numFmt w:val="lowerRoman"/>
      <w:start w:val="2"/>
    </w:lvl>
  </w:abstractNum>
  <w:abstractNum w:abstractNumId="306">
    <w:nsid w:val="237BBCA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7">
    <w:nsid w:val="162EB70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308">
    <w:nsid w:val="78070222"/>
    <w:multiLevelType w:val="hybridMultilevel"/>
    <w:lvl w:ilvl="0">
      <w:lvlJc w:val="left"/>
      <w:lvlText w:val="(%1)"/>
      <w:numFmt w:val="lowerLetter"/>
      <w:start w:val="5"/>
    </w:lvl>
    <w:lvl w:ilvl="1">
      <w:lvlJc w:val="left"/>
      <w:lvlText w:val="(%2)"/>
      <w:numFmt w:val="lowerRoman"/>
      <w:start w:val="1"/>
    </w:lvl>
  </w:abstractNum>
  <w:abstractNum w:abstractNumId="309">
    <w:nsid w:val="6163ED0D"/>
    <w:multiLevelType w:val="hybridMultilevel"/>
    <w:lvl w:ilvl="0">
      <w:lvlJc w:val="left"/>
      <w:lvlText w:val="(%1)"/>
      <w:numFmt w:val="lowerLetter"/>
      <w:start w:val="1"/>
    </w:lvl>
    <w:lvl w:ilvl="1">
      <w:lvlJc w:val="left"/>
      <w:lvlText w:val="(%2)"/>
      <w:numFmt w:val="lowerRoman"/>
      <w:start w:val="1"/>
    </w:lvl>
  </w:abstractNum>
  <w:abstractNum w:abstractNumId="310">
    <w:nsid w:val="C600E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1">
    <w:nsid w:val="7D94F75D"/>
    <w:multiLevelType w:val="hybridMultilevel"/>
    <w:lvl w:ilvl="0">
      <w:lvlJc w:val="left"/>
      <w:lvlText w:val="(%1)"/>
      <w:numFmt w:val="lowerLetter"/>
      <w:start w:val="5"/>
    </w:lvl>
  </w:abstractNum>
  <w:abstractNum w:abstractNumId="312">
    <w:nsid w:val="6C31E7CD"/>
    <w:multiLevelType w:val="hybridMultilevel"/>
    <w:lvl w:ilvl="0">
      <w:lvlJc w:val="left"/>
      <w:lvlText w:val="(%1)"/>
      <w:numFmt w:val="lowerLetter"/>
      <w:start w:val="1"/>
    </w:lvl>
  </w:abstractNum>
  <w:abstractNum w:abstractNumId="313">
    <w:nsid w:val="2BB7929B"/>
    <w:multiLevelType w:val="hybridMultilevel"/>
    <w:lvl w:ilvl="0">
      <w:lvlJc w:val="left"/>
      <w:lvlText w:val="(%1)"/>
      <w:numFmt w:val="lowerLetter"/>
      <w:start w:val="1"/>
    </w:lvl>
  </w:abstractNum>
  <w:abstractNum w:abstractNumId="314">
    <w:nsid w:val="58A2A4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5">
    <w:nsid w:val="3A6F0E7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6">
    <w:nsid w:val="379A5B56"/>
    <w:multiLevelType w:val="hybridMultilevel"/>
    <w:lvl w:ilvl="0">
      <w:lvlJc w:val="left"/>
      <w:lvlText w:val="(%1)"/>
      <w:numFmt w:val="lowerLetter"/>
      <w:start w:val="3"/>
    </w:lvl>
  </w:abstractNum>
  <w:abstractNum w:abstractNumId="317">
    <w:nsid w:val="53B735D5"/>
    <w:multiLevelType w:val="hybridMultilevel"/>
    <w:lvl w:ilvl="0">
      <w:lvlJc w:val="left"/>
      <w:lvlText w:val="(%1)"/>
      <w:numFmt w:val="lowerLetter"/>
      <w:start w:val="1"/>
    </w:lvl>
  </w:abstractNum>
  <w:abstractNum w:abstractNumId="318">
    <w:nsid w:val="29784870"/>
    <w:multiLevelType w:val="hybridMultilevel"/>
    <w:lvl w:ilvl="0">
      <w:lvlJc w:val="left"/>
      <w:lvlText w:val="(%1)"/>
      <w:numFmt w:val="lowerLetter"/>
      <w:start w:val="2"/>
    </w:lvl>
  </w:abstractNum>
  <w:abstractNum w:abstractNumId="319">
    <w:nsid w:val="4CDCED4C"/>
    <w:multiLevelType w:val="hybridMultilevel"/>
    <w:lvl w:ilvl="0">
      <w:lvlJc w:val="left"/>
      <w:lvlText w:val="(%1)"/>
      <w:numFmt w:val="lowerLetter"/>
      <w:start w:val="1"/>
    </w:lvl>
  </w:abstractNum>
  <w:abstractNum w:abstractNumId="320">
    <w:nsid w:val="10A30D9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1">
    <w:nsid w:val="A66E486"/>
    <w:multiLevelType w:val="hybridMultilevel"/>
    <w:lvl w:ilvl="0">
      <w:lvlJc w:val="left"/>
      <w:lvlText w:val="(%1)"/>
      <w:numFmt w:val="lowerLetter"/>
      <w:start w:val="2"/>
    </w:lvl>
  </w:abstractNum>
  <w:abstractNum w:abstractNumId="322">
    <w:nsid w:val="306235EA"/>
    <w:multiLevelType w:val="hybridMultilevel"/>
    <w:lvl w:ilvl="0">
      <w:lvlJc w:val="left"/>
      <w:lvlText w:val="(%1)"/>
      <w:numFmt w:val="lowerLetter"/>
      <w:start w:val="3"/>
    </w:lvl>
    <w:lvl w:ilvl="1">
      <w:lvlJc w:val="left"/>
      <w:lvlText w:val="(%2)"/>
      <w:numFmt w:val="lowerRoman"/>
      <w:start w:val="1"/>
    </w:lvl>
  </w:abstractNum>
  <w:abstractNum w:abstractNumId="323">
    <w:nsid w:val="1187C70F"/>
    <w:multiLevelType w:val="hybridMultilevel"/>
    <w:lvl w:ilvl="0">
      <w:lvlJc w:val="left"/>
      <w:lvlText w:val="(%1)"/>
      <w:numFmt w:val="lowerLetter"/>
      <w:start w:val="5"/>
    </w:lvl>
  </w:abstractNum>
  <w:abstractNum w:abstractNumId="324">
    <w:nsid w:val="5476DE98"/>
    <w:multiLevelType w:val="hybridMultilevel"/>
    <w:lvl w:ilvl="0">
      <w:lvlJc w:val="left"/>
      <w:lvlText w:val="(%1)"/>
      <w:numFmt w:val="lowerLetter"/>
      <w:start w:val="1"/>
    </w:lvl>
    <w:lvl w:ilvl="1">
      <w:lvlJc w:val="left"/>
      <w:lvlText w:val="(%2)"/>
      <w:numFmt w:val="lowerRoman"/>
      <w:start w:val="1"/>
    </w:lvl>
  </w:abstractNum>
  <w:abstractNum w:abstractNumId="325">
    <w:nsid w:val="EA697F2"/>
    <w:multiLevelType w:val="hybridMultilevel"/>
    <w:lvl w:ilvl="0">
      <w:lvlJc w:val="left"/>
      <w:lvlText w:val="(%1)"/>
      <w:numFmt w:val="lowerLetter"/>
      <w:start w:val="2"/>
    </w:lvl>
  </w:abstractNum>
  <w:abstractNum w:abstractNumId="326">
    <w:nsid w:val="70BA39EB"/>
    <w:multiLevelType w:val="hybridMultilevel"/>
    <w:lvl w:ilvl="0">
      <w:lvlJc w:val="left"/>
      <w:lvlText w:val="(%1)"/>
      <w:numFmt w:val="lowerLetter"/>
      <w:start w:val="3"/>
    </w:lvl>
  </w:abstractNum>
  <w:abstractNum w:abstractNumId="327">
    <w:nsid w:val="4A8DB59C"/>
    <w:multiLevelType w:val="hybridMultilevel"/>
    <w:lvl w:ilvl="0">
      <w:lvlJc w:val="left"/>
      <w:lvlText w:val="(%1)"/>
      <w:numFmt w:val="lowerLetter"/>
      <w:start w:val="1"/>
    </w:lvl>
    <w:lvl w:ilvl="1">
      <w:lvlJc w:val="left"/>
      <w:lvlText w:val="(%2)"/>
      <w:numFmt w:val="lowerRoman"/>
      <w:start w:val="1"/>
    </w:lvl>
  </w:abstractNum>
  <w:abstractNum w:abstractNumId="328">
    <w:nsid w:val="1AFD9053"/>
    <w:multiLevelType w:val="hybridMultilevel"/>
    <w:lvl w:ilvl="0">
      <w:lvlJc w:val="left"/>
      <w:lvlText w:val="(%1)"/>
      <w:numFmt w:val="lowerLetter"/>
      <w:start w:val="8"/>
    </w:lvl>
  </w:abstractNum>
  <w:abstractNum w:abstractNumId="329">
    <w:nsid w:val="558BB10D"/>
    <w:multiLevelType w:val="hybridMultilevel"/>
    <w:lvl w:ilvl="0">
      <w:lvlJc w:val="left"/>
      <w:lvlText w:val="(%1)"/>
      <w:numFmt w:val="lowerLetter"/>
      <w:start w:val="1"/>
    </w:lvl>
  </w:abstractNum>
  <w:abstractNum w:abstractNumId="330">
    <w:nsid w:val="43B27FA7"/>
    <w:multiLevelType w:val="hybridMultilevel"/>
    <w:lvl w:ilvl="0">
      <w:lvlJc w:val="left"/>
      <w:lvlText w:val="(%1)"/>
      <w:numFmt w:val="lowerLetter"/>
      <w:start w:val="1"/>
    </w:lvl>
  </w:abstractNum>
  <w:abstractNum w:abstractNumId="331">
    <w:nsid w:val="27FADEFA"/>
    <w:multiLevelType w:val="hybridMultilevel"/>
    <w:lvl w:ilvl="0">
      <w:lvlJc w:val="left"/>
      <w:lvlText w:val="(%1)"/>
      <w:numFmt w:val="lowerLetter"/>
      <w:start w:val="1"/>
    </w:lvl>
    <w:lvl w:ilvl="1">
      <w:lvlJc w:val="left"/>
      <w:lvlText w:val="(%2)"/>
      <w:numFmt w:val="lowerLetter"/>
      <w:start w:val="9"/>
    </w:lvl>
  </w:abstractNum>
  <w:abstractNum w:abstractNumId="332">
    <w:nsid w:val="78BB805A"/>
    <w:multiLevelType w:val="hybridMultilevel"/>
    <w:lvl w:ilvl="0">
      <w:lvlJc w:val="left"/>
      <w:lvlText w:val="(%1)"/>
      <w:numFmt w:val="lowerRoman"/>
      <w:start w:val="2"/>
    </w:lvl>
  </w:abstractNum>
  <w:abstractNum w:abstractNumId="333">
    <w:nsid w:val="62548FD8"/>
    <w:multiLevelType w:val="hybridMultilevel"/>
    <w:lvl w:ilvl="0">
      <w:lvlJc w:val="left"/>
      <w:lvlText w:val="(%1)"/>
      <w:numFmt w:val="lowerLetter"/>
      <w:start w:val="2"/>
    </w:lvl>
  </w:abstractNum>
  <w:abstractNum w:abstractNumId="334">
    <w:nsid w:val="FA085B0"/>
    <w:multiLevelType w:val="hybridMultilevel"/>
    <w:lvl w:ilvl="0">
      <w:lvlJc w:val="left"/>
      <w:lvlText w:val="(%1)"/>
      <w:numFmt w:val="lowerLetter"/>
      <w:start w:val="1"/>
    </w:lvl>
  </w:abstractNum>
  <w:abstractNum w:abstractNumId="335">
    <w:nsid w:val="4E5DCB5"/>
    <w:multiLevelType w:val="hybridMultilevel"/>
    <w:lvl w:ilvl="0">
      <w:lvlJc w:val="left"/>
      <w:lvlText w:val="(%1)"/>
      <w:numFmt w:val="lowerLetter"/>
      <w:start w:val="1"/>
    </w:lvl>
    <w:lvl w:ilvl="1">
      <w:lvlJc w:val="left"/>
      <w:lvlText w:val="(%2)"/>
      <w:numFmt w:val="lowerRoman"/>
      <w:start w:val="1"/>
    </w:lvl>
  </w:abstractNum>
  <w:abstractNum w:abstractNumId="336">
    <w:nsid w:val="41E96BDB"/>
    <w:multiLevelType w:val="hybridMultilevel"/>
    <w:lvl w:ilvl="0">
      <w:lvlJc w:val="left"/>
      <w:lvlText w:val="(%1)"/>
      <w:numFmt w:val="lowerLetter"/>
      <w:start w:val="3"/>
    </w:lvl>
  </w:abstractNum>
  <w:abstractNum w:abstractNumId="337">
    <w:nsid w:val="331C4250"/>
    <w:multiLevelType w:val="hybridMultilevel"/>
    <w:lvl w:ilvl="0">
      <w:lvlJc w:val="left"/>
      <w:lvlText w:val="(%1)"/>
      <w:numFmt w:val="lowerLetter"/>
      <w:start w:val="1"/>
    </w:lvl>
  </w:abstractNum>
  <w:abstractNum w:abstractNumId="338">
    <w:nsid w:val="1B1493C2"/>
    <w:multiLevelType w:val="hybridMultilevel"/>
    <w:lvl w:ilvl="0">
      <w:lvlJc w:val="left"/>
      <w:lvlText w:val="(%1)"/>
      <w:numFmt w:val="lowerRoman"/>
      <w:start w:val="1"/>
    </w:lvl>
  </w:abstractNum>
  <w:abstractNum w:abstractNumId="339">
    <w:nsid w:val="39F06DFD"/>
    <w:multiLevelType w:val="hybridMultilevel"/>
    <w:lvl w:ilvl="0">
      <w:lvlJc w:val="left"/>
      <w:lvlText w:val="(%1)"/>
      <w:numFmt w:val="lowerLetter"/>
      <w:start w:val="3"/>
    </w:lvl>
  </w:abstractNum>
  <w:abstractNum w:abstractNumId="340">
    <w:nsid w:val="14802F5D"/>
    <w:multiLevelType w:val="hybridMultilevel"/>
    <w:lvl w:ilvl="0">
      <w:lvlJc w:val="left"/>
      <w:lvlText w:val="(%1)"/>
      <w:numFmt w:val="lowerLetter"/>
      <w:start w:val="1"/>
    </w:lvl>
  </w:abstractNum>
  <w:abstractNum w:abstractNumId="341">
    <w:nsid w:val="2774A209"/>
    <w:multiLevelType w:val="hybridMultilevel"/>
    <w:lvl w:ilvl="0">
      <w:lvlJc w:val="left"/>
      <w:lvlText w:val="(%1)"/>
      <w:numFmt w:val="lowerLetter"/>
      <w:start w:val="3"/>
    </w:lvl>
  </w:abstractNum>
  <w:abstractNum w:abstractNumId="342">
    <w:nsid w:val="3785655A"/>
    <w:multiLevelType w:val="hybridMultilevel"/>
    <w:lvl w:ilvl="0">
      <w:lvlJc w:val="left"/>
      <w:lvlText w:val="(%1)"/>
      <w:numFmt w:val="lowerLetter"/>
      <w:start w:val="5"/>
    </w:lvl>
  </w:abstractNum>
  <w:abstractNum w:abstractNumId="343">
    <w:nsid w:val="B2172A"/>
    <w:multiLevelType w:val="hybridMultilevel"/>
    <w:lvl w:ilvl="0">
      <w:lvlJc w:val="left"/>
      <w:lvlText w:val="(%1)"/>
      <w:numFmt w:val="lowerLetter"/>
      <w:start w:val="6"/>
    </w:lvl>
  </w:abstractNum>
  <w:abstractNum w:abstractNumId="344">
    <w:nsid w:val="532C34A5"/>
    <w:multiLevelType w:val="hybridMultilevel"/>
    <w:lvl w:ilvl="0">
      <w:lvlJc w:val="left"/>
      <w:lvlText w:val="(%1)"/>
      <w:numFmt w:val="lowerLetter"/>
      <w:start w:val="1"/>
    </w:lvl>
    <w:lvl w:ilvl="1">
      <w:lvlJc w:val="left"/>
      <w:lvlText w:val="(%2)"/>
      <w:numFmt w:val="lowerRoman"/>
      <w:start w:val="1"/>
    </w:lvl>
  </w:abstractNum>
  <w:abstractNum w:abstractNumId="345">
    <w:nsid w:val="102809E2"/>
    <w:multiLevelType w:val="hybridMultilevel"/>
    <w:lvl w:ilvl="0">
      <w:lvlJc w:val="left"/>
      <w:lvlText w:val="(%1)"/>
      <w:numFmt w:val="lowerLetter"/>
      <w:start w:val="7"/>
    </w:lvl>
  </w:abstractNum>
  <w:abstractNum w:abstractNumId="346">
    <w:nsid w:val="3B2125A3"/>
    <w:multiLevelType w:val="hybridMultilevel"/>
    <w:lvl w:ilvl="0">
      <w:lvlJc w:val="left"/>
      <w:lvlText w:val="(%1)"/>
      <w:numFmt w:val="lowerLetter"/>
      <w:start w:val="1"/>
    </w:lvl>
    <w:lvl w:ilvl="1">
      <w:lvlJc w:val="left"/>
      <w:lvlText w:val="(%2)"/>
      <w:numFmt w:val="lowerRoman"/>
      <w:start w:val="1"/>
    </w:lvl>
  </w:abstractNum>
  <w:abstractNum w:abstractNumId="347">
    <w:nsid w:val="AC68FFB"/>
    <w:multiLevelType w:val="hybridMultilevel"/>
    <w:lvl w:ilvl="0">
      <w:lvlJc w:val="left"/>
      <w:lvlText w:val="(%1)"/>
      <w:numFmt w:val="lowerLetter"/>
      <w:start w:val="3"/>
    </w:lvl>
  </w:abstractNum>
  <w:abstractNum w:abstractNumId="348">
    <w:nsid w:val="63DF3FB7"/>
    <w:multiLevelType w:val="hybridMultilevel"/>
    <w:lvl w:ilvl="0">
      <w:lvlJc w:val="left"/>
      <w:lvlText w:val="(%1)"/>
      <w:numFmt w:val="lowerLetter"/>
      <w:start w:val="1"/>
    </w:lvl>
  </w:abstractNum>
  <w:abstractNum w:abstractNumId="349">
    <w:nsid w:val="64996E13"/>
    <w:multiLevelType w:val="hybridMultilevel"/>
    <w:lvl w:ilvl="0">
      <w:lvlJc w:val="left"/>
      <w:lvlText w:val="(%1)"/>
      <w:numFmt w:val="lowerLetter"/>
      <w:start w:val="5"/>
    </w:lvl>
    <w:lvl w:ilvl="1">
      <w:lvlJc w:val="left"/>
      <w:lvlText w:val="(%2)"/>
      <w:numFmt w:val="lowerRoman"/>
      <w:start w:val="1"/>
    </w:lvl>
  </w:abstractNum>
  <w:abstractNum w:abstractNumId="350">
    <w:nsid w:val="57A37D47"/>
    <w:multiLevelType w:val="hybridMultilevel"/>
    <w:lvl w:ilvl="0">
      <w:lvlJc w:val="left"/>
      <w:lvlText w:val="(%1)"/>
      <w:numFmt w:val="lowerLetter"/>
      <w:start w:val="1"/>
    </w:lvl>
  </w:abstractNum>
  <w:abstractNum w:abstractNumId="351">
    <w:nsid w:val="74824D54"/>
    <w:multiLevelType w:val="hybridMultilevel"/>
    <w:lvl w:ilvl="0">
      <w:lvlJc w:val="left"/>
      <w:lvlText w:val="(%1)"/>
      <w:numFmt w:val="lowerLetter"/>
      <w:start w:val="1"/>
    </w:lvl>
  </w:abstractNum>
  <w:abstractNum w:abstractNumId="352">
    <w:nsid w:val="6F00529A"/>
    <w:multiLevelType w:val="hybridMultilevel"/>
    <w:lvl w:ilvl="0">
      <w:lvlJc w:val="left"/>
      <w:lvlText w:val="(%1)"/>
      <w:numFmt w:val="lowerLetter"/>
      <w:start w:val="1"/>
    </w:lvl>
    <w:lvl w:ilvl="1">
      <w:lvlJc w:val="left"/>
      <w:lvlText w:val="(%2)"/>
      <w:numFmt w:val="lowerRoman"/>
      <w:start w:val="1"/>
    </w:lvl>
  </w:abstractNum>
  <w:abstractNum w:abstractNumId="353">
    <w:nsid w:val="805B331"/>
    <w:multiLevelType w:val="hybridMultilevel"/>
    <w:lvl w:ilvl="0">
      <w:lvlJc w:val="left"/>
      <w:lvlText w:val="(%1)"/>
      <w:numFmt w:val="lowerLetter"/>
      <w:start w:val="1"/>
    </w:lvl>
  </w:abstractNum>
  <w:abstractNum w:abstractNumId="354">
    <w:nsid w:val="60A1463"/>
    <w:multiLevelType w:val="hybridMultilevel"/>
    <w:lvl w:ilvl="0">
      <w:lvlJc w:val="left"/>
      <w:lvlText w:val="(%1)"/>
      <w:numFmt w:val="lowerLetter"/>
      <w:start w:val="1"/>
    </w:lvl>
  </w:abstractNum>
  <w:abstractNum w:abstractNumId="355">
    <w:nsid w:val="43773132"/>
    <w:multiLevelType w:val="hybridMultilevel"/>
    <w:lvl w:ilvl="0">
      <w:lvlJc w:val="left"/>
      <w:lvlText w:val="(%1)"/>
      <w:numFmt w:val="lowerLetter"/>
      <w:start w:val="1"/>
    </w:lvl>
  </w:abstractNum>
  <w:abstractNum w:abstractNumId="356">
    <w:nsid w:val="16AC4B23"/>
    <w:multiLevelType w:val="hybridMultilevel"/>
    <w:lvl w:ilvl="0">
      <w:lvlJc w:val="left"/>
      <w:lvlText w:val="(%1)"/>
      <w:numFmt w:val="lowerLetter"/>
      <w:start w:val="1"/>
    </w:lvl>
  </w:abstractNum>
  <w:abstractNum w:abstractNumId="357">
    <w:nsid w:val="76C44E4E"/>
    <w:multiLevelType w:val="hybridMultilevel"/>
    <w:lvl w:ilvl="0">
      <w:lvlJc w:val="left"/>
      <w:lvlText w:val="(%1)"/>
      <w:numFmt w:val="lowerRoman"/>
      <w:start w:val="1"/>
    </w:lvl>
  </w:abstractNum>
  <w:abstractNum w:abstractNumId="358">
    <w:nsid w:val="E04E6CE"/>
    <w:multiLevelType w:val="hybridMultilevel"/>
    <w:lvl w:ilvl="0">
      <w:lvlJc w:val="left"/>
      <w:lvlText w:val="(%1)"/>
      <w:numFmt w:val="lowerLetter"/>
      <w:start w:val="1"/>
    </w:lvl>
  </w:abstractNum>
  <w:abstractNum w:abstractNumId="359">
    <w:nsid w:val="31A9DB76"/>
    <w:multiLevelType w:val="hybridMultilevel"/>
    <w:lvl w:ilvl="0">
      <w:lvlJc w:val="left"/>
      <w:lvlText w:val="(%1)"/>
      <w:numFmt w:val="lowerLetter"/>
      <w:start w:val="1"/>
    </w:lvl>
  </w:abstractNum>
  <w:abstractNum w:abstractNumId="360">
    <w:nsid w:val="4C4FFF5B"/>
    <w:multiLevelType w:val="hybridMultilevel"/>
    <w:lvl w:ilvl="0">
      <w:lvlJc w:val="left"/>
      <w:lvlText w:val="(%1)"/>
      <w:numFmt w:val="lowerLetter"/>
      <w:start w:val="1"/>
    </w:lvl>
  </w:abstractNum>
  <w:abstractNum w:abstractNumId="361">
    <w:nsid w:val="51B76675"/>
    <w:multiLevelType w:val="hybridMultilevel"/>
    <w:lvl w:ilvl="0">
      <w:lvlJc w:val="left"/>
      <w:lvlText w:val="(%1)"/>
      <w:numFmt w:val="lowerLetter"/>
      <w:start w:val="1"/>
    </w:lvl>
  </w:abstractNum>
  <w:abstractNum w:abstractNumId="362">
    <w:nsid w:val="59A4BA71"/>
    <w:multiLevelType w:val="hybridMultilevel"/>
    <w:lvl w:ilvl="0">
      <w:lvlJc w:val="left"/>
      <w:lvlText w:val="(%1)"/>
      <w:numFmt w:val="lowerLetter"/>
      <w:start w:val="2"/>
    </w:lvl>
  </w:abstractNum>
  <w:abstractNum w:abstractNumId="363">
    <w:nsid w:val="450B7FB6"/>
    <w:multiLevelType w:val="hybridMultilevel"/>
    <w:lvl w:ilvl="0">
      <w:lvlJc w:val="left"/>
      <w:lvlText w:val="(%1)"/>
      <w:numFmt w:val="lowerLetter"/>
      <w:start w:val="1"/>
    </w:lvl>
  </w:abstractNum>
  <w:abstractNum w:abstractNumId="364">
    <w:nsid w:val="340BF64D"/>
    <w:multiLevelType w:val="hybridMultilevel"/>
    <w:lvl w:ilvl="0">
      <w:lvlJc w:val="left"/>
      <w:lvlText w:val="(%1)"/>
      <w:numFmt w:val="lowerLetter"/>
      <w:start w:val="1"/>
    </w:lvl>
  </w:abstractNum>
  <w:abstractNum w:abstractNumId="365">
    <w:nsid w:val="69454021"/>
    <w:multiLevelType w:val="hybridMultilevel"/>
    <w:lvl w:ilvl="0">
      <w:lvlJc w:val="left"/>
      <w:lvlText w:val="(%1)"/>
      <w:numFmt w:val="lowerLetter"/>
      <w:start w:val="2"/>
    </w:lvl>
  </w:abstractNum>
  <w:abstractNum w:abstractNumId="366">
    <w:nsid w:val="49F15C6B"/>
    <w:multiLevelType w:val="hybridMultilevel"/>
    <w:lvl w:ilvl="0">
      <w:lvlJc w:val="left"/>
      <w:lvlText w:val="(%1)"/>
      <w:numFmt w:val="lowerLetter"/>
      <w:start w:val="1"/>
    </w:lvl>
    <w:lvl w:ilvl="1">
      <w:lvlJc w:val="left"/>
      <w:lvlText w:val="(%2)"/>
      <w:numFmt w:val="lowerRoman"/>
      <w:start w:val="1"/>
    </w:lvl>
  </w:abstractNum>
  <w:abstractNum w:abstractNumId="367">
    <w:nsid w:val="75F56228"/>
    <w:multiLevelType w:val="hybridMultilevel"/>
    <w:lvl w:ilvl="0">
      <w:lvlJc w:val="left"/>
      <w:lvlText w:val="(%1)"/>
      <w:numFmt w:val="lowerLetter"/>
      <w:start w:val="1"/>
    </w:lvl>
  </w:abstractNum>
  <w:abstractNum w:abstractNumId="368">
    <w:nsid w:val="1C618271"/>
    <w:multiLevelType w:val="hybridMultilevel"/>
    <w:lvl w:ilvl="0">
      <w:lvlJc w:val="left"/>
      <w:lvlText w:val="(%1)"/>
      <w:numFmt w:val="lowerLetter"/>
      <w:start w:val="1"/>
    </w:lvl>
    <w:lvl w:ilvl="1">
      <w:lvlJc w:val="left"/>
      <w:lvlText w:val="(%2)"/>
      <w:numFmt w:val="lowerRoman"/>
      <w:start w:val="1"/>
    </w:lvl>
  </w:abstractNum>
  <w:abstractNum w:abstractNumId="369">
    <w:nsid w:val="6505F02E"/>
    <w:multiLevelType w:val="hybridMultilevel"/>
    <w:lvl w:ilvl="0">
      <w:lvlJc w:val="left"/>
      <w:lvlText w:val="(%1)"/>
      <w:numFmt w:val="lowerLetter"/>
      <w:start w:val="1"/>
    </w:lvl>
    <w:lvl w:ilvl="1">
      <w:lvlJc w:val="left"/>
      <w:lvlText w:val="(%2)"/>
      <w:numFmt w:val="lowerRoman"/>
      <w:start w:val="1"/>
    </w:lvl>
  </w:abstractNum>
  <w:abstractNum w:abstractNumId="370">
    <w:nsid w:val="2FE5D025"/>
    <w:multiLevelType w:val="hybridMultilevel"/>
    <w:lvl w:ilvl="0">
      <w:lvlJc w:val="left"/>
      <w:lvlText w:val="(%1)"/>
      <w:numFmt w:val="lowerLetter"/>
      <w:start w:val="2"/>
    </w:lvl>
  </w:abstractNum>
  <w:abstractNum w:abstractNumId="371">
    <w:nsid w:val="30E1B1CF"/>
    <w:multiLevelType w:val="hybridMultilevel"/>
    <w:lvl w:ilvl="0">
      <w:lvlJc w:val="left"/>
      <w:lvlText w:val="(%1)"/>
      <w:numFmt w:val="lowerLetter"/>
      <w:start w:val="1"/>
    </w:lvl>
  </w:abstractNum>
  <w:abstractNum w:abstractNumId="372">
    <w:nsid w:val="C7A9237"/>
    <w:multiLevelType w:val="hybridMultilevel"/>
    <w:lvl w:ilvl="0">
      <w:lvlJc w:val="left"/>
      <w:lvlText w:val="(%1)"/>
      <w:numFmt w:val="lowerLetter"/>
      <w:start w:val="1"/>
    </w:lvl>
  </w:abstractNum>
  <w:abstractNum w:abstractNumId="373">
    <w:nsid w:val="676B3580"/>
    <w:multiLevelType w:val="hybridMultilevel"/>
    <w:lvl w:ilvl="0">
      <w:lvlJc w:val="left"/>
      <w:lvlText w:val="(%1)"/>
      <w:numFmt w:val="lowerLetter"/>
      <w:start w:val="1"/>
    </w:lvl>
    <w:lvl w:ilvl="1">
      <w:lvlJc w:val="left"/>
      <w:lvlText w:val="(%2)"/>
      <w:numFmt w:val="lowerRoman"/>
      <w:start w:val="1"/>
    </w:lvl>
  </w:abstractNum>
  <w:abstractNum w:abstractNumId="374">
    <w:nsid w:val="3193C8F9"/>
    <w:multiLevelType w:val="hybridMultilevel"/>
    <w:lvl w:ilvl="0">
      <w:lvlJc w:val="left"/>
      <w:lvlText w:val="(%1)"/>
      <w:numFmt w:val="lowerLetter"/>
      <w:start w:val="2"/>
    </w:lvl>
  </w:abstractNum>
  <w:abstractNum w:abstractNumId="375">
    <w:nsid w:val="5FA6C6DC"/>
    <w:multiLevelType w:val="hybridMultilevel"/>
    <w:lvl w:ilvl="0">
      <w:lvlJc w:val="left"/>
      <w:lvlText w:val="(%1)"/>
      <w:numFmt w:val="lowerLetter"/>
      <w:start w:val="1"/>
    </w:lvl>
  </w:abstractNum>
  <w:abstractNum w:abstractNumId="376">
    <w:nsid w:val="77933F62"/>
    <w:multiLevelType w:val="hybridMultilevel"/>
    <w:lvl w:ilvl="0">
      <w:lvlJc w:val="left"/>
      <w:lvlText w:val="(%1)"/>
      <w:numFmt w:val="lowerLetter"/>
      <w:start w:val="1"/>
    </w:lvl>
  </w:abstractNum>
  <w:abstractNum w:abstractNumId="377">
    <w:nsid w:val="6CB4EE9C"/>
    <w:multiLevelType w:val="hybridMultilevel"/>
    <w:lvl w:ilvl="0">
      <w:lvlJc w:val="left"/>
      <w:lvlText w:val="(%1)"/>
      <w:numFmt w:val="lowerLetter"/>
      <w:start w:val="1"/>
    </w:lvl>
    <w:lvl w:ilvl="1">
      <w:lvlJc w:val="left"/>
      <w:lvlText w:val="(%2)"/>
      <w:numFmt w:val="lowerRoman"/>
      <w:start w:val="1"/>
    </w:lvl>
  </w:abstractNum>
  <w:abstractNum w:abstractNumId="378">
    <w:nsid w:val="6A6D56D7"/>
    <w:multiLevelType w:val="hybridMultilevel"/>
    <w:lvl w:ilvl="0">
      <w:lvlJc w:val="left"/>
      <w:lvlText w:val="(%1)"/>
      <w:numFmt w:val="lowerLetter"/>
      <w:start w:val="1"/>
    </w:lvl>
  </w:abstractNum>
  <w:abstractNum w:abstractNumId="379">
    <w:nsid w:val="5B727F19"/>
    <w:multiLevelType w:val="hybridMultilevel"/>
    <w:lvl w:ilvl="0">
      <w:lvlJc w:val="left"/>
      <w:lvlText w:val="(%1)"/>
      <w:numFmt w:val="lowerLetter"/>
      <w:start w:val="1"/>
    </w:lvl>
    <w:lvl w:ilvl="1">
      <w:lvlJc w:val="left"/>
      <w:lvlText w:val="(%2)"/>
      <w:numFmt w:val="lowerRoman"/>
      <w:start w:val="1"/>
    </w:lvl>
  </w:abstractNum>
  <w:abstractNum w:abstractNumId="380">
    <w:nsid w:val="514E5CB0"/>
    <w:multiLevelType w:val="hybridMultilevel"/>
    <w:lvl w:ilvl="0">
      <w:lvlJc w:val="left"/>
      <w:lvlText w:val="(%1)"/>
      <w:numFmt w:val="lowerLetter"/>
      <w:start w:val="1"/>
    </w:lvl>
  </w:abstractNum>
  <w:abstractNum w:abstractNumId="381">
    <w:nsid w:val="4210D41E"/>
    <w:multiLevelType w:val="hybridMultilevel"/>
    <w:lvl w:ilvl="0">
      <w:lvlJc w:val="left"/>
      <w:lvlText w:val="(%1)"/>
      <w:numFmt w:val="lowerLetter"/>
      <w:start w:val="2"/>
    </w:lvl>
  </w:abstractNum>
  <w:abstractNum w:abstractNumId="382">
    <w:nsid w:val="4FF4CC6D"/>
    <w:multiLevelType w:val="hybridMultilevel"/>
    <w:lvl w:ilvl="0">
      <w:lvlJc w:val="left"/>
      <w:lvlText w:val="(%1)"/>
      <w:numFmt w:val="lowerLetter"/>
      <w:start w:val="1"/>
    </w:lvl>
  </w:abstractNum>
  <w:abstractNum w:abstractNumId="383">
    <w:nsid w:val="404EAF4A"/>
    <w:multiLevelType w:val="hybridMultilevel"/>
    <w:lvl w:ilvl="0">
      <w:lvlJc w:val="left"/>
      <w:lvlText w:val="(%1)"/>
      <w:numFmt w:val="lowerLetter"/>
      <w:start w:val="1"/>
    </w:lvl>
  </w:abstractNum>
  <w:abstractNum w:abstractNumId="384">
    <w:nsid w:val="4A16874F"/>
    <w:multiLevelType w:val="hybridMultilevel"/>
    <w:lvl w:ilvl="0">
      <w:lvlJc w:val="left"/>
      <w:lvlText w:val="(%1)"/>
      <w:numFmt w:val="lowerLetter"/>
      <w:start w:val="1"/>
    </w:lvl>
  </w:abstractNum>
  <w:abstractNum w:abstractNumId="385">
    <w:nsid w:val="55FEE0D1"/>
    <w:multiLevelType w:val="hybridMultilevel"/>
    <w:lvl w:ilvl="0">
      <w:lvlJc w:val="left"/>
      <w:lvlText w:val="%1"/>
      <w:numFmt w:val="lowerLetter"/>
      <w:start w:val="1"/>
    </w:lvl>
    <w:lvl w:ilvl="1">
      <w:lvlJc w:val="left"/>
      <w:lvlText w:val="(%2)"/>
      <w:numFmt w:val="lowerRoman"/>
      <w:start w:val="1"/>
    </w:lvl>
  </w:abstractNum>
  <w:abstractNum w:abstractNumId="386">
    <w:nsid w:val="3C5E07C"/>
    <w:multiLevelType w:val="hybridMultilevel"/>
    <w:lvl w:ilvl="0">
      <w:lvlJc w:val="left"/>
      <w:lvlText w:val="(%1)"/>
      <w:numFmt w:val="lowerLetter"/>
      <w:start w:val="2"/>
    </w:lvl>
    <w:lvl w:ilvl="1">
      <w:lvlJc w:val="left"/>
      <w:lvlText w:val="(%2)"/>
      <w:numFmt w:val="lowerRoman"/>
      <w:start w:val="1"/>
    </w:lvl>
  </w:abstractNum>
  <w:abstractNum w:abstractNumId="387">
    <w:nsid w:val="60C2D273"/>
    <w:multiLevelType w:val="hybridMultilevel"/>
    <w:lvl w:ilvl="0">
      <w:lvlJc w:val="left"/>
      <w:lvlText w:val="(%1)"/>
      <w:numFmt w:val="lowerLetter"/>
      <w:start w:val="1"/>
    </w:lvl>
    <w:lvl w:ilvl="1">
      <w:lvlJc w:val="left"/>
      <w:lvlText w:val="(%2)"/>
      <w:numFmt w:val="lowerLetter"/>
      <w:start w:val="9"/>
    </w:lvl>
  </w:abstractNum>
  <w:abstractNum w:abstractNumId="388">
    <w:nsid w:val="4CC32F1F"/>
    <w:multiLevelType w:val="hybridMultilevel"/>
    <w:lvl w:ilvl="0">
      <w:lvlJc w:val="left"/>
      <w:lvlText w:val="(%1)"/>
      <w:numFmt w:val="lowerRoman"/>
      <w:start w:val="2"/>
    </w:lvl>
  </w:abstractNum>
  <w:abstractNum w:abstractNumId="389">
    <w:nsid w:val="11CAC74A"/>
    <w:multiLevelType w:val="hybridMultilevel"/>
    <w:lvl w:ilvl="0">
      <w:lvlJc w:val="left"/>
      <w:lvlText w:val="(%1)"/>
      <w:numFmt w:val="lowerLetter"/>
      <w:start w:val="1"/>
    </w:lvl>
  </w:abstractNum>
  <w:abstractNum w:abstractNumId="390">
    <w:nsid w:val="126CADE9"/>
    <w:multiLevelType w:val="hybridMultilevel"/>
    <w:lvl w:ilvl="0">
      <w:lvlJc w:val="left"/>
      <w:lvlText w:val="(%1)"/>
      <w:numFmt w:val="lowerLetter"/>
      <w:start w:val="2"/>
    </w:lvl>
  </w:abstractNum>
  <w:abstractNum w:abstractNumId="391">
    <w:nsid w:val="19132E7B"/>
    <w:multiLevelType w:val="hybridMultilevel"/>
    <w:lvl w:ilvl="0">
      <w:lvlJc w:val="left"/>
      <w:lvlText w:val="(%1)"/>
      <w:numFmt w:val="lowerLetter"/>
      <w:start w:val="1"/>
    </w:lvl>
    <w:lvl w:ilvl="1">
      <w:lvlJc w:val="left"/>
      <w:lvlText w:val="(%2)"/>
      <w:numFmt w:val="lowerRoman"/>
      <w:start w:val="1"/>
    </w:lvl>
  </w:abstractNum>
  <w:abstractNum w:abstractNumId="392">
    <w:nsid w:val="63822DC0"/>
    <w:multiLevelType w:val="hybridMultilevel"/>
    <w:lvl w:ilvl="0">
      <w:lvlJc w:val="left"/>
      <w:lvlText w:val="(%1)"/>
      <w:numFmt w:val="lowerRoman"/>
      <w:start w:val="15"/>
    </w:lvl>
  </w:abstractNum>
  <w:abstractNum w:abstractNumId="393">
    <w:nsid w:val="6C11685A"/>
    <w:multiLevelType w:val="hybridMultilevel"/>
    <w:lvl w:ilvl="0">
      <w:lvlJc w:val="left"/>
      <w:lvlText w:val="(%1)"/>
      <w:numFmt w:val="lowerLetter"/>
      <w:start w:val="1"/>
    </w:lvl>
  </w:abstractNum>
  <w:abstractNum w:abstractNumId="394">
    <w:nsid w:val="5E1EAE3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395">
    <w:nsid w:val="178E240D"/>
    <w:multiLevelType w:val="hybridMultilevel"/>
    <w:lvl w:ilvl="0">
      <w:lvlJc w:val="left"/>
      <w:lvlText w:val="(%1)"/>
      <w:numFmt w:val="lowerLetter"/>
      <w:start w:val="1"/>
    </w:lvl>
    <w:lvl w:ilvl="1">
      <w:lvlJc w:val="left"/>
      <w:lvlText w:val="(%2)"/>
      <w:numFmt w:val="lowerRoman"/>
      <w:start w:val="1"/>
    </w:lvl>
  </w:abstractNum>
  <w:abstractNum w:abstractNumId="396">
    <w:nsid w:val="5556A87B"/>
    <w:multiLevelType w:val="hybridMultilevel"/>
    <w:lvl w:ilvl="0">
      <w:lvlJc w:val="left"/>
      <w:lvlText w:val="(%1)"/>
      <w:numFmt w:val="lowerLetter"/>
      <w:start w:val="1"/>
    </w:lvl>
  </w:abstractNum>
  <w:abstractNum w:abstractNumId="397">
    <w:nsid w:val="28100A9C"/>
    <w:multiLevelType w:val="hybridMultilevel"/>
    <w:lvl w:ilvl="0">
      <w:lvlJc w:val="left"/>
      <w:lvlText w:val="(%1)"/>
      <w:numFmt w:val="lowerLetter"/>
      <w:start w:val="1"/>
    </w:lvl>
  </w:abstractNum>
  <w:abstractNum w:abstractNumId="398">
    <w:nsid w:val="D838636"/>
    <w:multiLevelType w:val="hybridMultilevel"/>
    <w:lvl w:ilvl="0">
      <w:lvlJc w:val="left"/>
      <w:lvlText w:val="(%1)"/>
      <w:numFmt w:val="lowerLetter"/>
      <w:start w:val="1"/>
    </w:lvl>
    <w:lvl w:ilvl="1">
      <w:lvlJc w:val="left"/>
      <w:lvlText w:val="(%2)"/>
      <w:numFmt w:val="lowerRoman"/>
      <w:start w:val="1"/>
    </w:lvl>
  </w:abstractNum>
  <w:abstractNum w:abstractNumId="399">
    <w:nsid w:val="71B82AED"/>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00">
    <w:nsid w:val="D15FACA"/>
    <w:multiLevelType w:val="hybridMultilevel"/>
    <w:lvl w:ilvl="0">
      <w:lvlJc w:val="left"/>
      <w:lvlText w:val="(%1)"/>
      <w:numFmt w:val="lowerLetter"/>
      <w:start w:val="2"/>
    </w:lvl>
  </w:abstractNum>
  <w:abstractNum w:abstractNumId="401">
    <w:nsid w:val="3D69565B"/>
    <w:multiLevelType w:val="hybridMultilevel"/>
    <w:lvl w:ilvl="0">
      <w:lvlJc w:val="left"/>
      <w:lvlText w:val="(%1)"/>
      <w:numFmt w:val="lowerLetter"/>
      <w:start w:val="1"/>
    </w:lvl>
  </w:abstractNum>
  <w:abstractNum w:abstractNumId="402">
    <w:nsid w:val="2299DCBC"/>
    <w:multiLevelType w:val="hybridMultilevel"/>
    <w:lvl w:ilvl="0">
      <w:lvlJc w:val="left"/>
      <w:lvlText w:val="(%1)"/>
      <w:numFmt w:val="upperLetter"/>
      <w:start w:val="1"/>
    </w:lvl>
  </w:abstractNum>
  <w:abstractNum w:abstractNumId="403">
    <w:nsid w:val="19908D02"/>
    <w:multiLevelType w:val="hybridMultilevel"/>
    <w:lvl w:ilvl="0">
      <w:lvlJc w:val="left"/>
      <w:lvlText w:val="%1"/>
      <w:numFmt w:val="lowerLetter"/>
      <w:start w:val="1"/>
    </w:lvl>
    <w:lvl w:ilvl="1">
      <w:lvlJc w:val="left"/>
      <w:lvlText w:val="(%2)"/>
      <w:numFmt w:val="lowerRoman"/>
      <w:start w:val="2"/>
    </w:lvl>
  </w:abstractNum>
  <w:abstractNum w:abstractNumId="404">
    <w:nsid w:val="24D48BDB"/>
    <w:multiLevelType w:val="hybridMultilevel"/>
    <w:lvl w:ilvl="0">
      <w:lvlJc w:val="left"/>
      <w:lvlText w:val="(%1)"/>
      <w:numFmt w:val="lowerLetter"/>
      <w:start w:val="3"/>
    </w:lvl>
    <w:lvl w:ilvl="1">
      <w:lvlJc w:val="left"/>
      <w:lvlText w:val="(%2)"/>
      <w:numFmt w:val="lowerRoman"/>
      <w:start w:val="1"/>
    </w:lvl>
  </w:abstractNum>
  <w:abstractNum w:abstractNumId="405">
    <w:nsid w:val="542DA5B5"/>
    <w:multiLevelType w:val="hybridMultilevel"/>
    <w:lvl w:ilvl="0">
      <w:lvlJc w:val="left"/>
      <w:lvlText w:val="(%1)"/>
      <w:numFmt w:val="lowerLetter"/>
      <w:start w:val="1"/>
    </w:lvl>
    <w:lvl w:ilvl="1">
      <w:lvlJc w:val="left"/>
      <w:lvlText w:val="(%2)"/>
      <w:numFmt w:val="lowerRoman"/>
      <w:start w:val="1"/>
    </w:lvl>
  </w:abstractNum>
  <w:abstractNum w:abstractNumId="406">
    <w:nsid w:val="793753DE"/>
    <w:multiLevelType w:val="hybridMultilevel"/>
    <w:lvl w:ilvl="0">
      <w:lvlJc w:val="left"/>
      <w:lvlText w:val="(%1)"/>
      <w:numFmt w:val="lowerLetter"/>
      <w:start w:val="2"/>
    </w:lvl>
  </w:abstractNum>
  <w:abstractNum w:abstractNumId="407">
    <w:nsid w:val="1C67CB3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408">
    <w:nsid w:val="40E29452"/>
    <w:multiLevelType w:val="hybridMultilevel"/>
    <w:lvl w:ilvl="0">
      <w:lvlJc w:val="left"/>
      <w:lvlText w:val="(%1)"/>
      <w:numFmt w:val="lowerRoman"/>
      <w:start w:val="4"/>
    </w:lvl>
  </w:abstractNum>
  <w:abstractNum w:abstractNumId="409">
    <w:nsid w:val="63A4AAB6"/>
    <w:multiLevelType w:val="hybridMultilevel"/>
    <w:lvl w:ilvl="0">
      <w:lvlJc w:val="left"/>
      <w:lvlText w:val="%1"/>
      <w:numFmt w:val="lowerLetter"/>
      <w:start w:val="1"/>
    </w:lvl>
    <w:lvl w:ilvl="1">
      <w:lvlJc w:val="left"/>
      <w:lvlText w:val="(%2)"/>
      <w:numFmt w:val="upperLetter"/>
      <w:start w:val="1"/>
    </w:lvl>
  </w:abstractNum>
  <w:abstractNum w:abstractNumId="410">
    <w:nsid w:val="77DA4A57"/>
    <w:multiLevelType w:val="hybridMultilevel"/>
    <w:lvl w:ilvl="0">
      <w:lvlJc w:val="left"/>
      <w:lvlText w:val="(%1)"/>
      <w:numFmt w:val="lowerLetter"/>
      <w:start w:val="3"/>
    </w:lvl>
    <w:lvl w:ilvl="1">
      <w:lvlJc w:val="left"/>
      <w:lvlText w:val="%2"/>
      <w:numFmt w:val="upperLetter"/>
      <w:start w:val="1"/>
    </w:lvl>
  </w:abstractNum>
  <w:abstractNum w:abstractNumId="411">
    <w:nsid w:val="1230F102"/>
    <w:multiLevelType w:val="hybridMultilevel"/>
    <w:lvl w:ilvl="0">
      <w:lvlJc w:val="left"/>
      <w:lvlText w:val="(%1)"/>
      <w:numFmt w:val="lowerLetter"/>
      <w:start w:val="4"/>
    </w:lvl>
  </w:abstractNum>
  <w:abstractNum w:abstractNumId="412">
    <w:nsid w:val="25B57ED4"/>
    <w:multiLevelType w:val="hybridMultilevel"/>
    <w:lvl w:ilvl="0">
      <w:lvlJc w:val="left"/>
      <w:lvlText w:val="(%1)"/>
      <w:numFmt w:val="lowerLetter"/>
      <w:start w:val="1"/>
    </w:lvl>
    <w:lvl w:ilvl="1">
      <w:lvlJc w:val="left"/>
      <w:lvlText w:val="(%2)"/>
      <w:numFmt w:val="lowerRoman"/>
      <w:start w:val="1"/>
    </w:lvl>
  </w:abstractNum>
  <w:abstractNum w:abstractNumId="413">
    <w:nsid w:val="47CF16C4"/>
    <w:multiLevelType w:val="hybridMultilevel"/>
    <w:lvl w:ilvl="0">
      <w:lvlJc w:val="left"/>
      <w:lvlText w:val="(%1)"/>
      <w:numFmt w:val="lowerLetter"/>
      <w:start w:val="2"/>
    </w:lvl>
  </w:abstractNum>
  <w:abstractNum w:abstractNumId="414">
    <w:nsid w:val="527FA04C"/>
    <w:multiLevelType w:val="hybridMultilevel"/>
    <w:lvl w:ilvl="0">
      <w:lvlJc w:val="left"/>
      <w:lvlText w:val="(%1)"/>
      <w:numFmt w:val="lowerRoman"/>
      <w:start w:val="1"/>
    </w:lvl>
  </w:abstractNum>
  <w:abstractNum w:abstractNumId="415">
    <w:nsid w:val="6FCC0624"/>
    <w:multiLevelType w:val="hybridMultilevel"/>
    <w:lvl w:ilvl="0">
      <w:lvlJc w:val="left"/>
      <w:lvlText w:val="(%1)"/>
      <w:numFmt w:val="lowerLetter"/>
      <w:start w:val="1"/>
    </w:lvl>
  </w:abstractNum>
  <w:abstractNum w:abstractNumId="416">
    <w:nsid w:val="1DCDF795"/>
    <w:multiLevelType w:val="hybridMultilevel"/>
    <w:lvl w:ilvl="0">
      <w:lvlJc w:val="left"/>
      <w:lvlText w:val="(%1)"/>
      <w:numFmt w:val="lowerLetter"/>
      <w:start w:val="1"/>
    </w:lvl>
  </w:abstractNum>
  <w:abstractNum w:abstractNumId="417">
    <w:nsid w:val="564580C8"/>
    <w:multiLevelType w:val="hybridMultilevel"/>
    <w:lvl w:ilvl="0">
      <w:lvlJc w:val="left"/>
      <w:lvlText w:val="(%1)"/>
      <w:numFmt w:val="lowerLetter"/>
      <w:start w:val="1"/>
    </w:lvl>
    <w:lvl w:ilvl="1">
      <w:lvlJc w:val="left"/>
      <w:lvlText w:val="(%2)"/>
      <w:numFmt w:val="lowerRoman"/>
      <w:start w:val="1"/>
    </w:lvl>
  </w:abstractNum>
  <w:abstractNum w:abstractNumId="418">
    <w:nsid w:val="508ED897"/>
    <w:multiLevelType w:val="hybridMultilevel"/>
    <w:lvl w:ilvl="0">
      <w:lvlJc w:val="left"/>
      <w:lvlText w:val="(%1)"/>
      <w:numFmt w:val="upperLetter"/>
      <w:start w:val="1"/>
    </w:lvl>
  </w:abstractNum>
  <w:abstractNum w:abstractNumId="419">
    <w:nsid w:val="6A9126B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20">
    <w:nsid w:val="6810481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21">
    <w:nsid w:val="62FB868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22">
    <w:nsid w:val="3A4553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23">
    <w:nsid w:val="4B9275D2"/>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424">
    <w:nsid w:val="4F0CEED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425">
    <w:nsid w:val="61C30361"/>
    <w:multiLevelType w:val="hybridMultilevel"/>
    <w:lvl w:ilvl="0">
      <w:lvlJc w:val="left"/>
      <w:lvlText w:val="(%1)"/>
      <w:numFmt w:val="lowerLetter"/>
      <w:start w:val="1"/>
    </w:lvl>
  </w:abstractNum>
  <w:abstractNum w:abstractNumId="426">
    <w:nsid w:val="632099E0"/>
    <w:multiLevelType w:val="hybridMultilevel"/>
    <w:lvl w:ilvl="0">
      <w:lvlJc w:val="left"/>
      <w:lvlText w:val="(%1)"/>
      <w:numFmt w:val="lowerLetter"/>
      <w:start w:val="1"/>
    </w:lvl>
  </w:abstractNum>
  <w:abstractNum w:abstractNumId="427">
    <w:nsid w:val="24639756"/>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428">
    <w:nsid w:val="9D30DFD"/>
    <w:multiLevelType w:val="hybridMultilevel"/>
    <w:lvl w:ilvl="0">
      <w:lvlJc w:val="left"/>
      <w:lvlText w:val="2"/>
      <w:numFmt w:val="bullet"/>
      <w:start w:val="1"/>
    </w:lvl>
  </w:abstractNum>
  <w:abstractNum w:abstractNumId="429">
    <w:nsid w:val="70A42016"/>
    <w:multiLevelType w:val="hybridMultilevel"/>
    <w:lvl w:ilvl="0">
      <w:lvlJc w:val="left"/>
      <w:lvlText w:val="3"/>
      <w:numFmt w:val="bullet"/>
      <w:start w:val="1"/>
    </w:lvl>
  </w:abstractNum>
  <w:abstractNum w:abstractNumId="430">
    <w:nsid w:val="161BC243"/>
    <w:multiLevelType w:val="hybridMultilevel"/>
    <w:lvl w:ilvl="0">
      <w:lvlJc w:val="left"/>
      <w:lvlText w:val="4"/>
      <w:numFmt w:val="bullet"/>
      <w:start w:val="1"/>
    </w:lvl>
    <w:lvl w:ilvl="1">
      <w:lvlJc w:val="left"/>
      <w:lvlText w:val="(%2)"/>
      <w:numFmt w:val="lowerLetter"/>
      <w:start w:val="1"/>
    </w:lvl>
  </w:abstractNum>
  <w:abstractNum w:abstractNumId="431">
    <w:nsid w:val="16E908C8"/>
    <w:multiLevelType w:val="hybridMultilevel"/>
    <w:lvl w:ilvl="0">
      <w:lvlJc w:val="left"/>
      <w:lvlText w:val="5"/>
      <w:numFmt w:val="bullet"/>
      <w:start w:val="1"/>
    </w:lvl>
    <w:lvl w:ilvl="1">
      <w:lvlJc w:val="left"/>
      <w:lvlText w:val="(%2)"/>
      <w:numFmt w:val="lowerLetter"/>
      <w:start w:val="1"/>
    </w:lvl>
  </w:abstractNum>
  <w:abstractNum w:abstractNumId="432">
    <w:nsid w:val="2E0D7671"/>
    <w:multiLevelType w:val="hybridMultilevel"/>
    <w:lvl w:ilvl="0">
      <w:lvlJc w:val="left"/>
      <w:lvlText w:val="6"/>
      <w:numFmt w:val="bullet"/>
      <w:start w:val="1"/>
    </w:lvl>
  </w:abstractNum>
  <w:abstractNum w:abstractNumId="433">
    <w:nsid w:val="38B59EFF"/>
    <w:multiLevelType w:val="hybridMultilevel"/>
    <w:lvl w:ilvl="0">
      <w:lvlJc w:val="left"/>
      <w:lvlText w:val="7"/>
      <w:numFmt w:val="bullet"/>
      <w:start w:val="1"/>
    </w:lvl>
  </w:abstractNum>
  <w:abstractNum w:abstractNumId="434">
    <w:nsid w:val="307995CA"/>
    <w:multiLevelType w:val="hybridMultilevel"/>
    <w:lvl w:ilvl="0">
      <w:lvlJc w:val="left"/>
      <w:lvlText w:val="8"/>
      <w:numFmt w:val="bullet"/>
      <w:start w:val="1"/>
    </w:lvl>
  </w:abstractNum>
  <w:abstractNum w:abstractNumId="435">
    <w:nsid w:val="52E2024D"/>
    <w:multiLevelType w:val="hybridMultilevel"/>
    <w:lvl w:ilvl="0">
      <w:lvlJc w:val="left"/>
      <w:lvlText w:val="1"/>
      <w:numFmt w:val="bullet"/>
      <w:start w:val="1"/>
    </w:lvl>
    <w:lvl w:ilvl="1">
      <w:lvlJc w:val="left"/>
      <w:lvlText w:val="(%2)"/>
      <w:numFmt w:val="lowerLetter"/>
      <w:start w:val="1"/>
    </w:lvl>
  </w:abstractNum>
  <w:abstractNum w:abstractNumId="436">
    <w:nsid w:val="CE344B5"/>
    <w:multiLevelType w:val="hybridMultilevel"/>
    <w:lvl w:ilvl="0">
      <w:lvlJc w:val="left"/>
      <w:lvlText w:val="2"/>
      <w:numFmt w:val="bullet"/>
      <w:start w:val="1"/>
    </w:lvl>
    <w:lvl w:ilvl="1">
      <w:lvlJc w:val="left"/>
      <w:lvlText w:val="(%2)"/>
      <w:numFmt w:val="lowerLetter"/>
      <w:start w:val="1"/>
    </w:lvl>
  </w:abstractNum>
  <w:abstractNum w:abstractNumId="437">
    <w:nsid w:val="29B0E9A8"/>
    <w:multiLevelType w:val="hybridMultilevel"/>
    <w:lvl w:ilvl="0">
      <w:lvlJc w:val="left"/>
      <w:lvlText w:val="3"/>
      <w:numFmt w:val="bullet"/>
      <w:start w:val="1"/>
    </w:lvl>
    <w:lvl w:ilvl="1">
      <w:lvlJc w:val="left"/>
      <w:lvlText w:val="(%2)"/>
      <w:numFmt w:val="lowerLetter"/>
      <w:start w:val="1"/>
    </w:lvl>
  </w:abstractNum>
  <w:abstractNum w:abstractNumId="438">
    <w:nsid w:val="6F49CD8A"/>
    <w:multiLevelType w:val="hybridMultilevel"/>
    <w:lvl w:ilvl="0">
      <w:lvlJc w:val="left"/>
      <w:lvlText w:val="(%1)"/>
      <w:numFmt w:val="lowerLetter"/>
      <w:start w:val="4"/>
    </w:lvl>
  </w:abstractNum>
  <w:abstractNum w:abstractNumId="439">
    <w:nsid w:val="4DC5D907"/>
    <w:multiLevelType w:val="hybridMultilevel"/>
    <w:lvl w:ilvl="0">
      <w:lvlJc w:val="left"/>
      <w:lvlText w:val="4"/>
      <w:numFmt w:val="bullet"/>
      <w:start w:val="1"/>
    </w:lvl>
  </w:abstractNum>
  <w:abstractNum w:abstractNumId="440">
    <w:nsid w:val="D55945E"/>
    <w:multiLevelType w:val="hybridMultilevel"/>
    <w:lvl w:ilvl="0">
      <w:lvlJc w:val="left"/>
      <w:lvlText w:val="5"/>
      <w:numFmt w:val="bullet"/>
      <w:start w:val="1"/>
    </w:lvl>
    <w:lvl w:ilvl="1">
      <w:lvlJc w:val="left"/>
      <w:lvlText w:val="(%2)"/>
      <w:numFmt w:val="lowerLetter"/>
      <w:start w:val="1"/>
    </w:lvl>
  </w:abstractNum>
  <w:abstractNum w:abstractNumId="441">
    <w:nsid w:val="672417E1"/>
    <w:multiLevelType w:val="hybridMultilevel"/>
    <w:lvl w:ilvl="0">
      <w:lvlJc w:val="left"/>
      <w:lvlText w:val="6"/>
      <w:numFmt w:val="bullet"/>
      <w:start w:val="1"/>
    </w:lvl>
    <w:lvl w:ilvl="1">
      <w:lvlJc w:val="left"/>
      <w:lvlText w:val="(%2)"/>
      <w:numFmt w:val="lowerLetter"/>
      <w:start w:val="1"/>
    </w:lvl>
  </w:abstractNum>
  <w:abstractNum w:abstractNumId="442">
    <w:nsid w:val="5FF6CA09"/>
    <w:multiLevelType w:val="hybridMultilevel"/>
    <w:lvl w:ilvl="0">
      <w:lvlJc w:val="left"/>
      <w:lvlText w:val="7"/>
      <w:numFmt w:val="bullet"/>
      <w:start w:val="1"/>
    </w:lvl>
    <w:lvl w:ilvl="1">
      <w:lvlJc w:val="left"/>
      <w:lvlText w:val="(%2)"/>
      <w:numFmt w:val="lowerLetter"/>
      <w:start w:val="1"/>
    </w:lvl>
  </w:abstractNum>
  <w:abstractNum w:abstractNumId="443">
    <w:nsid w:val="330B1333"/>
    <w:multiLevelType w:val="hybridMultilevel"/>
    <w:lvl w:ilvl="0">
      <w:lvlJc w:val="left"/>
      <w:lvlText w:val="8"/>
      <w:numFmt w:val="bullet"/>
      <w:start w:val="1"/>
    </w:lvl>
  </w:abstractNum>
  <w:abstractNum w:abstractNumId="444">
    <w:nsid w:val="2EF32EA6"/>
    <w:multiLevelType w:val="hybridMultilevel"/>
    <w:lvl w:ilvl="0">
      <w:lvlJc w:val="left"/>
      <w:lvlText w:val="9"/>
      <w:numFmt w:val="bullet"/>
      <w:start w:val="1"/>
    </w:lvl>
    <w:lvl w:ilvl="1">
      <w:lvlJc w:val="left"/>
      <w:lvlText w:val="(%2)"/>
      <w:numFmt w:val="lowerLetter"/>
      <w:start w:val="1"/>
    </w:lvl>
  </w:abstractNum>
  <w:abstractNum w:abstractNumId="445">
    <w:nsid w:val="32766A55"/>
    <w:multiLevelType w:val="hybridMultilevel"/>
    <w:lvl w:ilvl="0">
      <w:lvlJc w:val="left"/>
      <w:lvlText w:val="%1"/>
      <w:numFmt w:val="decimal"/>
      <w:start w:val="10"/>
    </w:lvl>
  </w:abstractNum>
  <w:abstractNum w:abstractNumId="446">
    <w:nsid w:val="22D71957"/>
    <w:multiLevelType w:val="hybridMultilevel"/>
    <w:lvl w:ilvl="0">
      <w:lvlJc w:val="left"/>
      <w:lvlText w:val="%1"/>
      <w:numFmt w:val="decimal"/>
      <w:start w:val="17"/>
    </w:lvl>
  </w:abstractNum>
  <w:abstractNum w:abstractNumId="447">
    <w:nsid w:val="4CC1263B"/>
    <w:multiLevelType w:val="hybridMultilevel"/>
    <w:lvl w:ilvl="0">
      <w:lvlJc w:val="left"/>
      <w:lvlText w:val="1"/>
      <w:numFmt w:val="bullet"/>
      <w:start w:val="1"/>
    </w:lvl>
  </w:abstractNum>
  <w:abstractNum w:abstractNumId="448">
    <w:nsid w:val="8BBEB1D"/>
    <w:multiLevelType w:val="hybridMultilevel"/>
    <w:lvl w:ilvl="0">
      <w:lvlJc w:val="left"/>
      <w:lvlText w:val="2"/>
      <w:numFmt w:val="bullet"/>
      <w:start w:val="1"/>
    </w:lvl>
  </w:abstractNum>
  <w:abstractNum w:abstractNumId="449">
    <w:nsid w:val="7365F1EE"/>
    <w:multiLevelType w:val="hybridMultilevel"/>
    <w:lvl w:ilvl="0">
      <w:lvlJc w:val="left"/>
      <w:lvlText w:val="3"/>
      <w:numFmt w:val="bullet"/>
      <w:start w:val="1"/>
    </w:lvl>
  </w:abstractNum>
  <w:abstractNum w:abstractNumId="450">
    <w:nsid w:val="37524CF0"/>
    <w:multiLevelType w:val="hybridMultilevel"/>
    <w:lvl w:ilvl="0">
      <w:lvlJc w:val="left"/>
      <w:lvlText w:val="4"/>
      <w:numFmt w:val="bullet"/>
      <w:start w:val="1"/>
    </w:lvl>
  </w:abstractNum>
  <w:abstractNum w:abstractNumId="451">
    <w:nsid w:val="70CC332F"/>
    <w:multiLevelType w:val="hybridMultilevel"/>
    <w:lvl w:ilvl="0">
      <w:lvlJc w:val="left"/>
      <w:lvlText w:val="5"/>
      <w:numFmt w:val="bullet"/>
      <w:start w:val="1"/>
    </w:lvl>
  </w:abstractNum>
  <w:abstractNum w:abstractNumId="452">
    <w:nsid w:val="5661786E"/>
    <w:multiLevelType w:val="hybridMultilevel"/>
    <w:lvl w:ilvl="0">
      <w:lvlJc w:val="left"/>
      <w:lvlText w:val="6"/>
      <w:numFmt w:val="bullet"/>
      <w:start w:val="1"/>
    </w:lvl>
  </w:abstractNum>
  <w:abstractNum w:abstractNumId="453">
    <w:nsid w:val="3AF6A220"/>
    <w:multiLevelType w:val="hybridMultilevel"/>
    <w:lvl w:ilvl="0">
      <w:lvlJc w:val="left"/>
      <w:lvlText w:val="7"/>
      <w:numFmt w:val="bullet"/>
      <w:start w:val="1"/>
    </w:lvl>
  </w:abstractNum>
  <w:abstractNum w:abstractNumId="454">
    <w:nsid w:val="3C5EA902"/>
    <w:multiLevelType w:val="hybridMultilevel"/>
    <w:lvl w:ilvl="0">
      <w:lvlJc w:val="left"/>
      <w:lvlText w:val="8"/>
      <w:numFmt w:val="bullet"/>
      <w:start w:val="1"/>
    </w:lvl>
  </w:abstractNum>
  <w:abstractNum w:abstractNumId="455">
    <w:nsid w:val="256E6749"/>
    <w:multiLevelType w:val="hybridMultilevel"/>
    <w:lvl w:ilvl="0">
      <w:lvlJc w:val="left"/>
      <w:lvlText w:val="9"/>
      <w:numFmt w:val="bullet"/>
      <w:start w:val="1"/>
    </w:lvl>
  </w:abstractNum>
  <w:abstractNum w:abstractNumId="456">
    <w:nsid w:val="1CB9A581"/>
    <w:multiLevelType w:val="hybridMultilevel"/>
    <w:lvl w:ilvl="0">
      <w:lvlJc w:val="left"/>
      <w:lvlText w:val="1"/>
      <w:numFmt w:val="bullet"/>
      <w:start w:val="1"/>
    </w:lvl>
  </w:abstractNum>
  <w:abstractNum w:abstractNumId="457">
    <w:nsid w:val="1F7F42E2"/>
    <w:multiLevelType w:val="hybridMultilevel"/>
    <w:lvl w:ilvl="0">
      <w:lvlJc w:val="left"/>
      <w:lvlText w:val="2"/>
      <w:numFmt w:val="bullet"/>
      <w:start w:val="1"/>
    </w:lvl>
  </w:abstractNum>
  <w:abstractNum w:abstractNumId="458">
    <w:nsid w:val="49D1FEA0"/>
    <w:multiLevelType w:val="hybridMultilevel"/>
    <w:lvl w:ilvl="0">
      <w:lvlJc w:val="left"/>
      <w:lvlText w:val="1"/>
      <w:numFmt w:val="bullet"/>
      <w:start w:val="1"/>
    </w:lvl>
  </w:abstractNum>
  <w:abstractNum w:abstractNumId="459">
    <w:nsid w:val="268CB37F"/>
    <w:multiLevelType w:val="hybridMultilevel"/>
    <w:lvl w:ilvl="0">
      <w:lvlJc w:val="left"/>
      <w:lvlText w:val="2"/>
      <w:numFmt w:val="bullet"/>
      <w:start w:val="1"/>
    </w:lvl>
    <w:lvl w:ilvl="1">
      <w:lvlJc w:val="left"/>
      <w:lvlText w:val="(%2)"/>
      <w:numFmt w:val="lowerLetter"/>
      <w:start w:val="1"/>
    </w:lvl>
  </w:abstractNum>
  <w:abstractNum w:abstractNumId="460">
    <w:nsid w:val="102362F8"/>
    <w:multiLevelType w:val="hybridMultilevel"/>
    <w:lvl w:ilvl="0">
      <w:lvlJc w:val="left"/>
      <w:lvlText w:val="3"/>
      <w:numFmt w:val="bullet"/>
      <w:start w:val="1"/>
    </w:lvl>
    <w:lvl w:ilvl="1">
      <w:lvlJc w:val="left"/>
      <w:lvlText w:val="(%2)"/>
      <w:numFmt w:val="lowerLetter"/>
      <w:start w:val="1"/>
    </w:lvl>
  </w:abstractNum>
  <w:abstractNum w:abstractNumId="461">
    <w:nsid w:val="5FEDC0E3"/>
    <w:multiLevelType w:val="hybridMultilevel"/>
    <w:lvl w:ilvl="0">
      <w:lvlJc w:val="left"/>
      <w:lvlText w:val="(%1)"/>
      <w:numFmt w:val="lowerLetter"/>
      <w:start w:val="2"/>
    </w:lvl>
  </w:abstractNum>
  <w:abstractNum w:abstractNumId="462">
    <w:nsid w:val="3D75BC47"/>
    <w:multiLevelType w:val="hybridMultilevel"/>
    <w:lvl w:ilvl="0">
      <w:lvlJc w:val="left"/>
      <w:lvlText w:val="4"/>
      <w:numFmt w:val="bullet"/>
      <w:start w:val="1"/>
    </w:lvl>
  </w:abstractNum>
  <w:abstractNum w:abstractNumId="463">
    <w:nsid w:val="3E30D969"/>
    <w:multiLevelType w:val="hybridMultilevel"/>
    <w:lvl w:ilvl="0">
      <w:lvlJc w:val="left"/>
      <w:lvlText w:val="1"/>
      <w:numFmt w:val="bullet"/>
      <w:start w:val="1"/>
    </w:lvl>
  </w:abstractNum>
  <w:abstractNum w:abstractNumId="464">
    <w:nsid w:val="18A35FE3"/>
    <w:multiLevelType w:val="hybridMultilevel"/>
    <w:lvl w:ilvl="0">
      <w:lvlJc w:val="left"/>
      <w:lvlText w:val="2"/>
      <w:numFmt w:val="bullet"/>
      <w:start w:val="1"/>
    </w:lvl>
    <w:lvl w:ilvl="1">
      <w:lvlJc w:val="left"/>
      <w:lvlText w:val="(%2)"/>
      <w:numFmt w:val="lowerLetter"/>
      <w:start w:val="1"/>
    </w:lvl>
  </w:abstractNum>
  <w:abstractNum w:abstractNumId="465">
    <w:nsid w:val="6DEF5211"/>
    <w:multiLevelType w:val="hybridMultilevel"/>
    <w:lvl w:ilvl="0">
      <w:lvlJc w:val="left"/>
      <w:lvlText w:val="3"/>
      <w:numFmt w:val="bullet"/>
      <w:start w:val="1"/>
    </w:lvl>
  </w:abstractNum>
  <w:abstractNum w:abstractNumId="466">
    <w:nsid w:val="1112DBB6"/>
    <w:multiLevelType w:val="hybridMultilevel"/>
    <w:lvl w:ilvl="0">
      <w:lvlJc w:val="left"/>
      <w:lvlText w:val="4"/>
      <w:numFmt w:val="bullet"/>
      <w:start w:val="1"/>
    </w:lvl>
  </w:abstractNum>
  <w:abstractNum w:abstractNumId="467">
    <w:nsid w:val="2586A498"/>
    <w:multiLevelType w:val="hybridMultilevel"/>
    <w:lvl w:ilvl="0">
      <w:lvlJc w:val="left"/>
      <w:lvlText w:val="5"/>
      <w:numFmt w:val="bullet"/>
      <w:start w:val="1"/>
    </w:lvl>
  </w:abstractNum>
  <w:abstractNum w:abstractNumId="468">
    <w:nsid w:val="17A03BB9"/>
    <w:multiLevelType w:val="hybridMultilevel"/>
    <w:lvl w:ilvl="0">
      <w:lvlJc w:val="left"/>
      <w:lvlText w:val="6"/>
      <w:numFmt w:val="bullet"/>
      <w:start w:val="1"/>
    </w:lvl>
  </w:abstractNum>
  <w:abstractNum w:abstractNumId="469">
    <w:nsid w:val="5CA941"/>
    <w:multiLevelType w:val="hybridMultilevel"/>
    <w:lvl w:ilvl="0">
      <w:lvlJc w:val="left"/>
      <w:lvlText w:val="7"/>
      <w:numFmt w:val="bullet"/>
      <w:start w:val="1"/>
    </w:lvl>
  </w:abstractNum>
  <w:abstractNum w:abstractNumId="470">
    <w:nsid w:val="734C7D9F"/>
    <w:multiLevelType w:val="hybridMultilevel"/>
    <w:lvl w:ilvl="0">
      <w:lvlJc w:val="left"/>
      <w:lvlText w:val="1"/>
      <w:numFmt w:val="bullet"/>
      <w:start w:val="1"/>
    </w:lvl>
  </w:abstractNum>
  <w:abstractNum w:abstractNumId="471">
    <w:nsid w:val="24F5D018"/>
    <w:multiLevelType w:val="hybridMultilevel"/>
    <w:lvl w:ilvl="0">
      <w:lvlJc w:val="left"/>
      <w:lvlText w:val="2"/>
      <w:numFmt w:val="bullet"/>
      <w:start w:val="1"/>
    </w:lvl>
  </w:abstractNum>
  <w:abstractNum w:abstractNumId="472">
    <w:nsid w:val="6780C122"/>
    <w:multiLevelType w:val="hybridMultilevel"/>
    <w:lvl w:ilvl="0">
      <w:lvlJc w:val="left"/>
      <w:lvlText w:val="3"/>
      <w:numFmt w:val="bullet"/>
      <w:start w:val="1"/>
    </w:lvl>
  </w:abstractNum>
  <w:abstractNum w:abstractNumId="473">
    <w:nsid w:val="534347A8"/>
    <w:multiLevelType w:val="hybridMultilevel"/>
    <w:lvl w:ilvl="0">
      <w:lvlJc w:val="left"/>
      <w:lvlText w:val="1"/>
      <w:numFmt w:val="bullet"/>
      <w:start w:val="1"/>
    </w:lvl>
  </w:abstractNum>
  <w:abstractNum w:abstractNumId="474">
    <w:nsid w:val="5800E34B"/>
    <w:multiLevelType w:val="hybridMultilevel"/>
    <w:lvl w:ilvl="0">
      <w:lvlJc w:val="left"/>
      <w:lvlText w:val="4"/>
      <w:numFmt w:val="bullet"/>
      <w:start w:val="1"/>
    </w:lvl>
  </w:abstractNum>
  <w:abstractNum w:abstractNumId="475">
    <w:nsid w:val="1673EFC8"/>
    <w:multiLevelType w:val="hybridMultilevel"/>
    <w:lvl w:ilvl="0">
      <w:lvlJc w:val="left"/>
      <w:lvlText w:val="5"/>
      <w:numFmt w:val="bullet"/>
      <w:start w:val="1"/>
    </w:lvl>
  </w:abstractNum>
  <w:abstractNum w:abstractNumId="476">
    <w:nsid w:val="5B9B1FD"/>
    <w:multiLevelType w:val="hybridMultilevel"/>
    <w:lvl w:ilvl="0">
      <w:lvlJc w:val="left"/>
      <w:lvlText w:val="·"/>
      <w:numFmt w:val="bullet"/>
      <w:start w:val="1"/>
    </w:lvl>
  </w:abstractNum>
  <w:abstractNum w:abstractNumId="477">
    <w:nsid w:val="7AD7FCA2"/>
    <w:multiLevelType w:val="hybridMultilevel"/>
    <w:lvl w:ilvl="0">
      <w:lvlJc w:val="left"/>
      <w:lvlText w:val="(%1)"/>
      <w:numFmt w:val="decimal"/>
      <w:start w:val="1"/>
    </w:lvl>
  </w:abstractNum>
  <w:abstractNum w:abstractNumId="478">
    <w:nsid w:val="63351604"/>
    <w:multiLevelType w:val="hybridMultilevel"/>
    <w:lvl w:ilvl="0">
      <w:lvlJc w:val="left"/>
      <w:lvlText w:val="·"/>
      <w:numFmt w:val="bullet"/>
      <w:start w:val="1"/>
    </w:lvl>
  </w:abstractNum>
  <w:abstractNum w:abstractNumId="479">
    <w:nsid w:val="E759D1A"/>
    <w:multiLevelType w:val="hybridMultilevel"/>
    <w:lvl w:ilvl="0">
      <w:lvlJc w:val="left"/>
      <w:lvlText w:val="·"/>
      <w:numFmt w:val="bullet"/>
      <w:start w:val="1"/>
    </w:lvl>
  </w:abstractNum>
  <w:abstractNum w:abstractNumId="480">
    <w:nsid w:val="6E3DEE90"/>
    <w:multiLevelType w:val="hybridMultilevel"/>
    <w:lvl w:ilvl="0">
      <w:lvlJc w:val="left"/>
      <w:lvlText w:val="·"/>
      <w:numFmt w:val="bullet"/>
      <w:start w:val="1"/>
    </w:lvl>
  </w:abstractNum>
  <w:abstractNum w:abstractNumId="481">
    <w:nsid w:val="1A8762F4"/>
    <w:multiLevelType w:val="hybridMultilevel"/>
    <w:lvl w:ilvl="0">
      <w:lvlJc w:val="left"/>
      <w:lvlText w:val="(%1)"/>
      <w:numFmt w:val="decimal"/>
      <w:start w:val="1"/>
    </w:lvl>
  </w:abstractNum>
  <w:abstractNum w:abstractNumId="482">
    <w:nsid w:val="7F41D049"/>
    <w:multiLevelType w:val="hybridMultilevel"/>
    <w:lvl w:ilvl="0">
      <w:lvlJc w:val="left"/>
      <w:lvlText w:val="(*)"/>
      <w:numFmt w:val="bullet"/>
      <w:start w:val="1"/>
    </w:lvl>
  </w:abstractNum>
  <w:abstractNum w:abstractNumId="483">
    <w:nsid w:val="449F66FE"/>
    <w:multiLevelType w:val="hybridMultilevel"/>
    <w:lvl w:ilvl="0">
      <w:lvlJc w:val="left"/>
      <w:lvlText w:val="(**)"/>
      <w:numFmt w:val="bullet"/>
      <w:start w:val="1"/>
    </w:lvl>
  </w:abstractNum>
  <w:abstractNum w:abstractNumId="484">
    <w:nsid w:val="557E0515"/>
    <w:multiLevelType w:val="hybridMultilevel"/>
    <w:lvl w:ilvl="0">
      <w:lvlJc w:val="left"/>
      <w:lvlText w:val="(%1)"/>
      <w:numFmt w:val="decimal"/>
      <w:start w:val="1"/>
    </w:lvl>
  </w:abstractNum>
  <w:abstractNum w:abstractNumId="485">
    <w:nsid w:val="3BA0794B"/>
    <w:multiLevelType w:val="hybridMultilevel"/>
    <w:lvl w:ilvl="0">
      <w:lvlJc w:val="left"/>
      <w:lvlText w:val="(%1)"/>
      <w:numFmt w:val="decimal"/>
      <w:start w:val="1"/>
    </w:lvl>
  </w:abstractNum>
  <w:abstractNum w:abstractNumId="486">
    <w:nsid w:val="6A0DCE48"/>
    <w:multiLevelType w:val="hybridMultilevel"/>
    <w:lvl w:ilvl="0">
      <w:lvlJc w:val="left"/>
      <w:lvlText w:val="(%1)"/>
      <w:numFmt w:val="decimal"/>
      <w:start w:val="1"/>
    </w:lvl>
  </w:abstractNum>
  <w:abstractNum w:abstractNumId="487">
    <w:nsid w:val="7237AA96"/>
    <w:multiLevelType w:val="hybridMultilevel"/>
    <w:lvl w:ilvl="0">
      <w:lvlJc w:val="left"/>
      <w:lvlText w:val="·"/>
      <w:numFmt w:val="bullet"/>
      <w:start w:val="1"/>
    </w:lvl>
  </w:abstractNum>
  <w:abstractNum w:abstractNumId="488">
    <w:nsid w:val="5B1FBC2D"/>
    <w:multiLevelType w:val="hybridMultilevel"/>
    <w:lvl w:ilvl="0">
      <w:lvlJc w:val="left"/>
      <w:lvlText w:val="·"/>
      <w:numFmt w:val="bullet"/>
      <w:start w:val="1"/>
    </w:lvl>
  </w:abstractNum>
  <w:abstractNum w:abstractNumId="489">
    <w:nsid w:val="33DFCCE8"/>
    <w:multiLevelType w:val="hybridMultilevel"/>
    <w:lvl w:ilvl="0">
      <w:lvlJc w:val="left"/>
      <w:lvlText w:val="(%1)"/>
      <w:numFmt w:val="lowerLetter"/>
      <w:start w:val="1"/>
    </w:lvl>
  </w:abstractNum>
  <w:abstractNum w:abstractNumId="490">
    <w:nsid w:val="18C45E15"/>
    <w:multiLevelType w:val="hybridMultilevel"/>
    <w:lvl w:ilvl="0">
      <w:lvlJc w:val="left"/>
      <w:lvlText w:val="·"/>
      <w:numFmt w:val="bullet"/>
      <w:start w:val="1"/>
    </w:lvl>
  </w:abstractNum>
  <w:abstractNum w:abstractNumId="491">
    <w:nsid w:val="6B431F25"/>
    <w:multiLevelType w:val="hybridMultilevel"/>
    <w:lvl w:ilvl="0">
      <w:lvlJc w:val="left"/>
      <w:lvlText w:val="·"/>
      <w:numFmt w:val="bullet"/>
      <w:start w:val="1"/>
    </w:lvl>
  </w:abstractNum>
  <w:abstractNum w:abstractNumId="492">
    <w:nsid w:val="13CD8DCB"/>
    <w:multiLevelType w:val="hybridMultilevel"/>
    <w:lvl w:ilvl="0">
      <w:lvlJc w:val="left"/>
      <w:lvlText w:val="·"/>
      <w:numFmt w:val="bullet"/>
      <w:start w:val="1"/>
    </w:lvl>
  </w:abstractNum>
  <w:abstractNum w:abstractNumId="493">
    <w:nsid w:val="563A1A5C"/>
    <w:multiLevelType w:val="hybridMultilevel"/>
    <w:lvl w:ilvl="0">
      <w:lvlJc w:val="left"/>
      <w:lvlText w:val="·"/>
      <w:numFmt w:val="bullet"/>
      <w:start w:val="1"/>
    </w:lvl>
  </w:abstractNum>
  <w:abstractNum w:abstractNumId="494">
    <w:nsid w:val="2973F88F"/>
    <w:multiLevelType w:val="hybridMultilevel"/>
    <w:lvl w:ilvl="0">
      <w:lvlJc w:val="left"/>
      <w:lvlText w:val="·"/>
      <w:numFmt w:val="bullet"/>
      <w:start w:val="1"/>
    </w:lvl>
  </w:abstractNum>
  <w:abstractNum w:abstractNumId="495">
    <w:nsid w:val="2C70EDAE"/>
    <w:multiLevelType w:val="hybridMultilevel"/>
    <w:lvl w:ilvl="0">
      <w:lvlJc w:val="left"/>
      <w:lvlText w:val="(%1)"/>
      <w:numFmt w:val="decimal"/>
      <w:start w:val="1"/>
    </w:lvl>
  </w:abstractNum>
  <w:abstractNum w:abstractNumId="496">
    <w:nsid w:val="44296C6D"/>
    <w:multiLevelType w:val="hybridMultilevel"/>
    <w:lvl w:ilvl="0">
      <w:lvlJc w:val="left"/>
      <w:lvlText w:val="(%1)"/>
      <w:numFmt w:val="decimal"/>
      <w:start w:val="1"/>
    </w:lvl>
  </w:abstractNum>
  <w:abstractNum w:abstractNumId="497">
    <w:nsid w:val="3A86D445"/>
    <w:multiLevelType w:val="hybridMultilevel"/>
    <w:lvl w:ilvl="0">
      <w:lvlJc w:val="left"/>
      <w:lvlText w:val="(%1)"/>
      <w:numFmt w:val="decimal"/>
      <w:start w:val="1"/>
    </w:lvl>
  </w:abstractNum>
  <w:abstractNum w:abstractNumId="498">
    <w:nsid w:val="51F79246"/>
    <w:multiLevelType w:val="hybridMultilevel"/>
    <w:lvl w:ilvl="0">
      <w:lvlJc w:val="left"/>
      <w:lvlText w:val="(%1)"/>
      <w:numFmt w:val="decimal"/>
      <w:start w:val="1"/>
    </w:lvl>
  </w:abstractNum>
  <w:abstractNum w:abstractNumId="499">
    <w:nsid w:val="5BC9A827"/>
    <w:multiLevelType w:val="hybridMultilevel"/>
    <w:lvl w:ilvl="0">
      <w:lvlJc w:val="left"/>
      <w:lvlText w:val="(%1)"/>
      <w:numFmt w:val="lowerLetter"/>
      <w:start w:val="2"/>
    </w:lvl>
  </w:abstractNum>
  <w:abstractNum w:abstractNumId="500">
    <w:nsid w:val="3AE37D86"/>
    <w:multiLevelType w:val="hybridMultilevel"/>
    <w:lvl w:ilvl="0">
      <w:lvlJc w:val="left"/>
      <w:lvlText w:val="(%1)"/>
      <w:numFmt w:val="lowerLetter"/>
      <w:start w:val="3"/>
    </w:lvl>
  </w:abstractNum>
  <w:abstractNum w:abstractNumId="501">
    <w:nsid w:val="45440FE5"/>
    <w:multiLevelType w:val="hybridMultilevel"/>
    <w:lvl w:ilvl="0">
      <w:lvlJc w:val="left"/>
      <w:lvlText w:val="(%1)"/>
      <w:numFmt w:val="decimal"/>
      <w:start w:val="1"/>
    </w:lvl>
  </w:abstractNum>
  <w:abstractNum w:abstractNumId="502">
    <w:nsid w:val="BF783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jpe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10" Type="http://schemas.openxmlformats.org/officeDocument/2006/relationships/hyperlink" Target="https://www.sec.gov/Archives/edgar/data/1534126/000093041314001509/c76956_f3.htm" TargetMode="External"/><Relationship Id="rId11" Type="http://schemas.openxmlformats.org/officeDocument/2006/relationships/hyperlink" Target="https://www.sec.gov/Archives/edgar/data/1534126/000104746919001111/a2237939zf-3.htm" TargetMode="External"/><Relationship Id="rId12" Type="http://schemas.openxmlformats.org/officeDocument/2006/relationships/hyperlink" Target="https://www.sec.gov/Archives/edgar/data/1534126/000104746920004068/a2242042zf-3.htm" TargetMode="External"/><Relationship Id="rId13" Type="http://schemas.openxmlformats.org/officeDocument/2006/relationships/hyperlink" Target="https://www.sec.gov/Archives/edgar/data/1534126/000093041313001382/c72925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2020-08-05T05:50:43Z</dcterms:created>
  <dcterms:modified xsi:type="dcterms:W3CDTF">2020-08-05T05:50:43Z</dcterms:modified>
</cp:coreProperties>
</file>