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760" w:type="dxa"/>
            <w:vAlign w:val="bottom"/>
          </w:tcPr>
          <w:p>
            <w:pPr>
              <w:jc w:val="center"/>
              <w:ind w:left="590"/>
              <w:spacing w:after="0"/>
              <w:rPr>
                <w:sz w:val="20"/>
                <w:szCs w:val="20"/>
                <w:color w:val="auto"/>
              </w:rPr>
            </w:pPr>
            <w:r>
              <w:rPr>
                <w:rFonts w:ascii="Arial" w:cs="Arial" w:eastAsia="Arial" w:hAnsi="Arial"/>
                <w:sz w:val="18"/>
                <w:szCs w:val="18"/>
                <w:b w:val="1"/>
                <w:bCs w:val="1"/>
                <w:color w:val="auto"/>
                <w:w w:val="96"/>
              </w:rPr>
              <w:t>Form 6-K</w:t>
            </w:r>
          </w:p>
        </w:tc>
        <w:tc>
          <w:tcPr>
            <w:tcW w:w="700" w:type="dxa"/>
            <w:vAlign w:val="bottom"/>
          </w:tcPr>
          <w:p>
            <w:pPr>
              <w:spacing w:after="0"/>
              <w:rPr>
                <w:sz w:val="20"/>
                <w:szCs w:val="20"/>
                <w:color w:val="auto"/>
              </w:rPr>
            </w:pPr>
          </w:p>
        </w:tc>
      </w:tr>
      <w:tr>
        <w:trPr>
          <w:trHeight w:val="414"/>
        </w:trPr>
        <w:tc>
          <w:tcPr>
            <w:tcW w:w="10760" w:type="dxa"/>
            <w:vAlign w:val="bottom"/>
          </w:tcPr>
          <w:p>
            <w:pPr>
              <w:jc w:val="center"/>
              <w:ind w:left="57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00" w:type="dxa"/>
            <w:vAlign w:val="bottom"/>
          </w:tcPr>
          <w:p>
            <w:pPr>
              <w:spacing w:after="0"/>
              <w:rPr>
                <w:sz w:val="24"/>
                <w:szCs w:val="24"/>
                <w:color w:val="auto"/>
              </w:rPr>
            </w:pPr>
          </w:p>
        </w:tc>
      </w:tr>
      <w:tr>
        <w:trPr>
          <w:trHeight w:val="234"/>
        </w:trPr>
        <w:tc>
          <w:tcPr>
            <w:tcW w:w="10760" w:type="dxa"/>
            <w:vAlign w:val="bottom"/>
          </w:tcPr>
          <w:p>
            <w:pPr>
              <w:jc w:val="center"/>
              <w:ind w:left="590"/>
              <w:spacing w:after="0"/>
              <w:rPr>
                <w:sz w:val="20"/>
                <w:szCs w:val="20"/>
                <w:color w:val="auto"/>
              </w:rPr>
            </w:pPr>
            <w:r>
              <w:rPr>
                <w:rFonts w:ascii="Arial" w:cs="Arial" w:eastAsia="Arial" w:hAnsi="Arial"/>
                <w:sz w:val="18"/>
                <w:szCs w:val="18"/>
                <w:b w:val="1"/>
                <w:bCs w:val="1"/>
                <w:color w:val="auto"/>
                <w:w w:val="98"/>
              </w:rPr>
              <w:t>EXCHANGE ACT OF 1934</w:t>
            </w:r>
          </w:p>
        </w:tc>
        <w:tc>
          <w:tcPr>
            <w:tcW w:w="700" w:type="dxa"/>
            <w:vAlign w:val="bottom"/>
          </w:tcPr>
          <w:p>
            <w:pPr>
              <w:spacing w:after="0"/>
              <w:rPr>
                <w:sz w:val="20"/>
                <w:szCs w:val="20"/>
                <w:color w:val="auto"/>
              </w:rPr>
            </w:pP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For the month of June 2019</w:t>
            </w:r>
          </w:p>
        </w:tc>
        <w:tc>
          <w:tcPr>
            <w:tcW w:w="700" w:type="dxa"/>
            <w:vAlign w:val="bottom"/>
          </w:tcPr>
          <w:p>
            <w:pPr>
              <w:spacing w:after="0"/>
              <w:rPr>
                <w:sz w:val="24"/>
                <w:szCs w:val="24"/>
                <w:color w:val="auto"/>
              </w:rPr>
            </w:pP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700" w:type="dxa"/>
            <w:vAlign w:val="bottom"/>
          </w:tcPr>
          <w:p>
            <w:pPr>
              <w:spacing w:after="0"/>
              <w:rPr>
                <w:sz w:val="24"/>
                <w:szCs w:val="24"/>
                <w:color w:val="auto"/>
              </w:rPr>
            </w:pPr>
          </w:p>
        </w:tc>
      </w:tr>
      <w:tr>
        <w:trPr>
          <w:trHeight w:val="418"/>
        </w:trPr>
        <w:tc>
          <w:tcPr>
            <w:tcW w:w="1076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GasLog Ltd</w:t>
            </w:r>
          </w:p>
        </w:tc>
        <w:tc>
          <w:tcPr>
            <w:tcW w:w="700" w:type="dxa"/>
            <w:vAlign w:val="bottom"/>
          </w:tcPr>
          <w:p>
            <w:pPr>
              <w:spacing w:after="0"/>
              <w:rPr>
                <w:sz w:val="24"/>
                <w:szCs w:val="24"/>
                <w:color w:val="auto"/>
              </w:rPr>
            </w:pPr>
          </w:p>
        </w:tc>
      </w:tr>
      <w:tr>
        <w:trPr>
          <w:trHeight w:val="230"/>
        </w:trPr>
        <w:tc>
          <w:tcPr>
            <w:tcW w:w="10760" w:type="dxa"/>
            <w:vAlign w:val="bottom"/>
          </w:tcPr>
          <w:p>
            <w:pPr>
              <w:jc w:val="center"/>
              <w:ind w:left="590"/>
              <w:spacing w:after="0"/>
              <w:rPr>
                <w:sz w:val="20"/>
                <w:szCs w:val="20"/>
                <w:color w:val="auto"/>
              </w:rPr>
            </w:pPr>
            <w:r>
              <w:rPr>
                <w:rFonts w:ascii="Arial" w:cs="Arial" w:eastAsia="Arial" w:hAnsi="Arial"/>
                <w:sz w:val="18"/>
                <w:szCs w:val="18"/>
                <w:color w:val="auto"/>
                <w:w w:val="91"/>
              </w:rPr>
              <w:t>(Translation of registrant’s name into English)</w:t>
            </w:r>
          </w:p>
        </w:tc>
        <w:tc>
          <w:tcPr>
            <w:tcW w:w="700" w:type="dxa"/>
            <w:vAlign w:val="bottom"/>
          </w:tcPr>
          <w:p>
            <w:pPr>
              <w:spacing w:after="0"/>
              <w:rPr>
                <w:sz w:val="20"/>
                <w:szCs w:val="20"/>
                <w:color w:val="auto"/>
              </w:rPr>
            </w:pPr>
          </w:p>
        </w:tc>
      </w:tr>
      <w:tr>
        <w:trPr>
          <w:trHeight w:val="418"/>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89"/>
              </w:rPr>
              <w:t>Gildo Pastor Center</w:t>
            </w:r>
          </w:p>
        </w:tc>
        <w:tc>
          <w:tcPr>
            <w:tcW w:w="700" w:type="dxa"/>
            <w:vAlign w:val="bottom"/>
          </w:tcPr>
          <w:p>
            <w:pPr>
              <w:spacing w:after="0"/>
              <w:rPr>
                <w:sz w:val="24"/>
                <w:szCs w:val="24"/>
                <w:color w:val="auto"/>
              </w:rPr>
            </w:pPr>
          </w:p>
        </w:tc>
      </w:tr>
      <w:tr>
        <w:trPr>
          <w:trHeight w:val="216"/>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89"/>
              </w:rPr>
              <w:t>7 Rue du Gabian</w:t>
            </w:r>
          </w:p>
        </w:tc>
        <w:tc>
          <w:tcPr>
            <w:tcW w:w="700" w:type="dxa"/>
            <w:vAlign w:val="bottom"/>
          </w:tcPr>
          <w:p>
            <w:pPr>
              <w:spacing w:after="0"/>
              <w:rPr>
                <w:sz w:val="18"/>
                <w:szCs w:val="18"/>
                <w:color w:val="auto"/>
              </w:rPr>
            </w:pPr>
          </w:p>
        </w:tc>
      </w:tr>
      <w:tr>
        <w:trPr>
          <w:trHeight w:val="216"/>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92"/>
              </w:rPr>
              <w:t>MC 98000, Monaco</w:t>
            </w:r>
          </w:p>
        </w:tc>
        <w:tc>
          <w:tcPr>
            <w:tcW w:w="700" w:type="dxa"/>
            <w:vAlign w:val="bottom"/>
          </w:tcPr>
          <w:p>
            <w:pPr>
              <w:spacing w:after="0"/>
              <w:rPr>
                <w:sz w:val="18"/>
                <w:szCs w:val="18"/>
                <w:color w:val="auto"/>
              </w:rPr>
            </w:pPr>
          </w:p>
        </w:tc>
      </w:tr>
      <w:tr>
        <w:trPr>
          <w:trHeight w:val="230"/>
        </w:trPr>
        <w:tc>
          <w:tcPr>
            <w:tcW w:w="10760" w:type="dxa"/>
            <w:vAlign w:val="bottom"/>
          </w:tcPr>
          <w:p>
            <w:pPr>
              <w:jc w:val="center"/>
              <w:ind w:left="570"/>
              <w:spacing w:after="0"/>
              <w:rPr>
                <w:sz w:val="20"/>
                <w:szCs w:val="20"/>
                <w:color w:val="auto"/>
              </w:rPr>
            </w:pPr>
            <w:r>
              <w:rPr>
                <w:rFonts w:ascii="Arial" w:cs="Arial" w:eastAsia="Arial" w:hAnsi="Arial"/>
                <w:sz w:val="18"/>
                <w:szCs w:val="18"/>
                <w:color w:val="auto"/>
                <w:w w:val="92"/>
              </w:rPr>
              <w:t>(Address of principal executive office)</w:t>
            </w:r>
          </w:p>
        </w:tc>
        <w:tc>
          <w:tcPr>
            <w:tcW w:w="700" w:type="dxa"/>
            <w:vAlign w:val="bottom"/>
          </w:tcPr>
          <w:p>
            <w:pPr>
              <w:spacing w:after="0"/>
              <w:rPr>
                <w:sz w:val="20"/>
                <w:szCs w:val="20"/>
                <w:color w:val="auto"/>
              </w:rPr>
            </w:pPr>
          </w:p>
        </w:tc>
      </w:tr>
      <w:tr>
        <w:trPr>
          <w:trHeight w:val="432"/>
        </w:trPr>
        <w:tc>
          <w:tcPr>
            <w:tcW w:w="1076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00" w:type="dxa"/>
            <w:vAlign w:val="bottom"/>
          </w:tcPr>
          <w:p>
            <w:pPr>
              <w:spacing w:after="0"/>
              <w:rPr>
                <w:sz w:val="24"/>
                <w:szCs w:val="24"/>
                <w:color w:val="auto"/>
              </w:rPr>
            </w:pPr>
          </w:p>
        </w:tc>
      </w:tr>
      <w:tr>
        <w:trPr>
          <w:trHeight w:val="452"/>
        </w:trPr>
        <w:tc>
          <w:tcPr>
            <w:tcW w:w="1076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700" w:type="dxa"/>
            <w:vAlign w:val="bottom"/>
          </w:tcPr>
          <w:p>
            <w:pPr>
              <w:spacing w:after="0"/>
              <w:rPr>
                <w:sz w:val="24"/>
                <w:szCs w:val="24"/>
                <w:color w:val="auto"/>
              </w:rPr>
            </w:pPr>
          </w:p>
        </w:tc>
      </w:tr>
      <w:tr>
        <w:trPr>
          <w:trHeight w:val="412"/>
        </w:trPr>
        <w:tc>
          <w:tcPr>
            <w:tcW w:w="1076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076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1"/>
        </w:trPr>
        <w:tc>
          <w:tcPr>
            <w:tcW w:w="107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right="180" w:firstLine="376"/>
        <w:spacing w:after="0" w:line="277" w:lineRule="auto"/>
        <w:rPr>
          <w:sz w:val="20"/>
          <w:szCs w:val="20"/>
          <w:color w:val="auto"/>
        </w:rPr>
      </w:pPr>
      <w:r>
        <w:rPr>
          <w:rFonts w:ascii="Arial" w:cs="Arial" w:eastAsia="Arial" w:hAnsi="Arial"/>
          <w:sz w:val="18"/>
          <w:szCs w:val="18"/>
          <w:color w:val="auto"/>
        </w:rPr>
        <w:t>The press release issued by GasLog Ltd and GasLog Partners LP on June 6, 2019 announcing that GasLog Ltd. and GasLog Partners LP are to assume commercial control of LNG Carriers operating in the sport market is attached hereto as Exhibit 99.1.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Nos. 333-194894 and 333-230205), filed with the Securities and Exchange Commission (the “SEC”) on March 28, 2014 and March 12, 2019 respectively, as amended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6, 2019</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500"/>
        <w:spacing w:after="0"/>
        <w:tabs>
          <w:tab w:leader="none" w:pos="6900" w:val="left"/>
        </w:tabs>
        <w:rPr>
          <w:sz w:val="20"/>
          <w:szCs w:val="20"/>
          <w:color w:val="auto"/>
        </w:rPr>
      </w:pPr>
      <w:r>
        <w:rPr>
          <w:rFonts w:ascii="Arial" w:cs="Arial" w:eastAsia="Arial" w:hAnsi="Arial"/>
          <w:sz w:val="18"/>
          <w:szCs w:val="18"/>
          <w:color w:val="auto"/>
        </w:rPr>
        <w:t>by</w:t>
        <w:tab/>
        <w:t>/s/ Paul A. Wogan</w:t>
      </w:r>
    </w:p>
    <w:p>
      <w:pPr>
        <w:spacing w:after="0" w:line="23" w:lineRule="exact"/>
        <w:rPr>
          <w:sz w:val="20"/>
          <w:szCs w:val="20"/>
          <w:color w:val="auto"/>
        </w:rPr>
      </w:pPr>
    </w:p>
    <w:p>
      <w:pPr>
        <w:ind w:left="6880"/>
        <w:spacing w:after="0"/>
        <w:tabs>
          <w:tab w:leader="none" w:pos="7540" w:val="left"/>
        </w:tabs>
        <w:rPr>
          <w:sz w:val="20"/>
          <w:szCs w:val="20"/>
          <w:color w:val="auto"/>
        </w:rPr>
      </w:pPr>
      <w:r>
        <w:rPr>
          <w:rFonts w:ascii="Arial" w:cs="Arial" w:eastAsia="Arial" w:hAnsi="Arial"/>
          <w:sz w:val="18"/>
          <w:szCs w:val="18"/>
          <w:color w:val="auto"/>
        </w:rPr>
        <w:t>Name:</w:t>
        <w:tab/>
        <w:t>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-130810</wp:posOffset>
            </wp:positionV>
            <wp:extent cx="26155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880"/>
        <w:spacing w:after="0"/>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60"/>
          </w:cols>
          <w:pgMar w:left="240" w:top="341" w:right="999" w:bottom="1440" w:gutter="0" w:footer="0" w:header="0"/>
        </w:sectPr>
      </w:pPr>
    </w:p>
    <w:bookmarkStart w:id="3" w:name="page4"/>
    <w:bookmarkEnd w:id="3"/>
    <w:p>
      <w:pPr>
        <w:ind w:left="10580"/>
        <w:spacing w:after="0"/>
        <w:rPr>
          <w:sz w:val="20"/>
          <w:szCs w:val="20"/>
          <w:color w:val="auto"/>
        </w:rPr>
      </w:pPr>
      <w:r>
        <w:rPr>
          <w:rFonts w:ascii="Arial" w:cs="Arial" w:eastAsia="Arial" w:hAnsi="Arial"/>
          <w:sz w:val="15"/>
          <w:szCs w:val="15"/>
          <w:b w:val="1"/>
          <w:bCs w:val="1"/>
          <w:color w:val="auto"/>
        </w:rPr>
        <w:t>Exhibit 99.1</w:t>
      </w:r>
    </w:p>
    <w:p>
      <w:pPr>
        <w:spacing w:after="0" w:line="237"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GasLog Ltd. and GasLog Partners LP to Assume Commercial Control of LNG Carriers Operating in The Spot Market</w:t>
      </w:r>
    </w:p>
    <w:p>
      <w:pPr>
        <w:spacing w:after="0" w:line="200" w:lineRule="exact"/>
        <w:rPr>
          <w:sz w:val="20"/>
          <w:szCs w:val="20"/>
          <w:color w:val="auto"/>
        </w:rPr>
      </w:pPr>
    </w:p>
    <w:p>
      <w:pPr>
        <w:spacing w:after="0" w:line="29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Monaco, June 6, 2019 </w:t>
      </w:r>
      <w:r>
        <w:rPr>
          <w:rFonts w:ascii="Arial" w:cs="Arial" w:eastAsia="Arial" w:hAnsi="Arial"/>
          <w:sz w:val="18"/>
          <w:szCs w:val="18"/>
          <w:color w:val="auto"/>
        </w:rPr>
        <w:t>- GasLog Ltd. (“GasLog” or the “Company”) (NYSE:GLOG) and GasLog Partners LP (GasLog Partners or the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(NYSE: GLOP) (together the “Group”) announced today a decision to assume commercial control of their vessels currently operating in the LNG carrier spot market through The Cool Pool.</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Cool Pool is an LNG carrier pooling agreement between GasLog and Golar LNG Ltd. (“Golar”), focusing exclusively on spot fixtures of up to 12 months in duration.</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Golar’s declared intention to spin off its spot LNG vessels, coupled with the Group’s belief that robust LNG commodity supply and demand fundamentals will lead to a tightening LNG shipping market and increased multi-year charter opportunities, has led it to decide to withdraw its vessels from The Cool Pool. Assuming commercial control of these vessels will allow the Group greater flexibility and agility in pursuing longer-term time charter opportunities. This will enhance the Group’s ability to deliver on its strategic objective of optimizing fleet employment across spot and term markets and maximizing vessel utilization, earnings and value.</w:t>
      </w:r>
    </w:p>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It is anticipated that the five vessels owned by GasLog and the one vessel owned by GasLog Partners currently operating in the spot market will withdraw from The Cool Pool over coming months, based upon current commitments and charter opportunities.</w:t>
      </w:r>
    </w:p>
    <w:p>
      <w:pPr>
        <w:spacing w:after="0" w:line="19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Paul Wogan, Chief Executive Officer of GasLog, stated “I would like to thank our Cool Pool partners for their collaboration over the past four years. However, with Golar’s declared intention to spin off its LNG vessels and a tightening of the LNG carrier market now underway, we believe it is the right time to assume control of our vessel marketing as we seek to place more vessels on longer-term charters to optimize the earnings of our fleet through the cycle. This move is underpinned by increasing levels of customer enquiry in multi-month and multi-year charters.”</w:t>
      </w:r>
    </w:p>
    <w:p>
      <w:pPr>
        <w:spacing w:after="0" w:line="19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Andrew Orekar, Chief Executive Officer of GasLog Partners, stated “The Partnership remains focused on delivering cash flow visibility for our unitholders, and today’s decision to withdraw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from The Cool Pool will enhance our ability to secure an attractive term charter for this vessel.”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ir@gaslogltd.com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GasLog and GasLog Partners LNG carriers currently operating in The Cool Pool are:</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42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Vessel</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6"/>
              </w:rPr>
              <w:t>Owner</w:t>
            </w:r>
          </w:p>
        </w:tc>
        <w:tc>
          <w:tcPr>
            <w:tcW w:w="1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Propulsion</w:t>
            </w:r>
            <w:r>
              <w:rPr>
                <w:rFonts w:ascii="Arial" w:cs="Arial" w:eastAsia="Arial" w:hAnsi="Arial"/>
                <w:sz w:val="23"/>
                <w:szCs w:val="23"/>
                <w:b w:val="1"/>
                <w:bCs w:val="1"/>
                <w:color w:val="auto"/>
                <w:w w:val="86"/>
                <w:vertAlign w:val="superscript"/>
              </w:rPr>
              <w:t>(1)</w:t>
            </w:r>
          </w:p>
        </w:tc>
        <w:tc>
          <w:tcPr>
            <w:tcW w:w="1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Year built</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Capacity (cubic</w:t>
            </w:r>
          </w:p>
        </w:tc>
        <w:tc>
          <w:tcPr>
            <w:tcW w:w="0" w:type="dxa"/>
            <w:vAlign w:val="bottom"/>
          </w:tcPr>
          <w:p>
            <w:pPr>
              <w:spacing w:after="0"/>
              <w:rPr>
                <w:sz w:val="1"/>
                <w:szCs w:val="1"/>
                <w:color w:val="auto"/>
              </w:rPr>
            </w:pPr>
          </w:p>
        </w:tc>
      </w:tr>
      <w:tr>
        <w:trPr>
          <w:trHeight w:val="180"/>
        </w:trPr>
        <w:tc>
          <w:tcPr>
            <w:tcW w:w="2420" w:type="dxa"/>
            <w:vAlign w:val="bottom"/>
            <w:tcBorders>
              <w:left w:val="single" w:sz="8" w:color="auto"/>
              <w:right w:val="single" w:sz="8" w:color="auto"/>
            </w:tcBorders>
            <w:vMerge w:val="continue"/>
          </w:tcPr>
          <w:p>
            <w:pPr>
              <w:spacing w:after="0"/>
              <w:rPr>
                <w:sz w:val="15"/>
                <w:szCs w:val="15"/>
                <w:color w:val="auto"/>
              </w:rPr>
            </w:pPr>
          </w:p>
        </w:tc>
        <w:tc>
          <w:tcPr>
            <w:tcW w:w="1420" w:type="dxa"/>
            <w:vAlign w:val="bottom"/>
            <w:tcBorders>
              <w:right w:val="single" w:sz="8" w:color="auto"/>
            </w:tcBorders>
            <w:vMerge w:val="continue"/>
          </w:tcPr>
          <w:p>
            <w:pPr>
              <w:spacing w:after="0"/>
              <w:rPr>
                <w:sz w:val="15"/>
                <w:szCs w:val="15"/>
                <w:color w:val="auto"/>
              </w:rPr>
            </w:pPr>
          </w:p>
        </w:tc>
        <w:tc>
          <w:tcPr>
            <w:tcW w:w="1900" w:type="dxa"/>
            <w:vAlign w:val="bottom"/>
            <w:tcBorders>
              <w:right w:val="single" w:sz="8" w:color="auto"/>
            </w:tcBorders>
            <w:vMerge w:val="continue"/>
          </w:tcPr>
          <w:p>
            <w:pPr>
              <w:spacing w:after="0"/>
              <w:rPr>
                <w:sz w:val="15"/>
                <w:szCs w:val="15"/>
                <w:color w:val="auto"/>
              </w:rPr>
            </w:pPr>
          </w:p>
        </w:tc>
        <w:tc>
          <w:tcPr>
            <w:tcW w:w="1900" w:type="dxa"/>
            <w:vAlign w:val="bottom"/>
            <w:tcBorders>
              <w:right w:val="single" w:sz="8" w:color="auto"/>
            </w:tcBorders>
            <w:vMerge w:val="continue"/>
          </w:tcPr>
          <w:p>
            <w:pPr>
              <w:spacing w:after="0"/>
              <w:rPr>
                <w:sz w:val="15"/>
                <w:szCs w:val="15"/>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meters)</w:t>
            </w:r>
          </w:p>
        </w:tc>
        <w:tc>
          <w:tcPr>
            <w:tcW w:w="0" w:type="dxa"/>
            <w:vAlign w:val="bottom"/>
          </w:tcPr>
          <w:p>
            <w:pPr>
              <w:spacing w:after="0"/>
              <w:rPr>
                <w:sz w:val="1"/>
                <w:szCs w:val="1"/>
                <w:color w:val="auto"/>
              </w:rPr>
            </w:pPr>
          </w:p>
        </w:tc>
      </w:tr>
      <w:tr>
        <w:trPr>
          <w:trHeight w:val="54"/>
        </w:trPr>
        <w:tc>
          <w:tcPr>
            <w:tcW w:w="24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Singapore</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GLOG</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TFDE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155,000</w:t>
            </w:r>
          </w:p>
        </w:tc>
        <w:tc>
          <w:tcPr>
            <w:tcW w:w="0" w:type="dxa"/>
            <w:vAlign w:val="bottom"/>
          </w:tcPr>
          <w:p>
            <w:pPr>
              <w:spacing w:after="0"/>
              <w:rPr>
                <w:sz w:val="1"/>
                <w:szCs w:val="1"/>
                <w:color w:val="auto"/>
              </w:rPr>
            </w:pPr>
          </w:p>
        </w:tc>
      </w:tr>
      <w:tr>
        <w:trPr>
          <w:trHeight w:val="210"/>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Chelsea</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GLOG</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TFDE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153,600</w:t>
            </w:r>
          </w:p>
        </w:tc>
        <w:tc>
          <w:tcPr>
            <w:tcW w:w="0" w:type="dxa"/>
            <w:vAlign w:val="bottom"/>
          </w:tcPr>
          <w:p>
            <w:pPr>
              <w:spacing w:after="0"/>
              <w:rPr>
                <w:sz w:val="1"/>
                <w:szCs w:val="1"/>
                <w:color w:val="auto"/>
              </w:rPr>
            </w:pPr>
          </w:p>
        </w:tc>
      </w:tr>
      <w:tr>
        <w:trPr>
          <w:trHeight w:val="210"/>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Savannah</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GLOG</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TFDE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155,000</w:t>
            </w:r>
          </w:p>
        </w:tc>
        <w:tc>
          <w:tcPr>
            <w:tcW w:w="0" w:type="dxa"/>
            <w:vAlign w:val="bottom"/>
          </w:tcPr>
          <w:p>
            <w:pPr>
              <w:spacing w:after="0"/>
              <w:rPr>
                <w:sz w:val="1"/>
                <w:szCs w:val="1"/>
                <w:color w:val="auto"/>
              </w:rPr>
            </w:pPr>
          </w:p>
        </w:tc>
      </w:tr>
      <w:tr>
        <w:trPr>
          <w:trHeight w:val="210"/>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Skagen</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GLOG</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TFDE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155,000</w:t>
            </w:r>
          </w:p>
        </w:tc>
        <w:tc>
          <w:tcPr>
            <w:tcW w:w="0" w:type="dxa"/>
            <w:vAlign w:val="bottom"/>
          </w:tcPr>
          <w:p>
            <w:pPr>
              <w:spacing w:after="0"/>
              <w:rPr>
                <w:sz w:val="1"/>
                <w:szCs w:val="1"/>
                <w:color w:val="auto"/>
              </w:rPr>
            </w:pPr>
          </w:p>
        </w:tc>
      </w:tr>
      <w:tr>
        <w:trPr>
          <w:trHeight w:val="210"/>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Shanghai</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GLOP</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TFDE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155,000</w:t>
            </w:r>
          </w:p>
        </w:tc>
        <w:tc>
          <w:tcPr>
            <w:tcW w:w="0" w:type="dxa"/>
            <w:vAlign w:val="bottom"/>
          </w:tcPr>
          <w:p>
            <w:pPr>
              <w:spacing w:after="0"/>
              <w:rPr>
                <w:sz w:val="1"/>
                <w:szCs w:val="1"/>
                <w:color w:val="auto"/>
              </w:rPr>
            </w:pPr>
          </w:p>
        </w:tc>
      </w:tr>
      <w:tr>
        <w:trPr>
          <w:trHeight w:val="210"/>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Salem</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GLOG</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TFDE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155,000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1</w:t>
      </w:r>
      <w:r>
        <w:rPr>
          <w:rFonts w:ascii="Arial" w:cs="Arial" w:eastAsia="Arial" w:hAnsi="Arial"/>
          <w:sz w:val="18"/>
          <w:szCs w:val="18"/>
          <w:color w:val="auto"/>
        </w:rPr>
        <w:t>.</w:t>
      </w:r>
      <w:r>
        <w:rPr>
          <w:rFonts w:ascii="Arial" w:cs="Arial" w:eastAsia="Arial" w:hAnsi="Arial"/>
          <w:sz w:val="14"/>
          <w:szCs w:val="14"/>
          <w:color w:val="auto"/>
        </w:rPr>
        <w:t xml:space="preserve"> TFDE = Tri-fuel diesel electric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34 LNG carriers and an additional LNG carrier which was sold to a subsidiary of Mitsui Co. Ltd. and leased back under a long-term bareboat charter. 20 of these vessels (12 ships on the water and eight on order) are owned by GasLog with the remaining 15 LNG carriers being owned by the Company’s subsidiary, GasLog Partners LP. GasLog’s principal executive offices are at Gildo Pastor Center, 7 Rue du Gabian, MC 98000, Monaco.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 LP</w:t>
      </w:r>
    </w:p>
    <w:p>
      <w:pPr>
        <w:spacing w:after="0" w:line="25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Gildo Pastor Center, 7 Rue du Gabian, MC 98000, Monaco. Visit GasLog Partners’ website at http://www.gaslogmlp.com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and GasLog Partners expect, project, believe or anticipate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52" w:lineRule="exact"/>
        <w:rPr>
          <w:sz w:val="20"/>
          <w:szCs w:val="20"/>
          <w:color w:val="auto"/>
        </w:rPr>
      </w:pPr>
    </w:p>
    <w:p>
      <w:pPr>
        <w:ind w:left="640" w:right="80" w:hanging="373"/>
        <w:spacing w:after="0" w:line="258"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8"/>
          <w:szCs w:val="18"/>
          <w:color w:val="auto"/>
        </w:rPr>
      </w:pPr>
    </w:p>
    <w:p>
      <w:pPr>
        <w:ind w:left="640" w:hanging="37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spot and multi-year charter hire rates and vessel values;</w:t>
      </w:r>
    </w:p>
    <w:p>
      <w:pPr>
        <w:spacing w:after="0" w:line="9" w:lineRule="exact"/>
        <w:rPr>
          <w:rFonts w:ascii="Arial" w:cs="Arial" w:eastAsia="Arial" w:hAnsi="Arial"/>
          <w:sz w:val="18"/>
          <w:szCs w:val="18"/>
          <w:color w:val="auto"/>
        </w:rPr>
      </w:pPr>
    </w:p>
    <w:p>
      <w:pPr>
        <w:ind w:left="640" w:right="300" w:hanging="373"/>
        <w:spacing w:after="0" w:line="250"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time charters, including the risk that certain of our vessels may no longer have the latest technology at such time which may impact the rate at which we can charter such vessels;</w:t>
      </w:r>
    </w:p>
    <w:p>
      <w:pPr>
        <w:spacing w:after="0" w:line="1" w:lineRule="exact"/>
        <w:rPr>
          <w:rFonts w:ascii="Arial" w:cs="Arial" w:eastAsia="Arial" w:hAnsi="Arial"/>
          <w:sz w:val="18"/>
          <w:szCs w:val="18"/>
          <w:color w:val="auto"/>
        </w:rPr>
      </w:pPr>
    </w:p>
    <w:p>
      <w:pPr>
        <w:ind w:left="640" w:hanging="37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9" w:lineRule="exact"/>
        <w:rPr>
          <w:rFonts w:ascii="Arial" w:cs="Arial" w:eastAsia="Arial" w:hAnsi="Arial"/>
          <w:sz w:val="18"/>
          <w:szCs w:val="18"/>
          <w:color w:val="auto"/>
        </w:rPr>
      </w:pPr>
    </w:p>
    <w:p>
      <w:pPr>
        <w:ind w:left="640" w:hanging="37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40" w:hanging="373"/>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640" w:hanging="37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40" w:hanging="37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9" w:lineRule="exact"/>
        <w:rPr>
          <w:rFonts w:ascii="Arial" w:cs="Arial" w:eastAsia="Arial" w:hAnsi="Arial"/>
          <w:sz w:val="18"/>
          <w:szCs w:val="18"/>
          <w:color w:val="auto"/>
        </w:rPr>
      </w:pPr>
    </w:p>
    <w:p>
      <w:pPr>
        <w:ind w:left="640" w:hanging="37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40" w:hanging="37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40" w:hanging="37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40" w:hanging="37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9" w:lineRule="exact"/>
        <w:rPr>
          <w:rFonts w:ascii="Arial" w:cs="Arial" w:eastAsia="Arial" w:hAnsi="Arial"/>
          <w:sz w:val="18"/>
          <w:szCs w:val="18"/>
          <w:color w:val="auto"/>
        </w:rPr>
      </w:pPr>
    </w:p>
    <w:p>
      <w:pPr>
        <w:ind w:left="640" w:right="900" w:hanging="373"/>
        <w:spacing w:after="0" w:line="250"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40" w:hanging="373"/>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future, pending or recent acquisitions of ships or other assets, business strategy, areas of possible expansion and expected capital spending;</w:t>
      </w:r>
    </w:p>
    <w:p>
      <w:pPr>
        <w:spacing w:after="0" w:line="20" w:lineRule="exact"/>
        <w:rPr>
          <w:rFonts w:ascii="Arial" w:cs="Arial" w:eastAsia="Arial" w:hAnsi="Arial"/>
          <w:sz w:val="17"/>
          <w:szCs w:val="17"/>
          <w:color w:val="auto"/>
        </w:rPr>
      </w:pPr>
    </w:p>
    <w:p>
      <w:pPr>
        <w:ind w:left="640" w:hanging="37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time it may take to construct and deliver newbuildings and the useful lives of our ships;</w:t>
      </w:r>
    </w:p>
    <w:p>
      <w:pPr>
        <w:spacing w:after="0" w:line="9" w:lineRule="exact"/>
        <w:rPr>
          <w:rFonts w:ascii="Arial" w:cs="Arial" w:eastAsia="Arial" w:hAnsi="Arial"/>
          <w:sz w:val="18"/>
          <w:szCs w:val="18"/>
          <w:color w:val="auto"/>
        </w:rPr>
      </w:pPr>
    </w:p>
    <w:p>
      <w:pPr>
        <w:ind w:left="640" w:hanging="373"/>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40" w:right="280" w:hanging="373"/>
        <w:spacing w:after="0" w:line="261"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 w:name="page6"/>
    <w:bookmarkEnd w:id="5"/>
    <w:p>
      <w:pPr>
        <w:ind w:left="640"/>
        <w:spacing w:after="0"/>
        <w:rPr>
          <w:sz w:val="20"/>
          <w:szCs w:val="20"/>
          <w:color w:val="auto"/>
        </w:rPr>
      </w:pPr>
      <w:r>
        <w:rPr>
          <w:rFonts w:ascii="Arial" w:cs="Arial" w:eastAsia="Arial" w:hAnsi="Arial"/>
          <w:sz w:val="18"/>
          <w:szCs w:val="18"/>
          <w:color w:val="auto"/>
        </w:rPr>
        <w:t>imposed by our charterers applicable to our business;</w:t>
      </w:r>
    </w:p>
    <w:p>
      <w:pPr>
        <w:spacing w:after="0" w:line="23" w:lineRule="exact"/>
        <w:rPr>
          <w:sz w:val="20"/>
          <w:szCs w:val="20"/>
          <w:color w:val="auto"/>
        </w:rPr>
      </w:pPr>
    </w:p>
    <w:p>
      <w:pPr>
        <w:ind w:left="640" w:hanging="373"/>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40" w:hanging="373"/>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labour, ship crews and management;</w:t>
      </w:r>
    </w:p>
    <w:p>
      <w:pPr>
        <w:spacing w:after="0" w:line="9" w:lineRule="exact"/>
        <w:rPr>
          <w:rFonts w:ascii="Arial" w:cs="Arial" w:eastAsia="Arial" w:hAnsi="Arial"/>
          <w:sz w:val="18"/>
          <w:szCs w:val="18"/>
          <w:color w:val="auto"/>
        </w:rPr>
      </w:pPr>
    </w:p>
    <w:p>
      <w:pPr>
        <w:ind w:left="640" w:hanging="373"/>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40" w:hanging="373"/>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40" w:right="140" w:hanging="373"/>
        <w:spacing w:after="0" w:line="250"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40" w:right="640" w:hanging="373"/>
        <w:spacing w:after="0" w:line="261"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GasLog’s Annual Report on Form 20-F filed with the SEC on March 5, 2019 and GasLog Partners’ Annual Report on Form 20-F filed with the SEC on February 26, 2019, available at </w:t>
      </w:r>
      <w:r>
        <w:rPr>
          <w:rFonts w:ascii="Arial" w:cs="Arial" w:eastAsia="Arial" w:hAnsi="Arial"/>
          <w:sz w:val="18"/>
          <w:szCs w:val="18"/>
          <w:color w:val="0000FF"/>
        </w:rPr>
        <w:t>http://www.sec.gov</w:t>
      </w:r>
      <w:r>
        <w:rPr>
          <w:rFonts w:ascii="Arial" w:cs="Arial" w:eastAsia="Arial" w:hAnsi="Arial"/>
          <w:sz w:val="18"/>
          <w:szCs w:val="18"/>
          <w:color w:val="auto"/>
        </w:rPr>
        <w:t xml:space="preserve"> .</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GasLog and GasLog Partners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2019-12-01T22:52:40Z</dcterms:created>
  <dcterms:modified xsi:type="dcterms:W3CDTF">2019-12-01T22:52:40Z</dcterms:modified>
</cp:coreProperties>
</file>