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Form 6-K</w:t>
      </w:r>
    </w:p>
    <w:p>
      <w:pPr>
        <w:spacing w:after="0" w:line="22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REPORT OF FOREIGN PRIVATE ISSUER PURSUANT TO RULE 13a-16 OR 15d-16 UNDER THE SECURITIES</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EXCHANGE ACT OF 1934</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For the month of May 2019</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Commission File Number 001-35466</w:t>
      </w:r>
    </w:p>
    <w:p>
      <w:pPr>
        <w:spacing w:after="0" w:line="22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GasLog Ltd.</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(Translation of registrant’s name into English)</w:t>
      </w:r>
    </w:p>
    <w:p>
      <w:pPr>
        <w:spacing w:after="0" w:line="211"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c/o GasLog Monaco S.A.M.</w:t>
      </w:r>
    </w:p>
    <w:p>
      <w:pPr>
        <w:spacing w:after="0" w:line="23"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Gildo Pastor Center</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7 Rue du Gabian</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MC 98000, Monaco</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10100" w:type="dxa"/>
            <w:vAlign w:val="bottom"/>
          </w:tcPr>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tc>
        <w:tc>
          <w:tcPr>
            <w:tcW w:w="1500" w:type="dxa"/>
            <w:vAlign w:val="bottom"/>
          </w:tcPr>
          <w:p>
            <w:pPr>
              <w:spacing w:after="0"/>
              <w:rPr>
                <w:sz w:val="20"/>
                <w:szCs w:val="20"/>
                <w:color w:val="auto"/>
              </w:rPr>
            </w:pPr>
          </w:p>
        </w:tc>
      </w:tr>
      <w:tr>
        <w:trPr>
          <w:trHeight w:val="432"/>
        </w:trPr>
        <w:tc>
          <w:tcPr>
            <w:tcW w:w="10100" w:type="dxa"/>
            <w:vAlign w:val="bottom"/>
          </w:tcPr>
          <w:p>
            <w:pPr>
              <w:spacing w:after="0"/>
              <w:rPr>
                <w:sz w:val="20"/>
                <w:szCs w:val="20"/>
                <w:color w:val="auto"/>
              </w:rPr>
            </w:pPr>
            <w:r>
              <w:rPr>
                <w:rFonts w:ascii="Arial" w:cs="Arial" w:eastAsia="Arial" w:hAnsi="Arial"/>
                <w:sz w:val="18"/>
                <w:szCs w:val="18"/>
                <w:color w:val="auto"/>
              </w:rPr>
              <w:t>Form 20-F þ   Form 40-F o</w:t>
            </w:r>
          </w:p>
        </w:tc>
        <w:tc>
          <w:tcPr>
            <w:tcW w:w="1500" w:type="dxa"/>
            <w:vAlign w:val="bottom"/>
          </w:tcPr>
          <w:p>
            <w:pPr>
              <w:spacing w:after="0"/>
              <w:rPr>
                <w:sz w:val="24"/>
                <w:szCs w:val="24"/>
                <w:color w:val="auto"/>
              </w:rPr>
            </w:pPr>
          </w:p>
        </w:tc>
      </w:tr>
      <w:tr>
        <w:trPr>
          <w:trHeight w:val="432"/>
        </w:trPr>
        <w:tc>
          <w:tcPr>
            <w:tcW w:w="10100" w:type="dxa"/>
            <w:vAlign w:val="bottom"/>
          </w:tcPr>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w:t>
            </w:r>
          </w:p>
        </w:tc>
        <w:tc>
          <w:tcPr>
            <w:tcW w:w="1500" w:type="dxa"/>
            <w:vAlign w:val="bottom"/>
          </w:tcPr>
          <w:p>
            <w:pPr>
              <w:ind w:left="1160"/>
              <w:spacing w:after="0"/>
              <w:rPr>
                <w:sz w:val="20"/>
                <w:szCs w:val="20"/>
                <w:color w:val="auto"/>
              </w:rPr>
            </w:pPr>
            <w:r>
              <w:rPr>
                <w:rFonts w:ascii="Arial" w:cs="Arial" w:eastAsia="Arial" w:hAnsi="Arial"/>
                <w:sz w:val="18"/>
                <w:szCs w:val="18"/>
                <w:color w:val="auto"/>
              </w:rPr>
              <w:t>o</w:t>
            </w:r>
          </w:p>
        </w:tc>
      </w:tr>
      <w:tr>
        <w:trPr>
          <w:trHeight w:val="432"/>
        </w:trPr>
        <w:tc>
          <w:tcPr>
            <w:tcW w:w="10100" w:type="dxa"/>
            <w:vAlign w:val="bottom"/>
          </w:tcPr>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w:t>
            </w:r>
          </w:p>
        </w:tc>
        <w:tc>
          <w:tcPr>
            <w:tcW w:w="1500" w:type="dxa"/>
            <w:vAlign w:val="bottom"/>
          </w:tcPr>
          <w:p>
            <w:pPr>
              <w:ind w:left="1160"/>
              <w:spacing w:after="0"/>
              <w:rPr>
                <w:sz w:val="20"/>
                <w:szCs w:val="20"/>
                <w:color w:val="auto"/>
              </w:rPr>
            </w:pPr>
            <w:r>
              <w:rPr>
                <w:rFonts w:ascii="Arial" w:cs="Arial" w:eastAsia="Arial" w:hAnsi="Arial"/>
                <w:sz w:val="18"/>
                <w:szCs w:val="18"/>
                <w:color w:val="auto"/>
              </w:rPr>
              <w:t>o</w:t>
            </w:r>
          </w:p>
        </w:tc>
      </w:tr>
      <w:tr>
        <w:trPr>
          <w:trHeight w:val="348"/>
        </w:trPr>
        <w:tc>
          <w:tcPr>
            <w:tcW w:w="10100" w:type="dxa"/>
            <w:vAlign w:val="bottom"/>
            <w:tcBorders>
              <w:bottom w:val="single" w:sz="8" w:color="808080"/>
            </w:tcBorders>
          </w:tcPr>
          <w:p>
            <w:pPr>
              <w:spacing w:after="0"/>
              <w:rPr>
                <w:sz w:val="24"/>
                <w:szCs w:val="24"/>
                <w:color w:val="auto"/>
              </w:rPr>
            </w:pPr>
          </w:p>
        </w:tc>
        <w:tc>
          <w:tcPr>
            <w:tcW w:w="150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7349490</wp:posOffset>
            </wp:positionH>
            <wp:positionV relativeFrom="paragraph">
              <wp:posOffset>-29210</wp:posOffset>
            </wp:positionV>
            <wp:extent cx="1270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600"/>
          </w:cols>
          <w:pgMar w:left="160" w:top="365" w:right="139" w:bottom="1440" w:gutter="0" w:footer="0" w:header="0"/>
        </w:sectPr>
      </w:pPr>
    </w:p>
    <w:bookmarkStart w:id="1" w:name="page2"/>
    <w:bookmarkEnd w:id="1"/>
    <w:p>
      <w:pPr>
        <w:ind w:right="220" w:firstLine="356"/>
        <w:spacing w:after="0" w:line="293" w:lineRule="auto"/>
        <w:rPr>
          <w:sz w:val="20"/>
          <w:szCs w:val="20"/>
          <w:color w:val="auto"/>
        </w:rPr>
      </w:pPr>
      <w:r>
        <w:rPr>
          <w:rFonts w:ascii="Arial" w:cs="Arial" w:eastAsia="Arial" w:hAnsi="Arial"/>
          <w:sz w:val="16"/>
          <w:szCs w:val="16"/>
          <w:color w:val="auto"/>
        </w:rPr>
        <w:t>The press release issued by GasLog Ltd. on May 3, 2019 relating to its results for the first quarter of 2019 and the related financial report are attached hereto as Exhibits 99.1 and 99.2, respectively.</w:t>
      </w:r>
    </w:p>
    <w:p>
      <w:pPr>
        <w:spacing w:after="0" w:line="172"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INCORPORATION BY REFERENCE</w:t>
      </w:r>
    </w:p>
    <w:p>
      <w:pPr>
        <w:spacing w:after="0" w:line="235" w:lineRule="exact"/>
        <w:rPr>
          <w:sz w:val="20"/>
          <w:szCs w:val="20"/>
          <w:color w:val="auto"/>
        </w:rPr>
      </w:pPr>
    </w:p>
    <w:p>
      <w:pPr>
        <w:ind w:firstLine="376"/>
        <w:spacing w:after="0" w:line="324" w:lineRule="auto"/>
        <w:rPr>
          <w:sz w:val="20"/>
          <w:szCs w:val="20"/>
          <w:color w:val="auto"/>
        </w:rPr>
      </w:pPr>
      <w:r>
        <w:rPr>
          <w:rFonts w:ascii="Arial" w:cs="Arial" w:eastAsia="Arial" w:hAnsi="Arial"/>
          <w:sz w:val="14"/>
          <w:szCs w:val="14"/>
          <w:color w:val="auto"/>
        </w:rPr>
        <w:t>Exhibit 99.2 to this Report on Form 6-K shall be incorporated by reference into our registration statements on Form F-3 (File Nos. 333-194894 and 333-230205), initially filed with the Securities and Exchange Commission (the “SEC”) on March 28, 2014 and March 12, 2019, respectively, as amended, and the registration statement on Form S-8 (File No. 333-187020), filed with the SEC on March 4, 2013, in each case to the extent not superseded by information subsequently filed or furnished (to the extent we expressly state that we incorporate such furnished information by reference) by us under the Securities Act of 1933 or the Securities Exchange Act of 1934, in each case as amended.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00" w:type="dxa"/>
            <w:vAlign w:val="bottom"/>
          </w:tcPr>
          <w:p>
            <w:pPr>
              <w:spacing w:after="0"/>
              <w:rPr>
                <w:sz w:val="17"/>
                <w:szCs w:val="17"/>
                <w:color w:val="auto"/>
              </w:rPr>
            </w:pPr>
          </w:p>
        </w:tc>
        <w:tc>
          <w:tcPr>
            <w:tcW w:w="5960" w:type="dxa"/>
            <w:vAlign w:val="bottom"/>
          </w:tcPr>
          <w:p>
            <w:pPr>
              <w:ind w:left="4580"/>
              <w:spacing w:after="0"/>
              <w:rPr>
                <w:sz w:val="20"/>
                <w:szCs w:val="20"/>
                <w:color w:val="auto"/>
              </w:rPr>
            </w:pPr>
            <w:r>
              <w:rPr>
                <w:rFonts w:ascii="Arial" w:cs="Arial" w:eastAsia="Arial" w:hAnsi="Arial"/>
                <w:sz w:val="16"/>
                <w:szCs w:val="16"/>
                <w:color w:val="auto"/>
              </w:rPr>
              <w:t>EXHIBIT LIST</w:t>
            </w:r>
          </w:p>
        </w:tc>
      </w:tr>
      <w:tr>
        <w:trPr>
          <w:trHeight w:val="418"/>
        </w:trPr>
        <w:tc>
          <w:tcPr>
            <w:tcW w:w="700" w:type="dxa"/>
            <w:vAlign w:val="bottom"/>
          </w:tcPr>
          <w:p>
            <w:pPr>
              <w:spacing w:after="0"/>
              <w:rPr>
                <w:sz w:val="20"/>
                <w:szCs w:val="20"/>
                <w:color w:val="auto"/>
              </w:rPr>
            </w:pPr>
            <w:r>
              <w:rPr>
                <w:rFonts w:ascii="Arial" w:cs="Arial" w:eastAsia="Arial" w:hAnsi="Arial"/>
                <w:sz w:val="16"/>
                <w:szCs w:val="16"/>
                <w:color w:val="auto"/>
              </w:rPr>
              <w:t>Exhibit</w:t>
            </w:r>
          </w:p>
        </w:tc>
        <w:tc>
          <w:tcPr>
            <w:tcW w:w="5960" w:type="dxa"/>
            <w:vAlign w:val="bottom"/>
          </w:tcPr>
          <w:p>
            <w:pPr>
              <w:ind w:left="220"/>
              <w:spacing w:after="0"/>
              <w:rPr>
                <w:sz w:val="20"/>
                <w:szCs w:val="20"/>
                <w:color w:val="auto"/>
              </w:rPr>
            </w:pPr>
            <w:r>
              <w:rPr>
                <w:rFonts w:ascii="Arial" w:cs="Arial" w:eastAsia="Arial" w:hAnsi="Arial"/>
                <w:sz w:val="16"/>
                <w:szCs w:val="16"/>
                <w:color w:val="auto"/>
              </w:rPr>
              <w:t>Description</w:t>
            </w:r>
          </w:p>
        </w:tc>
      </w:tr>
      <w:tr>
        <w:trPr>
          <w:trHeight w:val="445"/>
        </w:trPr>
        <w:tc>
          <w:tcPr>
            <w:tcW w:w="700" w:type="dxa"/>
            <w:vAlign w:val="bottom"/>
          </w:tcPr>
          <w:p>
            <w:pPr>
              <w:spacing w:after="0"/>
              <w:rPr>
                <w:sz w:val="20"/>
                <w:szCs w:val="20"/>
                <w:color w:val="auto"/>
              </w:rPr>
            </w:pPr>
            <w:r>
              <w:rPr>
                <w:rFonts w:ascii="Arial" w:cs="Arial" w:eastAsia="Arial" w:hAnsi="Arial"/>
                <w:sz w:val="16"/>
                <w:szCs w:val="16"/>
                <w:color w:val="auto"/>
              </w:rPr>
              <w:t>99.1</w:t>
            </w:r>
          </w:p>
        </w:tc>
        <w:tc>
          <w:tcPr>
            <w:tcW w:w="5960" w:type="dxa"/>
            <w:vAlign w:val="bottom"/>
          </w:tcPr>
          <w:p>
            <w:pPr>
              <w:ind w:left="220"/>
              <w:spacing w:after="0"/>
              <w:rPr>
                <w:sz w:val="20"/>
                <w:szCs w:val="20"/>
                <w:color w:val="auto"/>
              </w:rPr>
            </w:pPr>
            <w:r>
              <w:rPr>
                <w:rFonts w:ascii="Arial" w:cs="Arial" w:eastAsia="Arial" w:hAnsi="Arial"/>
                <w:sz w:val="16"/>
                <w:szCs w:val="16"/>
                <w:color w:val="auto"/>
              </w:rPr>
              <w:t>Press Release dated May 3, 2019</w:t>
            </w:r>
          </w:p>
        </w:tc>
      </w:tr>
      <w:tr>
        <w:trPr>
          <w:trHeight w:val="446"/>
        </w:trPr>
        <w:tc>
          <w:tcPr>
            <w:tcW w:w="700" w:type="dxa"/>
            <w:vAlign w:val="bottom"/>
          </w:tcPr>
          <w:p>
            <w:pPr>
              <w:spacing w:after="0"/>
              <w:rPr>
                <w:sz w:val="20"/>
                <w:szCs w:val="20"/>
                <w:color w:val="auto"/>
              </w:rPr>
            </w:pPr>
            <w:r>
              <w:rPr>
                <w:rFonts w:ascii="Arial" w:cs="Arial" w:eastAsia="Arial" w:hAnsi="Arial"/>
                <w:sz w:val="16"/>
                <w:szCs w:val="16"/>
                <w:color w:val="auto"/>
              </w:rPr>
              <w:t>99.2</w:t>
            </w:r>
          </w:p>
        </w:tc>
        <w:tc>
          <w:tcPr>
            <w:tcW w:w="5960" w:type="dxa"/>
            <w:vAlign w:val="bottom"/>
          </w:tcPr>
          <w:p>
            <w:pPr>
              <w:ind w:left="220"/>
              <w:spacing w:after="0"/>
              <w:rPr>
                <w:sz w:val="20"/>
                <w:szCs w:val="20"/>
                <w:color w:val="auto"/>
              </w:rPr>
            </w:pPr>
            <w:r>
              <w:rPr>
                <w:rFonts w:ascii="Arial" w:cs="Arial" w:eastAsia="Arial" w:hAnsi="Arial"/>
                <w:sz w:val="16"/>
                <w:szCs w:val="16"/>
                <w:color w:val="auto"/>
              </w:rPr>
              <w:t>Financial Report for the Three Months Ended March 31, 2019</w:t>
            </w:r>
          </w:p>
        </w:tc>
      </w:tr>
      <w:tr>
        <w:trPr>
          <w:trHeight w:val="445"/>
        </w:trPr>
        <w:tc>
          <w:tcPr>
            <w:tcW w:w="700" w:type="dxa"/>
            <w:vAlign w:val="bottom"/>
          </w:tcPr>
          <w:p>
            <w:pPr>
              <w:spacing w:after="0"/>
              <w:rPr>
                <w:sz w:val="24"/>
                <w:szCs w:val="24"/>
                <w:color w:val="auto"/>
              </w:rPr>
            </w:pPr>
          </w:p>
        </w:tc>
        <w:tc>
          <w:tcPr>
            <w:tcW w:w="5960" w:type="dxa"/>
            <w:vAlign w:val="bottom"/>
          </w:tcPr>
          <w:p>
            <w:pPr>
              <w:ind w:left="220"/>
              <w:spacing w:after="0"/>
              <w:rPr>
                <w:sz w:val="20"/>
                <w:szCs w:val="20"/>
                <w:color w:val="auto"/>
              </w:rPr>
            </w:pPr>
            <w:r>
              <w:rPr>
                <w:rFonts w:ascii="Arial" w:cs="Arial" w:eastAsia="Arial" w:hAnsi="Arial"/>
                <w:sz w:val="16"/>
                <w:szCs w:val="16"/>
                <w:color w:val="auto"/>
                <w:w w:val="92"/>
              </w:rPr>
              <w:t>Management’s Discussion and Analysis of Financial Condition and Results of Operation</w:t>
            </w:r>
          </w:p>
        </w:tc>
      </w:tr>
    </w:tbl>
    <w:p>
      <w:pPr>
        <w:spacing w:after="0" w:line="239" w:lineRule="exact"/>
        <w:rPr>
          <w:sz w:val="20"/>
          <w:szCs w:val="20"/>
          <w:color w:val="auto"/>
        </w:rPr>
      </w:pPr>
    </w:p>
    <w:p>
      <w:pPr>
        <w:ind w:left="920"/>
        <w:spacing w:after="0"/>
        <w:rPr>
          <w:sz w:val="20"/>
          <w:szCs w:val="20"/>
          <w:color w:val="auto"/>
        </w:rPr>
      </w:pPr>
      <w:r>
        <w:rPr>
          <w:rFonts w:ascii="Arial" w:cs="Arial" w:eastAsia="Arial" w:hAnsi="Arial"/>
          <w:sz w:val="16"/>
          <w:szCs w:val="16"/>
          <w:color w:val="auto"/>
        </w:rPr>
        <w:t>Unaudited Condensed Consolidated Financial Statements</w:t>
      </w:r>
    </w:p>
    <w:p>
      <w:pPr>
        <w:spacing w:after="0" w:line="226"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359015"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359015" cy="29845"/>
                    </a:xfrm>
                    <a:prstGeom prst="rect">
                      <a:avLst/>
                    </a:prstGeom>
                    <a:noFill/>
                  </pic:spPr>
                </pic:pic>
              </a:graphicData>
            </a:graphic>
          </wp:anchor>
        </w:drawing>
      </w:r>
    </w:p>
    <w:p>
      <w:pPr>
        <w:sectPr>
          <w:pgSz w:w="11900" w:h="16838" w:orient="portrait"/>
          <w:cols w:equalWidth="0" w:num="1">
            <w:col w:w="11500"/>
          </w:cols>
          <w:pgMar w:left="160" w:top="266" w:right="239" w:bottom="1440" w:gutter="0" w:footer="0" w:header="0"/>
        </w:sectPr>
      </w:pPr>
    </w:p>
    <w:bookmarkStart w:id="2" w:name="page3"/>
    <w:bookmarkEnd w:id="2"/>
    <w:p>
      <w:pPr>
        <w:jc w:val="center"/>
        <w:ind w:right="-99"/>
        <w:spacing w:after="0"/>
        <w:rPr>
          <w:sz w:val="20"/>
          <w:szCs w:val="20"/>
          <w:color w:val="auto"/>
        </w:rPr>
      </w:pPr>
      <w:r>
        <w:rPr>
          <w:rFonts w:ascii="Arial" w:cs="Arial" w:eastAsia="Arial" w:hAnsi="Arial"/>
          <w:sz w:val="16"/>
          <w:szCs w:val="16"/>
          <w:color w:val="auto"/>
        </w:rPr>
        <w:t>SIGNATURES</w:t>
      </w:r>
    </w:p>
    <w:p>
      <w:pPr>
        <w:spacing w:after="0" w:line="235" w:lineRule="exact"/>
        <w:rPr>
          <w:sz w:val="20"/>
          <w:szCs w:val="20"/>
          <w:color w:val="auto"/>
        </w:rPr>
      </w:pPr>
    </w:p>
    <w:p>
      <w:pPr>
        <w:ind w:firstLine="356"/>
        <w:spacing w:after="0" w:line="293"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color w:val="auto"/>
        </w:rPr>
        <w:t>Date: May 3, 2019</w:t>
      </w:r>
    </w:p>
    <w:p>
      <w:pPr>
        <w:spacing w:after="0" w:line="316" w:lineRule="exact"/>
        <w:rPr>
          <w:sz w:val="20"/>
          <w:szCs w:val="20"/>
          <w:color w:val="auto"/>
        </w:rPr>
      </w:pPr>
    </w:p>
    <w:tbl>
      <w:tblPr>
        <w:tblLayout w:type="fixed"/>
        <w:tblInd w:w="5720" w:type="dxa"/>
        <w:tblCellMar>
          <w:top w:w="0" w:type="dxa"/>
          <w:left w:w="0" w:type="dxa"/>
          <w:bottom w:w="0" w:type="dxa"/>
          <w:right w:w="0" w:type="dxa"/>
        </w:tblCellMar>
      </w:tblPr>
      <w:tr>
        <w:trPr>
          <w:trHeight w:val="206"/>
        </w:trPr>
        <w:tc>
          <w:tcPr>
            <w:tcW w:w="1440" w:type="dxa"/>
            <w:vAlign w:val="bottom"/>
            <w:gridSpan w:val="2"/>
          </w:tcPr>
          <w:p>
            <w:pPr>
              <w:jc w:val="center"/>
              <w:ind w:right="279"/>
              <w:spacing w:after="0"/>
              <w:rPr>
                <w:sz w:val="20"/>
                <w:szCs w:val="20"/>
                <w:color w:val="auto"/>
              </w:rPr>
            </w:pPr>
            <w:r>
              <w:rPr>
                <w:rFonts w:ascii="Arial" w:cs="Arial" w:eastAsia="Arial" w:hAnsi="Arial"/>
                <w:sz w:val="16"/>
                <w:szCs w:val="16"/>
                <w:color w:val="auto"/>
                <w:w w:val="97"/>
              </w:rPr>
              <w:t>GASLOG LTD.,</w:t>
            </w:r>
          </w:p>
        </w:tc>
        <w:tc>
          <w:tcPr>
            <w:tcW w:w="3680" w:type="dxa"/>
            <w:vAlign w:val="bottom"/>
          </w:tcPr>
          <w:p>
            <w:pPr>
              <w:spacing w:after="0"/>
              <w:rPr>
                <w:sz w:val="17"/>
                <w:szCs w:val="17"/>
                <w:color w:val="auto"/>
              </w:rPr>
            </w:pPr>
          </w:p>
        </w:tc>
      </w:tr>
      <w:tr>
        <w:trPr>
          <w:trHeight w:val="408"/>
        </w:trPr>
        <w:tc>
          <w:tcPr>
            <w:tcW w:w="920" w:type="dxa"/>
            <w:vAlign w:val="bottom"/>
          </w:tcPr>
          <w:p>
            <w:pPr>
              <w:jc w:val="center"/>
              <w:ind w:left="119"/>
              <w:spacing w:after="0"/>
              <w:rPr>
                <w:sz w:val="20"/>
                <w:szCs w:val="20"/>
                <w:color w:val="auto"/>
              </w:rPr>
            </w:pPr>
            <w:r>
              <w:rPr>
                <w:rFonts w:ascii="Arial" w:cs="Arial" w:eastAsia="Arial" w:hAnsi="Arial"/>
                <w:sz w:val="16"/>
                <w:szCs w:val="16"/>
                <w:color w:val="auto"/>
                <w:w w:val="94"/>
              </w:rPr>
              <w:t>by</w:t>
            </w:r>
          </w:p>
        </w:tc>
        <w:tc>
          <w:tcPr>
            <w:tcW w:w="420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/s/ Paul Wogan</w:t>
            </w:r>
          </w:p>
        </w:tc>
      </w:tr>
      <w:tr>
        <w:trPr>
          <w:trHeight w:val="189"/>
        </w:trPr>
        <w:tc>
          <w:tcPr>
            <w:tcW w:w="920" w:type="dxa"/>
            <w:vAlign w:val="bottom"/>
          </w:tcPr>
          <w:p>
            <w:pPr>
              <w:spacing w:after="0"/>
              <w:rPr>
                <w:sz w:val="16"/>
                <w:szCs w:val="16"/>
                <w:color w:val="auto"/>
              </w:rPr>
            </w:pPr>
          </w:p>
        </w:tc>
        <w:tc>
          <w:tcPr>
            <w:tcW w:w="520" w:type="dxa"/>
            <w:vAlign w:val="bottom"/>
          </w:tcPr>
          <w:p>
            <w:pPr>
              <w:spacing w:after="0"/>
              <w:rPr>
                <w:sz w:val="20"/>
                <w:szCs w:val="20"/>
                <w:color w:val="auto"/>
              </w:rPr>
            </w:pPr>
            <w:r>
              <w:rPr>
                <w:rFonts w:ascii="Arial" w:cs="Arial" w:eastAsia="Arial" w:hAnsi="Arial"/>
                <w:sz w:val="16"/>
                <w:szCs w:val="16"/>
                <w:color w:val="auto"/>
              </w:rPr>
              <w:t>Name:</w:t>
            </w:r>
          </w:p>
        </w:tc>
        <w:tc>
          <w:tcPr>
            <w:tcW w:w="3680" w:type="dxa"/>
            <w:vAlign w:val="bottom"/>
          </w:tcPr>
          <w:p>
            <w:pPr>
              <w:ind w:left="120"/>
              <w:spacing w:after="0"/>
              <w:rPr>
                <w:sz w:val="20"/>
                <w:szCs w:val="20"/>
                <w:color w:val="auto"/>
              </w:rPr>
            </w:pPr>
            <w:r>
              <w:rPr>
                <w:rFonts w:ascii="Arial" w:cs="Arial" w:eastAsia="Arial" w:hAnsi="Arial"/>
                <w:sz w:val="16"/>
                <w:szCs w:val="16"/>
                <w:color w:val="auto"/>
              </w:rPr>
              <w:t>Paul Wogan</w:t>
            </w:r>
          </w:p>
        </w:tc>
      </w:tr>
      <w:tr>
        <w:trPr>
          <w:trHeight w:val="206"/>
        </w:trPr>
        <w:tc>
          <w:tcPr>
            <w:tcW w:w="920" w:type="dxa"/>
            <w:vAlign w:val="bottom"/>
          </w:tcPr>
          <w:p>
            <w:pPr>
              <w:spacing w:after="0"/>
              <w:rPr>
                <w:sz w:val="17"/>
                <w:szCs w:val="17"/>
                <w:color w:val="auto"/>
              </w:rPr>
            </w:pPr>
          </w:p>
        </w:tc>
        <w:tc>
          <w:tcPr>
            <w:tcW w:w="520" w:type="dxa"/>
            <w:vAlign w:val="bottom"/>
          </w:tcPr>
          <w:p>
            <w:pPr>
              <w:spacing w:after="0"/>
              <w:rPr>
                <w:sz w:val="20"/>
                <w:szCs w:val="20"/>
                <w:color w:val="auto"/>
              </w:rPr>
            </w:pPr>
            <w:r>
              <w:rPr>
                <w:rFonts w:ascii="Arial" w:cs="Arial" w:eastAsia="Arial" w:hAnsi="Arial"/>
                <w:sz w:val="16"/>
                <w:szCs w:val="16"/>
                <w:color w:val="auto"/>
              </w:rPr>
              <w:t>Title:</w:t>
            </w:r>
          </w:p>
        </w:tc>
        <w:tc>
          <w:tcPr>
            <w:tcW w:w="3680" w:type="dxa"/>
            <w:vAlign w:val="bottom"/>
          </w:tcPr>
          <w:p>
            <w:pPr>
              <w:ind w:left="120"/>
              <w:spacing w:after="0"/>
              <w:rPr>
                <w:sz w:val="20"/>
                <w:szCs w:val="20"/>
                <w:color w:val="auto"/>
              </w:rPr>
            </w:pPr>
            <w:r>
              <w:rPr>
                <w:rFonts w:ascii="Arial" w:cs="Arial" w:eastAsia="Arial" w:hAnsi="Arial"/>
                <w:sz w:val="16"/>
                <w:szCs w:val="16"/>
                <w:color w:val="auto"/>
              </w:rPr>
              <w:t>Chief Executive Officer</w:t>
            </w:r>
          </w:p>
        </w:tc>
      </w:tr>
    </w:tbl>
    <w:p>
      <w:pPr>
        <w:spacing w:after="0" w:line="19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359015"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59015" cy="29845"/>
                    </a:xfrm>
                    <a:prstGeom prst="rect">
                      <a:avLst/>
                    </a:prstGeom>
                    <a:noFill/>
                  </pic:spPr>
                </pic:pic>
              </a:graphicData>
            </a:graphic>
          </wp:anchor>
        </w:drawing>
      </w:r>
    </w:p>
    <w:p>
      <w:pPr>
        <w:sectPr>
          <w:pgSz w:w="11900" w:h="16838" w:orient="portrait"/>
          <w:cols w:equalWidth="0" w:num="1">
            <w:col w:w="11460"/>
          </w:cols>
          <w:pgMar w:left="160" w:top="266" w:right="279" w:bottom="1440" w:gutter="0" w:footer="0" w:header="0"/>
        </w:sectPr>
      </w:pPr>
    </w:p>
    <w:bookmarkStart w:id="3" w:name="page4"/>
    <w:bookmarkEnd w:id="3"/>
    <w:p>
      <w:pPr>
        <w:jc w:val="right"/>
        <w:spacing w:after="0"/>
        <w:rPr>
          <w:sz w:val="20"/>
          <w:szCs w:val="20"/>
          <w:color w:val="auto"/>
        </w:rPr>
      </w:pPr>
      <w:r>
        <w:rPr>
          <w:rFonts w:ascii="Arial" w:cs="Arial" w:eastAsia="Arial" w:hAnsi="Arial"/>
          <w:sz w:val="16"/>
          <w:szCs w:val="16"/>
          <w:b w:val="1"/>
          <w:bCs w:val="1"/>
          <w:color w:val="auto"/>
        </w:rPr>
        <w:t>Exhibit 99.1</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Press Release</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GasLog Ltd. Reports Financial Results for the Quarter Ended March 31, 2019</w:t>
      </w:r>
    </w:p>
    <w:p>
      <w:pPr>
        <w:spacing w:after="0" w:line="235" w:lineRule="exact"/>
        <w:rPr>
          <w:sz w:val="20"/>
          <w:szCs w:val="20"/>
          <w:color w:val="auto"/>
        </w:rPr>
      </w:pPr>
    </w:p>
    <w:p>
      <w:pPr>
        <w:spacing w:after="0" w:line="298" w:lineRule="auto"/>
        <w:rPr>
          <w:sz w:val="20"/>
          <w:szCs w:val="20"/>
          <w:color w:val="auto"/>
        </w:rPr>
      </w:pPr>
      <w:r>
        <w:rPr>
          <w:rFonts w:ascii="Arial" w:cs="Arial" w:eastAsia="Arial" w:hAnsi="Arial"/>
          <w:sz w:val="16"/>
          <w:szCs w:val="16"/>
          <w:b w:val="1"/>
          <w:bCs w:val="1"/>
          <w:color w:val="auto"/>
        </w:rPr>
        <w:t>Monaco, May 3, 2019, GasLog Ltd. and its subsidiaries (“GasLog” or “Group” or “Company”) (NYSE: GLOG)</w:t>
      </w:r>
      <w:r>
        <w:rPr>
          <w:rFonts w:ascii="Arial" w:cs="Arial" w:eastAsia="Arial" w:hAnsi="Arial"/>
          <w:sz w:val="16"/>
          <w:szCs w:val="16"/>
          <w:color w:val="auto"/>
        </w:rPr>
        <w:t>, an international owner, operator and manager of liquefied</w:t>
      </w:r>
      <w:r>
        <w:rPr>
          <w:rFonts w:ascii="Arial" w:cs="Arial" w:eastAsia="Arial" w:hAnsi="Arial"/>
          <w:sz w:val="16"/>
          <w:szCs w:val="16"/>
          <w:b w:val="1"/>
          <w:bCs w:val="1"/>
          <w:color w:val="auto"/>
        </w:rPr>
        <w:t xml:space="preserve"> </w:t>
      </w:r>
      <w:r>
        <w:rPr>
          <w:rFonts w:ascii="Arial" w:cs="Arial" w:eastAsia="Arial" w:hAnsi="Arial"/>
          <w:sz w:val="16"/>
          <w:szCs w:val="16"/>
          <w:color w:val="auto"/>
        </w:rPr>
        <w:t>natural gas (“LNG”) carriers, today reported its financial results for the quarter ended March 31, 2019.</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Highlights</w:t>
      </w:r>
    </w:p>
    <w:p>
      <w:pPr>
        <w:spacing w:after="0" w:line="239" w:lineRule="exact"/>
        <w:rPr>
          <w:sz w:val="20"/>
          <w:szCs w:val="20"/>
          <w:color w:val="auto"/>
        </w:rPr>
      </w:pPr>
    </w:p>
    <w:p>
      <w:pPr>
        <w:ind w:left="760" w:right="100" w:hanging="752"/>
        <w:spacing w:after="0" w:line="189" w:lineRule="auto"/>
        <w:tabs>
          <w:tab w:leader="none" w:pos="760" w:val="left"/>
        </w:tabs>
        <w:numPr>
          <w:ilvl w:val="0"/>
          <w:numId w:val="1"/>
        </w:numPr>
        <w:rPr>
          <w:rFonts w:ascii="Arial" w:cs="Arial" w:eastAsia="Arial" w:hAnsi="Arial"/>
          <w:sz w:val="29"/>
          <w:szCs w:val="29"/>
          <w:color w:val="auto"/>
          <w:vertAlign w:val="superscript"/>
        </w:rPr>
      </w:pPr>
      <w:r>
        <w:rPr>
          <w:rFonts w:ascii="Arial" w:cs="Arial" w:eastAsia="Arial" w:hAnsi="Arial"/>
          <w:sz w:val="16"/>
          <w:szCs w:val="16"/>
          <w:color w:val="auto"/>
        </w:rPr>
        <w:t>Signed a 12-year time charter with the principal LNG shipping entity of JERA Co., Inc (“JERA”) for Hull No. 2274, a newbuild 180,000 cubic meters (“cbm”) LNG carrier with low pressure dual-fuel two-stroke engine (“XD-F”) propulsion scheduled for delivery in the second quarter of 2020.</w:t>
      </w:r>
    </w:p>
    <w:p>
      <w:pPr>
        <w:spacing w:after="0" w:line="1" w:lineRule="exact"/>
        <w:rPr>
          <w:rFonts w:ascii="Arial" w:cs="Arial" w:eastAsia="Arial" w:hAnsi="Arial"/>
          <w:sz w:val="29"/>
          <w:szCs w:val="29"/>
          <w:color w:val="auto"/>
          <w:vertAlign w:val="superscript"/>
        </w:rPr>
      </w:pPr>
    </w:p>
    <w:p>
      <w:pPr>
        <w:ind w:left="760" w:right="200" w:hanging="752"/>
        <w:spacing w:after="0" w:line="187" w:lineRule="auto"/>
        <w:tabs>
          <w:tab w:leader="none" w:pos="760" w:val="left"/>
        </w:tabs>
        <w:numPr>
          <w:ilvl w:val="0"/>
          <w:numId w:val="1"/>
        </w:numPr>
        <w:rPr>
          <w:rFonts w:ascii="Arial" w:cs="Arial" w:eastAsia="Arial" w:hAnsi="Arial"/>
          <w:sz w:val="29"/>
          <w:szCs w:val="29"/>
          <w:color w:val="auto"/>
          <w:vertAlign w:val="superscript"/>
        </w:rPr>
      </w:pPr>
      <w:r>
        <w:rPr>
          <w:rFonts w:ascii="Arial" w:cs="Arial" w:eastAsia="Arial" w:hAnsi="Arial"/>
          <w:sz w:val="16"/>
          <w:szCs w:val="16"/>
          <w:color w:val="auto"/>
        </w:rPr>
        <w:t xml:space="preserve">Signed an eight-year time charter commencing May 2021 with a wholly owned subsidiary of Endesa, S.A. (“Endesa”) for the </w:t>
      </w:r>
      <w:r>
        <w:rPr>
          <w:rFonts w:ascii="Arial" w:cs="Arial" w:eastAsia="Arial" w:hAnsi="Arial"/>
          <w:sz w:val="16"/>
          <w:szCs w:val="16"/>
          <w:i w:val="1"/>
          <w:iCs w:val="1"/>
          <w:color w:val="auto"/>
        </w:rPr>
        <w:t>GasLog Warsaw</w:t>
      </w:r>
      <w:r>
        <w:rPr>
          <w:rFonts w:ascii="Arial" w:cs="Arial" w:eastAsia="Arial" w:hAnsi="Arial"/>
          <w:sz w:val="16"/>
          <w:szCs w:val="16"/>
          <w:color w:val="auto"/>
        </w:rPr>
        <w:t>, a newbuild 180,000 cbm LNG carrier with X-DF propulsion, scheduled for delivery in the third quarter of 2019.</w:t>
      </w:r>
    </w:p>
    <w:p>
      <w:pPr>
        <w:spacing w:after="0" w:line="1" w:lineRule="exact"/>
        <w:rPr>
          <w:rFonts w:ascii="Arial" w:cs="Arial" w:eastAsia="Arial" w:hAnsi="Arial"/>
          <w:sz w:val="29"/>
          <w:szCs w:val="29"/>
          <w:color w:val="auto"/>
          <w:vertAlign w:val="superscript"/>
        </w:rPr>
      </w:pPr>
    </w:p>
    <w:p>
      <w:pPr>
        <w:ind w:left="760" w:right="280" w:hanging="752"/>
        <w:spacing w:after="0" w:line="187" w:lineRule="auto"/>
        <w:tabs>
          <w:tab w:leader="none" w:pos="760" w:val="left"/>
        </w:tabs>
        <w:numPr>
          <w:ilvl w:val="0"/>
          <w:numId w:val="1"/>
        </w:numPr>
        <w:rPr>
          <w:rFonts w:ascii="Arial" w:cs="Arial" w:eastAsia="Arial" w:hAnsi="Arial"/>
          <w:sz w:val="29"/>
          <w:szCs w:val="29"/>
          <w:color w:val="auto"/>
          <w:vertAlign w:val="superscript"/>
        </w:rPr>
      </w:pPr>
      <w:r>
        <w:rPr>
          <w:rFonts w:ascii="Arial" w:cs="Arial" w:eastAsia="Arial" w:hAnsi="Arial"/>
          <w:sz w:val="16"/>
          <w:szCs w:val="16"/>
          <w:color w:val="auto"/>
        </w:rPr>
        <w:t xml:space="preserve">Announced and, post quarter-end, completed the sale of the </w:t>
      </w:r>
      <w:r>
        <w:rPr>
          <w:rFonts w:ascii="Arial" w:cs="Arial" w:eastAsia="Arial" w:hAnsi="Arial"/>
          <w:sz w:val="16"/>
          <w:szCs w:val="16"/>
          <w:i w:val="1"/>
          <w:iCs w:val="1"/>
          <w:color w:val="auto"/>
        </w:rPr>
        <w:t>GasLog Glasgow</w:t>
      </w:r>
      <w:r>
        <w:rPr>
          <w:rFonts w:ascii="Arial" w:cs="Arial" w:eastAsia="Arial" w:hAnsi="Arial"/>
          <w:sz w:val="16"/>
          <w:szCs w:val="16"/>
          <w:color w:val="auto"/>
        </w:rPr>
        <w:t xml:space="preserve"> to GasLog Partners LP (“GasLog Partners” or the “Partnership”) for $214.0 million, with attached multi-year charter to a subsidiary of Royal Dutch Shell plc (“Shell”).</w:t>
      </w:r>
    </w:p>
    <w:p>
      <w:pPr>
        <w:spacing w:after="0" w:line="1" w:lineRule="exact"/>
        <w:rPr>
          <w:rFonts w:ascii="Arial" w:cs="Arial" w:eastAsia="Arial" w:hAnsi="Arial"/>
          <w:sz w:val="29"/>
          <w:szCs w:val="29"/>
          <w:color w:val="auto"/>
          <w:vertAlign w:val="superscript"/>
        </w:rPr>
      </w:pPr>
    </w:p>
    <w:p>
      <w:pPr>
        <w:ind w:left="760" w:hanging="752"/>
        <w:spacing w:after="0" w:line="187" w:lineRule="auto"/>
        <w:tabs>
          <w:tab w:leader="none" w:pos="760" w:val="left"/>
        </w:tabs>
        <w:numPr>
          <w:ilvl w:val="0"/>
          <w:numId w:val="1"/>
        </w:numPr>
        <w:rPr>
          <w:rFonts w:ascii="Arial" w:cs="Arial" w:eastAsia="Arial" w:hAnsi="Arial"/>
          <w:sz w:val="29"/>
          <w:szCs w:val="29"/>
          <w:color w:val="auto"/>
          <w:vertAlign w:val="superscript"/>
        </w:rPr>
      </w:pPr>
      <w:r>
        <w:rPr>
          <w:rFonts w:ascii="Arial" w:cs="Arial" w:eastAsia="Arial" w:hAnsi="Arial"/>
          <w:sz w:val="16"/>
          <w:szCs w:val="16"/>
          <w:color w:val="auto"/>
        </w:rPr>
        <w:t>Entered into a new five-year amortizing revolving credit facility on February 20, 2019 (the “2019 Partnership Facility”), which successfully refinanced $354.4 million of current debt due in November 2019 and provided $90.0 million of incremental available liquidity.</w:t>
      </w:r>
    </w:p>
    <w:p>
      <w:pPr>
        <w:spacing w:after="0" w:line="1" w:lineRule="exact"/>
        <w:rPr>
          <w:rFonts w:ascii="Arial" w:cs="Arial" w:eastAsia="Arial" w:hAnsi="Arial"/>
          <w:sz w:val="29"/>
          <w:szCs w:val="29"/>
          <w:color w:val="auto"/>
          <w:vertAlign w:val="superscript"/>
        </w:rPr>
      </w:pPr>
    </w:p>
    <w:p>
      <w:pPr>
        <w:ind w:left="760" w:right="360" w:hanging="752"/>
        <w:spacing w:after="0" w:line="187" w:lineRule="auto"/>
        <w:tabs>
          <w:tab w:leader="none" w:pos="760" w:val="left"/>
        </w:tabs>
        <w:numPr>
          <w:ilvl w:val="0"/>
          <w:numId w:val="1"/>
        </w:numPr>
        <w:rPr>
          <w:rFonts w:ascii="Arial" w:cs="Arial" w:eastAsia="Arial" w:hAnsi="Arial"/>
          <w:sz w:val="29"/>
          <w:szCs w:val="29"/>
          <w:color w:val="auto"/>
          <w:vertAlign w:val="superscript"/>
        </w:rPr>
      </w:pPr>
      <w:r>
        <w:rPr>
          <w:rFonts w:ascii="Arial" w:cs="Arial" w:eastAsia="Arial" w:hAnsi="Arial"/>
          <w:sz w:val="16"/>
          <w:szCs w:val="16"/>
          <w:color w:val="auto"/>
        </w:rPr>
        <w:t xml:space="preserve">Delivery of the </w:t>
      </w:r>
      <w:r>
        <w:rPr>
          <w:rFonts w:ascii="Arial" w:cs="Arial" w:eastAsia="Arial" w:hAnsi="Arial"/>
          <w:sz w:val="16"/>
          <w:szCs w:val="16"/>
          <w:i w:val="1"/>
          <w:iCs w:val="1"/>
          <w:color w:val="auto"/>
        </w:rPr>
        <w:t>GasLog Gladstone</w:t>
      </w:r>
      <w:r>
        <w:rPr>
          <w:rFonts w:ascii="Arial" w:cs="Arial" w:eastAsia="Arial" w:hAnsi="Arial"/>
          <w:sz w:val="16"/>
          <w:szCs w:val="16"/>
          <w:color w:val="auto"/>
        </w:rPr>
        <w:t xml:space="preserve"> on March 15, 2019, a 174,000 cbm LNG carrier with X-DF propulsion and commencement of its time charter agreement with Shell.</w:t>
      </w:r>
    </w:p>
    <w:p>
      <w:pPr>
        <w:spacing w:after="0" w:line="1" w:lineRule="exact"/>
        <w:rPr>
          <w:rFonts w:ascii="Arial" w:cs="Arial" w:eastAsia="Arial" w:hAnsi="Arial"/>
          <w:sz w:val="29"/>
          <w:szCs w:val="29"/>
          <w:color w:val="auto"/>
          <w:vertAlign w:val="superscript"/>
        </w:rPr>
      </w:pPr>
    </w:p>
    <w:p>
      <w:pPr>
        <w:ind w:left="760" w:hanging="752"/>
        <w:spacing w:after="0" w:line="183" w:lineRule="auto"/>
        <w:tabs>
          <w:tab w:leader="none" w:pos="760" w:val="left"/>
        </w:tabs>
        <w:numPr>
          <w:ilvl w:val="0"/>
          <w:numId w:val="1"/>
        </w:numPr>
        <w:rPr>
          <w:rFonts w:ascii="Arial" w:cs="Arial" w:eastAsia="Arial" w:hAnsi="Arial"/>
          <w:sz w:val="23"/>
          <w:szCs w:val="23"/>
          <w:color w:val="auto"/>
          <w:vertAlign w:val="superscript"/>
        </w:rPr>
      </w:pPr>
      <w:r>
        <w:rPr>
          <w:rFonts w:ascii="Arial" w:cs="Arial" w:eastAsia="Arial" w:hAnsi="Arial"/>
          <w:sz w:val="13"/>
          <w:szCs w:val="13"/>
          <w:color w:val="auto"/>
        </w:rPr>
        <w:t>Post quarter-end, appointment of Paolo Enoizi as Chief Operating Officer (“COO”) Designate with effect from August, 2019.</w:t>
      </w:r>
    </w:p>
    <w:p>
      <w:pPr>
        <w:spacing w:after="0" w:line="10" w:lineRule="exact"/>
        <w:rPr>
          <w:rFonts w:ascii="Arial" w:cs="Arial" w:eastAsia="Arial" w:hAnsi="Arial"/>
          <w:sz w:val="23"/>
          <w:szCs w:val="23"/>
          <w:color w:val="auto"/>
          <w:vertAlign w:val="superscript"/>
        </w:rPr>
      </w:pPr>
    </w:p>
    <w:p>
      <w:pPr>
        <w:ind w:left="760" w:hanging="752"/>
        <w:spacing w:after="0" w:line="183" w:lineRule="auto"/>
        <w:tabs>
          <w:tab w:leader="none" w:pos="760" w:val="left"/>
        </w:tabs>
        <w:numPr>
          <w:ilvl w:val="0"/>
          <w:numId w:val="1"/>
        </w:numPr>
        <w:rPr>
          <w:rFonts w:ascii="Arial" w:cs="Arial" w:eastAsia="Arial" w:hAnsi="Arial"/>
          <w:sz w:val="23"/>
          <w:szCs w:val="23"/>
          <w:color w:val="auto"/>
          <w:vertAlign w:val="superscript"/>
        </w:rPr>
      </w:pPr>
      <w:r>
        <w:rPr>
          <w:rFonts w:ascii="Arial" w:cs="Arial" w:eastAsia="Arial" w:hAnsi="Arial"/>
          <w:sz w:val="13"/>
          <w:szCs w:val="13"/>
          <w:color w:val="auto"/>
        </w:rPr>
        <w:t>Quarterly Revenues of $166.5 million, Profit of $5.9 million and Loss per share of $0.17</w:t>
      </w:r>
      <w:r>
        <w:rPr>
          <w:rFonts w:ascii="Arial" w:cs="Arial" w:eastAsia="Arial" w:hAnsi="Arial"/>
          <w:sz w:val="17"/>
          <w:szCs w:val="17"/>
          <w:color w:val="auto"/>
          <w:vertAlign w:val="superscript"/>
        </w:rPr>
        <w:t>(1)</w:t>
      </w:r>
      <w:r>
        <w:rPr>
          <w:rFonts w:ascii="Arial" w:cs="Arial" w:eastAsia="Arial" w:hAnsi="Arial"/>
          <w:sz w:val="13"/>
          <w:szCs w:val="13"/>
          <w:color w:val="auto"/>
        </w:rPr>
        <w:t xml:space="preserve"> for the quarter ended March 31, 2019.</w:t>
      </w:r>
    </w:p>
    <w:p>
      <w:pPr>
        <w:ind w:left="760" w:right="680" w:hanging="752"/>
        <w:spacing w:after="0" w:line="187" w:lineRule="auto"/>
        <w:tabs>
          <w:tab w:leader="none" w:pos="760" w:val="left"/>
        </w:tabs>
        <w:numPr>
          <w:ilvl w:val="0"/>
          <w:numId w:val="1"/>
        </w:numPr>
        <w:rPr>
          <w:rFonts w:ascii="Arial" w:cs="Arial" w:eastAsia="Arial" w:hAnsi="Arial"/>
          <w:sz w:val="26"/>
          <w:szCs w:val="26"/>
          <w:color w:val="auto"/>
          <w:vertAlign w:val="superscript"/>
        </w:rPr>
      </w:pPr>
      <w:r>
        <w:rPr>
          <w:rFonts w:ascii="Arial" w:cs="Arial" w:eastAsia="Arial" w:hAnsi="Arial"/>
          <w:sz w:val="15"/>
          <w:szCs w:val="15"/>
          <w:color w:val="auto"/>
        </w:rPr>
        <w:t>Quarterly EBITDA</w:t>
      </w:r>
      <w:r>
        <w:rPr>
          <w:rFonts w:ascii="Arial" w:cs="Arial" w:eastAsia="Arial" w:hAnsi="Arial"/>
          <w:sz w:val="19"/>
          <w:szCs w:val="19"/>
          <w:color w:val="auto"/>
          <w:vertAlign w:val="superscript"/>
        </w:rPr>
        <w:t>(2)</w:t>
      </w:r>
      <w:r>
        <w:rPr>
          <w:rFonts w:ascii="Arial" w:cs="Arial" w:eastAsia="Arial" w:hAnsi="Arial"/>
          <w:sz w:val="15"/>
          <w:szCs w:val="15"/>
          <w:color w:val="auto"/>
        </w:rPr>
        <w:t xml:space="preserve"> of $109.8 million and Adjusted EBITDA</w:t>
      </w:r>
      <w:r>
        <w:rPr>
          <w:rFonts w:ascii="Arial" w:cs="Arial" w:eastAsia="Arial" w:hAnsi="Arial"/>
          <w:sz w:val="19"/>
          <w:szCs w:val="19"/>
          <w:color w:val="auto"/>
          <w:vertAlign w:val="superscript"/>
        </w:rPr>
        <w:t>(2)</w:t>
      </w:r>
      <w:r>
        <w:rPr>
          <w:rFonts w:ascii="Arial" w:cs="Arial" w:eastAsia="Arial" w:hAnsi="Arial"/>
          <w:sz w:val="15"/>
          <w:szCs w:val="15"/>
          <w:color w:val="auto"/>
        </w:rPr>
        <w:t xml:space="preserve"> of $109.9 million. Adjusted Profit</w:t>
      </w:r>
      <w:r>
        <w:rPr>
          <w:rFonts w:ascii="Arial" w:cs="Arial" w:eastAsia="Arial" w:hAnsi="Arial"/>
          <w:sz w:val="19"/>
          <w:szCs w:val="19"/>
          <w:color w:val="auto"/>
          <w:vertAlign w:val="superscript"/>
        </w:rPr>
        <w:t>(2)</w:t>
      </w:r>
      <w:r>
        <w:rPr>
          <w:rFonts w:ascii="Arial" w:cs="Arial" w:eastAsia="Arial" w:hAnsi="Arial"/>
          <w:sz w:val="15"/>
          <w:szCs w:val="15"/>
          <w:color w:val="auto"/>
        </w:rPr>
        <w:t xml:space="preserve"> of $28.1 million and Adjusted Earnings per share</w:t>
      </w:r>
      <w:r>
        <w:rPr>
          <w:rFonts w:ascii="Arial" w:cs="Arial" w:eastAsia="Arial" w:hAnsi="Arial"/>
          <w:sz w:val="19"/>
          <w:szCs w:val="19"/>
          <w:color w:val="auto"/>
          <w:vertAlign w:val="superscript"/>
        </w:rPr>
        <w:t>(2)</w:t>
      </w:r>
      <w:r>
        <w:rPr>
          <w:rFonts w:ascii="Arial" w:cs="Arial" w:eastAsia="Arial" w:hAnsi="Arial"/>
          <w:sz w:val="15"/>
          <w:szCs w:val="15"/>
          <w:color w:val="auto"/>
        </w:rPr>
        <w:t xml:space="preserve"> of $0.11</w:t>
      </w:r>
      <w:r>
        <w:rPr>
          <w:rFonts w:ascii="Arial" w:cs="Arial" w:eastAsia="Arial" w:hAnsi="Arial"/>
          <w:sz w:val="19"/>
          <w:szCs w:val="19"/>
          <w:color w:val="auto"/>
          <w:vertAlign w:val="superscript"/>
        </w:rPr>
        <w:t>(1)</w:t>
      </w:r>
      <w:r>
        <w:rPr>
          <w:rFonts w:ascii="Arial" w:cs="Arial" w:eastAsia="Arial" w:hAnsi="Arial"/>
          <w:sz w:val="15"/>
          <w:szCs w:val="15"/>
          <w:color w:val="auto"/>
        </w:rPr>
        <w:t xml:space="preserve"> for the quarter ended March 31, 2019.</w:t>
      </w:r>
    </w:p>
    <w:p>
      <w:pPr>
        <w:spacing w:after="0" w:line="1" w:lineRule="exact"/>
        <w:rPr>
          <w:rFonts w:ascii="Arial" w:cs="Arial" w:eastAsia="Arial" w:hAnsi="Arial"/>
          <w:sz w:val="26"/>
          <w:szCs w:val="26"/>
          <w:color w:val="auto"/>
          <w:vertAlign w:val="superscript"/>
        </w:rPr>
      </w:pPr>
    </w:p>
    <w:p>
      <w:pPr>
        <w:ind w:left="760" w:hanging="752"/>
        <w:spacing w:after="0" w:line="182" w:lineRule="auto"/>
        <w:tabs>
          <w:tab w:leader="none" w:pos="760" w:val="left"/>
        </w:tabs>
        <w:numPr>
          <w:ilvl w:val="0"/>
          <w:numId w:val="1"/>
        </w:numPr>
        <w:rPr>
          <w:rFonts w:ascii="Arial" w:cs="Arial" w:eastAsia="Arial" w:hAnsi="Arial"/>
          <w:sz w:val="22"/>
          <w:szCs w:val="22"/>
          <w:color w:val="auto"/>
          <w:vertAlign w:val="superscript"/>
        </w:rPr>
      </w:pPr>
      <w:r>
        <w:rPr>
          <w:rFonts w:ascii="Arial" w:cs="Arial" w:eastAsia="Arial" w:hAnsi="Arial"/>
          <w:sz w:val="13"/>
          <w:szCs w:val="13"/>
          <w:color w:val="auto"/>
        </w:rPr>
        <w:t>Quarterly dividend of $0.15 per common share payable on May 23, 2019.</w:t>
      </w:r>
    </w:p>
    <w:p>
      <w:pPr>
        <w:spacing w:after="0" w:line="231" w:lineRule="exact"/>
        <w:rPr>
          <w:sz w:val="20"/>
          <w:szCs w:val="20"/>
          <w:color w:val="auto"/>
        </w:rPr>
      </w:pPr>
    </w:p>
    <w:p>
      <w:pPr>
        <w:ind w:left="140" w:right="160" w:hanging="132"/>
        <w:spacing w:after="0" w:line="230" w:lineRule="auto"/>
        <w:tabs>
          <w:tab w:leader="none" w:pos="153" w:val="left"/>
        </w:tabs>
        <w:numPr>
          <w:ilvl w:val="0"/>
          <w:numId w:val="2"/>
        </w:numPr>
        <w:rPr>
          <w:rFonts w:ascii="Arial" w:cs="Arial" w:eastAsia="Arial" w:hAnsi="Arial"/>
          <w:sz w:val="17"/>
          <w:szCs w:val="17"/>
          <w:color w:val="auto"/>
          <w:vertAlign w:val="superscript"/>
        </w:rPr>
      </w:pPr>
      <w:r>
        <w:rPr>
          <w:rFonts w:ascii="Arial" w:cs="Arial" w:eastAsia="Arial" w:hAnsi="Arial"/>
          <w:sz w:val="13"/>
          <w:szCs w:val="13"/>
          <w:color w:val="auto"/>
        </w:rPr>
        <w:t>Earnings/(loss) per share (“EPS”) and Adjusted EPS are net of the profit attributable to non-controlling interests of $16.8 million and the dividend on preferred stock of $2.5 million for the quarter ended March 31, 2019 ($23.2 million and $2.5 million, respectively, for the quarter ended March 31, 2018).</w:t>
      </w:r>
    </w:p>
    <w:p>
      <w:pPr>
        <w:spacing w:after="0" w:line="87" w:lineRule="exact"/>
        <w:rPr>
          <w:rFonts w:ascii="Arial" w:cs="Arial" w:eastAsia="Arial" w:hAnsi="Arial"/>
          <w:sz w:val="17"/>
          <w:szCs w:val="17"/>
          <w:color w:val="auto"/>
          <w:vertAlign w:val="superscript"/>
        </w:rPr>
      </w:pPr>
    </w:p>
    <w:p>
      <w:pPr>
        <w:jc w:val="both"/>
        <w:ind w:left="140" w:hanging="132"/>
        <w:spacing w:after="0" w:line="217" w:lineRule="auto"/>
        <w:tabs>
          <w:tab w:leader="none" w:pos="159" w:val="left"/>
        </w:tabs>
        <w:numPr>
          <w:ilvl w:val="0"/>
          <w:numId w:val="2"/>
        </w:numPr>
        <w:rPr>
          <w:rFonts w:ascii="Arial" w:cs="Arial" w:eastAsia="Arial" w:hAnsi="Arial"/>
          <w:sz w:val="18"/>
          <w:szCs w:val="18"/>
          <w:color w:val="auto"/>
          <w:vertAlign w:val="superscript"/>
        </w:rPr>
      </w:pPr>
      <w:r>
        <w:rPr>
          <w:rFonts w:ascii="Arial" w:cs="Arial" w:eastAsia="Arial" w:hAnsi="Arial"/>
          <w:sz w:val="14"/>
          <w:szCs w:val="14"/>
          <w:color w:val="auto"/>
        </w:rPr>
        <w:t>EBITDA, Adjusted EBITDA, Adjusted Profit and Adjusted EPS are non-GAAP financial measures and should not be used in isolation or as a substitute for GasLog’s financial results presented in accordance with International Financial Reporting Standards (“IFRS”). For the definitions and reconciliations of these measures to the most directly comparable financial measures calculated and presented in accordance with IFRS, please refer to Exhibit II at the end of this press release.</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CEO Statement</w:t>
      </w:r>
    </w:p>
    <w:p>
      <w:pPr>
        <w:spacing w:after="0" w:line="171" w:lineRule="exact"/>
        <w:rPr>
          <w:sz w:val="20"/>
          <w:szCs w:val="20"/>
          <w:color w:val="auto"/>
        </w:rPr>
      </w:pPr>
    </w:p>
    <w:p>
      <w:pPr>
        <w:ind w:right="20"/>
        <w:spacing w:after="0" w:line="273" w:lineRule="auto"/>
        <w:rPr>
          <w:sz w:val="20"/>
          <w:szCs w:val="20"/>
          <w:color w:val="auto"/>
        </w:rPr>
      </w:pPr>
      <w:r>
        <w:rPr>
          <w:rFonts w:ascii="Arial" w:cs="Arial" w:eastAsia="Arial" w:hAnsi="Arial"/>
          <w:sz w:val="16"/>
          <w:szCs w:val="16"/>
          <w:color w:val="auto"/>
        </w:rPr>
        <w:t>Paul Wogan, Chief Executive Officer, stated: “GasLog continued to deliver on our strategy in the first quarter of 2019 as we contracted two of our newbuildings to JERA and Endesa for 12 and eight years respectively. We are honoured to have JERA and Endesa, with the former being one of the world’s largest LNG buyers, as new customers. We have now ordered and fixed seven newbuild vessels on long-term contracts with four high quality counterparties since our April 2018 investor day and have made excellent progress toward our target of more than doubling consolidated run-rate EBITDA over the 2017 to 2022 period.</w:t>
      </w:r>
    </w:p>
    <w:p>
      <w:pPr>
        <w:spacing w:after="0" w:line="121" w:lineRule="exact"/>
        <w:rPr>
          <w:sz w:val="20"/>
          <w:szCs w:val="20"/>
          <w:color w:val="auto"/>
        </w:rPr>
      </w:pPr>
    </w:p>
    <w:p>
      <w:pPr>
        <w:jc w:val="both"/>
        <w:ind w:right="120"/>
        <w:spacing w:after="0" w:line="278" w:lineRule="auto"/>
        <w:rPr>
          <w:sz w:val="20"/>
          <w:szCs w:val="20"/>
          <w:color w:val="auto"/>
        </w:rPr>
      </w:pPr>
      <w:r>
        <w:rPr>
          <w:rFonts w:ascii="Arial" w:cs="Arial" w:eastAsia="Arial" w:hAnsi="Arial"/>
          <w:sz w:val="16"/>
          <w:szCs w:val="16"/>
          <w:color w:val="auto"/>
        </w:rPr>
        <w:t xml:space="preserve">We continued to drop vessels down to GasLog Partners with the sale to the Partnership of the </w:t>
      </w:r>
      <w:r>
        <w:rPr>
          <w:rFonts w:ascii="Arial" w:cs="Arial" w:eastAsia="Arial" w:hAnsi="Arial"/>
          <w:sz w:val="16"/>
          <w:szCs w:val="16"/>
          <w:i w:val="1"/>
          <w:iCs w:val="1"/>
          <w:color w:val="auto"/>
        </w:rPr>
        <w:t>GasLog Glasgow</w:t>
      </w:r>
      <w:r>
        <w:rPr>
          <w:rFonts w:ascii="Arial" w:cs="Arial" w:eastAsia="Arial" w:hAnsi="Arial"/>
          <w:sz w:val="16"/>
          <w:szCs w:val="16"/>
          <w:color w:val="auto"/>
        </w:rPr>
        <w:t xml:space="preserve"> earlier this year</w:t>
      </w:r>
      <w:r>
        <w:rPr>
          <w:rFonts w:ascii="Arial" w:cs="Arial" w:eastAsia="Arial" w:hAnsi="Arial"/>
          <w:sz w:val="16"/>
          <w:szCs w:val="16"/>
          <w:i w:val="1"/>
          <w:iCs w:val="1"/>
          <w:color w:val="auto"/>
        </w:rPr>
        <w:t>.</w:t>
      </w:r>
      <w:r>
        <w:rPr>
          <w:rFonts w:ascii="Arial" w:cs="Arial" w:eastAsia="Arial" w:hAnsi="Arial"/>
          <w:sz w:val="16"/>
          <w:szCs w:val="16"/>
          <w:color w:val="auto"/>
        </w:rPr>
        <w:t xml:space="preserve"> The JERA and Endesa charters have increased the drop-down pipeline to 13 vessels, reinforcing the Partnership’s growth potential. The successful debt refinancing during the quarter is further evidence of the Group’s ability to source attractively priced finance to fund GasLog’s newbuilding programme.</w:t>
      </w:r>
    </w:p>
    <w:p>
      <w:pPr>
        <w:spacing w:after="0" w:line="117" w:lineRule="exact"/>
        <w:rPr>
          <w:sz w:val="20"/>
          <w:szCs w:val="20"/>
          <w:color w:val="auto"/>
        </w:rPr>
      </w:pPr>
    </w:p>
    <w:p>
      <w:pPr>
        <w:ind w:right="80"/>
        <w:spacing w:after="0" w:line="273" w:lineRule="auto"/>
        <w:rPr>
          <w:sz w:val="20"/>
          <w:szCs w:val="20"/>
          <w:color w:val="auto"/>
        </w:rPr>
      </w:pPr>
      <w:r>
        <w:rPr>
          <w:rFonts w:ascii="Arial" w:cs="Arial" w:eastAsia="Arial" w:hAnsi="Arial"/>
          <w:sz w:val="16"/>
          <w:szCs w:val="16"/>
          <w:color w:val="auto"/>
        </w:rPr>
        <w:t>The first quarter saw spot LNG carrier rates fall from the historic highs of the fourth quarter of 2018 as unseasonal weather conditions led to low LNG prices and disincentivized long-haul LNG trade. Nonetheless, spot vessel earnings were roughly in line with those seen in the first quarter of 2018. We are confident that the fundamentals of the LNG shipping market are tighter than the evidence that the first quarter implies, and we believe that rates will improve in the second half of the year and through 2020. As a result, we continue to see the potential to deliver enhanced returns to our shareholders.”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LNG Market Update and Outlook</w:t>
      </w:r>
    </w:p>
    <w:p>
      <w:pPr>
        <w:spacing w:after="0" w:line="171" w:lineRule="exact"/>
        <w:rPr>
          <w:sz w:val="20"/>
          <w:szCs w:val="20"/>
          <w:color w:val="auto"/>
        </w:rPr>
      </w:pPr>
    </w:p>
    <w:p>
      <w:pPr>
        <w:ind w:right="240"/>
        <w:spacing w:after="0" w:line="304" w:lineRule="auto"/>
        <w:rPr>
          <w:sz w:val="20"/>
          <w:szCs w:val="20"/>
          <w:color w:val="auto"/>
        </w:rPr>
      </w:pPr>
      <w:r>
        <w:rPr>
          <w:rFonts w:ascii="Arial" w:cs="Arial" w:eastAsia="Arial" w:hAnsi="Arial"/>
          <w:sz w:val="14"/>
          <w:szCs w:val="14"/>
          <w:color w:val="auto"/>
        </w:rPr>
        <w:t>Despite LNG demand in the first quarter of 2019 being negatively impacted by warmer than usual weather in the Northern Hemisphere winter, global LNG imports during the period totalled 88 million tonnes (“mt”), compared to 79 mt in the first quarter of 2018, or an increase of 11%, according to Poten. In particular, China’s LNG imports totalled</w:t>
      </w:r>
    </w:p>
    <w:p>
      <w:pPr>
        <w:spacing w:after="0" w:line="1"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15.3 mt, 24% higher than the first quarter of 2018. Europe’s LNG imports in the first quarter more than doubled to 22 mt, compared to 10 mt in the first quarter of 2018, as lower LNG prices made gas fired power generation more competitive than coal, indigenous gas production declined and LNG gained market share from pipeline imports. This more than offset import declines from major North East Asian consumers in Japan, South Korea and Taiwan (10%, 22% and 6% declines year-on-year, respectively), demonstrating the increasingly diverse and broad-based nature of LNG demand growth.</w:t>
      </w:r>
    </w:p>
    <w:p>
      <w:pPr>
        <w:spacing w:after="0" w:line="121" w:lineRule="exact"/>
        <w:rPr>
          <w:sz w:val="20"/>
          <w:szCs w:val="20"/>
          <w:color w:val="auto"/>
        </w:rPr>
      </w:pPr>
    </w:p>
    <w:p>
      <w:pPr>
        <w:ind w:right="20"/>
        <w:spacing w:after="0" w:line="303" w:lineRule="auto"/>
        <w:rPr>
          <w:sz w:val="20"/>
          <w:szCs w:val="20"/>
          <w:color w:val="auto"/>
        </w:rPr>
      </w:pPr>
      <w:r>
        <w:rPr>
          <w:rFonts w:ascii="Arial" w:cs="Arial" w:eastAsia="Arial" w:hAnsi="Arial"/>
          <w:sz w:val="14"/>
          <w:szCs w:val="14"/>
          <w:color w:val="auto"/>
        </w:rPr>
        <w:t>The longer-term outlook for natural gas demand continued to strengthen in the first quarter of 2019. Natural gas is increasingly seen as complementary to renewable energy in the transition away from fuels which emit high levels of carbon dioxide and other harmful emissions. LNG is expected to be the fastest growing hydrocarbon supply source. In its recent LNG Outlook 2019, Shell, one of the largest players in the global LNG market, forecasts that natural gas would satisfy 41% of global energy demand growth over the</w:t>
      </w:r>
    </w:p>
    <w:p>
      <w:pPr>
        <w:spacing w:after="0" w:line="2" w:lineRule="exact"/>
        <w:rPr>
          <w:sz w:val="20"/>
          <w:szCs w:val="20"/>
          <w:color w:val="auto"/>
        </w:rPr>
      </w:pPr>
    </w:p>
    <w:p>
      <w:pPr>
        <w:ind w:right="220"/>
        <w:spacing w:after="0" w:line="288" w:lineRule="auto"/>
        <w:rPr>
          <w:sz w:val="20"/>
          <w:szCs w:val="20"/>
          <w:color w:val="auto"/>
        </w:rPr>
      </w:pPr>
      <w:r>
        <w:rPr>
          <w:rFonts w:ascii="Arial" w:cs="Arial" w:eastAsia="Arial" w:hAnsi="Arial"/>
          <w:sz w:val="16"/>
          <w:szCs w:val="16"/>
          <w:color w:val="auto"/>
        </w:rPr>
        <w:t>2018-2035 period, with renewables satisfying 30%. Over this period, Shell forecasts that LNG will be the fastest growing gas supply source, with demand potentially reaching approximately 700 mt in 2035, compared to delivered volumes of 319 mt in 2018.</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35901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359015" cy="29845"/>
                    </a:xfrm>
                    <a:prstGeom prst="rect">
                      <a:avLst/>
                    </a:prstGeom>
                    <a:noFill/>
                  </pic:spPr>
                </pic:pic>
              </a:graphicData>
            </a:graphic>
          </wp:anchor>
        </w:drawing>
      </w:r>
    </w:p>
    <w:p>
      <w:pPr>
        <w:sectPr>
          <w:pgSz w:w="11900" w:h="16838" w:orient="portrait"/>
          <w:cols w:equalWidth="0" w:num="1">
            <w:col w:w="11560"/>
          </w:cols>
          <w:pgMar w:left="160" w:top="46" w:right="179" w:bottom="1440" w:gutter="0" w:footer="0" w:header="0"/>
        </w:sectPr>
      </w:pPr>
    </w:p>
    <w:bookmarkStart w:id="4" w:name="page5"/>
    <w:bookmarkEnd w:id="4"/>
    <w:p>
      <w:pPr>
        <w:ind w:right="80"/>
        <w:spacing w:after="0" w:line="287" w:lineRule="auto"/>
        <w:rPr>
          <w:sz w:val="20"/>
          <w:szCs w:val="20"/>
          <w:color w:val="auto"/>
        </w:rPr>
      </w:pPr>
      <w:r>
        <w:rPr>
          <w:rFonts w:ascii="Arial" w:cs="Arial" w:eastAsia="Arial" w:hAnsi="Arial"/>
          <w:sz w:val="15"/>
          <w:szCs w:val="15"/>
          <w:color w:val="auto"/>
        </w:rPr>
        <w:t>According to Wood Mackenzie, global LNG supply totalled 88 mt in the first quarter of 2019, an increase of 10% on the first quarter of 2018, principally driven by new supply additions in the U.S., Australia and Russia. For 2019, as a whole, supply is estimated by Wood Mackenzie to be 365 mt, or 38 mt (12%) higher than 2018, driven by the continued ramp-up of 2018 supply additions and new project start-ups in the U.S. (Cameron, Freeport, Elba Island and Corpus Christi Train 2) and Australia (Prelude). After a brief lull following the elevated levels of new offtake agreements seen in the second half of 2018, activity has recently picked up again with nine new long-term supply agreements agreed or signed for over 10 mt per annum (“mtpa”), according to Wood Mackenzie. Similarly, the approval process for major new liquefaction projects continues to build momentum, with Wood Mackenzie estimating that, in addition to the Golden Pass project which reached Final Investment Decision (“FID”) in February 2019, 50 mtpa of new capacity should be sanctioned in 2019, encompassing Arctic LNG-2 (Russia), Mozambique Area 1, Calcasieu Pass, Sabine Pass Train 6 (both U.S.) and Woodfibre LNG (Canada). A further 90 mtpa of capacity could also reach FID in 2019 or 2020, including the Qatar Megatrain expansion, Driftwood LNG and Freeport Train 4 (both U.S.), Rovuma LNG (Mozambique), Costa Azul (Mexico) and the expansion of the PNG LNG facilities in Papua New Guinea.</w:t>
      </w:r>
    </w:p>
    <w:p>
      <w:pPr>
        <w:spacing w:after="0" w:line="182" w:lineRule="exact"/>
        <w:rPr>
          <w:sz w:val="20"/>
          <w:szCs w:val="20"/>
          <w:color w:val="auto"/>
        </w:rPr>
      </w:pPr>
    </w:p>
    <w:p>
      <w:pPr>
        <w:ind w:right="60"/>
        <w:spacing w:after="0" w:line="267" w:lineRule="auto"/>
        <w:rPr>
          <w:sz w:val="20"/>
          <w:szCs w:val="20"/>
          <w:color w:val="auto"/>
        </w:rPr>
      </w:pPr>
      <w:r>
        <w:rPr>
          <w:rFonts w:ascii="Arial" w:cs="Arial" w:eastAsia="Arial" w:hAnsi="Arial"/>
          <w:sz w:val="16"/>
          <w:szCs w:val="16"/>
          <w:color w:val="auto"/>
        </w:rPr>
        <w:t>In contrast to these positive longer-term trends, the first quarter saw relatively weak LNG commodity and shipping markets. A combination of high inventory levels in key North East Asian gas markets ahead of the 2018-2019 winter and relatively mild temperatures during the winter period have led to reduced gas consumption and Asian LNG prices reaching their lowest levels since April 2016. Low LNG prices, particularly in North Asia, have reduced the incentive in recent months to ship LNG cargoes from the Atlantic Basin to the Pacific Basin, reducing tonne miles - a key driver of demand for LNG spot shipping. Furthermore, front-end weighting of 2019 LNG carrier newbuilding deliveries and unscheduled downtime at facilities in Australia and Malaysia all added to prompt shipping availability. Poten estimates that the number of monthly LNG cargo imports declined by 19% between December 2018 and February 2019, compared to an 11% decline between December 2017 and February 2018. There were 57 spot fixtures in the first quarter of 2019, a 19% decrease on the 70 spot fixtures in the same period in 2018. Independent shipowners accounted for 47% of spot fixtures in the first quarter, down from 51% in the same period in 2018, while the average duration of a spot fixture in the first quarter was broadly unchanged year-on-year at 28 days (29 days in the first quarter of 2018).</w:t>
      </w:r>
    </w:p>
    <w:p>
      <w:pPr>
        <w:spacing w:after="0" w:line="196" w:lineRule="exact"/>
        <w:rPr>
          <w:sz w:val="20"/>
          <w:szCs w:val="20"/>
          <w:color w:val="auto"/>
        </w:rPr>
      </w:pPr>
    </w:p>
    <w:p>
      <w:pPr>
        <w:spacing w:after="0" w:line="288" w:lineRule="auto"/>
        <w:rPr>
          <w:sz w:val="20"/>
          <w:szCs w:val="20"/>
          <w:color w:val="auto"/>
        </w:rPr>
      </w:pPr>
      <w:r>
        <w:rPr>
          <w:rFonts w:ascii="Arial" w:cs="Arial" w:eastAsia="Arial" w:hAnsi="Arial"/>
          <w:sz w:val="15"/>
          <w:szCs w:val="15"/>
          <w:color w:val="auto"/>
        </w:rPr>
        <w:t>As a result of these trends in the first quarter, there was ample prompt vessel availability against a backdrop of weaker than expected demand due to warmer than normal winter temperatures. This in turn impacted headline spot LNG shipping rates, fleet utilization, positioning fees and ballast bonuses leading to a marked decline in spot vessel earnings in the first quarter of 2019 relative to the fourth quarter of 2018. TFDE headline rates, as reported by Clarksons, averaged $60,000 per day in the first quarter of 2019, compared to $68,000 per day in the first quarter of 2018 and $150,000 per day in the fourth quarter of 2018. Headline TFDE spot rates are currently assessed at $34,000 per day, with rates having stabilized in recent weeks as charterers look to capitalize on the recent fall in rates to lock in shipping capacity for the remainder of 2019 and into 2020. We expect that prompt vessel availability will decline throughout 2019 and 2020 given the significant forecast LNG supply additions outlined above. As a result, we expect spot shipping rates to rise from current levels, with the magnitude and duration of that recovery dependent on several factors, particularly the pace and location of demand growth and cooling and heating demand during the Northern Hemisphere summer and winter respectively.</w:t>
      </w:r>
    </w:p>
    <w:p>
      <w:pPr>
        <w:spacing w:after="0" w:line="180" w:lineRule="exact"/>
        <w:rPr>
          <w:sz w:val="20"/>
          <w:szCs w:val="20"/>
          <w:color w:val="auto"/>
        </w:rPr>
      </w:pPr>
    </w:p>
    <w:p>
      <w:pPr>
        <w:ind w:right="160"/>
        <w:spacing w:after="0" w:line="293" w:lineRule="auto"/>
        <w:rPr>
          <w:sz w:val="20"/>
          <w:szCs w:val="20"/>
          <w:color w:val="auto"/>
        </w:rPr>
      </w:pPr>
      <w:r>
        <w:rPr>
          <w:rFonts w:ascii="Arial" w:cs="Arial" w:eastAsia="Arial" w:hAnsi="Arial"/>
          <w:sz w:val="15"/>
          <w:szCs w:val="15"/>
          <w:color w:val="auto"/>
        </w:rPr>
        <w:t>According to Poten, as of April 17, 2019, the LNG fleet and orderbook (excluding floating storage and regasification units (“FSRUs”) and vessels with capacity below 100,000 cbm) stood at 491 and 110 vessels respectively. Of the LNG carriers in the orderbook, 67, or 61%, are chartered on long-term contracts. 14 vessels were ordered in the first quarter of 2019, compared to 17 and 20 vessels in the first quarter of 2018 and the fourth quarter of 2018, respectively. These figures provide early indications that newbuild ordering may be slowing somewhat compared to newbuild ordering in 2018. This is a positive development which we believe is necessary to avoid an overbuilt market in 2021 and 2022, a period when LNG supply additions are forecast to slow before increasing again in 2023 and 2024.</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New Charter Agreements</w:t>
      </w:r>
    </w:p>
    <w:p>
      <w:pPr>
        <w:spacing w:after="0" w:line="171"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GasLog entered into a 12-year time charter agreement with JERA for GasLog’s existing newbuild vessel, Hull No. 2274. The vessel, a 180,000 cbm Mark III Flex Plus carrier with X-DF propulsion, previously referred to as LP-2S, is expected to deliver from Samsung Heavy Industries Co. Ltd. (“Samsung”) in April 2020, at which point it will commence its 12-year time charter.</w:t>
      </w:r>
    </w:p>
    <w:p>
      <w:pPr>
        <w:spacing w:after="0" w:line="117"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 xml:space="preserve">GasLog also entered into an eight-year time charter agreement with a wholly owned subsidiary of Endesa for GasLog’s existing newbuild vessel, the </w:t>
      </w:r>
      <w:r>
        <w:rPr>
          <w:rFonts w:ascii="Arial" w:cs="Arial" w:eastAsia="Arial" w:hAnsi="Arial"/>
          <w:sz w:val="16"/>
          <w:szCs w:val="16"/>
          <w:i w:val="1"/>
          <w:iCs w:val="1"/>
          <w:color w:val="auto"/>
        </w:rPr>
        <w:t>GasLog Warsaw</w:t>
      </w:r>
      <w:r>
        <w:rPr>
          <w:rFonts w:ascii="Arial" w:cs="Arial" w:eastAsia="Arial" w:hAnsi="Arial"/>
          <w:sz w:val="16"/>
          <w:szCs w:val="16"/>
          <w:color w:val="auto"/>
        </w:rPr>
        <w:t>. The vessel, a 180,000 cbm Mark III Flex Plus carrier with X-DF propulsion, is expected to deliver from Samsung in the third quarter of 2019 and to commence its charter to Endesa in May 2021.</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 xml:space="preserve">Sale of the </w:t>
      </w:r>
      <w:r>
        <w:rPr>
          <w:rFonts w:ascii="Arial" w:cs="Arial" w:eastAsia="Arial" w:hAnsi="Arial"/>
          <w:sz w:val="16"/>
          <w:szCs w:val="16"/>
          <w:b w:val="1"/>
          <w:bCs w:val="1"/>
          <w:i w:val="1"/>
          <w:iCs w:val="1"/>
          <w:u w:val="single" w:color="auto"/>
          <w:color w:val="auto"/>
        </w:rPr>
        <w:t>GasLog Glasgow</w:t>
      </w:r>
    </w:p>
    <w:p>
      <w:pPr>
        <w:spacing w:after="0" w:line="171" w:lineRule="exact"/>
        <w:rPr>
          <w:sz w:val="20"/>
          <w:szCs w:val="20"/>
          <w:color w:val="auto"/>
        </w:rPr>
      </w:pPr>
    </w:p>
    <w:p>
      <w:pPr>
        <w:ind w:right="60"/>
        <w:spacing w:after="0" w:line="278" w:lineRule="auto"/>
        <w:rPr>
          <w:sz w:val="20"/>
          <w:szCs w:val="20"/>
          <w:color w:val="auto"/>
        </w:rPr>
      </w:pPr>
      <w:r>
        <w:rPr>
          <w:rFonts w:ascii="Arial" w:cs="Arial" w:eastAsia="Arial" w:hAnsi="Arial"/>
          <w:sz w:val="16"/>
          <w:szCs w:val="16"/>
          <w:color w:val="auto"/>
        </w:rPr>
        <w:t xml:space="preserve">On March 13, 2019, GasLog entered into an agreement with GasLog Partners to sell 100% of the ownership interest in GAS-twelve Ltd., the entity that owns the </w:t>
      </w:r>
      <w:r>
        <w:rPr>
          <w:rFonts w:ascii="Arial" w:cs="Arial" w:eastAsia="Arial" w:hAnsi="Arial"/>
          <w:sz w:val="16"/>
          <w:szCs w:val="16"/>
          <w:i w:val="1"/>
          <w:iCs w:val="1"/>
          <w:color w:val="auto"/>
        </w:rPr>
        <w:t>GasLog</w:t>
      </w:r>
      <w:r>
        <w:rPr>
          <w:rFonts w:ascii="Arial" w:cs="Arial" w:eastAsia="Arial" w:hAnsi="Arial"/>
          <w:sz w:val="16"/>
          <w:szCs w:val="16"/>
          <w:color w:val="auto"/>
        </w:rPr>
        <w:t xml:space="preserve"> </w:t>
      </w:r>
      <w:r>
        <w:rPr>
          <w:rFonts w:ascii="Arial" w:cs="Arial" w:eastAsia="Arial" w:hAnsi="Arial"/>
          <w:sz w:val="16"/>
          <w:szCs w:val="16"/>
          <w:i w:val="1"/>
          <w:iCs w:val="1"/>
          <w:color w:val="auto"/>
        </w:rPr>
        <w:t>Glasgow</w:t>
      </w:r>
      <w:r>
        <w:rPr>
          <w:rFonts w:ascii="Arial" w:cs="Arial" w:eastAsia="Arial" w:hAnsi="Arial"/>
          <w:sz w:val="16"/>
          <w:szCs w:val="16"/>
          <w:color w:val="auto"/>
        </w:rPr>
        <w:t>. The vessel is currently on time charter with a subsidiary of Shell through June 2026, and Shell has a unilateral option to extend the term of the time charter for a period</w:t>
      </w:r>
      <w:r>
        <w:rPr>
          <w:rFonts w:ascii="Arial" w:cs="Arial" w:eastAsia="Arial" w:hAnsi="Arial"/>
          <w:sz w:val="16"/>
          <w:szCs w:val="16"/>
          <w:i w:val="1"/>
          <w:iCs w:val="1"/>
          <w:color w:val="auto"/>
        </w:rPr>
        <w:t xml:space="preserve"> </w:t>
      </w:r>
      <w:r>
        <w:rPr>
          <w:rFonts w:ascii="Arial" w:cs="Arial" w:eastAsia="Arial" w:hAnsi="Arial"/>
          <w:sz w:val="16"/>
          <w:szCs w:val="16"/>
          <w:color w:val="auto"/>
        </w:rPr>
        <w:t>of five years.</w:t>
      </w:r>
    </w:p>
    <w:p>
      <w:pPr>
        <w:spacing w:after="0" w:line="117" w:lineRule="exact"/>
        <w:rPr>
          <w:sz w:val="20"/>
          <w:szCs w:val="20"/>
          <w:color w:val="auto"/>
        </w:rPr>
      </w:pPr>
    </w:p>
    <w:p>
      <w:pPr>
        <w:ind w:right="220"/>
        <w:spacing w:after="0" w:line="457" w:lineRule="auto"/>
        <w:rPr>
          <w:sz w:val="20"/>
          <w:szCs w:val="20"/>
          <w:color w:val="auto"/>
        </w:rPr>
      </w:pPr>
      <w:r>
        <w:rPr>
          <w:rFonts w:ascii="Arial" w:cs="Arial" w:eastAsia="Arial" w:hAnsi="Arial"/>
          <w:sz w:val="16"/>
          <w:szCs w:val="16"/>
          <w:color w:val="auto"/>
        </w:rPr>
        <w:t xml:space="preserve">The aggregate sale price was $214.0 million, which included $1.0 million of positive net working capital balances transferred with the entity. The sale closed on April 1, 2019. </w:t>
      </w:r>
      <w:r>
        <w:rPr>
          <w:rFonts w:ascii="Arial" w:cs="Arial" w:eastAsia="Arial" w:hAnsi="Arial"/>
          <w:sz w:val="16"/>
          <w:szCs w:val="16"/>
          <w:b w:val="1"/>
          <w:bCs w:val="1"/>
          <w:u w:val="single" w:color="auto"/>
          <w:color w:val="auto"/>
        </w:rPr>
        <w:t>Debt Refinancing</w:t>
      </w:r>
    </w:p>
    <w:p>
      <w:pPr>
        <w:spacing w:after="0" w:line="1" w:lineRule="exact"/>
        <w:rPr>
          <w:sz w:val="20"/>
          <w:szCs w:val="20"/>
          <w:color w:val="auto"/>
        </w:rPr>
      </w:pPr>
    </w:p>
    <w:p>
      <w:pPr>
        <w:ind w:right="20"/>
        <w:spacing w:after="0" w:line="268" w:lineRule="auto"/>
        <w:rPr>
          <w:sz w:val="20"/>
          <w:szCs w:val="20"/>
          <w:color w:val="auto"/>
        </w:rPr>
      </w:pPr>
      <w:r>
        <w:rPr>
          <w:rFonts w:ascii="Arial" w:cs="Arial" w:eastAsia="Arial" w:hAnsi="Arial"/>
          <w:sz w:val="16"/>
          <w:szCs w:val="16"/>
          <w:color w:val="auto"/>
        </w:rPr>
        <w:t xml:space="preserve">On February 20, 2019, GasLog Partners entered into a credit agreement with Credit Suisse AG, Nordea Bank Abp, filial i Norge (“Nordea”) and Iyo Bank, Ltd., Singapore Branch, each an original lender and Nordea acting as security agent and trustee for and on behalf of the other finance parties mentioned above, of up to $450.0 million, in order to refinance the existing indebtedness due in November 2019 on five of its vessels. Subsequently, on the same date, the Development Bank of Japan, Inc., entered the facility as lender via a transfer certificate. The agreement provides for an amortizing revolving credit facility which can be repaid and redrawn at any time for a period of five years. The total available facility amount will be reduced on a quarterly basis, with a final balloon amount payable concurrently with the last quarterly installment, if any, in February 2024. The vessels covered by the 2019 Partnership Facility are the </w:t>
      </w:r>
      <w:r>
        <w:rPr>
          <w:rFonts w:ascii="Arial" w:cs="Arial" w:eastAsia="Arial" w:hAnsi="Arial"/>
          <w:sz w:val="16"/>
          <w:szCs w:val="16"/>
          <w:i w:val="1"/>
          <w:iCs w:val="1"/>
          <w:color w:val="auto"/>
        </w:rPr>
        <w:t>GasLog Shanghai</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Santiago</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Sydney</w:t>
      </w:r>
      <w:r>
        <w:rPr>
          <w:rFonts w:ascii="Arial" w:cs="Arial" w:eastAsia="Arial" w:hAnsi="Arial"/>
          <w:sz w:val="16"/>
          <w:szCs w:val="16"/>
          <w:color w:val="auto"/>
        </w:rPr>
        <w:t xml:space="preserve">, the </w:t>
      </w:r>
      <w:r>
        <w:rPr>
          <w:rFonts w:ascii="Arial" w:cs="Arial" w:eastAsia="Arial" w:hAnsi="Arial"/>
          <w:sz w:val="16"/>
          <w:szCs w:val="16"/>
          <w:i w:val="1"/>
          <w:iCs w:val="1"/>
          <w:color w:val="auto"/>
        </w:rPr>
        <w:t>Methane Rita Andrea</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Methane Jane</w:t>
      </w:r>
      <w:r>
        <w:rPr>
          <w:rFonts w:ascii="Arial" w:cs="Arial" w:eastAsia="Arial" w:hAnsi="Arial"/>
          <w:sz w:val="16"/>
          <w:szCs w:val="16"/>
          <w:color w:val="auto"/>
        </w:rPr>
        <w:t xml:space="preserve"> </w:t>
      </w:r>
      <w:r>
        <w:rPr>
          <w:rFonts w:ascii="Arial" w:cs="Arial" w:eastAsia="Arial" w:hAnsi="Arial"/>
          <w:sz w:val="16"/>
          <w:szCs w:val="16"/>
          <w:i w:val="1"/>
          <w:iCs w:val="1"/>
          <w:color w:val="auto"/>
        </w:rPr>
        <w:t>Elizabeth</w:t>
      </w:r>
      <w:r>
        <w:rPr>
          <w:rFonts w:ascii="Arial" w:cs="Arial" w:eastAsia="Arial" w:hAnsi="Arial"/>
          <w:sz w:val="16"/>
          <w:szCs w:val="16"/>
          <w:color w:val="auto"/>
        </w:rPr>
        <w:t>. Interest on the 2019 Partnership Facility is payable at a rate of U.S. dollar (“USD”) London Interbank Offered Rate (“LIBOR”) plus 2.0%-2.2%, which represents a</w:t>
      </w:r>
      <w:r>
        <w:rPr>
          <w:rFonts w:ascii="Arial" w:cs="Arial" w:eastAsia="Arial" w:hAnsi="Arial"/>
          <w:sz w:val="16"/>
          <w:szCs w:val="16"/>
          <w:i w:val="1"/>
          <w:iCs w:val="1"/>
          <w:color w:val="auto"/>
        </w:rPr>
        <w:t xml:space="preserve"> </w:t>
      </w:r>
      <w:r>
        <w:rPr>
          <w:rFonts w:ascii="Arial" w:cs="Arial" w:eastAsia="Arial" w:hAnsi="Arial"/>
          <w:sz w:val="16"/>
          <w:szCs w:val="16"/>
          <w:color w:val="auto"/>
        </w:rPr>
        <w:t>reduced margin above LIBOR compared to the previous facility.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35901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359015" cy="29845"/>
                    </a:xfrm>
                    <a:prstGeom prst="rect">
                      <a:avLst/>
                    </a:prstGeom>
                    <a:noFill/>
                  </pic:spPr>
                </pic:pic>
              </a:graphicData>
            </a:graphic>
          </wp:anchor>
        </w:drawing>
      </w:r>
    </w:p>
    <w:p>
      <w:pPr>
        <w:sectPr>
          <w:pgSz w:w="11900" w:h="16838" w:orient="portrait"/>
          <w:cols w:equalWidth="0" w:num="1">
            <w:col w:w="11560"/>
          </w:cols>
          <w:pgMar w:left="160" w:top="266" w:right="179" w:bottom="1440" w:gutter="0" w:footer="0" w:header="0"/>
        </w:sectPr>
      </w:pPr>
    </w:p>
    <w:bookmarkStart w:id="5" w:name="page6"/>
    <w:bookmarkEnd w:id="5"/>
    <w:p>
      <w:pPr>
        <w:jc w:val="both"/>
        <w:ind w:right="400"/>
        <w:spacing w:after="0" w:line="278" w:lineRule="auto"/>
        <w:rPr>
          <w:sz w:val="20"/>
          <w:szCs w:val="20"/>
          <w:color w:val="auto"/>
        </w:rPr>
      </w:pPr>
      <w:r>
        <w:rPr>
          <w:rFonts w:ascii="Arial" w:cs="Arial" w:eastAsia="Arial" w:hAnsi="Arial"/>
          <w:sz w:val="16"/>
          <w:szCs w:val="16"/>
          <w:color w:val="auto"/>
        </w:rPr>
        <w:t xml:space="preserve">On March 6, 2019, the Partnership drew down $360.0 million under the 2019 Partnership Facility, out of which $354.4 million was used to refinance the outstanding debt of GAS-three Ltd., GAS-four Ltd., GAS-five Ltd., GAS-sixteen Ltd. and GAS-seventeen Ltd., the respective entities owning the </w:t>
      </w:r>
      <w:r>
        <w:rPr>
          <w:rFonts w:ascii="Arial" w:cs="Arial" w:eastAsia="Arial" w:hAnsi="Arial"/>
          <w:sz w:val="16"/>
          <w:szCs w:val="16"/>
          <w:i w:val="1"/>
          <w:iCs w:val="1"/>
          <w:color w:val="auto"/>
        </w:rPr>
        <w:t>GasLog Shanghai</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Santiago</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Sydney</w:t>
      </w:r>
      <w:r>
        <w:rPr>
          <w:rFonts w:ascii="Arial" w:cs="Arial" w:eastAsia="Arial" w:hAnsi="Arial"/>
          <w:sz w:val="16"/>
          <w:szCs w:val="16"/>
          <w:color w:val="auto"/>
        </w:rPr>
        <w:t>, the</w:t>
      </w:r>
      <w:r>
        <w:rPr>
          <w:rFonts w:ascii="Arial" w:cs="Arial" w:eastAsia="Arial" w:hAnsi="Arial"/>
          <w:sz w:val="16"/>
          <w:szCs w:val="16"/>
          <w:i w:val="1"/>
          <w:iCs w:val="1"/>
          <w:color w:val="auto"/>
        </w:rPr>
        <w:t xml:space="preserve"> Methane Rita Andrea </w:t>
      </w:r>
      <w:r>
        <w:rPr>
          <w:rFonts w:ascii="Arial" w:cs="Arial" w:eastAsia="Arial" w:hAnsi="Arial"/>
          <w:sz w:val="16"/>
          <w:szCs w:val="16"/>
          <w:color w:val="auto"/>
        </w:rPr>
        <w:t>and the</w:t>
      </w:r>
      <w:r>
        <w:rPr>
          <w:rFonts w:ascii="Arial" w:cs="Arial" w:eastAsia="Arial" w:hAnsi="Arial"/>
          <w:sz w:val="16"/>
          <w:szCs w:val="16"/>
          <w:i w:val="1"/>
          <w:iCs w:val="1"/>
          <w:color w:val="auto"/>
        </w:rPr>
        <w:t xml:space="preserve"> Methane Jane Elizabeth.</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 xml:space="preserve">Delivery of the </w:t>
      </w:r>
      <w:r>
        <w:rPr>
          <w:rFonts w:ascii="Arial" w:cs="Arial" w:eastAsia="Arial" w:hAnsi="Arial"/>
          <w:sz w:val="16"/>
          <w:szCs w:val="16"/>
          <w:b w:val="1"/>
          <w:bCs w:val="1"/>
          <w:i w:val="1"/>
          <w:iCs w:val="1"/>
          <w:u w:val="single" w:color="auto"/>
          <w:color w:val="auto"/>
        </w:rPr>
        <w:t>GasLog Gladstone</w:t>
      </w:r>
    </w:p>
    <w:p>
      <w:pPr>
        <w:spacing w:after="0" w:line="171"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 xml:space="preserve">On March 15, 2019, GasLog took delivery of the </w:t>
      </w:r>
      <w:r>
        <w:rPr>
          <w:rFonts w:ascii="Arial" w:cs="Arial" w:eastAsia="Arial" w:hAnsi="Arial"/>
          <w:sz w:val="16"/>
          <w:szCs w:val="16"/>
          <w:i w:val="1"/>
          <w:iCs w:val="1"/>
          <w:color w:val="auto"/>
        </w:rPr>
        <w:t>GasLog Gladstone</w:t>
      </w:r>
      <w:r>
        <w:rPr>
          <w:rFonts w:ascii="Arial" w:cs="Arial" w:eastAsia="Arial" w:hAnsi="Arial"/>
          <w:sz w:val="16"/>
          <w:szCs w:val="16"/>
          <w:color w:val="auto"/>
        </w:rPr>
        <w:t>, a 174,000 cbm LNG carrier with X-DF propulsion constructed by Samsung. Upon delivery, the vessel commenced a 10-year charter with Shell.</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Appointment of COO Designate</w:t>
      </w:r>
    </w:p>
    <w:p>
      <w:pPr>
        <w:spacing w:after="0" w:line="171" w:lineRule="exact"/>
        <w:rPr>
          <w:sz w:val="20"/>
          <w:szCs w:val="20"/>
          <w:color w:val="auto"/>
        </w:rPr>
      </w:pPr>
    </w:p>
    <w:p>
      <w:pPr>
        <w:ind w:right="60"/>
        <w:spacing w:after="0" w:line="297" w:lineRule="auto"/>
        <w:rPr>
          <w:sz w:val="20"/>
          <w:szCs w:val="20"/>
          <w:color w:val="auto"/>
        </w:rPr>
      </w:pPr>
      <w:r>
        <w:rPr>
          <w:rFonts w:ascii="Arial" w:cs="Arial" w:eastAsia="Arial" w:hAnsi="Arial"/>
          <w:sz w:val="15"/>
          <w:szCs w:val="15"/>
          <w:color w:val="auto"/>
        </w:rPr>
        <w:t>On April 23, 2019, GasLog and GasLog Partners announced that Paolo Enoizi has been appointed as COO Designate with effect from August 2019. Mr Enoizi was most recently Managing Director of Stolt Tankers BV Rotterdam, a subsidiary of Stolt Nielsen Limited, where he was responsible for the operation of over 100 chemical tankers, 200 people ashore and over 4,000 seafarers. His previous roles also included Director of Technical &amp; Innovation and General Manager of Newbuilding &amp; Technical. Mr Enoizi will be based in Piraeus, Greece and will initially work alongside our current COO Richard Sadler to ensure a smooth transition of responsibilities.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Alexandroupolis Project Update</w:t>
      </w:r>
    </w:p>
    <w:p>
      <w:pPr>
        <w:spacing w:after="0" w:line="171" w:lineRule="exact"/>
        <w:rPr>
          <w:sz w:val="20"/>
          <w:szCs w:val="20"/>
          <w:color w:val="auto"/>
        </w:rPr>
      </w:pPr>
    </w:p>
    <w:p>
      <w:pPr>
        <w:ind w:right="200"/>
        <w:spacing w:after="0" w:line="269" w:lineRule="auto"/>
        <w:rPr>
          <w:sz w:val="20"/>
          <w:szCs w:val="20"/>
          <w:color w:val="auto"/>
        </w:rPr>
      </w:pPr>
      <w:r>
        <w:rPr>
          <w:rFonts w:ascii="Arial" w:cs="Arial" w:eastAsia="Arial" w:hAnsi="Arial"/>
          <w:sz w:val="16"/>
          <w:szCs w:val="16"/>
          <w:color w:val="auto"/>
        </w:rPr>
        <w:t>During the first quarter, there was continued progress on the Alexandroupolis FSRU project workstreams. Preparation for the binding phase of the European-regulated capacity commitment process (the “Market Test”) continued during the period. Expressions of interest (“EOI”) for the procurement of the FSRU and the construction of the pipeline and offshore installation have been received and several EOIs have been shortlisted. Tenders for the two separate infrastructure elements of the terminal project are expected to be launched in May. DEPA, the Greek state natural gas utility, and Bulgartransgaz, the Bulgarian national gas transmission system operator, are both in the process of formalizing their respective shareholdings in Gastrade. The timing of an FID, which Gastrade had previously guided to mid-2019, is subject to successful conclusions of the workstreams described above, as well as successful completion of financing and state aid discussions, and decisions by various regulatory bodies. GasLog will provide further updates on project progress and timing of FID as appropriate.</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Share/Unit Repurchase Programme</w:t>
      </w:r>
    </w:p>
    <w:p>
      <w:pPr>
        <w:spacing w:after="0" w:line="171" w:lineRule="exact"/>
        <w:rPr>
          <w:sz w:val="20"/>
          <w:szCs w:val="20"/>
          <w:color w:val="auto"/>
        </w:rPr>
      </w:pPr>
    </w:p>
    <w:p>
      <w:pPr>
        <w:ind w:right="120"/>
        <w:spacing w:after="0" w:line="269" w:lineRule="auto"/>
        <w:rPr>
          <w:sz w:val="20"/>
          <w:szCs w:val="20"/>
          <w:color w:val="auto"/>
        </w:rPr>
      </w:pPr>
      <w:r>
        <w:rPr>
          <w:rFonts w:ascii="Arial" w:cs="Arial" w:eastAsia="Arial" w:hAnsi="Arial"/>
          <w:sz w:val="16"/>
          <w:szCs w:val="16"/>
          <w:color w:val="auto"/>
        </w:rPr>
        <w:t>On November 28, 2018, the Company announced that its board of directors had approved a share repurchase programme of up to $50.0 million of the Company’s common shares, covering the period from January 1, 2019 to December 31, 2021. Under the terms of the repurchase programme, the Company may repurchase common shares from time to time, at the Company’s discretion, on the open market or in privately negotiated transactions. Any repurchases are subject to market conditions, applicable legal requirements and other considerations. The Company is not obligated under the repurchase programme to repurchase any specific dollar amount or number of common shares, and the repurchase programme may be modified, suspended or discontinued at any time or never utilized. Any common shares repurchased by the Company under the programme will be held in treasury. As of March 31, 2019, 212,111 shares have been acquired at a total cost of $3.8 million and are included in treasury shares. The average cost of the repurchase was $17.69 per share inclusive of all fees and commissions.</w:t>
      </w:r>
    </w:p>
    <w:p>
      <w:pPr>
        <w:spacing w:after="0" w:line="190" w:lineRule="exact"/>
        <w:rPr>
          <w:sz w:val="20"/>
          <w:szCs w:val="20"/>
          <w:color w:val="auto"/>
        </w:rPr>
      </w:pPr>
    </w:p>
    <w:p>
      <w:pPr>
        <w:ind w:right="40"/>
        <w:spacing w:after="0" w:line="269" w:lineRule="auto"/>
        <w:rPr>
          <w:sz w:val="20"/>
          <w:szCs w:val="20"/>
          <w:color w:val="auto"/>
        </w:rPr>
      </w:pPr>
      <w:r>
        <w:rPr>
          <w:rFonts w:ascii="Arial" w:cs="Arial" w:eastAsia="Arial" w:hAnsi="Arial"/>
          <w:sz w:val="16"/>
          <w:szCs w:val="16"/>
          <w:color w:val="auto"/>
        </w:rPr>
        <w:t>On January 29, 2019, the board of directors of GasLog Partners authorized a unit repurchase programme of up to $25.0 million covering the period from January 31, 2019 to December 31, 2021. Under the terms of the repurchase programme, the Partnership may repurchase common units from time to time, at its discretion, on the open market or in privately negotiated transactions. Any repurchases are subject to market conditions, applicable legal requirements and other considerations. The Partnership is not obligated under the repurchase programme to repurchase any specific dollar amount or number of common units, and the repurchase programme may be modified, suspended or discontinued at any time or never utilized. As of May 3, 2019, 50,000 units have been repurchased at a total cost of $1.0 million. The average cost of the repurchase was $20.89 per unit inclusive of all fees and commissions.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Dividend Declaration</w:t>
      </w:r>
    </w:p>
    <w:p>
      <w:pPr>
        <w:spacing w:after="0" w:line="239"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On March 7, 2019, the board of directors declared a dividend on the Series A Preference Shares of $0.546875 per share, or $2.5 million in the aggregate, payable on April 1, 2019 to holders of record as of March 29, 2019. GasLog paid the declared dividend to the transfer agent on March 29, 2019.</w:t>
      </w:r>
    </w:p>
    <w:p>
      <w:pPr>
        <w:spacing w:after="0" w:line="172" w:lineRule="exact"/>
        <w:rPr>
          <w:sz w:val="20"/>
          <w:szCs w:val="20"/>
          <w:color w:val="auto"/>
        </w:rPr>
      </w:pPr>
    </w:p>
    <w:p>
      <w:pPr>
        <w:ind w:right="880"/>
        <w:spacing w:after="0" w:line="293" w:lineRule="auto"/>
        <w:rPr>
          <w:sz w:val="20"/>
          <w:szCs w:val="20"/>
          <w:color w:val="auto"/>
        </w:rPr>
      </w:pPr>
      <w:r>
        <w:rPr>
          <w:rFonts w:ascii="Arial" w:cs="Arial" w:eastAsia="Arial" w:hAnsi="Arial"/>
          <w:sz w:val="16"/>
          <w:szCs w:val="16"/>
          <w:color w:val="auto"/>
        </w:rPr>
        <w:t>On May 2, 2019, the board of directors declared a quarterly cash dividend of $0.15 per common share, or $12.1 million in the aggregate, payable on May 23, 2019 to shareholders of record as of May 14, 2019.</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540" w:type="dxa"/>
            <w:vAlign w:val="bottom"/>
            <w:gridSpan w:val="2"/>
          </w:tcPr>
          <w:p>
            <w:pPr>
              <w:spacing w:after="0"/>
              <w:rPr>
                <w:sz w:val="20"/>
                <w:szCs w:val="20"/>
                <w:color w:val="auto"/>
              </w:rPr>
            </w:pPr>
            <w:r>
              <w:rPr>
                <w:rFonts w:ascii="Arial" w:cs="Arial" w:eastAsia="Arial" w:hAnsi="Arial"/>
                <w:sz w:val="16"/>
                <w:szCs w:val="16"/>
                <w:b w:val="1"/>
                <w:bCs w:val="1"/>
                <w:color w:val="auto"/>
              </w:rPr>
              <w:t>Financial Summary</w:t>
            </w:r>
          </w:p>
        </w:tc>
        <w:tc>
          <w:tcPr>
            <w:tcW w:w="36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380" w:type="dxa"/>
            <w:vAlign w:val="bottom"/>
            <w:shd w:val="clear" w:color="auto" w:fill="000000"/>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180" w:type="dxa"/>
            <w:vAlign w:val="bottom"/>
            <w:gridSpan w:val="3"/>
            <w:vMerge w:val="restart"/>
          </w:tcPr>
          <w:p>
            <w:pPr>
              <w:jc w:val="right"/>
              <w:spacing w:after="0"/>
              <w:rPr>
                <w:sz w:val="20"/>
                <w:szCs w:val="20"/>
                <w:color w:val="auto"/>
              </w:rPr>
            </w:pPr>
            <w:r>
              <w:rPr>
                <w:rFonts w:ascii="Arial" w:cs="Arial" w:eastAsia="Arial" w:hAnsi="Arial"/>
                <w:sz w:val="16"/>
                <w:szCs w:val="16"/>
                <w:b w:val="1"/>
                <w:bCs w:val="1"/>
                <w:color w:val="auto"/>
                <w:w w:val="98"/>
              </w:rPr>
              <w:t>For the three months ended</w:t>
            </w: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454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In thousands of U.S. dollars except per share data</w:t>
            </w:r>
          </w:p>
        </w:tc>
        <w:tc>
          <w:tcPr>
            <w:tcW w:w="3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180" w:type="dxa"/>
            <w:vAlign w:val="bottom"/>
            <w:gridSpan w:val="3"/>
            <w:vMerge w:val="continue"/>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138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800" w:type="dxa"/>
            <w:vAlign w:val="bottom"/>
            <w:gridSpan w:val="3"/>
          </w:tcPr>
          <w:p>
            <w:pPr>
              <w:ind w:left="220"/>
              <w:spacing w:after="0"/>
              <w:rPr>
                <w:sz w:val="20"/>
                <w:szCs w:val="20"/>
                <w:color w:val="auto"/>
              </w:rPr>
            </w:pPr>
            <w:r>
              <w:rPr>
                <w:rFonts w:ascii="Arial" w:cs="Arial" w:eastAsia="Arial" w:hAnsi="Arial"/>
                <w:sz w:val="16"/>
                <w:szCs w:val="16"/>
                <w:b w:val="1"/>
                <w:bCs w:val="1"/>
                <w:color w:val="auto"/>
              </w:rPr>
              <w:t>March 31, 2018</w:t>
            </w:r>
          </w:p>
        </w:tc>
        <w:tc>
          <w:tcPr>
            <w:tcW w:w="1620" w:type="dxa"/>
            <w:vAlign w:val="bottom"/>
            <w:gridSpan w:val="3"/>
          </w:tcPr>
          <w:p>
            <w:pPr>
              <w:ind w:left="200"/>
              <w:spacing w:after="0"/>
              <w:rPr>
                <w:sz w:val="20"/>
                <w:szCs w:val="20"/>
                <w:color w:val="auto"/>
              </w:rPr>
            </w:pPr>
            <w:r>
              <w:rPr>
                <w:rFonts w:ascii="Arial" w:cs="Arial" w:eastAsia="Arial" w:hAnsi="Arial"/>
                <w:sz w:val="16"/>
                <w:szCs w:val="16"/>
                <w:b w:val="1"/>
                <w:bCs w:val="1"/>
                <w:color w:val="auto"/>
              </w:rPr>
              <w:t>March 31, 2019</w:t>
            </w:r>
          </w:p>
        </w:tc>
        <w:tc>
          <w:tcPr>
            <w:tcW w:w="0" w:type="dxa"/>
            <w:vAlign w:val="bottom"/>
          </w:tcPr>
          <w:p>
            <w:pPr>
              <w:spacing w:after="0"/>
              <w:rPr>
                <w:sz w:val="1"/>
                <w:szCs w:val="1"/>
                <w:color w:val="auto"/>
              </w:rPr>
            </w:pPr>
          </w:p>
        </w:tc>
      </w:tr>
      <w:tr>
        <w:trPr>
          <w:trHeight w:val="199"/>
        </w:trPr>
        <w:tc>
          <w:tcPr>
            <w:tcW w:w="4540" w:type="dxa"/>
            <w:vAlign w:val="bottom"/>
            <w:tcBorders>
              <w:top w:val="single" w:sz="8" w:color="E5FFFF"/>
            </w:tcBorders>
            <w:gridSpan w:val="2"/>
            <w:shd w:val="clear" w:color="auto" w:fill="E5FFFF"/>
          </w:tcPr>
          <w:p>
            <w:pPr>
              <w:spacing w:after="0"/>
              <w:rPr>
                <w:sz w:val="20"/>
                <w:szCs w:val="20"/>
                <w:color w:val="auto"/>
              </w:rPr>
            </w:pPr>
            <w:r>
              <w:rPr>
                <w:rFonts w:ascii="Arial" w:cs="Arial" w:eastAsia="Arial" w:hAnsi="Arial"/>
                <w:sz w:val="16"/>
                <w:szCs w:val="16"/>
                <w:color w:val="auto"/>
              </w:rPr>
              <w:t>Revenues</w:t>
            </w:r>
          </w:p>
        </w:tc>
        <w:tc>
          <w:tcPr>
            <w:tcW w:w="3640" w:type="dxa"/>
            <w:vAlign w:val="bottom"/>
            <w:tcBorders>
              <w:top w:val="single" w:sz="8" w:color="E5FFFF"/>
            </w:tcBorders>
            <w:shd w:val="clear" w:color="auto" w:fill="E5FFFF"/>
          </w:tcPr>
          <w:p>
            <w:pPr>
              <w:spacing w:after="0"/>
              <w:rPr>
                <w:sz w:val="17"/>
                <w:szCs w:val="17"/>
                <w:color w:val="auto"/>
              </w:rPr>
            </w:pPr>
          </w:p>
        </w:tc>
        <w:tc>
          <w:tcPr>
            <w:tcW w:w="500" w:type="dxa"/>
            <w:vAlign w:val="bottom"/>
            <w:tcBorders>
              <w:top w:val="single" w:sz="8" w:color="auto"/>
            </w:tcBorders>
            <w:shd w:val="clear" w:color="auto" w:fill="E5FFFF"/>
          </w:tcPr>
          <w:p>
            <w:pPr>
              <w:ind w:left="220"/>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138,478</w:t>
            </w:r>
          </w:p>
        </w:tc>
        <w:tc>
          <w:tcPr>
            <w:tcW w:w="300" w:type="dxa"/>
            <w:vAlign w:val="bottom"/>
            <w:tcBorders>
              <w:top w:val="single" w:sz="8" w:color="E5FFFF"/>
            </w:tcBorders>
            <w:shd w:val="clear" w:color="auto" w:fill="E5FFFF"/>
          </w:tcPr>
          <w:p>
            <w:pPr>
              <w:spacing w:after="0"/>
              <w:rPr>
                <w:sz w:val="17"/>
                <w:szCs w:val="17"/>
                <w:color w:val="auto"/>
              </w:rPr>
            </w:pPr>
          </w:p>
        </w:tc>
        <w:tc>
          <w:tcPr>
            <w:tcW w:w="880" w:type="dxa"/>
            <w:vAlign w:val="bottom"/>
            <w:tcBorders>
              <w:top w:val="single" w:sz="8" w:color="auto"/>
            </w:tcBorders>
            <w:shd w:val="clear" w:color="auto" w:fill="E5FFFF"/>
          </w:tcPr>
          <w:p>
            <w:pPr>
              <w:jc w:val="right"/>
              <w:ind w:right="579"/>
              <w:spacing w:after="0"/>
              <w:rPr>
                <w:sz w:val="20"/>
                <w:szCs w:val="20"/>
                <w:color w:val="auto"/>
              </w:rPr>
            </w:pPr>
            <w:r>
              <w:rPr>
                <w:rFonts w:ascii="Arial" w:cs="Arial" w:eastAsia="Arial" w:hAnsi="Arial"/>
                <w:sz w:val="16"/>
                <w:szCs w:val="16"/>
                <w:color w:val="auto"/>
              </w:rPr>
              <w:t>$</w:t>
            </w:r>
          </w:p>
        </w:tc>
        <w:tc>
          <w:tcPr>
            <w:tcW w:w="6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166,547</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40" w:type="dxa"/>
            <w:vAlign w:val="bottom"/>
            <w:gridSpan w:val="2"/>
          </w:tcPr>
          <w:p>
            <w:pPr>
              <w:spacing w:after="0" w:line="203" w:lineRule="exact"/>
              <w:rPr>
                <w:sz w:val="20"/>
                <w:szCs w:val="20"/>
                <w:color w:val="auto"/>
              </w:rPr>
            </w:pPr>
            <w:r>
              <w:rPr>
                <w:rFonts w:ascii="Arial" w:cs="Arial" w:eastAsia="Arial" w:hAnsi="Arial"/>
                <w:sz w:val="16"/>
                <w:szCs w:val="16"/>
                <w:color w:val="auto"/>
              </w:rPr>
              <w:t>EBITDA</w:t>
            </w:r>
            <w:r>
              <w:rPr>
                <w:rFonts w:ascii="Arial" w:cs="Arial" w:eastAsia="Arial" w:hAnsi="Arial"/>
                <w:sz w:val="21"/>
                <w:szCs w:val="21"/>
                <w:color w:val="auto"/>
                <w:vertAlign w:val="superscript"/>
              </w:rPr>
              <w:t>(1)</w:t>
            </w:r>
          </w:p>
        </w:tc>
        <w:tc>
          <w:tcPr>
            <w:tcW w:w="4140" w:type="dxa"/>
            <w:vAlign w:val="bottom"/>
            <w:gridSpan w:val="2"/>
          </w:tcPr>
          <w:p>
            <w:pPr>
              <w:ind w:left="386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95,880</w:t>
            </w:r>
          </w:p>
        </w:tc>
        <w:tc>
          <w:tcPr>
            <w:tcW w:w="300" w:type="dxa"/>
            <w:vAlign w:val="bottom"/>
          </w:tcPr>
          <w:p>
            <w:pPr>
              <w:spacing w:after="0"/>
              <w:rPr>
                <w:sz w:val="17"/>
                <w:szCs w:val="17"/>
                <w:color w:val="auto"/>
              </w:rPr>
            </w:pPr>
          </w:p>
        </w:tc>
        <w:tc>
          <w:tcPr>
            <w:tcW w:w="880" w:type="dxa"/>
            <w:vAlign w:val="bottom"/>
          </w:tcPr>
          <w:p>
            <w:pPr>
              <w:jc w:val="right"/>
              <w:ind w:right="579"/>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109,790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40" w:type="dxa"/>
            <w:vAlign w:val="bottom"/>
            <w:gridSpan w:val="2"/>
            <w:shd w:val="clear" w:color="auto" w:fill="E5FFFF"/>
          </w:tcPr>
          <w:p>
            <w:pPr>
              <w:spacing w:after="0" w:line="203" w:lineRule="exact"/>
              <w:rPr>
                <w:sz w:val="20"/>
                <w:szCs w:val="20"/>
                <w:color w:val="auto"/>
              </w:rPr>
            </w:pPr>
            <w:r>
              <w:rPr>
                <w:rFonts w:ascii="Arial" w:cs="Arial" w:eastAsia="Arial" w:hAnsi="Arial"/>
                <w:sz w:val="16"/>
                <w:szCs w:val="16"/>
                <w:color w:val="auto"/>
              </w:rPr>
              <w:t>Adjusted EBITDA</w:t>
            </w:r>
            <w:r>
              <w:rPr>
                <w:rFonts w:ascii="Arial" w:cs="Arial" w:eastAsia="Arial" w:hAnsi="Arial"/>
                <w:sz w:val="21"/>
                <w:szCs w:val="21"/>
                <w:color w:val="auto"/>
                <w:vertAlign w:val="superscript"/>
              </w:rPr>
              <w:t>(1)</w:t>
            </w:r>
          </w:p>
        </w:tc>
        <w:tc>
          <w:tcPr>
            <w:tcW w:w="4140" w:type="dxa"/>
            <w:vAlign w:val="bottom"/>
            <w:gridSpan w:val="2"/>
            <w:shd w:val="clear" w:color="auto" w:fill="E5FFFF"/>
          </w:tcPr>
          <w:p>
            <w:pPr>
              <w:ind w:left="3860"/>
              <w:spacing w:after="0"/>
              <w:rPr>
                <w:sz w:val="20"/>
                <w:szCs w:val="20"/>
                <w:color w:val="auto"/>
              </w:rPr>
            </w:pPr>
            <w:r>
              <w:rPr>
                <w:rFonts w:ascii="Arial" w:cs="Arial" w:eastAsia="Arial" w:hAnsi="Arial"/>
                <w:sz w:val="16"/>
                <w:szCs w:val="16"/>
                <w:color w:val="auto"/>
              </w:rPr>
              <w:t>$</w:t>
            </w:r>
          </w:p>
        </w:tc>
        <w:tc>
          <w:tcPr>
            <w:tcW w:w="10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95,526</w:t>
            </w:r>
          </w:p>
        </w:tc>
        <w:tc>
          <w:tcPr>
            <w:tcW w:w="300" w:type="dxa"/>
            <w:vAlign w:val="bottom"/>
            <w:shd w:val="clear" w:color="auto" w:fill="E5FFFF"/>
          </w:tcPr>
          <w:p>
            <w:pPr>
              <w:spacing w:after="0"/>
              <w:rPr>
                <w:sz w:val="17"/>
                <w:szCs w:val="17"/>
                <w:color w:val="auto"/>
              </w:rPr>
            </w:pPr>
          </w:p>
        </w:tc>
        <w:tc>
          <w:tcPr>
            <w:tcW w:w="880" w:type="dxa"/>
            <w:vAlign w:val="bottom"/>
            <w:shd w:val="clear" w:color="auto" w:fill="E5FFFF"/>
          </w:tcPr>
          <w:p>
            <w:pPr>
              <w:jc w:val="right"/>
              <w:ind w:right="579"/>
              <w:spacing w:after="0"/>
              <w:rPr>
                <w:sz w:val="20"/>
                <w:szCs w:val="20"/>
                <w:color w:val="auto"/>
              </w:rPr>
            </w:pPr>
            <w:r>
              <w:rPr>
                <w:rFonts w:ascii="Arial" w:cs="Arial" w:eastAsia="Arial" w:hAnsi="Arial"/>
                <w:sz w:val="16"/>
                <w:szCs w:val="16"/>
                <w:color w:val="auto"/>
              </w:rPr>
              <w:t>$</w:t>
            </w:r>
          </w:p>
        </w:tc>
        <w:tc>
          <w:tcPr>
            <w:tcW w:w="6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109,940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40" w:type="dxa"/>
            <w:vAlign w:val="bottom"/>
            <w:gridSpan w:val="2"/>
          </w:tcPr>
          <w:p>
            <w:pPr>
              <w:spacing w:after="0"/>
              <w:rPr>
                <w:sz w:val="20"/>
                <w:szCs w:val="20"/>
                <w:color w:val="auto"/>
              </w:rPr>
            </w:pPr>
            <w:r>
              <w:rPr>
                <w:rFonts w:ascii="Arial" w:cs="Arial" w:eastAsia="Arial" w:hAnsi="Arial"/>
                <w:sz w:val="16"/>
                <w:szCs w:val="16"/>
                <w:color w:val="auto"/>
              </w:rPr>
              <w:t>Profit for the period</w:t>
            </w:r>
          </w:p>
        </w:tc>
        <w:tc>
          <w:tcPr>
            <w:tcW w:w="4140" w:type="dxa"/>
            <w:vAlign w:val="bottom"/>
            <w:gridSpan w:val="2"/>
          </w:tcPr>
          <w:p>
            <w:pPr>
              <w:ind w:left="386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42,541</w:t>
            </w:r>
          </w:p>
        </w:tc>
        <w:tc>
          <w:tcPr>
            <w:tcW w:w="300" w:type="dxa"/>
            <w:vAlign w:val="bottom"/>
          </w:tcPr>
          <w:p>
            <w:pPr>
              <w:spacing w:after="0"/>
              <w:rPr>
                <w:sz w:val="17"/>
                <w:szCs w:val="17"/>
                <w:color w:val="auto"/>
              </w:rPr>
            </w:pPr>
          </w:p>
        </w:tc>
        <w:tc>
          <w:tcPr>
            <w:tcW w:w="880" w:type="dxa"/>
            <w:vAlign w:val="bottom"/>
          </w:tcPr>
          <w:p>
            <w:pPr>
              <w:jc w:val="right"/>
              <w:ind w:right="579"/>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5,899</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40" w:type="dxa"/>
            <w:vAlign w:val="bottom"/>
            <w:gridSpan w:val="2"/>
            <w:shd w:val="clear" w:color="auto" w:fill="E5FFFF"/>
          </w:tcPr>
          <w:p>
            <w:pPr>
              <w:spacing w:after="0" w:line="203" w:lineRule="exact"/>
              <w:rPr>
                <w:sz w:val="20"/>
                <w:szCs w:val="20"/>
                <w:color w:val="auto"/>
              </w:rPr>
            </w:pPr>
            <w:r>
              <w:rPr>
                <w:rFonts w:ascii="Arial" w:cs="Arial" w:eastAsia="Arial" w:hAnsi="Arial"/>
                <w:sz w:val="16"/>
                <w:szCs w:val="16"/>
                <w:color w:val="auto"/>
              </w:rPr>
              <w:t>Adjusted Profit</w:t>
            </w:r>
            <w:r>
              <w:rPr>
                <w:rFonts w:ascii="Arial" w:cs="Arial" w:eastAsia="Arial" w:hAnsi="Arial"/>
                <w:sz w:val="21"/>
                <w:szCs w:val="21"/>
                <w:color w:val="auto"/>
                <w:vertAlign w:val="superscript"/>
              </w:rPr>
              <w:t>(1)</w:t>
            </w:r>
          </w:p>
        </w:tc>
        <w:tc>
          <w:tcPr>
            <w:tcW w:w="4140" w:type="dxa"/>
            <w:vAlign w:val="bottom"/>
            <w:gridSpan w:val="2"/>
            <w:shd w:val="clear" w:color="auto" w:fill="E5FFFF"/>
          </w:tcPr>
          <w:p>
            <w:pPr>
              <w:ind w:left="3860"/>
              <w:spacing w:after="0"/>
              <w:rPr>
                <w:sz w:val="20"/>
                <w:szCs w:val="20"/>
                <w:color w:val="auto"/>
              </w:rPr>
            </w:pPr>
            <w:r>
              <w:rPr>
                <w:rFonts w:ascii="Arial" w:cs="Arial" w:eastAsia="Arial" w:hAnsi="Arial"/>
                <w:sz w:val="16"/>
                <w:szCs w:val="16"/>
                <w:color w:val="auto"/>
              </w:rPr>
              <w:t>$</w:t>
            </w:r>
          </w:p>
        </w:tc>
        <w:tc>
          <w:tcPr>
            <w:tcW w:w="10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25,289</w:t>
            </w:r>
          </w:p>
        </w:tc>
        <w:tc>
          <w:tcPr>
            <w:tcW w:w="300" w:type="dxa"/>
            <w:vAlign w:val="bottom"/>
            <w:shd w:val="clear" w:color="auto" w:fill="E5FFFF"/>
          </w:tcPr>
          <w:p>
            <w:pPr>
              <w:spacing w:after="0"/>
              <w:rPr>
                <w:sz w:val="17"/>
                <w:szCs w:val="17"/>
                <w:color w:val="auto"/>
              </w:rPr>
            </w:pPr>
          </w:p>
        </w:tc>
        <w:tc>
          <w:tcPr>
            <w:tcW w:w="880" w:type="dxa"/>
            <w:vAlign w:val="bottom"/>
            <w:shd w:val="clear" w:color="auto" w:fill="E5FFFF"/>
          </w:tcPr>
          <w:p>
            <w:pPr>
              <w:jc w:val="right"/>
              <w:ind w:right="579"/>
              <w:spacing w:after="0"/>
              <w:rPr>
                <w:sz w:val="20"/>
                <w:szCs w:val="20"/>
                <w:color w:val="auto"/>
              </w:rPr>
            </w:pPr>
            <w:r>
              <w:rPr>
                <w:rFonts w:ascii="Arial" w:cs="Arial" w:eastAsia="Arial" w:hAnsi="Arial"/>
                <w:sz w:val="16"/>
                <w:szCs w:val="16"/>
                <w:color w:val="auto"/>
              </w:rPr>
              <w:t>$</w:t>
            </w:r>
          </w:p>
        </w:tc>
        <w:tc>
          <w:tcPr>
            <w:tcW w:w="6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28,140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540" w:type="dxa"/>
            <w:vAlign w:val="bottom"/>
            <w:gridSpan w:val="2"/>
          </w:tcPr>
          <w:p>
            <w:pPr>
              <w:spacing w:after="0"/>
              <w:rPr>
                <w:sz w:val="20"/>
                <w:szCs w:val="20"/>
                <w:color w:val="auto"/>
              </w:rPr>
            </w:pPr>
            <w:r>
              <w:rPr>
                <w:rFonts w:ascii="Arial" w:cs="Arial" w:eastAsia="Arial" w:hAnsi="Arial"/>
                <w:sz w:val="16"/>
                <w:szCs w:val="16"/>
                <w:color w:val="auto"/>
              </w:rPr>
              <w:t>Profit/(loss) attributable to the owners of GasLog</w:t>
            </w:r>
          </w:p>
        </w:tc>
        <w:tc>
          <w:tcPr>
            <w:tcW w:w="4140" w:type="dxa"/>
            <w:vAlign w:val="bottom"/>
            <w:gridSpan w:val="2"/>
          </w:tcPr>
          <w:p>
            <w:pPr>
              <w:ind w:left="386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19,304</w:t>
            </w:r>
          </w:p>
        </w:tc>
        <w:tc>
          <w:tcPr>
            <w:tcW w:w="300" w:type="dxa"/>
            <w:vAlign w:val="bottom"/>
          </w:tcPr>
          <w:p>
            <w:pPr>
              <w:spacing w:after="0"/>
              <w:rPr>
                <w:sz w:val="17"/>
                <w:szCs w:val="17"/>
                <w:color w:val="auto"/>
              </w:rPr>
            </w:pPr>
          </w:p>
        </w:tc>
        <w:tc>
          <w:tcPr>
            <w:tcW w:w="880" w:type="dxa"/>
            <w:vAlign w:val="bottom"/>
          </w:tcPr>
          <w:p>
            <w:pPr>
              <w:jc w:val="right"/>
              <w:ind w:right="579"/>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w w:val="97"/>
              </w:rPr>
              <w:t>(10,947)</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4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EPS, basic</w:t>
            </w:r>
          </w:p>
        </w:tc>
        <w:tc>
          <w:tcPr>
            <w:tcW w:w="4140" w:type="dxa"/>
            <w:vAlign w:val="bottom"/>
            <w:gridSpan w:val="2"/>
            <w:shd w:val="clear" w:color="auto" w:fill="E5FFFF"/>
          </w:tcPr>
          <w:p>
            <w:pPr>
              <w:ind w:left="3860"/>
              <w:spacing w:after="0"/>
              <w:rPr>
                <w:sz w:val="20"/>
                <w:szCs w:val="20"/>
                <w:color w:val="auto"/>
              </w:rPr>
            </w:pPr>
            <w:r>
              <w:rPr>
                <w:rFonts w:ascii="Arial" w:cs="Arial" w:eastAsia="Arial" w:hAnsi="Arial"/>
                <w:sz w:val="16"/>
                <w:szCs w:val="16"/>
                <w:color w:val="auto"/>
              </w:rPr>
              <w:t>$</w:t>
            </w:r>
          </w:p>
        </w:tc>
        <w:tc>
          <w:tcPr>
            <w:tcW w:w="10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0.21</w:t>
            </w:r>
          </w:p>
        </w:tc>
        <w:tc>
          <w:tcPr>
            <w:tcW w:w="300" w:type="dxa"/>
            <w:vAlign w:val="bottom"/>
            <w:shd w:val="clear" w:color="auto" w:fill="E5FFFF"/>
          </w:tcPr>
          <w:p>
            <w:pPr>
              <w:spacing w:after="0"/>
              <w:rPr>
                <w:sz w:val="17"/>
                <w:szCs w:val="17"/>
                <w:color w:val="auto"/>
              </w:rPr>
            </w:pPr>
          </w:p>
        </w:tc>
        <w:tc>
          <w:tcPr>
            <w:tcW w:w="880" w:type="dxa"/>
            <w:vAlign w:val="bottom"/>
            <w:shd w:val="clear" w:color="auto" w:fill="E5FFFF"/>
          </w:tcPr>
          <w:p>
            <w:pPr>
              <w:jc w:val="right"/>
              <w:ind w:right="579"/>
              <w:spacing w:after="0"/>
              <w:rPr>
                <w:sz w:val="20"/>
                <w:szCs w:val="20"/>
                <w:color w:val="auto"/>
              </w:rPr>
            </w:pPr>
            <w:r>
              <w:rPr>
                <w:rFonts w:ascii="Arial" w:cs="Arial" w:eastAsia="Arial" w:hAnsi="Arial"/>
                <w:sz w:val="16"/>
                <w:szCs w:val="16"/>
                <w:color w:val="auto"/>
              </w:rPr>
              <w:t>$</w:t>
            </w:r>
          </w:p>
        </w:tc>
        <w:tc>
          <w:tcPr>
            <w:tcW w:w="6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(0.17)</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1"/>
        </w:trPr>
        <w:tc>
          <w:tcPr>
            <w:tcW w:w="4540" w:type="dxa"/>
            <w:vAlign w:val="bottom"/>
            <w:gridSpan w:val="2"/>
          </w:tcPr>
          <w:p>
            <w:pPr>
              <w:spacing w:after="0"/>
              <w:rPr>
                <w:sz w:val="20"/>
                <w:szCs w:val="20"/>
                <w:color w:val="auto"/>
              </w:rPr>
            </w:pPr>
            <w:r>
              <w:rPr>
                <w:rFonts w:ascii="Arial" w:cs="Arial" w:eastAsia="Arial" w:hAnsi="Arial"/>
                <w:sz w:val="16"/>
                <w:szCs w:val="16"/>
                <w:color w:val="auto"/>
              </w:rPr>
              <w:t>Adjusted EPS</w:t>
            </w:r>
            <w:r>
              <w:rPr>
                <w:rFonts w:ascii="Arial" w:cs="Arial" w:eastAsia="Arial" w:hAnsi="Arial"/>
                <w:sz w:val="21"/>
                <w:szCs w:val="21"/>
                <w:color w:val="auto"/>
                <w:vertAlign w:val="superscript"/>
              </w:rPr>
              <w:t>(1)</w:t>
            </w:r>
          </w:p>
        </w:tc>
        <w:tc>
          <w:tcPr>
            <w:tcW w:w="4140" w:type="dxa"/>
            <w:vAlign w:val="bottom"/>
            <w:gridSpan w:val="2"/>
          </w:tcPr>
          <w:p>
            <w:pPr>
              <w:ind w:left="3860"/>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ind w:right="240"/>
              <w:spacing w:after="0"/>
              <w:rPr>
                <w:sz w:val="20"/>
                <w:szCs w:val="20"/>
                <w:color w:val="auto"/>
              </w:rPr>
            </w:pPr>
            <w:r>
              <w:rPr>
                <w:rFonts w:ascii="Arial" w:cs="Arial" w:eastAsia="Arial" w:hAnsi="Arial"/>
                <w:sz w:val="16"/>
                <w:szCs w:val="16"/>
                <w:color w:val="auto"/>
              </w:rPr>
              <w:t>(0.01)</w:t>
            </w:r>
          </w:p>
        </w:tc>
        <w:tc>
          <w:tcPr>
            <w:tcW w:w="880" w:type="dxa"/>
            <w:vAlign w:val="bottom"/>
          </w:tcPr>
          <w:p>
            <w:pPr>
              <w:jc w:val="right"/>
              <w:ind w:right="579"/>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0.11</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138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3640" w:type="dxa"/>
            <w:vAlign w:val="bottom"/>
          </w:tcPr>
          <w:p>
            <w:pPr>
              <w:jc w:val="right"/>
              <w:ind w:right="2280"/>
              <w:spacing w:after="0"/>
              <w:rPr>
                <w:sz w:val="20"/>
                <w:szCs w:val="20"/>
                <w:color w:val="auto"/>
              </w:rPr>
            </w:pPr>
            <w:r>
              <w:rPr>
                <w:rFonts w:ascii="Arial" w:cs="Arial" w:eastAsia="Arial" w:hAnsi="Arial"/>
                <w:sz w:val="14"/>
                <w:szCs w:val="14"/>
                <w:color w:val="auto"/>
              </w:rPr>
              <w:t>6</w:t>
            </w: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1380" w:type="dxa"/>
            <w:vAlign w:val="bottom"/>
            <w:tcBorders>
              <w:bottom w:val="single" w:sz="8" w:color="808080"/>
            </w:tcBorders>
          </w:tcPr>
          <w:p>
            <w:pPr>
              <w:spacing w:after="0"/>
              <w:rPr>
                <w:sz w:val="10"/>
                <w:szCs w:val="10"/>
                <w:color w:val="auto"/>
              </w:rPr>
            </w:pPr>
          </w:p>
        </w:tc>
        <w:tc>
          <w:tcPr>
            <w:tcW w:w="3160" w:type="dxa"/>
            <w:vAlign w:val="bottom"/>
            <w:tcBorders>
              <w:bottom w:val="single" w:sz="8" w:color="808080"/>
            </w:tcBorders>
          </w:tcPr>
          <w:p>
            <w:pPr>
              <w:spacing w:after="0"/>
              <w:rPr>
                <w:sz w:val="10"/>
                <w:szCs w:val="10"/>
                <w:color w:val="auto"/>
              </w:rPr>
            </w:pPr>
          </w:p>
        </w:tc>
        <w:tc>
          <w:tcPr>
            <w:tcW w:w="364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7349490</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600"/>
          </w:cols>
          <w:pgMar w:left="160" w:top="266" w:right="139" w:bottom="1440" w:gutter="0" w:footer="0" w:header="0"/>
        </w:sectPr>
      </w:pPr>
    </w:p>
    <w:bookmarkStart w:id="6" w:name="page7"/>
    <w:bookmarkEnd w:id="6"/>
    <w:p>
      <w:pPr>
        <w:jc w:val="both"/>
        <w:ind w:left="140" w:right="160" w:hanging="132"/>
        <w:spacing w:after="0" w:line="208" w:lineRule="auto"/>
        <w:tabs>
          <w:tab w:leader="none" w:pos="174" w:val="left"/>
        </w:tabs>
        <w:numPr>
          <w:ilvl w:val="0"/>
          <w:numId w:val="3"/>
        </w:numPr>
        <w:rPr>
          <w:rFonts w:ascii="Arial" w:cs="Arial" w:eastAsia="Arial" w:hAnsi="Arial"/>
          <w:sz w:val="20"/>
          <w:szCs w:val="20"/>
          <w:color w:val="auto"/>
          <w:vertAlign w:val="superscript"/>
        </w:rPr>
      </w:pPr>
      <w:r>
        <w:rPr>
          <w:rFonts w:ascii="Arial" w:cs="Arial" w:eastAsia="Arial" w:hAnsi="Arial"/>
          <w:sz w:val="14"/>
          <w:szCs w:val="14"/>
          <w:color w:val="auto"/>
        </w:rPr>
        <w:t>EBITDA, Adjusted EBITDA, Adjusted Profit and Adjusted EPS are non-GAAP financial measures, and should not be used in isolation or as a substitute for GasLog’s financial results presented in accordance with IFRS. For definitions and reconciliations of these measurements to the most directly comparable financial measures calculated and presented in accordance with IFRS, please refer to Exhibit II at the end of this press release.</w:t>
      </w:r>
    </w:p>
    <w:p>
      <w:pPr>
        <w:spacing w:after="0" w:line="192" w:lineRule="exact"/>
        <w:rPr>
          <w:sz w:val="20"/>
          <w:szCs w:val="20"/>
          <w:color w:val="auto"/>
        </w:rPr>
      </w:pPr>
    </w:p>
    <w:p>
      <w:pPr>
        <w:ind w:right="360"/>
        <w:spacing w:after="0" w:line="278" w:lineRule="auto"/>
        <w:rPr>
          <w:sz w:val="20"/>
          <w:szCs w:val="20"/>
          <w:color w:val="auto"/>
        </w:rPr>
      </w:pPr>
      <w:r>
        <w:rPr>
          <w:rFonts w:ascii="Arial" w:cs="Arial" w:eastAsia="Arial" w:hAnsi="Arial"/>
          <w:sz w:val="16"/>
          <w:szCs w:val="16"/>
          <w:color w:val="auto"/>
        </w:rPr>
        <w:t xml:space="preserve">There were 2,350 operating days for the quarter ended March 31, 2019, as compared to 2,162 operating days for the quarter ended March 31, 2018. The increase in operating days resulted mainly from the full operation of the </w:t>
      </w:r>
      <w:r>
        <w:rPr>
          <w:rFonts w:ascii="Arial" w:cs="Arial" w:eastAsia="Arial" w:hAnsi="Arial"/>
          <w:sz w:val="16"/>
          <w:szCs w:val="16"/>
          <w:i w:val="1"/>
          <w:iCs w:val="1"/>
          <w:color w:val="auto"/>
        </w:rPr>
        <w:t>GasLog Houston,</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Hong Kong</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GasLog Genoa,</w:t>
      </w:r>
      <w:r>
        <w:rPr>
          <w:rFonts w:ascii="Arial" w:cs="Arial" w:eastAsia="Arial" w:hAnsi="Arial"/>
          <w:sz w:val="16"/>
          <w:szCs w:val="16"/>
          <w:color w:val="auto"/>
        </w:rPr>
        <w:t xml:space="preserve"> delivered on January 8, 2018, March 20, 2018 and March 29, 2018, respectively, and delivery of the </w:t>
      </w:r>
      <w:r>
        <w:rPr>
          <w:rFonts w:ascii="Arial" w:cs="Arial" w:eastAsia="Arial" w:hAnsi="Arial"/>
          <w:sz w:val="16"/>
          <w:szCs w:val="16"/>
          <w:i w:val="1"/>
          <w:iCs w:val="1"/>
          <w:color w:val="auto"/>
        </w:rPr>
        <w:t>GasLog Gladstone</w:t>
      </w:r>
      <w:r>
        <w:rPr>
          <w:rFonts w:ascii="Arial" w:cs="Arial" w:eastAsia="Arial" w:hAnsi="Arial"/>
          <w:sz w:val="16"/>
          <w:szCs w:val="16"/>
          <w:color w:val="auto"/>
        </w:rPr>
        <w:t xml:space="preserve"> on March 15, 2019.</w:t>
      </w:r>
    </w:p>
    <w:p>
      <w:pPr>
        <w:spacing w:after="0" w:line="184" w:lineRule="exact"/>
        <w:rPr>
          <w:sz w:val="20"/>
          <w:szCs w:val="20"/>
          <w:color w:val="auto"/>
        </w:rPr>
      </w:pPr>
    </w:p>
    <w:p>
      <w:pPr>
        <w:ind w:right="80"/>
        <w:spacing w:after="0" w:line="271" w:lineRule="auto"/>
        <w:rPr>
          <w:sz w:val="20"/>
          <w:szCs w:val="20"/>
          <w:color w:val="auto"/>
        </w:rPr>
      </w:pPr>
      <w:r>
        <w:rPr>
          <w:rFonts w:ascii="Arial" w:cs="Arial" w:eastAsia="Arial" w:hAnsi="Arial"/>
          <w:sz w:val="16"/>
          <w:szCs w:val="16"/>
          <w:color w:val="auto"/>
        </w:rPr>
        <w:t xml:space="preserve">Revenues were $166.5 million for the quarter ended March 31, 2019 ($138.5 million for the quarter ended March 31, 2018). The increase was mainly driven by the full operation of the vessels delivered in 2018 (the </w:t>
      </w:r>
      <w:r>
        <w:rPr>
          <w:rFonts w:ascii="Arial" w:cs="Arial" w:eastAsia="Arial" w:hAnsi="Arial"/>
          <w:sz w:val="16"/>
          <w:szCs w:val="16"/>
          <w:i w:val="1"/>
          <w:iCs w:val="1"/>
          <w:color w:val="auto"/>
        </w:rPr>
        <w:t>GasLog Houston,</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Hong Kong</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GasLog Genoa</w:t>
      </w:r>
      <w:r>
        <w:rPr>
          <w:rFonts w:ascii="Arial" w:cs="Arial" w:eastAsia="Arial" w:hAnsi="Arial"/>
          <w:sz w:val="16"/>
          <w:szCs w:val="16"/>
          <w:color w:val="auto"/>
        </w:rPr>
        <w:t xml:space="preserve">) and the new vessel delivered to our fleet during the quarter ended March 31, 2019 </w:t>
      </w:r>
      <w:r>
        <w:rPr>
          <w:rFonts w:ascii="Arial" w:cs="Arial" w:eastAsia="Arial" w:hAnsi="Arial"/>
          <w:sz w:val="16"/>
          <w:szCs w:val="16"/>
          <w:i w:val="1"/>
          <w:iCs w:val="1"/>
          <w:color w:val="auto"/>
        </w:rPr>
        <w:t>(</w:t>
      </w:r>
      <w:r>
        <w:rPr>
          <w:rFonts w:ascii="Arial" w:cs="Arial" w:eastAsia="Arial" w:hAnsi="Arial"/>
          <w:sz w:val="16"/>
          <w:szCs w:val="16"/>
          <w:color w:val="auto"/>
        </w:rPr>
        <w:t xml:space="preserve">the </w:t>
      </w:r>
      <w:r>
        <w:rPr>
          <w:rFonts w:ascii="Arial" w:cs="Arial" w:eastAsia="Arial" w:hAnsi="Arial"/>
          <w:sz w:val="16"/>
          <w:szCs w:val="16"/>
          <w:i w:val="1"/>
          <w:iCs w:val="1"/>
          <w:color w:val="auto"/>
        </w:rPr>
        <w:t>GasLog Gladstone)</w:t>
      </w:r>
      <w:r>
        <w:rPr>
          <w:rFonts w:ascii="Arial" w:cs="Arial" w:eastAsia="Arial" w:hAnsi="Arial"/>
          <w:sz w:val="16"/>
          <w:szCs w:val="16"/>
          <w:color w:val="auto"/>
        </w:rPr>
        <w:t xml:space="preserve"> and the increased revenues from vessels operating in the spot market due to their increased number and utilization and the increase in the daily rates achieved by the GasLog vessels. The above increases were partially offset by the expiration of the initial time charters of the </w:t>
      </w:r>
      <w:r>
        <w:rPr>
          <w:rFonts w:ascii="Arial" w:cs="Arial" w:eastAsia="Arial" w:hAnsi="Arial"/>
          <w:sz w:val="16"/>
          <w:szCs w:val="16"/>
          <w:i w:val="1"/>
          <w:iCs w:val="1"/>
          <w:color w:val="auto"/>
        </w:rPr>
        <w:t>GasLog Shanghai</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Santiago </w:t>
      </w:r>
      <w:r>
        <w:rPr>
          <w:rFonts w:ascii="Arial" w:cs="Arial" w:eastAsia="Arial" w:hAnsi="Arial"/>
          <w:sz w:val="16"/>
          <w:szCs w:val="16"/>
          <w:color w:val="auto"/>
        </w:rPr>
        <w:t>and the</w:t>
      </w:r>
      <w:r>
        <w:rPr>
          <w:rFonts w:ascii="Arial" w:cs="Arial" w:eastAsia="Arial" w:hAnsi="Arial"/>
          <w:sz w:val="16"/>
          <w:szCs w:val="16"/>
          <w:i w:val="1"/>
          <w:iCs w:val="1"/>
          <w:color w:val="auto"/>
        </w:rPr>
        <w:t xml:space="preserve"> GasLog Sydney</w:t>
      </w:r>
      <w:r>
        <w:rPr>
          <w:rFonts w:ascii="Arial" w:cs="Arial" w:eastAsia="Arial" w:hAnsi="Arial"/>
          <w:sz w:val="16"/>
          <w:szCs w:val="16"/>
          <w:color w:val="auto"/>
        </w:rPr>
        <w:t>.</w:t>
      </w:r>
    </w:p>
    <w:p>
      <w:pPr>
        <w:spacing w:after="0" w:line="190" w:lineRule="exact"/>
        <w:rPr>
          <w:sz w:val="20"/>
          <w:szCs w:val="20"/>
          <w:color w:val="auto"/>
        </w:rPr>
      </w:pPr>
    </w:p>
    <w:p>
      <w:pPr>
        <w:ind w:right="80"/>
        <w:spacing w:after="0" w:line="291" w:lineRule="auto"/>
        <w:rPr>
          <w:sz w:val="20"/>
          <w:szCs w:val="20"/>
          <w:color w:val="auto"/>
        </w:rPr>
      </w:pPr>
      <w:r>
        <w:rPr>
          <w:rFonts w:ascii="Arial" w:cs="Arial" w:eastAsia="Arial" w:hAnsi="Arial"/>
          <w:sz w:val="15"/>
          <w:szCs w:val="15"/>
          <w:color w:val="auto"/>
        </w:rPr>
        <w:t>GasLog recognized gross revenues and gross voyage expenses and commissions of $32.1 million and $4.7 million, respectively, from the operation of its vessels in the LNG carrier pooling arrangement (the “Cool Pool”) during the quarter ended March 31, 2019 ($13.4 million and $3.5 million for the quarter ended March 31, 2018, respectively). Net pool allocation was a negative $6.7 million for the quarter ended March 31, 2019 (positive $8.7 million for the quarter ended March 31, 2018). The variances were attributable to the movement in the adjustment of the net pool results generated by the GasLog vessels in accordance with the pool distribution formula for the total fleet of the pool. The increase in GasLog’s total net pool performance during the quarter ended March 31, 2019 compared to the quarter ended March 31, 2018 was driven by the increase in the number of GasLog vessels operating in the Cool Pool, partially offset by the lower spot rates. GasLog’s total net pool performance is presented below:</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680" w:type="dxa"/>
            <w:vAlign w:val="bottom"/>
          </w:tcPr>
          <w:p>
            <w:pPr>
              <w:spacing w:after="0"/>
              <w:rPr>
                <w:sz w:val="18"/>
                <w:szCs w:val="18"/>
                <w:color w:val="auto"/>
              </w:rPr>
            </w:pPr>
          </w:p>
        </w:tc>
        <w:tc>
          <w:tcPr>
            <w:tcW w:w="2880" w:type="dxa"/>
            <w:vAlign w:val="bottom"/>
            <w:gridSpan w:val="4"/>
          </w:tcPr>
          <w:p>
            <w:pPr>
              <w:ind w:left="440"/>
              <w:spacing w:after="0"/>
              <w:rPr>
                <w:sz w:val="20"/>
                <w:szCs w:val="20"/>
                <w:color w:val="auto"/>
              </w:rPr>
            </w:pPr>
            <w:r>
              <w:rPr>
                <w:rFonts w:ascii="Arial" w:cs="Arial" w:eastAsia="Arial" w:hAnsi="Arial"/>
                <w:sz w:val="16"/>
                <w:szCs w:val="16"/>
                <w:b w:val="1"/>
                <w:bCs w:val="1"/>
                <w:color w:val="auto"/>
              </w:rPr>
              <w:t>For the three months ended</w:t>
            </w:r>
          </w:p>
        </w:tc>
        <w:tc>
          <w:tcPr>
            <w:tcW w:w="0" w:type="dxa"/>
            <w:vAlign w:val="bottom"/>
          </w:tcPr>
          <w:p>
            <w:pPr>
              <w:spacing w:after="0"/>
              <w:rPr>
                <w:sz w:val="1"/>
                <w:szCs w:val="1"/>
                <w:color w:val="auto"/>
              </w:rPr>
            </w:pPr>
          </w:p>
        </w:tc>
      </w:tr>
      <w:tr>
        <w:trPr>
          <w:trHeight w:val="262"/>
        </w:trPr>
        <w:tc>
          <w:tcPr>
            <w:tcW w:w="8680" w:type="dxa"/>
            <w:vAlign w:val="bottom"/>
          </w:tcPr>
          <w:p>
            <w:pPr>
              <w:spacing w:after="0"/>
              <w:rPr>
                <w:sz w:val="22"/>
                <w:szCs w:val="22"/>
                <w:color w:val="auto"/>
              </w:rPr>
            </w:pPr>
          </w:p>
        </w:tc>
        <w:tc>
          <w:tcPr>
            <w:tcW w:w="1500" w:type="dxa"/>
            <w:vAlign w:val="bottom"/>
            <w:gridSpan w:val="2"/>
          </w:tcPr>
          <w:p>
            <w:pPr>
              <w:jc w:val="right"/>
              <w:ind w:right="460"/>
              <w:spacing w:after="0"/>
              <w:rPr>
                <w:sz w:val="20"/>
                <w:szCs w:val="20"/>
                <w:color w:val="auto"/>
              </w:rPr>
            </w:pPr>
            <w:r>
              <w:rPr>
                <w:rFonts w:ascii="Arial" w:cs="Arial" w:eastAsia="Arial" w:hAnsi="Arial"/>
                <w:sz w:val="16"/>
                <w:szCs w:val="16"/>
                <w:b w:val="1"/>
                <w:bCs w:val="1"/>
                <w:color w:val="auto"/>
              </w:rPr>
              <w:t>March 31,</w:t>
            </w:r>
          </w:p>
        </w:tc>
        <w:tc>
          <w:tcPr>
            <w:tcW w:w="1380" w:type="dxa"/>
            <w:vAlign w:val="bottom"/>
            <w:gridSpan w:val="2"/>
          </w:tcPr>
          <w:p>
            <w:pPr>
              <w:ind w:left="280"/>
              <w:spacing w:after="0"/>
              <w:rPr>
                <w:sz w:val="20"/>
                <w:szCs w:val="20"/>
                <w:color w:val="auto"/>
              </w:rPr>
            </w:pPr>
            <w:r>
              <w:rPr>
                <w:rFonts w:ascii="Arial" w:cs="Arial" w:eastAsia="Arial" w:hAnsi="Arial"/>
                <w:sz w:val="16"/>
                <w:szCs w:val="16"/>
                <w:b w:val="1"/>
                <w:bCs w:val="1"/>
                <w:color w:val="auto"/>
              </w:rPr>
              <w:t>March 31,</w:t>
            </w:r>
          </w:p>
        </w:tc>
        <w:tc>
          <w:tcPr>
            <w:tcW w:w="0" w:type="dxa"/>
            <w:vAlign w:val="bottom"/>
          </w:tcPr>
          <w:p>
            <w:pPr>
              <w:spacing w:after="0"/>
              <w:rPr>
                <w:sz w:val="1"/>
                <w:szCs w:val="1"/>
                <w:color w:val="auto"/>
              </w:rPr>
            </w:pPr>
          </w:p>
        </w:tc>
      </w:tr>
      <w:tr>
        <w:trPr>
          <w:trHeight w:val="213"/>
        </w:trPr>
        <w:tc>
          <w:tcPr>
            <w:tcW w:w="8680" w:type="dxa"/>
            <w:vAlign w:val="bottom"/>
            <w:vMerge w:val="restart"/>
          </w:tcPr>
          <w:p>
            <w:pPr>
              <w:spacing w:after="0"/>
              <w:rPr>
                <w:sz w:val="20"/>
                <w:szCs w:val="20"/>
                <w:color w:val="auto"/>
              </w:rPr>
            </w:pPr>
            <w:r>
              <w:rPr>
                <w:rFonts w:ascii="Arial" w:cs="Arial" w:eastAsia="Arial" w:hAnsi="Arial"/>
                <w:sz w:val="16"/>
                <w:szCs w:val="16"/>
                <w:b w:val="1"/>
                <w:bCs w:val="1"/>
                <w:i w:val="1"/>
                <w:iCs w:val="1"/>
                <w:color w:val="auto"/>
              </w:rPr>
              <w:t>Amounts in thousands of U.S. Dollars</w:t>
            </w:r>
          </w:p>
        </w:tc>
        <w:tc>
          <w:tcPr>
            <w:tcW w:w="13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2018</w:t>
            </w:r>
          </w:p>
        </w:tc>
        <w:tc>
          <w:tcPr>
            <w:tcW w:w="160" w:type="dxa"/>
            <w:vAlign w:val="bottom"/>
          </w:tcPr>
          <w:p>
            <w:pPr>
              <w:spacing w:after="0"/>
              <w:rPr>
                <w:sz w:val="18"/>
                <w:szCs w:val="18"/>
                <w:color w:val="auto"/>
              </w:rPr>
            </w:pPr>
          </w:p>
        </w:tc>
        <w:tc>
          <w:tcPr>
            <w:tcW w:w="12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8680" w:type="dxa"/>
            <w:vAlign w:val="bottom"/>
            <w:vMerge w:val="continue"/>
          </w:tcPr>
          <w:p>
            <w:pPr>
              <w:spacing w:after="0"/>
              <w:rPr>
                <w:sz w:val="15"/>
                <w:szCs w:val="15"/>
                <w:color w:val="auto"/>
              </w:rPr>
            </w:pPr>
          </w:p>
        </w:tc>
        <w:tc>
          <w:tcPr>
            <w:tcW w:w="1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8680" w:type="dxa"/>
            <w:vAlign w:val="bottom"/>
            <w:shd w:val="clear" w:color="auto" w:fill="E5FFFF"/>
          </w:tcPr>
          <w:p>
            <w:pPr>
              <w:spacing w:after="0"/>
              <w:rPr>
                <w:sz w:val="20"/>
                <w:szCs w:val="20"/>
                <w:color w:val="auto"/>
              </w:rPr>
            </w:pPr>
            <w:r>
              <w:rPr>
                <w:rFonts w:ascii="Arial" w:cs="Arial" w:eastAsia="Arial" w:hAnsi="Arial"/>
                <w:sz w:val="16"/>
                <w:szCs w:val="16"/>
                <w:color w:val="auto"/>
              </w:rPr>
              <w:t>Pool gross revenues (included in Revenues)</w:t>
            </w:r>
          </w:p>
        </w:tc>
        <w:tc>
          <w:tcPr>
            <w:tcW w:w="1500" w:type="dxa"/>
            <w:vAlign w:val="bottom"/>
            <w:gridSpan w:val="2"/>
            <w:shd w:val="clear" w:color="auto" w:fill="E5FFFF"/>
          </w:tcPr>
          <w:p>
            <w:pPr>
              <w:jc w:val="right"/>
              <w:ind w:right="160"/>
              <w:spacing w:after="0"/>
              <w:rPr>
                <w:sz w:val="20"/>
                <w:szCs w:val="20"/>
                <w:color w:val="auto"/>
              </w:rPr>
            </w:pPr>
            <w:r>
              <w:rPr>
                <w:rFonts w:ascii="Arial" w:cs="Arial" w:eastAsia="Arial" w:hAnsi="Arial"/>
                <w:sz w:val="16"/>
                <w:szCs w:val="16"/>
                <w:color w:val="auto"/>
              </w:rPr>
              <w:t>13,405</w:t>
            </w:r>
          </w:p>
        </w:tc>
        <w:tc>
          <w:tcPr>
            <w:tcW w:w="12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32,142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680" w:type="dxa"/>
            <w:vAlign w:val="bottom"/>
          </w:tcPr>
          <w:p>
            <w:pPr>
              <w:spacing w:after="0"/>
              <w:rPr>
                <w:sz w:val="20"/>
                <w:szCs w:val="20"/>
                <w:color w:val="auto"/>
              </w:rPr>
            </w:pPr>
            <w:r>
              <w:rPr>
                <w:rFonts w:ascii="Arial" w:cs="Arial" w:eastAsia="Arial" w:hAnsi="Arial"/>
                <w:sz w:val="16"/>
                <w:szCs w:val="16"/>
                <w:color w:val="auto"/>
              </w:rPr>
              <w:t>Pool gross voyage expenses and commissions (included in Voyage expenses and commissions)</w:t>
            </w:r>
          </w:p>
        </w:tc>
        <w:tc>
          <w:tcPr>
            <w:tcW w:w="1500" w:type="dxa"/>
            <w:vAlign w:val="bottom"/>
            <w:gridSpan w:val="2"/>
          </w:tcPr>
          <w:p>
            <w:pPr>
              <w:jc w:val="right"/>
              <w:ind w:right="100"/>
              <w:spacing w:after="0"/>
              <w:rPr>
                <w:sz w:val="20"/>
                <w:szCs w:val="20"/>
                <w:color w:val="auto"/>
              </w:rPr>
            </w:pPr>
            <w:r>
              <w:rPr>
                <w:rFonts w:ascii="Arial" w:cs="Arial" w:eastAsia="Arial" w:hAnsi="Arial"/>
                <w:sz w:val="16"/>
                <w:szCs w:val="16"/>
                <w:color w:val="auto"/>
              </w:rPr>
              <w:t>(3,538)</w:t>
            </w:r>
          </w:p>
        </w:tc>
        <w:tc>
          <w:tcPr>
            <w:tcW w:w="1280" w:type="dxa"/>
            <w:vAlign w:val="bottom"/>
          </w:tcPr>
          <w:p>
            <w:pPr>
              <w:jc w:val="right"/>
              <w:spacing w:after="0"/>
              <w:rPr>
                <w:sz w:val="20"/>
                <w:szCs w:val="20"/>
                <w:color w:val="auto"/>
              </w:rPr>
            </w:pPr>
            <w:r>
              <w:rPr>
                <w:rFonts w:ascii="Arial" w:cs="Arial" w:eastAsia="Arial" w:hAnsi="Arial"/>
                <w:sz w:val="16"/>
                <w:szCs w:val="16"/>
                <w:color w:val="auto"/>
              </w:rPr>
              <w:t>(4,677)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80" w:type="dxa"/>
            <w:vAlign w:val="bottom"/>
            <w:shd w:val="clear" w:color="auto" w:fill="E5FFFF"/>
          </w:tcPr>
          <w:p>
            <w:pPr>
              <w:spacing w:after="0"/>
              <w:rPr>
                <w:sz w:val="20"/>
                <w:szCs w:val="20"/>
                <w:color w:val="auto"/>
              </w:rPr>
            </w:pPr>
            <w:r>
              <w:rPr>
                <w:rFonts w:ascii="Arial" w:cs="Arial" w:eastAsia="Arial" w:hAnsi="Arial"/>
                <w:sz w:val="16"/>
                <w:szCs w:val="16"/>
                <w:color w:val="auto"/>
              </w:rPr>
              <w:t>GasLog’s adjustment for net pool allocation (included in Net pool allocation)</w:t>
            </w:r>
          </w:p>
        </w:tc>
        <w:tc>
          <w:tcPr>
            <w:tcW w:w="1500" w:type="dxa"/>
            <w:vAlign w:val="bottom"/>
            <w:gridSpan w:val="2"/>
            <w:shd w:val="clear" w:color="auto" w:fill="E5FFFF"/>
          </w:tcPr>
          <w:p>
            <w:pPr>
              <w:jc w:val="right"/>
              <w:ind w:right="160"/>
              <w:spacing w:after="0"/>
              <w:rPr>
                <w:sz w:val="20"/>
                <w:szCs w:val="20"/>
                <w:color w:val="auto"/>
              </w:rPr>
            </w:pPr>
            <w:r>
              <w:rPr>
                <w:rFonts w:ascii="Arial" w:cs="Arial" w:eastAsia="Arial" w:hAnsi="Arial"/>
                <w:sz w:val="16"/>
                <w:szCs w:val="16"/>
                <w:color w:val="auto"/>
              </w:rPr>
              <w:t>8,653</w:t>
            </w:r>
          </w:p>
        </w:tc>
        <w:tc>
          <w:tcPr>
            <w:tcW w:w="12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(6,738)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80" w:type="dxa"/>
            <w:vAlign w:val="bottom"/>
          </w:tcPr>
          <w:p>
            <w:pPr>
              <w:spacing w:after="0"/>
              <w:rPr>
                <w:sz w:val="20"/>
                <w:szCs w:val="20"/>
                <w:color w:val="auto"/>
              </w:rPr>
            </w:pPr>
            <w:r>
              <w:rPr>
                <w:rFonts w:ascii="Arial" w:cs="Arial" w:eastAsia="Arial" w:hAnsi="Arial"/>
                <w:sz w:val="16"/>
                <w:szCs w:val="16"/>
                <w:b w:val="1"/>
                <w:bCs w:val="1"/>
                <w:color w:val="auto"/>
              </w:rPr>
              <w:t>GasLog’s total net pool performance</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18,520</w:t>
            </w:r>
          </w:p>
        </w:tc>
        <w:tc>
          <w:tcPr>
            <w:tcW w:w="160" w:type="dxa"/>
            <w:vAlign w:val="bottom"/>
          </w:tcPr>
          <w:p>
            <w:pPr>
              <w:spacing w:after="0"/>
              <w:rPr>
                <w:sz w:val="17"/>
                <w:szCs w:val="17"/>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20,727</w:t>
            </w:r>
          </w:p>
        </w:tc>
        <w:tc>
          <w:tcPr>
            <w:tcW w:w="10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right="220"/>
        <w:spacing w:after="0" w:line="293" w:lineRule="auto"/>
        <w:rPr>
          <w:sz w:val="20"/>
          <w:szCs w:val="20"/>
          <w:color w:val="auto"/>
        </w:rPr>
      </w:pPr>
      <w:r>
        <w:rPr>
          <w:rFonts w:ascii="Arial" w:cs="Arial" w:eastAsia="Arial" w:hAnsi="Arial"/>
          <w:sz w:val="16"/>
          <w:szCs w:val="16"/>
          <w:color w:val="auto"/>
        </w:rPr>
        <w:t>Voyage expenses and commissions were $6.9 million for the quarter ended March 31, 2019 ($5.3 million for the quarter ended March 31, 2018). The increase resulted from the increased bunkers consumption of the vessels operating in the spot market.</w:t>
      </w:r>
    </w:p>
    <w:p>
      <w:pPr>
        <w:spacing w:after="0" w:line="172" w:lineRule="exact"/>
        <w:rPr>
          <w:sz w:val="20"/>
          <w:szCs w:val="20"/>
          <w:color w:val="auto"/>
        </w:rPr>
      </w:pPr>
    </w:p>
    <w:p>
      <w:pPr>
        <w:jc w:val="both"/>
        <w:ind w:right="100"/>
        <w:spacing w:after="0" w:line="273" w:lineRule="auto"/>
        <w:rPr>
          <w:sz w:val="20"/>
          <w:szCs w:val="20"/>
          <w:color w:val="auto"/>
        </w:rPr>
      </w:pPr>
      <w:r>
        <w:rPr>
          <w:rFonts w:ascii="Arial" w:cs="Arial" w:eastAsia="Arial" w:hAnsi="Arial"/>
          <w:sz w:val="16"/>
          <w:szCs w:val="16"/>
          <w:color w:val="auto"/>
        </w:rPr>
        <w:t>Vessel operating and supervision costs were $33.0 million for the quarter ended March 31, 2019 ($34.3 million for the quarter ended March 31, 2018). The decrease was mainly attributable to the decrease in employee costs, crew wages and technical maintenance expenses, mainly due to the favorable movement of the Euro (“EUR”)/USD exchange rate, and a decrease in vessel taxes. As a result, daily operating costs per vessel decreased from $16,512 per day for the three-month period ended March 31, 2018 to $14,550 per day for the three-month period ended March 31, 2019.</w:t>
      </w:r>
    </w:p>
    <w:p>
      <w:pPr>
        <w:spacing w:after="0" w:line="189" w:lineRule="exact"/>
        <w:rPr>
          <w:sz w:val="20"/>
          <w:szCs w:val="20"/>
          <w:color w:val="auto"/>
        </w:rPr>
      </w:pPr>
    </w:p>
    <w:p>
      <w:pPr>
        <w:ind w:right="260"/>
        <w:spacing w:after="0" w:line="273" w:lineRule="auto"/>
        <w:rPr>
          <w:sz w:val="20"/>
          <w:szCs w:val="20"/>
          <w:color w:val="auto"/>
        </w:rPr>
      </w:pPr>
      <w:r>
        <w:rPr>
          <w:rFonts w:ascii="Arial" w:cs="Arial" w:eastAsia="Arial" w:hAnsi="Arial"/>
          <w:sz w:val="16"/>
          <w:szCs w:val="16"/>
          <w:color w:val="auto"/>
        </w:rPr>
        <w:t>General and administrative expenses were $10.4 million for the quarter ended March 31, 2019 ($12.0 million for the quarter ended March 31, 2018). The decrease is mainly attributable to a decrease in employee costs, which were mainly affected by the favorable movement of the USD against the EUR and the British pound (“GBP”). GasLog has entered into forward foreign exchange contracts to economically hedge part of this exposure and the associated realized gains/losses are recorded in Gain/(loss) on derivatives, which is discussed below.</w:t>
      </w:r>
    </w:p>
    <w:p>
      <w:pPr>
        <w:spacing w:after="0" w:line="189" w:lineRule="exact"/>
        <w:rPr>
          <w:sz w:val="20"/>
          <w:szCs w:val="20"/>
          <w:color w:val="auto"/>
        </w:rPr>
      </w:pPr>
    </w:p>
    <w:p>
      <w:pPr>
        <w:ind w:right="40"/>
        <w:spacing w:after="0" w:line="269" w:lineRule="auto"/>
        <w:rPr>
          <w:sz w:val="20"/>
          <w:szCs w:val="20"/>
          <w:color w:val="auto"/>
        </w:rPr>
      </w:pPr>
      <w:r>
        <w:rPr>
          <w:rFonts w:ascii="Arial" w:cs="Arial" w:eastAsia="Arial" w:hAnsi="Arial"/>
          <w:sz w:val="16"/>
          <w:szCs w:val="16"/>
          <w:color w:val="auto"/>
        </w:rPr>
        <w:t xml:space="preserve">Following the implementation of IFRS 16 </w:t>
      </w:r>
      <w:r>
        <w:rPr>
          <w:rFonts w:ascii="Arial" w:cs="Arial" w:eastAsia="Arial" w:hAnsi="Arial"/>
          <w:sz w:val="16"/>
          <w:szCs w:val="16"/>
          <w:i w:val="1"/>
          <w:iCs w:val="1"/>
          <w:color w:val="auto"/>
        </w:rPr>
        <w:t>Leases</w:t>
      </w:r>
      <w:r>
        <w:rPr>
          <w:rFonts w:ascii="Arial" w:cs="Arial" w:eastAsia="Arial" w:hAnsi="Arial"/>
          <w:sz w:val="16"/>
          <w:szCs w:val="16"/>
          <w:color w:val="auto"/>
        </w:rPr>
        <w:t xml:space="preserve"> on January 1, 2019, the Group’s leases on vessel equipment, office equipment and properties are recognized as a right-of-use asset and a corresponding liability on the date when the leased assets are available for use by the Group. Each lease payment is allocated between the liability and finance cost. The finance cost is charged to profit or loss over the lease period to produce a constant periodic rate of interest on the remaining balance of the liability for each period. The right-of-use asset is depreciated over the shorter of the asset’s useful life and the lease term on a straight-line basis. Historically, the respective expenses were included in Vessel operating and supervision costs ($0.3 million for the three months ended March 31, 2018) and General and administrative expenses ($0.2 million for the three months ended March 31, 2018).</w:t>
      </w:r>
    </w:p>
    <w:p>
      <w:pPr>
        <w:spacing w:after="0" w:line="194" w:lineRule="exact"/>
        <w:rPr>
          <w:sz w:val="20"/>
          <w:szCs w:val="20"/>
          <w:color w:val="auto"/>
        </w:rPr>
      </w:pPr>
    </w:p>
    <w:p>
      <w:pPr>
        <w:ind w:right="60"/>
        <w:spacing w:after="0" w:line="369" w:lineRule="auto"/>
        <w:rPr>
          <w:sz w:val="20"/>
          <w:szCs w:val="20"/>
          <w:color w:val="auto"/>
        </w:rPr>
      </w:pPr>
      <w:r>
        <w:rPr>
          <w:rFonts w:ascii="Arial" w:cs="Arial" w:eastAsia="Arial" w:hAnsi="Arial"/>
          <w:sz w:val="14"/>
          <w:szCs w:val="14"/>
          <w:color w:val="auto"/>
        </w:rPr>
        <w:t xml:space="preserve">Depreciation was $39.6 million for the quarter ended March 31, 2019 ($35.5 million for the quarter ended March 31, 2018). The increase resulted from the deliveries of the </w:t>
      </w:r>
      <w:r>
        <w:rPr>
          <w:rFonts w:ascii="Arial" w:cs="Arial" w:eastAsia="Arial" w:hAnsi="Arial"/>
          <w:sz w:val="14"/>
          <w:szCs w:val="14"/>
          <w:i w:val="1"/>
          <w:iCs w:val="1"/>
          <w:color w:val="auto"/>
        </w:rPr>
        <w:t>GasLog Houston</w:t>
      </w:r>
      <w:r>
        <w:rPr>
          <w:rFonts w:ascii="Arial" w:cs="Arial" w:eastAsia="Arial" w:hAnsi="Arial"/>
          <w:sz w:val="14"/>
          <w:szCs w:val="14"/>
          <w:color w:val="auto"/>
        </w:rPr>
        <w:t>, the</w:t>
      </w:r>
      <w:r>
        <w:rPr>
          <w:rFonts w:ascii="Arial" w:cs="Arial" w:eastAsia="Arial" w:hAnsi="Arial"/>
          <w:sz w:val="14"/>
          <w:szCs w:val="14"/>
          <w:i w:val="1"/>
          <w:iCs w:val="1"/>
          <w:color w:val="auto"/>
        </w:rPr>
        <w:t xml:space="preserve"> GasLog Hong Kong, </w:t>
      </w:r>
      <w:r>
        <w:rPr>
          <w:rFonts w:ascii="Arial" w:cs="Arial" w:eastAsia="Arial" w:hAnsi="Arial"/>
          <w:sz w:val="14"/>
          <w:szCs w:val="14"/>
          <w:color w:val="auto"/>
        </w:rPr>
        <w:t>the</w:t>
      </w:r>
      <w:r>
        <w:rPr>
          <w:rFonts w:ascii="Arial" w:cs="Arial" w:eastAsia="Arial" w:hAnsi="Arial"/>
          <w:sz w:val="14"/>
          <w:szCs w:val="14"/>
          <w:i w:val="1"/>
          <w:iCs w:val="1"/>
          <w:color w:val="auto"/>
        </w:rPr>
        <w:t xml:space="preserve"> GasLog Genoa </w:t>
      </w:r>
      <w:r>
        <w:rPr>
          <w:rFonts w:ascii="Arial" w:cs="Arial" w:eastAsia="Arial" w:hAnsi="Arial"/>
          <w:sz w:val="14"/>
          <w:szCs w:val="14"/>
          <w:color w:val="auto"/>
        </w:rPr>
        <w:t>and the</w:t>
      </w:r>
      <w:r>
        <w:rPr>
          <w:rFonts w:ascii="Arial" w:cs="Arial" w:eastAsia="Arial" w:hAnsi="Arial"/>
          <w:sz w:val="14"/>
          <w:szCs w:val="14"/>
          <w:i w:val="1"/>
          <w:iCs w:val="1"/>
          <w:color w:val="auto"/>
        </w:rPr>
        <w:t xml:space="preserve"> GasLog Gladstone </w:t>
      </w:r>
      <w:r>
        <w:rPr>
          <w:rFonts w:ascii="Arial" w:cs="Arial" w:eastAsia="Arial" w:hAnsi="Arial"/>
          <w:sz w:val="14"/>
          <w:szCs w:val="14"/>
          <w:color w:val="auto"/>
        </w:rPr>
        <w:t>on January 8, 2018, March 20, 2018, March 29, 2018 and March 15, 2019, respectively.</w:t>
      </w:r>
    </w:p>
    <w:p>
      <w:pPr>
        <w:spacing w:after="0" w:line="126" w:lineRule="exact"/>
        <w:rPr>
          <w:sz w:val="20"/>
          <w:szCs w:val="20"/>
          <w:color w:val="auto"/>
        </w:rPr>
      </w:pPr>
    </w:p>
    <w:p>
      <w:pPr>
        <w:ind w:right="200"/>
        <w:spacing w:after="0" w:line="278" w:lineRule="auto"/>
        <w:rPr>
          <w:sz w:val="20"/>
          <w:szCs w:val="20"/>
          <w:color w:val="auto"/>
        </w:rPr>
      </w:pPr>
      <w:r>
        <w:rPr>
          <w:rFonts w:ascii="Arial" w:cs="Arial" w:eastAsia="Arial" w:hAnsi="Arial"/>
          <w:sz w:val="16"/>
          <w:szCs w:val="16"/>
          <w:color w:val="auto"/>
        </w:rPr>
        <w:t>Financial costs were $45.5 million for the quarter ended March 31, 2019 ($36.6 million for the quarter ended March 31, 2018). The increase was mainly attributable to the increased weighted average interest rate deriving from the upward movement of the LIBOR and to the increased weighted average outstanding indebtedness. An analysis of the financial costs is presented below:</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00" w:type="dxa"/>
            <w:vAlign w:val="bottom"/>
          </w:tcPr>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All amounts expressed in thousands of U.S. dollars</w:t>
            </w:r>
            <w:r>
              <w:rPr>
                <w:rFonts w:ascii="Arial" w:cs="Arial" w:eastAsia="Arial" w:hAnsi="Arial"/>
                <w:sz w:val="16"/>
                <w:szCs w:val="16"/>
                <w:color w:val="auto"/>
              </w:rPr>
              <w:t>)</w:t>
            </w:r>
          </w:p>
        </w:tc>
        <w:tc>
          <w:tcPr>
            <w:tcW w:w="3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40" w:type="dxa"/>
            <w:vAlign w:val="bottom"/>
            <w:gridSpan w:val="5"/>
          </w:tcPr>
          <w:p>
            <w:pPr>
              <w:jc w:val="right"/>
              <w:ind w:right="780"/>
              <w:spacing w:after="0"/>
              <w:rPr>
                <w:sz w:val="20"/>
                <w:szCs w:val="20"/>
                <w:color w:val="auto"/>
              </w:rPr>
            </w:pPr>
            <w:r>
              <w:rPr>
                <w:rFonts w:ascii="Arial" w:cs="Arial" w:eastAsia="Arial" w:hAnsi="Arial"/>
                <w:sz w:val="16"/>
                <w:szCs w:val="16"/>
                <w:b w:val="1"/>
                <w:bCs w:val="1"/>
                <w:color w:val="auto"/>
              </w:rPr>
              <w:t>For the three months ended</w:t>
            </w:r>
          </w:p>
        </w:tc>
        <w:tc>
          <w:tcPr>
            <w:tcW w:w="0" w:type="dxa"/>
            <w:vAlign w:val="bottom"/>
          </w:tcPr>
          <w:p>
            <w:pPr>
              <w:spacing w:after="0"/>
              <w:rPr>
                <w:sz w:val="1"/>
                <w:szCs w:val="1"/>
                <w:color w:val="auto"/>
              </w:rPr>
            </w:pPr>
          </w:p>
        </w:tc>
      </w:tr>
      <w:tr>
        <w:trPr>
          <w:trHeight w:val="219"/>
        </w:trPr>
        <w:tc>
          <w:tcPr>
            <w:tcW w:w="510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gridSpan w:val="2"/>
          </w:tcPr>
          <w:p>
            <w:pPr>
              <w:jc w:val="right"/>
              <w:ind w:right="439"/>
              <w:spacing w:after="0"/>
              <w:rPr>
                <w:sz w:val="20"/>
                <w:szCs w:val="20"/>
                <w:color w:val="auto"/>
              </w:rPr>
            </w:pPr>
            <w:r>
              <w:rPr>
                <w:rFonts w:ascii="Arial" w:cs="Arial" w:eastAsia="Arial" w:hAnsi="Arial"/>
                <w:sz w:val="16"/>
                <w:szCs w:val="16"/>
                <w:b w:val="1"/>
                <w:bCs w:val="1"/>
                <w:color w:val="auto"/>
                <w:w w:val="94"/>
              </w:rPr>
              <w:t>March 31, 2018</w:t>
            </w:r>
          </w:p>
        </w:tc>
        <w:tc>
          <w:tcPr>
            <w:tcW w:w="180" w:type="dxa"/>
            <w:vAlign w:val="bottom"/>
          </w:tcPr>
          <w:p>
            <w:pPr>
              <w:spacing w:after="0"/>
              <w:rPr>
                <w:sz w:val="19"/>
                <w:szCs w:val="19"/>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w w:val="94"/>
              </w:rPr>
              <w:t>March 31, 2019</w:t>
            </w:r>
          </w:p>
        </w:tc>
        <w:tc>
          <w:tcPr>
            <w:tcW w:w="0" w:type="dxa"/>
            <w:vAlign w:val="bottom"/>
          </w:tcPr>
          <w:p>
            <w:pPr>
              <w:spacing w:after="0"/>
              <w:rPr>
                <w:sz w:val="1"/>
                <w:szCs w:val="1"/>
                <w:color w:val="auto"/>
              </w:rPr>
            </w:pPr>
          </w:p>
        </w:tc>
      </w:tr>
      <w:tr>
        <w:trPr>
          <w:trHeight w:val="185"/>
        </w:trPr>
        <w:tc>
          <w:tcPr>
            <w:tcW w:w="510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Financial costs</w:t>
            </w:r>
          </w:p>
        </w:tc>
        <w:tc>
          <w:tcPr>
            <w:tcW w:w="3080" w:type="dxa"/>
            <w:vAlign w:val="bottom"/>
            <w:tcBorders>
              <w:top w:val="single" w:sz="8" w:color="E5FFFF"/>
            </w:tcBorders>
            <w:shd w:val="clear" w:color="auto" w:fill="E5FFFF"/>
          </w:tcPr>
          <w:p>
            <w:pPr>
              <w:spacing w:after="0"/>
              <w:rPr>
                <w:sz w:val="16"/>
                <w:szCs w:val="16"/>
                <w:color w:val="auto"/>
              </w:rPr>
            </w:pPr>
          </w:p>
        </w:tc>
        <w:tc>
          <w:tcPr>
            <w:tcW w:w="180" w:type="dxa"/>
            <w:vAlign w:val="bottom"/>
            <w:tcBorders>
              <w:top w:val="single" w:sz="8" w:color="auto"/>
            </w:tcBorders>
            <w:shd w:val="clear" w:color="auto" w:fill="E5FFFF"/>
          </w:tcPr>
          <w:p>
            <w:pPr>
              <w:spacing w:after="0"/>
              <w:rPr>
                <w:sz w:val="16"/>
                <w:szCs w:val="16"/>
                <w:color w:val="auto"/>
              </w:rPr>
            </w:pPr>
          </w:p>
        </w:tc>
        <w:tc>
          <w:tcPr>
            <w:tcW w:w="1320" w:type="dxa"/>
            <w:vAlign w:val="bottom"/>
            <w:tcBorders>
              <w:top w:val="single" w:sz="8" w:color="auto"/>
            </w:tcBorders>
            <w:shd w:val="clear" w:color="auto" w:fill="E5FFFF"/>
          </w:tcPr>
          <w:p>
            <w:pPr>
              <w:spacing w:after="0"/>
              <w:rPr>
                <w:sz w:val="16"/>
                <w:szCs w:val="16"/>
                <w:color w:val="auto"/>
              </w:rPr>
            </w:pPr>
          </w:p>
        </w:tc>
        <w:tc>
          <w:tcPr>
            <w:tcW w:w="300" w:type="dxa"/>
            <w:vAlign w:val="bottom"/>
            <w:tcBorders>
              <w:top w:val="single" w:sz="8" w:color="E5FFFF"/>
            </w:tcBorders>
            <w:shd w:val="clear" w:color="auto" w:fill="E5FFFF"/>
          </w:tcPr>
          <w:p>
            <w:pPr>
              <w:spacing w:after="0"/>
              <w:rPr>
                <w:sz w:val="16"/>
                <w:szCs w:val="16"/>
                <w:color w:val="auto"/>
              </w:rPr>
            </w:pPr>
          </w:p>
        </w:tc>
        <w:tc>
          <w:tcPr>
            <w:tcW w:w="180" w:type="dxa"/>
            <w:vAlign w:val="bottom"/>
            <w:tcBorders>
              <w:top w:val="single" w:sz="8" w:color="auto"/>
            </w:tcBorders>
            <w:shd w:val="clear" w:color="auto" w:fill="E5FFFF"/>
          </w:tcPr>
          <w:p>
            <w:pPr>
              <w:spacing w:after="0"/>
              <w:rPr>
                <w:sz w:val="16"/>
                <w:szCs w:val="16"/>
                <w:color w:val="auto"/>
              </w:rPr>
            </w:pPr>
          </w:p>
        </w:tc>
        <w:tc>
          <w:tcPr>
            <w:tcW w:w="1320" w:type="dxa"/>
            <w:vAlign w:val="bottom"/>
            <w:tcBorders>
              <w:top w:val="single" w:sz="8" w:color="auto"/>
              <w:right w:val="single" w:sz="8" w:color="E5FFFF"/>
            </w:tcBorders>
            <w:shd w:val="clear" w:color="auto" w:fill="E5FFFF"/>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100" w:type="dxa"/>
            <w:vAlign w:val="bottom"/>
          </w:tcPr>
          <w:p>
            <w:pPr>
              <w:spacing w:after="0"/>
              <w:rPr>
                <w:sz w:val="20"/>
                <w:szCs w:val="20"/>
                <w:color w:val="auto"/>
              </w:rPr>
            </w:pPr>
            <w:r>
              <w:rPr>
                <w:rFonts w:ascii="Arial" w:cs="Arial" w:eastAsia="Arial" w:hAnsi="Arial"/>
                <w:sz w:val="16"/>
                <w:szCs w:val="16"/>
                <w:color w:val="auto"/>
              </w:rPr>
              <w:t>Amortization and write-off of deferred loan/bond issuance costs</w:t>
            </w:r>
          </w:p>
        </w:tc>
        <w:tc>
          <w:tcPr>
            <w:tcW w:w="3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620" w:type="dxa"/>
            <w:vAlign w:val="bottom"/>
            <w:gridSpan w:val="2"/>
          </w:tcPr>
          <w:p>
            <w:pPr>
              <w:jc w:val="right"/>
              <w:ind w:right="159"/>
              <w:spacing w:after="0"/>
              <w:rPr>
                <w:sz w:val="20"/>
                <w:szCs w:val="20"/>
                <w:color w:val="auto"/>
              </w:rPr>
            </w:pPr>
            <w:r>
              <w:rPr>
                <w:rFonts w:ascii="Arial" w:cs="Arial" w:eastAsia="Arial" w:hAnsi="Arial"/>
                <w:sz w:val="16"/>
                <w:szCs w:val="16"/>
                <w:color w:val="auto"/>
              </w:rPr>
              <w:t>(2,912)</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(4,161)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00" w:type="dxa"/>
            <w:vAlign w:val="bottom"/>
            <w:shd w:val="clear" w:color="auto" w:fill="E5FFFF"/>
          </w:tcPr>
          <w:p>
            <w:pPr>
              <w:spacing w:after="0"/>
              <w:rPr>
                <w:sz w:val="20"/>
                <w:szCs w:val="20"/>
                <w:color w:val="auto"/>
              </w:rPr>
            </w:pPr>
            <w:r>
              <w:rPr>
                <w:rFonts w:ascii="Arial" w:cs="Arial" w:eastAsia="Arial" w:hAnsi="Arial"/>
                <w:sz w:val="16"/>
                <w:szCs w:val="16"/>
                <w:color w:val="auto"/>
              </w:rPr>
              <w:t>Interest expense on loans</w:t>
            </w:r>
          </w:p>
        </w:tc>
        <w:tc>
          <w:tcPr>
            <w:tcW w:w="308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1620" w:type="dxa"/>
            <w:vAlign w:val="bottom"/>
            <w:gridSpan w:val="2"/>
            <w:shd w:val="clear" w:color="auto" w:fill="E5FFFF"/>
          </w:tcPr>
          <w:p>
            <w:pPr>
              <w:jc w:val="right"/>
              <w:ind w:right="159"/>
              <w:spacing w:after="0"/>
              <w:rPr>
                <w:sz w:val="20"/>
                <w:szCs w:val="20"/>
                <w:color w:val="auto"/>
              </w:rPr>
            </w:pPr>
            <w:r>
              <w:rPr>
                <w:rFonts w:ascii="Arial" w:cs="Arial" w:eastAsia="Arial" w:hAnsi="Arial"/>
                <w:sz w:val="16"/>
                <w:szCs w:val="16"/>
                <w:color w:val="auto"/>
              </w:rPr>
              <w:t>(23,197)</w:t>
            </w:r>
          </w:p>
        </w:tc>
        <w:tc>
          <w:tcPr>
            <w:tcW w:w="180" w:type="dxa"/>
            <w:vAlign w:val="bottom"/>
            <w:shd w:val="clear" w:color="auto" w:fill="E5FFFF"/>
          </w:tcPr>
          <w:p>
            <w:pPr>
              <w:spacing w:after="0"/>
              <w:rPr>
                <w:sz w:val="17"/>
                <w:szCs w:val="17"/>
                <w:color w:val="auto"/>
              </w:rPr>
            </w:pPr>
          </w:p>
        </w:tc>
        <w:tc>
          <w:tcPr>
            <w:tcW w:w="1320" w:type="dxa"/>
            <w:vAlign w:val="bottom"/>
            <w:tcBorders>
              <w:right w:val="single" w:sz="8" w:color="E5FFFF"/>
            </w:tcBorders>
            <w:shd w:val="clear" w:color="auto" w:fill="E5FFFF"/>
          </w:tcPr>
          <w:p>
            <w:pPr>
              <w:jc w:val="right"/>
              <w:spacing w:after="0"/>
              <w:rPr>
                <w:sz w:val="20"/>
                <w:szCs w:val="20"/>
                <w:color w:val="auto"/>
              </w:rPr>
            </w:pPr>
            <w:r>
              <w:rPr>
                <w:rFonts w:ascii="Arial" w:cs="Arial" w:eastAsia="Arial" w:hAnsi="Arial"/>
                <w:sz w:val="16"/>
                <w:szCs w:val="16"/>
                <w:color w:val="auto"/>
              </w:rPr>
              <w:t>(30,591)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00" w:type="dxa"/>
            <w:vAlign w:val="bottom"/>
          </w:tcPr>
          <w:p>
            <w:pPr>
              <w:spacing w:after="0"/>
              <w:rPr>
                <w:sz w:val="20"/>
                <w:szCs w:val="20"/>
                <w:color w:val="auto"/>
              </w:rPr>
            </w:pPr>
            <w:r>
              <w:rPr>
                <w:rFonts w:ascii="Arial" w:cs="Arial" w:eastAsia="Arial" w:hAnsi="Arial"/>
                <w:sz w:val="16"/>
                <w:szCs w:val="16"/>
                <w:color w:val="auto"/>
              </w:rPr>
              <w:t>Interest expense on bonds and realized loss on cross-currency swaps</w:t>
            </w:r>
          </w:p>
        </w:tc>
        <w:tc>
          <w:tcPr>
            <w:tcW w:w="3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gridSpan w:val="2"/>
          </w:tcPr>
          <w:p>
            <w:pPr>
              <w:jc w:val="right"/>
              <w:ind w:right="159"/>
              <w:spacing w:after="0"/>
              <w:rPr>
                <w:sz w:val="20"/>
                <w:szCs w:val="20"/>
                <w:color w:val="auto"/>
              </w:rPr>
            </w:pPr>
            <w:r>
              <w:rPr>
                <w:rFonts w:ascii="Arial" w:cs="Arial" w:eastAsia="Arial" w:hAnsi="Arial"/>
                <w:sz w:val="16"/>
                <w:szCs w:val="16"/>
                <w:color w:val="auto"/>
              </w:rPr>
              <w:t>(7,473)</w:t>
            </w:r>
          </w:p>
        </w:tc>
        <w:tc>
          <w:tcPr>
            <w:tcW w:w="1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(7,483)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00" w:type="dxa"/>
            <w:vAlign w:val="bottom"/>
            <w:shd w:val="clear" w:color="auto" w:fill="E5FFFF"/>
          </w:tcPr>
          <w:p>
            <w:pPr>
              <w:spacing w:after="0"/>
              <w:rPr>
                <w:sz w:val="20"/>
                <w:szCs w:val="20"/>
                <w:color w:val="auto"/>
              </w:rPr>
            </w:pPr>
            <w:r>
              <w:rPr>
                <w:rFonts w:ascii="Arial" w:cs="Arial" w:eastAsia="Arial" w:hAnsi="Arial"/>
                <w:sz w:val="16"/>
                <w:szCs w:val="16"/>
                <w:color w:val="auto"/>
              </w:rPr>
              <w:t>Lease charge</w:t>
            </w:r>
          </w:p>
        </w:tc>
        <w:tc>
          <w:tcPr>
            <w:tcW w:w="308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1620" w:type="dxa"/>
            <w:vAlign w:val="bottom"/>
            <w:gridSpan w:val="2"/>
            <w:shd w:val="clear" w:color="auto" w:fill="E5FFFF"/>
          </w:tcPr>
          <w:p>
            <w:pPr>
              <w:jc w:val="right"/>
              <w:ind w:right="159"/>
              <w:spacing w:after="0"/>
              <w:rPr>
                <w:sz w:val="20"/>
                <w:szCs w:val="20"/>
                <w:color w:val="auto"/>
              </w:rPr>
            </w:pPr>
            <w:r>
              <w:rPr>
                <w:rFonts w:ascii="Arial" w:cs="Arial" w:eastAsia="Arial" w:hAnsi="Arial"/>
                <w:sz w:val="16"/>
                <w:szCs w:val="16"/>
                <w:color w:val="auto"/>
              </w:rPr>
              <w:t>(2,628)</w:t>
            </w:r>
          </w:p>
        </w:tc>
        <w:tc>
          <w:tcPr>
            <w:tcW w:w="180" w:type="dxa"/>
            <w:vAlign w:val="bottom"/>
            <w:shd w:val="clear" w:color="auto" w:fill="E5FFFF"/>
          </w:tcPr>
          <w:p>
            <w:pPr>
              <w:spacing w:after="0"/>
              <w:rPr>
                <w:sz w:val="17"/>
                <w:szCs w:val="17"/>
                <w:color w:val="auto"/>
              </w:rPr>
            </w:pPr>
          </w:p>
        </w:tc>
        <w:tc>
          <w:tcPr>
            <w:tcW w:w="1320" w:type="dxa"/>
            <w:vAlign w:val="bottom"/>
            <w:tcBorders>
              <w:right w:val="single" w:sz="8" w:color="E5FFFF"/>
            </w:tcBorders>
            <w:shd w:val="clear" w:color="auto" w:fill="E5FFFF"/>
          </w:tcPr>
          <w:p>
            <w:pPr>
              <w:jc w:val="right"/>
              <w:spacing w:after="0"/>
              <w:rPr>
                <w:sz w:val="20"/>
                <w:szCs w:val="20"/>
                <w:color w:val="auto"/>
              </w:rPr>
            </w:pPr>
            <w:r>
              <w:rPr>
                <w:rFonts w:ascii="Arial" w:cs="Arial" w:eastAsia="Arial" w:hAnsi="Arial"/>
                <w:sz w:val="16"/>
                <w:szCs w:val="16"/>
                <w:color w:val="auto"/>
              </w:rPr>
              <w:t>(2,629)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00" w:type="dxa"/>
            <w:vAlign w:val="bottom"/>
          </w:tcPr>
          <w:p>
            <w:pPr>
              <w:spacing w:after="0"/>
              <w:rPr>
                <w:sz w:val="20"/>
                <w:szCs w:val="20"/>
                <w:color w:val="auto"/>
              </w:rPr>
            </w:pPr>
            <w:r>
              <w:rPr>
                <w:rFonts w:ascii="Arial" w:cs="Arial" w:eastAsia="Arial" w:hAnsi="Arial"/>
                <w:sz w:val="16"/>
                <w:szCs w:val="16"/>
                <w:color w:val="auto"/>
              </w:rPr>
              <w:t>Other financial costs</w:t>
            </w:r>
          </w:p>
        </w:tc>
        <w:tc>
          <w:tcPr>
            <w:tcW w:w="3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gridSpan w:val="2"/>
          </w:tcPr>
          <w:p>
            <w:pPr>
              <w:jc w:val="right"/>
              <w:ind w:right="159"/>
              <w:spacing w:after="0"/>
              <w:rPr>
                <w:sz w:val="20"/>
                <w:szCs w:val="20"/>
                <w:color w:val="auto"/>
              </w:rPr>
            </w:pPr>
            <w:r>
              <w:rPr>
                <w:rFonts w:ascii="Arial" w:cs="Arial" w:eastAsia="Arial" w:hAnsi="Arial"/>
                <w:sz w:val="16"/>
                <w:szCs w:val="16"/>
                <w:color w:val="auto"/>
              </w:rPr>
              <w:t>(387)</w:t>
            </w:r>
          </w:p>
        </w:tc>
        <w:tc>
          <w:tcPr>
            <w:tcW w:w="1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(643)</w:t>
            </w:r>
          </w:p>
        </w:tc>
        <w:tc>
          <w:tcPr>
            <w:tcW w:w="120" w:type="dxa"/>
            <w:vAlign w:val="bottom"/>
            <w:vMerge w:val="restart"/>
          </w:tcPr>
          <w:p>
            <w:pPr>
              <w:jc w:val="right"/>
              <w:ind w:right="40"/>
              <w:spacing w:after="0"/>
              <w:rPr>
                <w:sz w:val="20"/>
                <w:szCs w:val="20"/>
                <w:color w:val="auto"/>
              </w:rPr>
            </w:pPr>
            <w:r>
              <w:rPr>
                <w:rFonts w:ascii="Arial" w:cs="Arial" w:eastAsia="Arial" w:hAnsi="Arial"/>
                <w:sz w:val="8"/>
                <w:szCs w:val="8"/>
                <w:b w:val="1"/>
                <w:bCs w:val="1"/>
                <w:color w:val="auto"/>
                <w:w w:val="73"/>
              </w:rPr>
              <w:t>)</w:t>
            </w:r>
          </w:p>
        </w:tc>
        <w:tc>
          <w:tcPr>
            <w:tcW w:w="0" w:type="dxa"/>
            <w:vAlign w:val="bottom"/>
          </w:tcPr>
          <w:p>
            <w:pPr>
              <w:spacing w:after="0"/>
              <w:rPr>
                <w:sz w:val="1"/>
                <w:szCs w:val="1"/>
                <w:color w:val="auto"/>
              </w:rPr>
            </w:pPr>
          </w:p>
        </w:tc>
      </w:tr>
      <w:tr>
        <w:trPr>
          <w:trHeight w:val="209"/>
        </w:trPr>
        <w:tc>
          <w:tcPr>
            <w:tcW w:w="5100" w:type="dxa"/>
            <w:vAlign w:val="bottom"/>
            <w:tcBorders>
              <w:top w:val="single" w:sz="8" w:color="E5FFFF"/>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Total</w:t>
            </w:r>
          </w:p>
        </w:tc>
        <w:tc>
          <w:tcPr>
            <w:tcW w:w="3080" w:type="dxa"/>
            <w:vAlign w:val="bottom"/>
            <w:tcBorders>
              <w:top w:val="single" w:sz="8" w:color="E5FFFF"/>
              <w:bottom w:val="single" w:sz="8" w:color="E5FFFF"/>
            </w:tcBorders>
            <w:shd w:val="clear" w:color="auto" w:fill="E5FFFF"/>
          </w:tcPr>
          <w:p>
            <w:pPr>
              <w:spacing w:after="0"/>
              <w:rPr>
                <w:sz w:val="18"/>
                <w:szCs w:val="18"/>
                <w:color w:val="auto"/>
              </w:rPr>
            </w:pPr>
          </w:p>
        </w:tc>
        <w:tc>
          <w:tcPr>
            <w:tcW w:w="1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w:t>
            </w:r>
          </w:p>
        </w:tc>
        <w:tc>
          <w:tcPr>
            <w:tcW w:w="13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(36,597</w:t>
            </w:r>
          </w:p>
        </w:tc>
        <w:tc>
          <w:tcPr>
            <w:tcW w:w="300" w:type="dxa"/>
            <w:vAlign w:val="bottom"/>
            <w:tcBorders>
              <w:top w:val="single" w:sz="8" w:color="E5FFFF"/>
              <w:bottom w:val="single" w:sz="8" w:color="E5FFFF"/>
            </w:tcBorders>
            <w:shd w:val="clear" w:color="auto" w:fill="E5FFFF"/>
          </w:tcPr>
          <w:p>
            <w:pPr>
              <w:jc w:val="right"/>
              <w:ind w:right="159"/>
              <w:spacing w:after="0"/>
              <w:rPr>
                <w:sz w:val="20"/>
                <w:szCs w:val="20"/>
                <w:color w:val="auto"/>
              </w:rPr>
            </w:pPr>
            <w:r>
              <w:rPr>
                <w:rFonts w:ascii="Arial" w:cs="Arial" w:eastAsia="Arial" w:hAnsi="Arial"/>
                <w:sz w:val="16"/>
                <w:szCs w:val="16"/>
                <w:b w:val="1"/>
                <w:bCs w:val="1"/>
                <w:color w:val="auto"/>
                <w:w w:val="74"/>
              </w:rPr>
              <w:t>)</w:t>
            </w:r>
          </w:p>
        </w:tc>
        <w:tc>
          <w:tcPr>
            <w:tcW w:w="1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w:t>
            </w:r>
          </w:p>
        </w:tc>
        <w:tc>
          <w:tcPr>
            <w:tcW w:w="1320" w:type="dxa"/>
            <w:vAlign w:val="bottom"/>
            <w:tcBorders>
              <w:top w:val="single" w:sz="8" w:color="auto"/>
              <w:bottom w:val="single" w:sz="8" w:color="auto"/>
              <w:right w:val="single" w:sz="8" w:color="E5FFFF"/>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(45,507</w:t>
            </w:r>
          </w:p>
        </w:tc>
        <w:tc>
          <w:tcPr>
            <w:tcW w:w="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3080" w:type="dxa"/>
            <w:vAlign w:val="bottom"/>
            <w:vMerge w:val="restart"/>
          </w:tcPr>
          <w:p>
            <w:pPr>
              <w:jc w:val="right"/>
              <w:ind w:right="2284"/>
              <w:spacing w:after="0"/>
              <w:rPr>
                <w:sz w:val="20"/>
                <w:szCs w:val="20"/>
                <w:color w:val="auto"/>
              </w:rPr>
            </w:pPr>
            <w:r>
              <w:rPr>
                <w:rFonts w:ascii="Arial" w:cs="Arial" w:eastAsia="Arial" w:hAnsi="Arial"/>
                <w:sz w:val="14"/>
                <w:szCs w:val="14"/>
                <w:color w:val="auto"/>
              </w:rPr>
              <w:t>7</w:t>
            </w: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5100" w:type="dxa"/>
            <w:vAlign w:val="bottom"/>
          </w:tcPr>
          <w:p>
            <w:pPr>
              <w:spacing w:after="0"/>
              <w:rPr>
                <w:sz w:val="24"/>
                <w:szCs w:val="24"/>
                <w:color w:val="auto"/>
              </w:rPr>
            </w:pPr>
          </w:p>
        </w:tc>
        <w:tc>
          <w:tcPr>
            <w:tcW w:w="30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5100" w:type="dxa"/>
            <w:vAlign w:val="bottom"/>
            <w:tcBorders>
              <w:bottom w:val="single" w:sz="8" w:color="808080"/>
            </w:tcBorders>
          </w:tcPr>
          <w:p>
            <w:pPr>
              <w:spacing w:after="0"/>
              <w:rPr>
                <w:sz w:val="10"/>
                <w:szCs w:val="10"/>
                <w:color w:val="auto"/>
              </w:rPr>
            </w:pPr>
          </w:p>
        </w:tc>
        <w:tc>
          <w:tcPr>
            <w:tcW w:w="308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7349490</wp:posOffset>
            </wp:positionH>
            <wp:positionV relativeFrom="paragraph">
              <wp:posOffset>-29210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600"/>
          </w:cols>
          <w:pgMar w:left="160" w:top="257" w:right="139" w:bottom="1440" w:gutter="0" w:footer="0" w:header="0"/>
        </w:sectPr>
      </w:pPr>
    </w:p>
    <w:bookmarkStart w:id="7" w:name="page8"/>
    <w:bookmarkEnd w:id="7"/>
    <w:p>
      <w:pPr>
        <w:ind w:right="40"/>
        <w:spacing w:after="0" w:line="305" w:lineRule="auto"/>
        <w:rPr>
          <w:sz w:val="20"/>
          <w:szCs w:val="20"/>
          <w:color w:val="auto"/>
        </w:rPr>
      </w:pPr>
      <w:r>
        <w:rPr>
          <w:rFonts w:ascii="Arial" w:cs="Arial" w:eastAsia="Arial" w:hAnsi="Arial"/>
          <w:sz w:val="15"/>
          <w:szCs w:val="15"/>
          <w:color w:val="auto"/>
        </w:rPr>
        <w:t>Loss on derivatives was $20.2 million for the quarter ended March 31, 2019 ($17.8 million gain for the quarter ended March 31, 2018). The decrease in gain on derivatives in the first quarter of 2019, as compared to the first quarter of 2018, is mainly attributable to a decrease of $38.3 million in gain from mark-to-market valuation of our derivative financial instruments carried at fair value through profit or loss, derived mainly from changes in the LIBOR curve. An analysis of gain/(loss) on derivatives is presented below:</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80" w:type="dxa"/>
            <w:vAlign w:val="bottom"/>
          </w:tcPr>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All amounts expressed in thousands of U.S. dollars</w:t>
            </w: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3160" w:type="dxa"/>
            <w:vAlign w:val="bottom"/>
            <w:gridSpan w:val="6"/>
          </w:tcPr>
          <w:p>
            <w:pPr>
              <w:jc w:val="right"/>
              <w:ind w:right="740"/>
              <w:spacing w:after="0"/>
              <w:rPr>
                <w:sz w:val="20"/>
                <w:szCs w:val="20"/>
                <w:color w:val="auto"/>
              </w:rPr>
            </w:pPr>
            <w:r>
              <w:rPr>
                <w:rFonts w:ascii="Arial" w:cs="Arial" w:eastAsia="Arial" w:hAnsi="Arial"/>
                <w:sz w:val="16"/>
                <w:szCs w:val="16"/>
                <w:b w:val="1"/>
                <w:bCs w:val="1"/>
                <w:color w:val="auto"/>
              </w:rPr>
              <w:t>For the three months ended</w:t>
            </w:r>
          </w:p>
        </w:tc>
        <w:tc>
          <w:tcPr>
            <w:tcW w:w="0" w:type="dxa"/>
            <w:vAlign w:val="bottom"/>
          </w:tcPr>
          <w:p>
            <w:pPr>
              <w:spacing w:after="0"/>
              <w:rPr>
                <w:sz w:val="1"/>
                <w:szCs w:val="1"/>
                <w:color w:val="auto"/>
              </w:rPr>
            </w:pPr>
          </w:p>
        </w:tc>
      </w:tr>
      <w:tr>
        <w:trPr>
          <w:trHeight w:val="219"/>
        </w:trPr>
        <w:tc>
          <w:tcPr>
            <w:tcW w:w="8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gridSpan w:val="2"/>
          </w:tcPr>
          <w:p>
            <w:pPr>
              <w:jc w:val="right"/>
              <w:ind w:right="520"/>
              <w:spacing w:after="0"/>
              <w:rPr>
                <w:sz w:val="20"/>
                <w:szCs w:val="20"/>
                <w:color w:val="auto"/>
              </w:rPr>
            </w:pPr>
            <w:r>
              <w:rPr>
                <w:rFonts w:ascii="Arial" w:cs="Arial" w:eastAsia="Arial" w:hAnsi="Arial"/>
                <w:sz w:val="16"/>
                <w:szCs w:val="16"/>
                <w:b w:val="1"/>
                <w:bCs w:val="1"/>
                <w:color w:val="auto"/>
                <w:w w:val="94"/>
              </w:rPr>
              <w:t>March 31, 2018</w:t>
            </w:r>
          </w:p>
        </w:tc>
        <w:tc>
          <w:tcPr>
            <w:tcW w:w="160" w:type="dxa"/>
            <w:vAlign w:val="bottom"/>
          </w:tcPr>
          <w:p>
            <w:pPr>
              <w:spacing w:after="0"/>
              <w:rPr>
                <w:sz w:val="19"/>
                <w:szCs w:val="19"/>
                <w:color w:val="auto"/>
              </w:rPr>
            </w:pPr>
          </w:p>
        </w:tc>
        <w:tc>
          <w:tcPr>
            <w:tcW w:w="1380" w:type="dxa"/>
            <w:vAlign w:val="bottom"/>
            <w:gridSpan w:val="3"/>
          </w:tcPr>
          <w:p>
            <w:pPr>
              <w:jc w:val="right"/>
              <w:ind w:right="280"/>
              <w:spacing w:after="0"/>
              <w:rPr>
                <w:sz w:val="20"/>
                <w:szCs w:val="20"/>
                <w:color w:val="auto"/>
              </w:rPr>
            </w:pPr>
            <w:r>
              <w:rPr>
                <w:rFonts w:ascii="Arial" w:cs="Arial" w:eastAsia="Arial" w:hAnsi="Arial"/>
                <w:sz w:val="16"/>
                <w:szCs w:val="16"/>
                <w:b w:val="1"/>
                <w:bCs w:val="1"/>
                <w:color w:val="auto"/>
                <w:w w:val="94"/>
              </w:rPr>
              <w:t>March 31, 2019</w:t>
            </w:r>
          </w:p>
        </w:tc>
        <w:tc>
          <w:tcPr>
            <w:tcW w:w="0" w:type="dxa"/>
            <w:vAlign w:val="bottom"/>
          </w:tcPr>
          <w:p>
            <w:pPr>
              <w:spacing w:after="0"/>
              <w:rPr>
                <w:sz w:val="1"/>
                <w:szCs w:val="1"/>
                <w:color w:val="auto"/>
              </w:rPr>
            </w:pPr>
          </w:p>
        </w:tc>
      </w:tr>
      <w:tr>
        <w:trPr>
          <w:trHeight w:val="186"/>
        </w:trPr>
        <w:tc>
          <w:tcPr>
            <w:tcW w:w="818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Gain/(loss) on derivatives</w:t>
            </w:r>
          </w:p>
        </w:tc>
        <w:tc>
          <w:tcPr>
            <w:tcW w:w="180" w:type="dxa"/>
            <w:vAlign w:val="bottom"/>
            <w:tcBorders>
              <w:top w:val="single" w:sz="8" w:color="auto"/>
            </w:tcBorders>
            <w:shd w:val="clear" w:color="auto" w:fill="E5FFFF"/>
          </w:tcPr>
          <w:p>
            <w:pPr>
              <w:spacing w:after="0"/>
              <w:rPr>
                <w:sz w:val="16"/>
                <w:szCs w:val="16"/>
                <w:color w:val="auto"/>
              </w:rPr>
            </w:pPr>
          </w:p>
        </w:tc>
        <w:tc>
          <w:tcPr>
            <w:tcW w:w="1320" w:type="dxa"/>
            <w:vAlign w:val="bottom"/>
            <w:tcBorders>
              <w:top w:val="single" w:sz="8" w:color="auto"/>
            </w:tcBorders>
            <w:shd w:val="clear" w:color="auto" w:fill="E5FFFF"/>
          </w:tcPr>
          <w:p>
            <w:pPr>
              <w:spacing w:after="0"/>
              <w:rPr>
                <w:sz w:val="16"/>
                <w:szCs w:val="16"/>
                <w:color w:val="auto"/>
              </w:rPr>
            </w:pPr>
          </w:p>
        </w:tc>
        <w:tc>
          <w:tcPr>
            <w:tcW w:w="300" w:type="dxa"/>
            <w:vAlign w:val="bottom"/>
            <w:tcBorders>
              <w:top w:val="single" w:sz="8" w:color="E5FFFF"/>
            </w:tcBorders>
            <w:shd w:val="clear" w:color="auto" w:fill="E5FFFF"/>
          </w:tcPr>
          <w:p>
            <w:pPr>
              <w:spacing w:after="0"/>
              <w:rPr>
                <w:sz w:val="16"/>
                <w:szCs w:val="16"/>
                <w:color w:val="auto"/>
              </w:rPr>
            </w:pPr>
          </w:p>
        </w:tc>
        <w:tc>
          <w:tcPr>
            <w:tcW w:w="160" w:type="dxa"/>
            <w:vAlign w:val="bottom"/>
            <w:tcBorders>
              <w:top w:val="single" w:sz="8" w:color="auto"/>
            </w:tcBorders>
            <w:shd w:val="clear" w:color="auto" w:fill="E5FFFF"/>
          </w:tcPr>
          <w:p>
            <w:pPr>
              <w:spacing w:after="0"/>
              <w:rPr>
                <w:sz w:val="16"/>
                <w:szCs w:val="16"/>
                <w:color w:val="auto"/>
              </w:rPr>
            </w:pPr>
          </w:p>
        </w:tc>
        <w:tc>
          <w:tcPr>
            <w:tcW w:w="1320" w:type="dxa"/>
            <w:vAlign w:val="bottom"/>
            <w:tcBorders>
              <w:top w:val="single" w:sz="8" w:color="auto"/>
            </w:tcBorders>
            <w:shd w:val="clear" w:color="auto" w:fill="E5FFFF"/>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180" w:type="dxa"/>
            <w:vAlign w:val="bottom"/>
          </w:tcPr>
          <w:p>
            <w:pPr>
              <w:spacing w:after="0"/>
              <w:rPr>
                <w:sz w:val="20"/>
                <w:szCs w:val="20"/>
                <w:color w:val="auto"/>
              </w:rPr>
            </w:pPr>
            <w:r>
              <w:rPr>
                <w:rFonts w:ascii="Arial" w:cs="Arial" w:eastAsia="Arial" w:hAnsi="Arial"/>
                <w:sz w:val="16"/>
                <w:szCs w:val="16"/>
                <w:color w:val="auto"/>
              </w:rPr>
              <w:t>Realized (loss)/gain on derivatives held for trading</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620" w:type="dxa"/>
            <w:vAlign w:val="bottom"/>
            <w:gridSpan w:val="2"/>
          </w:tcPr>
          <w:p>
            <w:pPr>
              <w:jc w:val="right"/>
              <w:ind w:right="240"/>
              <w:spacing w:after="0"/>
              <w:rPr>
                <w:sz w:val="20"/>
                <w:szCs w:val="20"/>
                <w:color w:val="auto"/>
              </w:rPr>
            </w:pPr>
            <w:r>
              <w:rPr>
                <w:rFonts w:ascii="Arial" w:cs="Arial" w:eastAsia="Arial" w:hAnsi="Arial"/>
                <w:sz w:val="16"/>
                <w:szCs w:val="16"/>
                <w:color w:val="auto"/>
              </w:rPr>
              <w:t>(613)</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1,735</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80" w:type="dxa"/>
            <w:vAlign w:val="bottom"/>
            <w:shd w:val="clear" w:color="auto" w:fill="E5FFFF"/>
          </w:tcPr>
          <w:p>
            <w:pPr>
              <w:spacing w:after="0"/>
              <w:rPr>
                <w:sz w:val="20"/>
                <w:szCs w:val="20"/>
                <w:color w:val="auto"/>
              </w:rPr>
            </w:pPr>
            <w:r>
              <w:rPr>
                <w:rFonts w:ascii="Arial" w:cs="Arial" w:eastAsia="Arial" w:hAnsi="Arial"/>
                <w:sz w:val="16"/>
                <w:szCs w:val="16"/>
                <w:color w:val="auto"/>
              </w:rPr>
              <w:t>Realized gain/(loss) on forward foreign exchange contracts held for trading</w:t>
            </w:r>
          </w:p>
        </w:tc>
        <w:tc>
          <w:tcPr>
            <w:tcW w:w="180" w:type="dxa"/>
            <w:vAlign w:val="bottom"/>
            <w:shd w:val="clear" w:color="auto" w:fill="E5FFFF"/>
          </w:tcPr>
          <w:p>
            <w:pPr>
              <w:spacing w:after="0"/>
              <w:rPr>
                <w:sz w:val="17"/>
                <w:szCs w:val="17"/>
                <w:color w:val="auto"/>
              </w:rPr>
            </w:pPr>
          </w:p>
        </w:tc>
        <w:tc>
          <w:tcPr>
            <w:tcW w:w="13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1,486</w:t>
            </w:r>
          </w:p>
        </w:tc>
        <w:tc>
          <w:tcPr>
            <w:tcW w:w="30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3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(876)</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80" w:type="dxa"/>
            <w:vAlign w:val="bottom"/>
          </w:tcPr>
          <w:p>
            <w:pPr>
              <w:spacing w:after="0"/>
              <w:rPr>
                <w:sz w:val="20"/>
                <w:szCs w:val="20"/>
                <w:color w:val="auto"/>
              </w:rPr>
            </w:pPr>
            <w:r>
              <w:rPr>
                <w:rFonts w:ascii="Arial" w:cs="Arial" w:eastAsia="Arial" w:hAnsi="Arial"/>
                <w:sz w:val="16"/>
                <w:szCs w:val="16"/>
                <w:color w:val="auto"/>
              </w:rPr>
              <w:t>Unrealized gain/(loss) on derivative financial instruments held for trading</w:t>
            </w:r>
          </w:p>
        </w:tc>
        <w:tc>
          <w:tcPr>
            <w:tcW w:w="1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17,161</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(21,150)</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80" w:type="dxa"/>
            <w:vAlign w:val="bottom"/>
            <w:shd w:val="clear" w:color="auto" w:fill="E5FFFF"/>
          </w:tcPr>
          <w:p>
            <w:pPr>
              <w:spacing w:after="0"/>
              <w:rPr>
                <w:sz w:val="20"/>
                <w:szCs w:val="20"/>
                <w:color w:val="auto"/>
              </w:rPr>
            </w:pPr>
            <w:r>
              <w:rPr>
                <w:rFonts w:ascii="Arial" w:cs="Arial" w:eastAsia="Arial" w:hAnsi="Arial"/>
                <w:sz w:val="16"/>
                <w:szCs w:val="16"/>
                <w:color w:val="auto"/>
              </w:rPr>
              <w:t>Ineffective portion of cash flow hedges</w:t>
            </w:r>
          </w:p>
        </w:tc>
        <w:tc>
          <w:tcPr>
            <w:tcW w:w="180" w:type="dxa"/>
            <w:vAlign w:val="bottom"/>
            <w:shd w:val="clear" w:color="auto" w:fill="E5FFFF"/>
          </w:tcPr>
          <w:p>
            <w:pPr>
              <w:spacing w:after="0"/>
              <w:rPr>
                <w:sz w:val="17"/>
                <w:szCs w:val="17"/>
                <w:color w:val="auto"/>
              </w:rPr>
            </w:pPr>
          </w:p>
        </w:tc>
        <w:tc>
          <w:tcPr>
            <w:tcW w:w="1620" w:type="dxa"/>
            <w:vAlign w:val="bottom"/>
            <w:gridSpan w:val="2"/>
            <w:shd w:val="clear" w:color="auto" w:fill="E5FFFF"/>
          </w:tcPr>
          <w:p>
            <w:pPr>
              <w:jc w:val="right"/>
              <w:ind w:right="240"/>
              <w:spacing w:after="0"/>
              <w:rPr>
                <w:sz w:val="20"/>
                <w:szCs w:val="20"/>
                <w:color w:val="auto"/>
              </w:rPr>
            </w:pPr>
            <w:r>
              <w:rPr>
                <w:rFonts w:ascii="Arial" w:cs="Arial" w:eastAsia="Arial" w:hAnsi="Arial"/>
                <w:sz w:val="16"/>
                <w:szCs w:val="16"/>
                <w:color w:val="auto"/>
              </w:rPr>
              <w:t>(263)</w:t>
            </w:r>
          </w:p>
        </w:tc>
        <w:tc>
          <w:tcPr>
            <w:tcW w:w="160" w:type="dxa"/>
            <w:vAlign w:val="bottom"/>
            <w:shd w:val="clear" w:color="auto" w:fill="E5FFFF"/>
          </w:tcPr>
          <w:p>
            <w:pPr>
              <w:spacing w:after="0"/>
              <w:rPr>
                <w:sz w:val="17"/>
                <w:szCs w:val="17"/>
                <w:color w:val="auto"/>
              </w:rPr>
            </w:pPr>
          </w:p>
        </w:tc>
        <w:tc>
          <w:tcPr>
            <w:tcW w:w="13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47</w:t>
            </w:r>
          </w:p>
        </w:tc>
        <w:tc>
          <w:tcPr>
            <w:tcW w:w="6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9"/>
        </w:trPr>
        <w:tc>
          <w:tcPr>
            <w:tcW w:w="8180" w:type="dxa"/>
            <w:vAlign w:val="bottom"/>
          </w:tcPr>
          <w:p>
            <w:pPr>
              <w:spacing w:after="0"/>
              <w:rPr>
                <w:sz w:val="20"/>
                <w:szCs w:val="20"/>
                <w:color w:val="auto"/>
              </w:rPr>
            </w:pPr>
            <w:r>
              <w:rPr>
                <w:rFonts w:ascii="Arial" w:cs="Arial" w:eastAsia="Arial" w:hAnsi="Arial"/>
                <w:sz w:val="16"/>
                <w:szCs w:val="16"/>
                <w:b w:val="1"/>
                <w:bCs w:val="1"/>
                <w:color w:val="auto"/>
              </w:rPr>
              <w:t>Total</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17,771</w:t>
            </w:r>
          </w:p>
        </w:tc>
        <w:tc>
          <w:tcPr>
            <w:tcW w:w="3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(20,244</w:t>
            </w:r>
          </w:p>
        </w:tc>
        <w:tc>
          <w:tcPr>
            <w:tcW w:w="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right="260"/>
        <w:spacing w:after="0" w:line="278" w:lineRule="auto"/>
        <w:rPr>
          <w:sz w:val="20"/>
          <w:szCs w:val="20"/>
          <w:color w:val="auto"/>
        </w:rPr>
      </w:pPr>
      <w:r>
        <w:rPr>
          <w:rFonts w:ascii="Arial" w:cs="Arial" w:eastAsia="Arial" w:hAnsi="Arial"/>
          <w:sz w:val="16"/>
          <w:szCs w:val="16"/>
          <w:color w:val="auto"/>
        </w:rPr>
        <w:t>Profit was $5.9 million for the quarter ended March 31, 2019 ($42.5 million for the quarter ended March 31, 2018). This decrease in profit is mainly attributable to the unfavorable movement in mark-to-market valuations of our derivative financial instruments in the first quarter of 2019 and the increase in finance costs, partially offset by the increased profit from operations, due to the factors mentioned above.</w:t>
      </w:r>
    </w:p>
    <w:p>
      <w:pPr>
        <w:spacing w:after="0" w:line="184" w:lineRule="exact"/>
        <w:rPr>
          <w:sz w:val="20"/>
          <w:szCs w:val="20"/>
          <w:color w:val="auto"/>
        </w:rPr>
      </w:pPr>
    </w:p>
    <w:p>
      <w:pPr>
        <w:jc w:val="both"/>
        <w:ind w:right="80"/>
        <w:spacing w:after="0" w:line="300" w:lineRule="auto"/>
        <w:rPr>
          <w:sz w:val="20"/>
          <w:szCs w:val="20"/>
          <w:color w:val="auto"/>
        </w:rPr>
      </w:pPr>
      <w:r>
        <w:rPr>
          <w:rFonts w:ascii="Arial" w:cs="Arial" w:eastAsia="Arial" w:hAnsi="Arial"/>
          <w:sz w:val="14"/>
          <w:szCs w:val="14"/>
          <w:color w:val="auto"/>
        </w:rPr>
        <w:t>Adjusted Profit</w:t>
      </w:r>
      <w:r>
        <w:rPr>
          <w:rFonts w:ascii="Arial" w:cs="Arial" w:eastAsia="Arial" w:hAnsi="Arial"/>
          <w:sz w:val="18"/>
          <w:szCs w:val="18"/>
          <w:color w:val="auto"/>
          <w:vertAlign w:val="superscript"/>
        </w:rPr>
        <w:t>(1)</w:t>
      </w:r>
      <w:r>
        <w:rPr>
          <w:rFonts w:ascii="Arial" w:cs="Arial" w:eastAsia="Arial" w:hAnsi="Arial"/>
          <w:sz w:val="14"/>
          <w:szCs w:val="14"/>
          <w:color w:val="auto"/>
        </w:rPr>
        <w:t xml:space="preserve"> was $28.1 million for the quarter ended March 31, 2019 ($25.3 million for the quarter ended March 31, 2018) adjusted for the effects of the non-cash loss/gain on derivatives, the write-off and accelerated amortization of unamortized loan fees as a result of the debt refinancing mentioned above and the net foreign exchange losses/gains.</w:t>
      </w:r>
    </w:p>
    <w:p>
      <w:pPr>
        <w:spacing w:after="0" w:line="161" w:lineRule="exact"/>
        <w:rPr>
          <w:sz w:val="20"/>
          <w:szCs w:val="20"/>
          <w:color w:val="auto"/>
        </w:rPr>
      </w:pPr>
    </w:p>
    <w:p>
      <w:pPr>
        <w:jc w:val="both"/>
        <w:ind w:right="120"/>
        <w:spacing w:after="0" w:line="278" w:lineRule="auto"/>
        <w:rPr>
          <w:sz w:val="20"/>
          <w:szCs w:val="20"/>
          <w:color w:val="auto"/>
        </w:rPr>
      </w:pPr>
      <w:r>
        <w:rPr>
          <w:rFonts w:ascii="Arial" w:cs="Arial" w:eastAsia="Arial" w:hAnsi="Arial"/>
          <w:sz w:val="16"/>
          <w:szCs w:val="16"/>
          <w:color w:val="auto"/>
        </w:rPr>
        <w:t>Loss attributable to the owners of GasLog was $10.9 million for the quarter ended March 31, 2019 ($19.3 million profit for the quarter ended March 31, 2018). The decrease in profit attributable to the owners of GasLog resulted mainly from the respective movements in profit mentioned above, partially offset by the decreased amount allocated to third parties following the decreased Partnership’s profit.</w:t>
      </w:r>
    </w:p>
    <w:p>
      <w:pPr>
        <w:spacing w:after="0" w:line="184" w:lineRule="exact"/>
        <w:rPr>
          <w:sz w:val="20"/>
          <w:szCs w:val="20"/>
          <w:color w:val="auto"/>
        </w:rPr>
      </w:pPr>
    </w:p>
    <w:p>
      <w:pPr>
        <w:ind w:right="120"/>
        <w:spacing w:after="0" w:line="241" w:lineRule="auto"/>
        <w:rPr>
          <w:sz w:val="20"/>
          <w:szCs w:val="20"/>
          <w:color w:val="auto"/>
        </w:rPr>
      </w:pPr>
      <w:r>
        <w:rPr>
          <w:rFonts w:ascii="Arial" w:cs="Arial" w:eastAsia="Arial" w:hAnsi="Arial"/>
          <w:sz w:val="16"/>
          <w:szCs w:val="16"/>
          <w:color w:val="auto"/>
        </w:rPr>
        <w:t>EBITDA</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was $109.8 million for the quarter ended March 31, 2019 ($95.9 million for the quarter ended March 31, 2018). The increase in EBITDA was driven by the increase in revenues, the decrease in general and administrative expenses and the decrease in vessels operating and supervision costs, partially offset by the decrease in the net pool allocation and the increase in voyage expenses and commissions as discussed above.</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Adjusted EBITDA</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was $109.9 million for the quarter ended March 31, 2019 ($95.5 million for the quarter ended March 31, 2018).</w:t>
      </w:r>
    </w:p>
    <w:p>
      <w:pPr>
        <w:spacing w:after="0" w:line="17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EPS was a loss of $0.17 for the quarter ended March 31, 2019 ($0.21 earnings for the quarter ended March 31, 2018). The decrease in earnings per share is mainly attributable to the respective movements in profit attributable to the owners of GasLog discussed above.</w:t>
      </w:r>
    </w:p>
    <w:p>
      <w:pPr>
        <w:spacing w:after="0" w:line="172" w:lineRule="exact"/>
        <w:rPr>
          <w:sz w:val="20"/>
          <w:szCs w:val="20"/>
          <w:color w:val="auto"/>
        </w:rPr>
      </w:pPr>
    </w:p>
    <w:p>
      <w:pPr>
        <w:spacing w:after="0" w:line="230" w:lineRule="auto"/>
        <w:rPr>
          <w:sz w:val="20"/>
          <w:szCs w:val="20"/>
          <w:color w:val="auto"/>
        </w:rPr>
      </w:pPr>
      <w:r>
        <w:rPr>
          <w:rFonts w:ascii="Arial" w:cs="Arial" w:eastAsia="Arial" w:hAnsi="Arial"/>
          <w:sz w:val="16"/>
          <w:szCs w:val="16"/>
          <w:color w:val="auto"/>
        </w:rPr>
        <w:t>Adjusted EPS</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was $0.11 for the quarter ended March 31, 2019 (loss of $0.01 for the quarter ended March 31, 2018), adjusted for the effects of the non-cash loss/gain on derivatives, the write-off and accelerated amortization of unamortized loan fees and the net foreign exchange losses/gains.</w:t>
      </w:r>
    </w:p>
    <w:p>
      <w:pPr>
        <w:spacing w:after="0" w:line="204" w:lineRule="exact"/>
        <w:rPr>
          <w:sz w:val="20"/>
          <w:szCs w:val="20"/>
          <w:color w:val="auto"/>
        </w:rPr>
      </w:pPr>
    </w:p>
    <w:p>
      <w:pPr>
        <w:jc w:val="both"/>
        <w:ind w:left="140" w:right="140" w:hanging="132"/>
        <w:spacing w:after="0" w:line="222" w:lineRule="auto"/>
        <w:tabs>
          <w:tab w:leader="none" w:pos="166" w:val="left"/>
        </w:tabs>
        <w:numPr>
          <w:ilvl w:val="0"/>
          <w:numId w:val="4"/>
        </w:numPr>
        <w:rPr>
          <w:rFonts w:ascii="Arial" w:cs="Arial" w:eastAsia="Arial" w:hAnsi="Arial"/>
          <w:sz w:val="19"/>
          <w:szCs w:val="19"/>
          <w:color w:val="auto"/>
          <w:vertAlign w:val="superscript"/>
        </w:rPr>
      </w:pPr>
      <w:r>
        <w:rPr>
          <w:rFonts w:ascii="Arial" w:cs="Arial" w:eastAsia="Arial" w:hAnsi="Arial"/>
          <w:sz w:val="13"/>
          <w:szCs w:val="13"/>
          <w:color w:val="auto"/>
        </w:rPr>
        <w:t>Adjusted Profit, EBITDA, Adjusted EBITDA and Adjusted EPS are non-GAAP financial measures and should not be used in isolation or as a substitute for GasLog’s financial results presented in accordance with IFRS. For definitions and reconciliations of these measurements to the most directly comparable financial measures calculated and presented in accordance with IFRS, please refer to Exhibit II at the end of this press release.</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Contracted Charter Revenues</w:t>
      </w:r>
    </w:p>
    <w:p>
      <w:pPr>
        <w:spacing w:after="0" w:line="239" w:lineRule="exact"/>
        <w:rPr>
          <w:sz w:val="20"/>
          <w:szCs w:val="20"/>
          <w:color w:val="auto"/>
        </w:rPr>
      </w:pPr>
    </w:p>
    <w:p>
      <w:pPr>
        <w:ind w:right="280"/>
        <w:spacing w:after="0" w:line="230" w:lineRule="auto"/>
        <w:rPr>
          <w:sz w:val="20"/>
          <w:szCs w:val="20"/>
          <w:color w:val="auto"/>
        </w:rPr>
      </w:pPr>
      <w:r>
        <w:rPr>
          <w:rFonts w:ascii="Arial" w:cs="Arial" w:eastAsia="Arial" w:hAnsi="Arial"/>
          <w:sz w:val="16"/>
          <w:szCs w:val="16"/>
          <w:color w:val="auto"/>
        </w:rPr>
        <w:t>As of March 31, 2019, the total future firm contracted revenue stood at $4.0 billion</w:t>
      </w:r>
      <w:r>
        <w:rPr>
          <w:rFonts w:ascii="Arial" w:cs="Arial" w:eastAsia="Arial" w:hAnsi="Arial"/>
          <w:sz w:val="21"/>
          <w:szCs w:val="21"/>
          <w:color w:val="auto"/>
          <w:vertAlign w:val="superscript"/>
        </w:rPr>
        <w:t>(1)</w:t>
      </w:r>
      <w:r>
        <w:rPr>
          <w:rFonts w:ascii="Arial" w:cs="Arial" w:eastAsia="Arial" w:hAnsi="Arial"/>
          <w:sz w:val="16"/>
          <w:szCs w:val="16"/>
          <w:color w:val="auto"/>
        </w:rPr>
        <w:t>, including the 15 vessels currently owned by GasLog Partners, but excluding the vessels operating in the spot market.</w:t>
      </w:r>
    </w:p>
    <w:p>
      <w:pPr>
        <w:spacing w:after="0" w:line="204" w:lineRule="exact"/>
        <w:rPr>
          <w:sz w:val="20"/>
          <w:szCs w:val="20"/>
          <w:color w:val="auto"/>
        </w:rPr>
      </w:pPr>
    </w:p>
    <w:p>
      <w:pPr>
        <w:ind w:right="400" w:firstLine="8"/>
        <w:spacing w:after="0" w:line="343" w:lineRule="auto"/>
        <w:tabs>
          <w:tab w:leader="none" w:pos="127" w:val="left"/>
        </w:tabs>
        <w:numPr>
          <w:ilvl w:val="0"/>
          <w:numId w:val="5"/>
        </w:numPr>
        <w:rPr>
          <w:rFonts w:ascii="Arial" w:cs="Arial" w:eastAsia="Arial" w:hAnsi="Arial"/>
          <w:sz w:val="13"/>
          <w:szCs w:val="13"/>
          <w:color w:val="auto"/>
          <w:vertAlign w:val="superscript"/>
        </w:rPr>
      </w:pPr>
      <w:r>
        <w:rPr>
          <w:rFonts w:ascii="Arial" w:cs="Arial" w:eastAsia="Arial" w:hAnsi="Arial"/>
          <w:sz w:val="11"/>
          <w:szCs w:val="11"/>
          <w:color w:val="auto"/>
        </w:rPr>
        <w:t>Contracted revenue calculations assume: (a) 365 revenue days per annum, with 30 off-hire days when the ship undergoes scheduled dry-docking; (b) all LNG carriers on order are delivered on schedule; and (c) no exercise of any option to extend the terms of charters.</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Liquidity and Capital Resources</w:t>
      </w:r>
    </w:p>
    <w:p>
      <w:pPr>
        <w:spacing w:after="0" w:line="239" w:lineRule="exact"/>
        <w:rPr>
          <w:sz w:val="20"/>
          <w:szCs w:val="20"/>
          <w:color w:val="auto"/>
        </w:rPr>
      </w:pPr>
    </w:p>
    <w:p>
      <w:pPr>
        <w:ind w:right="40"/>
        <w:spacing w:after="0" w:line="278" w:lineRule="auto"/>
        <w:rPr>
          <w:sz w:val="20"/>
          <w:szCs w:val="20"/>
          <w:color w:val="auto"/>
        </w:rPr>
      </w:pPr>
      <w:r>
        <w:rPr>
          <w:rFonts w:ascii="Arial" w:cs="Arial" w:eastAsia="Arial" w:hAnsi="Arial"/>
          <w:sz w:val="16"/>
          <w:szCs w:val="16"/>
          <w:color w:val="auto"/>
        </w:rPr>
        <w:t>As of March 31, 2019, GasLog had $230.8 million of cash and cash equivalents, of which $127.5 million was held in time deposits and the remaining balance in current accounts. In addition, as of March 31, 2019, GasLog had $10.0 million held in time deposits with an initial duration of more than three months but less than a year that have been classified as short-term investments.</w:t>
      </w:r>
    </w:p>
    <w:p>
      <w:pPr>
        <w:spacing w:after="0" w:line="184"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On March 6, 2019, the respective subsidiaries of GasLog Partners drew down $360.0 million under the 2019 Partnership Facility and prepaid in full their aggregate outstanding debt of $354.5 million, which would have been due in November 2019.</w:t>
      </w:r>
    </w:p>
    <w:p>
      <w:pPr>
        <w:spacing w:after="0" w:line="172" w:lineRule="exact"/>
        <w:rPr>
          <w:sz w:val="20"/>
          <w:szCs w:val="20"/>
          <w:color w:val="auto"/>
        </w:rPr>
      </w:pPr>
    </w:p>
    <w:p>
      <w:pPr>
        <w:ind w:right="620"/>
        <w:spacing w:after="0" w:line="293" w:lineRule="auto"/>
        <w:rPr>
          <w:sz w:val="20"/>
          <w:szCs w:val="20"/>
          <w:color w:val="auto"/>
        </w:rPr>
      </w:pPr>
      <w:r>
        <w:rPr>
          <w:rFonts w:ascii="Arial" w:cs="Arial" w:eastAsia="Arial" w:hAnsi="Arial"/>
          <w:sz w:val="16"/>
          <w:szCs w:val="16"/>
          <w:color w:val="auto"/>
        </w:rPr>
        <w:t>As of March 31, 2019, GasLog had an aggregate of $2.9 billion of indebtedness outstanding under its credit facilities and bond agreements, of which $172.7 million was repayable within one year, and $212.1 million of lease liabilities</w:t>
      </w:r>
      <w:r>
        <w:rPr>
          <w:rFonts w:ascii="Arial" w:cs="Arial" w:eastAsia="Arial" w:hAnsi="Arial"/>
          <w:sz w:val="16"/>
          <w:szCs w:val="16"/>
          <w:i w:val="1"/>
          <w:iCs w:val="1"/>
          <w:color w:val="auto"/>
        </w:rPr>
        <w:t>,</w:t>
      </w:r>
      <w:r>
        <w:rPr>
          <w:rFonts w:ascii="Arial" w:cs="Arial" w:eastAsia="Arial" w:hAnsi="Arial"/>
          <w:sz w:val="16"/>
          <w:szCs w:val="16"/>
          <w:color w:val="auto"/>
        </w:rPr>
        <w:t xml:space="preserve"> of which $9.0 million was payable within one year.</w:t>
      </w:r>
    </w:p>
    <w:p>
      <w:pPr>
        <w:spacing w:after="0" w:line="172" w:lineRule="exact"/>
        <w:rPr>
          <w:sz w:val="20"/>
          <w:szCs w:val="20"/>
          <w:color w:val="auto"/>
        </w:rPr>
      </w:pPr>
    </w:p>
    <w:p>
      <w:pPr>
        <w:ind w:right="340"/>
        <w:spacing w:after="0" w:line="293" w:lineRule="auto"/>
        <w:rPr>
          <w:sz w:val="20"/>
          <w:szCs w:val="20"/>
          <w:color w:val="auto"/>
        </w:rPr>
      </w:pPr>
      <w:r>
        <w:rPr>
          <w:rFonts w:ascii="Arial" w:cs="Arial" w:eastAsia="Arial" w:hAnsi="Arial"/>
          <w:sz w:val="16"/>
          <w:szCs w:val="16"/>
          <w:color w:val="auto"/>
        </w:rPr>
        <w:t>As of March 31, 2019, there was undrawn available capacity of $100.0 million under the revolving credit facility of the credit agreement of up to $1.1 billion entered into on July 19, 2016 (the “Legacy Facility Refinancing”). In addition, there was unused availability of $90.0 million under the 2019 Partnership Facility.</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color w:val="auto"/>
        </w:rPr>
        <w:t>As of March 31, 2019, the total remaining balance of the contract prices of the eight LNG carriers on order was $1,343.6 million, which GasLog</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35901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359015" cy="29845"/>
                    </a:xfrm>
                    <a:prstGeom prst="rect">
                      <a:avLst/>
                    </a:prstGeom>
                    <a:noFill/>
                  </pic:spPr>
                </pic:pic>
              </a:graphicData>
            </a:graphic>
          </wp:anchor>
        </w:drawing>
      </w:r>
    </w:p>
    <w:p>
      <w:pPr>
        <w:sectPr>
          <w:pgSz w:w="11900" w:h="16838" w:orient="portrait"/>
          <w:cols w:equalWidth="0" w:num="1">
            <w:col w:w="11560"/>
          </w:cols>
          <w:pgMar w:left="160" w:top="266" w:right="179" w:bottom="1440" w:gutter="0" w:footer="0" w:header="0"/>
        </w:sectPr>
      </w:pPr>
    </w:p>
    <w:bookmarkStart w:id="8" w:name="page9"/>
    <w:bookmarkEnd w:id="8"/>
    <w:p>
      <w:pPr>
        <w:spacing w:after="0"/>
        <w:rPr>
          <w:sz w:val="20"/>
          <w:szCs w:val="20"/>
          <w:color w:val="auto"/>
        </w:rPr>
      </w:pPr>
      <w:r>
        <w:rPr>
          <w:rFonts w:ascii="Arial" w:cs="Arial" w:eastAsia="Arial" w:hAnsi="Arial"/>
          <w:sz w:val="16"/>
          <w:szCs w:val="16"/>
          <w:color w:val="auto"/>
        </w:rPr>
        <w:t>expects to be funded with cash balances, cash from operations and borrowings under new debt agreements.</w:t>
      </w:r>
    </w:p>
    <w:p>
      <w:pPr>
        <w:spacing w:after="0" w:line="235" w:lineRule="exact"/>
        <w:rPr>
          <w:sz w:val="20"/>
          <w:szCs w:val="20"/>
          <w:color w:val="auto"/>
        </w:rPr>
      </w:pPr>
    </w:p>
    <w:p>
      <w:pPr>
        <w:ind w:right="300"/>
        <w:spacing w:after="0" w:line="293" w:lineRule="auto"/>
        <w:rPr>
          <w:sz w:val="20"/>
          <w:szCs w:val="20"/>
          <w:color w:val="auto"/>
        </w:rPr>
      </w:pPr>
      <w:r>
        <w:rPr>
          <w:rFonts w:ascii="Arial" w:cs="Arial" w:eastAsia="Arial" w:hAnsi="Arial"/>
          <w:sz w:val="16"/>
          <w:szCs w:val="16"/>
          <w:color w:val="auto"/>
        </w:rPr>
        <w:t>As of March 31, 2019, GasLog’s current assets totaled $287.1 million, while current liabilities totaled $268.2 million, resulting in a positive working capital position of $18.9 million.</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color w:val="auto"/>
        </w:rPr>
        <w:t>GasLog has hedged 46.2% of its expected floating interest rate exposure on its outstanding debt (excluding the lease liability) as of March 31, 2019.</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Future Deliveries</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GasLog has eight newbuildings on order at Samsung which are on schedule and within budget:</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5"/>
              </w:rPr>
              <w:t>Cargo</w:t>
            </w:r>
          </w:p>
        </w:tc>
        <w:tc>
          <w:tcPr>
            <w:tcW w:w="1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3"/>
        </w:trPr>
        <w:tc>
          <w:tcPr>
            <w:tcW w:w="1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Capacity</w:t>
            </w:r>
          </w:p>
        </w:tc>
        <w:tc>
          <w:tcPr>
            <w:tcW w:w="1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40" w:type="dxa"/>
            <w:vAlign w:val="bottom"/>
          </w:tcPr>
          <w:p>
            <w:pPr>
              <w:jc w:val="center"/>
              <w:spacing w:after="0"/>
              <w:rPr>
                <w:sz w:val="20"/>
                <w:szCs w:val="20"/>
                <w:color w:val="auto"/>
              </w:rPr>
            </w:pPr>
            <w:r>
              <w:rPr>
                <w:rFonts w:ascii="Arial" w:cs="Arial" w:eastAsia="Arial" w:hAnsi="Arial"/>
                <w:sz w:val="16"/>
                <w:szCs w:val="16"/>
                <w:b w:val="1"/>
                <w:bCs w:val="1"/>
                <w:color w:val="auto"/>
                <w:w w:val="94"/>
              </w:rPr>
              <w:t>Estimated Charter</w:t>
            </w:r>
          </w:p>
        </w:tc>
      </w:tr>
      <w:tr>
        <w:trPr>
          <w:trHeight w:val="216"/>
        </w:trPr>
        <w:tc>
          <w:tcPr>
            <w:tcW w:w="204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LNG Carrier</w:t>
            </w:r>
          </w:p>
        </w:tc>
        <w:tc>
          <w:tcPr>
            <w:tcW w:w="1700" w:type="dxa"/>
            <w:vAlign w:val="bottom"/>
            <w:gridSpan w:val="2"/>
          </w:tcPr>
          <w:p>
            <w:pPr>
              <w:jc w:val="center"/>
              <w:ind w:right="300"/>
              <w:spacing w:after="0" w:line="217" w:lineRule="exact"/>
              <w:rPr>
                <w:sz w:val="20"/>
                <w:szCs w:val="20"/>
                <w:color w:val="auto"/>
              </w:rPr>
            </w:pPr>
            <w:r>
              <w:rPr>
                <w:rFonts w:ascii="Arial" w:cs="Arial" w:eastAsia="Arial" w:hAnsi="Arial"/>
                <w:sz w:val="16"/>
                <w:szCs w:val="16"/>
                <w:b w:val="1"/>
                <w:bCs w:val="1"/>
                <w:color w:val="auto"/>
                <w:w w:val="91"/>
              </w:rPr>
              <w:t>Year Built</w:t>
            </w:r>
            <w:r>
              <w:rPr>
                <w:rFonts w:ascii="Arial" w:cs="Arial" w:eastAsia="Arial" w:hAnsi="Arial"/>
                <w:sz w:val="21"/>
                <w:szCs w:val="21"/>
                <w:b w:val="1"/>
                <w:bCs w:val="1"/>
                <w:color w:val="auto"/>
                <w:w w:val="91"/>
                <w:vertAlign w:val="superscript"/>
              </w:rPr>
              <w:t>(1)</w:t>
            </w:r>
          </w:p>
        </w:tc>
        <w:tc>
          <w:tcPr>
            <w:tcW w:w="14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Shipyard</w:t>
            </w:r>
          </w:p>
        </w:tc>
        <w:tc>
          <w:tcPr>
            <w:tcW w:w="14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(cbm)</w:t>
            </w:r>
          </w:p>
        </w:tc>
        <w:tc>
          <w:tcPr>
            <w:tcW w:w="15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7"/>
              </w:rPr>
              <w:t>Charterer</w:t>
            </w:r>
          </w:p>
        </w:tc>
        <w:tc>
          <w:tcPr>
            <w:tcW w:w="15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Propulsion</w:t>
            </w:r>
          </w:p>
        </w:tc>
        <w:tc>
          <w:tcPr>
            <w:tcW w:w="1840" w:type="dxa"/>
            <w:vAlign w:val="bottom"/>
          </w:tcPr>
          <w:p>
            <w:pPr>
              <w:jc w:val="center"/>
              <w:spacing w:after="0" w:line="217" w:lineRule="exact"/>
              <w:rPr>
                <w:sz w:val="20"/>
                <w:szCs w:val="20"/>
                <w:color w:val="auto"/>
              </w:rPr>
            </w:pPr>
            <w:r>
              <w:rPr>
                <w:rFonts w:ascii="Arial" w:cs="Arial" w:eastAsia="Arial" w:hAnsi="Arial"/>
                <w:sz w:val="16"/>
                <w:szCs w:val="16"/>
                <w:b w:val="1"/>
                <w:bCs w:val="1"/>
                <w:color w:val="auto"/>
                <w:w w:val="92"/>
              </w:rPr>
              <w:t>Expiration</w:t>
            </w:r>
            <w:r>
              <w:rPr>
                <w:rFonts w:ascii="Arial" w:cs="Arial" w:eastAsia="Arial" w:hAnsi="Arial"/>
                <w:sz w:val="21"/>
                <w:szCs w:val="21"/>
                <w:b w:val="1"/>
                <w:bCs w:val="1"/>
                <w:color w:val="auto"/>
                <w:w w:val="92"/>
                <w:vertAlign w:val="superscript"/>
              </w:rPr>
              <w:t>(2)</w:t>
            </w:r>
          </w:p>
        </w:tc>
      </w:tr>
      <w:tr>
        <w:trPr>
          <w:trHeight w:val="196"/>
        </w:trPr>
        <w:tc>
          <w:tcPr>
            <w:tcW w:w="1740" w:type="dxa"/>
            <w:vAlign w:val="bottom"/>
            <w:tcBorders>
              <w:top w:val="single" w:sz="8" w:color="auto"/>
            </w:tcBorders>
            <w:shd w:val="clear" w:color="auto" w:fill="E5FFFF"/>
          </w:tcPr>
          <w:p>
            <w:pPr>
              <w:spacing w:after="0"/>
              <w:rPr>
                <w:sz w:val="20"/>
                <w:szCs w:val="20"/>
                <w:color w:val="auto"/>
              </w:rPr>
            </w:pPr>
            <w:r>
              <w:rPr>
                <w:rFonts w:ascii="Arial" w:cs="Arial" w:eastAsia="Arial" w:hAnsi="Arial"/>
                <w:sz w:val="16"/>
                <w:szCs w:val="16"/>
                <w:i w:val="1"/>
                <w:iCs w:val="1"/>
                <w:color w:val="auto"/>
              </w:rPr>
              <w:t>GasLog Warsaw</w:t>
            </w:r>
          </w:p>
        </w:tc>
        <w:tc>
          <w:tcPr>
            <w:tcW w:w="300" w:type="dxa"/>
            <w:vAlign w:val="bottom"/>
            <w:tcBorders>
              <w:top w:val="single" w:sz="8" w:color="E5FFFF"/>
            </w:tcBorders>
            <w:shd w:val="clear" w:color="auto" w:fill="E5FFFF"/>
          </w:tcPr>
          <w:p>
            <w:pPr>
              <w:spacing w:after="0"/>
              <w:rPr>
                <w:sz w:val="17"/>
                <w:szCs w:val="17"/>
                <w:color w:val="auto"/>
              </w:rPr>
            </w:pPr>
          </w:p>
        </w:tc>
        <w:tc>
          <w:tcPr>
            <w:tcW w:w="140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91"/>
              </w:rPr>
              <w:t>Q3 2019</w:t>
            </w:r>
          </w:p>
        </w:tc>
        <w:tc>
          <w:tcPr>
            <w:tcW w:w="300" w:type="dxa"/>
            <w:vAlign w:val="bottom"/>
            <w:tcBorders>
              <w:top w:val="single" w:sz="8" w:color="E5FFFF"/>
            </w:tcBorders>
            <w:shd w:val="clear" w:color="auto" w:fill="E5FFFF"/>
          </w:tcPr>
          <w:p>
            <w:pPr>
              <w:spacing w:after="0"/>
              <w:rPr>
                <w:sz w:val="17"/>
                <w:szCs w:val="17"/>
                <w:color w:val="auto"/>
              </w:rPr>
            </w:pPr>
          </w:p>
        </w:tc>
        <w:tc>
          <w:tcPr>
            <w:tcW w:w="116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88"/>
              </w:rPr>
              <w:t>Samsung</w:t>
            </w:r>
          </w:p>
        </w:tc>
        <w:tc>
          <w:tcPr>
            <w:tcW w:w="300" w:type="dxa"/>
            <w:vAlign w:val="bottom"/>
            <w:tcBorders>
              <w:top w:val="single" w:sz="8" w:color="E5FFFF"/>
            </w:tcBorders>
            <w:shd w:val="clear" w:color="auto" w:fill="E5FFFF"/>
          </w:tcPr>
          <w:p>
            <w:pPr>
              <w:spacing w:after="0"/>
              <w:rPr>
                <w:sz w:val="17"/>
                <w:szCs w:val="17"/>
                <w:color w:val="auto"/>
              </w:rPr>
            </w:pPr>
          </w:p>
        </w:tc>
        <w:tc>
          <w:tcPr>
            <w:tcW w:w="114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89"/>
              </w:rPr>
              <w:t>180,000</w:t>
            </w:r>
          </w:p>
        </w:tc>
        <w:tc>
          <w:tcPr>
            <w:tcW w:w="280" w:type="dxa"/>
            <w:vAlign w:val="bottom"/>
            <w:tcBorders>
              <w:top w:val="single" w:sz="8" w:color="E5FFFF"/>
            </w:tcBorders>
            <w:shd w:val="clear" w:color="auto" w:fill="E5FFFF"/>
          </w:tcPr>
          <w:p>
            <w:pPr>
              <w:spacing w:after="0"/>
              <w:rPr>
                <w:sz w:val="17"/>
                <w:szCs w:val="17"/>
                <w:color w:val="auto"/>
              </w:rPr>
            </w:pPr>
          </w:p>
        </w:tc>
        <w:tc>
          <w:tcPr>
            <w:tcW w:w="128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88"/>
              </w:rPr>
              <w:t>Endesa</w:t>
            </w:r>
          </w:p>
        </w:tc>
        <w:tc>
          <w:tcPr>
            <w:tcW w:w="280" w:type="dxa"/>
            <w:vAlign w:val="bottom"/>
            <w:tcBorders>
              <w:top w:val="single" w:sz="8" w:color="E5FFFF"/>
            </w:tcBorders>
            <w:shd w:val="clear" w:color="auto" w:fill="E5FFFF"/>
          </w:tcPr>
          <w:p>
            <w:pPr>
              <w:spacing w:after="0"/>
              <w:rPr>
                <w:sz w:val="17"/>
                <w:szCs w:val="17"/>
                <w:color w:val="auto"/>
              </w:rPr>
            </w:pPr>
          </w:p>
        </w:tc>
        <w:tc>
          <w:tcPr>
            <w:tcW w:w="126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rPr>
              <w:t>X-DF</w:t>
            </w:r>
          </w:p>
        </w:tc>
        <w:tc>
          <w:tcPr>
            <w:tcW w:w="280" w:type="dxa"/>
            <w:vAlign w:val="bottom"/>
            <w:tcBorders>
              <w:top w:val="single" w:sz="8" w:color="E5FFFF"/>
            </w:tcBorders>
            <w:shd w:val="clear" w:color="auto" w:fill="E5FFFF"/>
          </w:tcPr>
          <w:p>
            <w:pPr>
              <w:spacing w:after="0"/>
              <w:rPr>
                <w:sz w:val="17"/>
                <w:szCs w:val="17"/>
                <w:color w:val="auto"/>
              </w:rPr>
            </w:pPr>
          </w:p>
        </w:tc>
        <w:tc>
          <w:tcPr>
            <w:tcW w:w="1840" w:type="dxa"/>
            <w:vAlign w:val="bottom"/>
            <w:tcBorders>
              <w:top w:val="single" w:sz="8" w:color="auto"/>
            </w:tcBorders>
            <w:shd w:val="clear" w:color="auto" w:fill="E5FFFF"/>
          </w:tcPr>
          <w:p>
            <w:pPr>
              <w:jc w:val="center"/>
              <w:spacing w:after="0" w:line="196" w:lineRule="exact"/>
              <w:rPr>
                <w:sz w:val="20"/>
                <w:szCs w:val="20"/>
                <w:color w:val="auto"/>
              </w:rPr>
            </w:pPr>
            <w:r>
              <w:rPr>
                <w:rFonts w:ascii="Arial" w:cs="Arial" w:eastAsia="Arial" w:hAnsi="Arial"/>
                <w:sz w:val="16"/>
                <w:szCs w:val="16"/>
                <w:color w:val="auto"/>
                <w:w w:val="87"/>
              </w:rPr>
              <w:t>2029</w:t>
            </w:r>
            <w:r>
              <w:rPr>
                <w:rFonts w:ascii="Arial" w:cs="Arial" w:eastAsia="Arial" w:hAnsi="Arial"/>
                <w:sz w:val="21"/>
                <w:szCs w:val="21"/>
                <w:color w:val="auto"/>
                <w:w w:val="87"/>
                <w:vertAlign w:val="superscript"/>
              </w:rPr>
              <w:t>(3)</w:t>
            </w:r>
          </w:p>
        </w:tc>
      </w:tr>
      <w:tr>
        <w:trPr>
          <w:trHeight w:val="203"/>
        </w:trPr>
        <w:tc>
          <w:tcPr>
            <w:tcW w:w="2040" w:type="dxa"/>
            <w:vAlign w:val="bottom"/>
            <w:gridSpan w:val="2"/>
          </w:tcPr>
          <w:p>
            <w:pPr>
              <w:spacing w:after="0"/>
              <w:rPr>
                <w:sz w:val="20"/>
                <w:szCs w:val="20"/>
                <w:color w:val="auto"/>
              </w:rPr>
            </w:pPr>
            <w:r>
              <w:rPr>
                <w:rFonts w:ascii="Arial" w:cs="Arial" w:eastAsia="Arial" w:hAnsi="Arial"/>
                <w:sz w:val="16"/>
                <w:szCs w:val="16"/>
                <w:color w:val="auto"/>
              </w:rPr>
              <w:t>Hull No. 2213</w:t>
            </w:r>
          </w:p>
        </w:tc>
        <w:tc>
          <w:tcPr>
            <w:tcW w:w="1700" w:type="dxa"/>
            <w:vAlign w:val="bottom"/>
            <w:gridSpan w:val="2"/>
          </w:tcPr>
          <w:p>
            <w:pPr>
              <w:jc w:val="center"/>
              <w:ind w:right="300"/>
              <w:spacing w:after="0"/>
              <w:rPr>
                <w:sz w:val="20"/>
                <w:szCs w:val="20"/>
                <w:color w:val="auto"/>
              </w:rPr>
            </w:pPr>
            <w:r>
              <w:rPr>
                <w:rFonts w:ascii="Arial" w:cs="Arial" w:eastAsia="Arial" w:hAnsi="Arial"/>
                <w:sz w:val="16"/>
                <w:szCs w:val="16"/>
                <w:color w:val="auto"/>
                <w:w w:val="91"/>
              </w:rPr>
              <w:t>Q2 2020</w:t>
            </w:r>
          </w:p>
        </w:tc>
        <w:tc>
          <w:tcPr>
            <w:tcW w:w="1460" w:type="dxa"/>
            <w:vAlign w:val="bottom"/>
            <w:gridSpan w:val="2"/>
          </w:tcPr>
          <w:p>
            <w:pPr>
              <w:jc w:val="center"/>
              <w:ind w:right="300"/>
              <w:spacing w:after="0"/>
              <w:rPr>
                <w:sz w:val="20"/>
                <w:szCs w:val="20"/>
                <w:color w:val="auto"/>
              </w:rPr>
            </w:pPr>
            <w:r>
              <w:rPr>
                <w:rFonts w:ascii="Arial" w:cs="Arial" w:eastAsia="Arial" w:hAnsi="Arial"/>
                <w:sz w:val="16"/>
                <w:szCs w:val="16"/>
                <w:color w:val="auto"/>
                <w:w w:val="88"/>
              </w:rPr>
              <w:t>Samsung</w:t>
            </w: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180,000</w:t>
            </w:r>
          </w:p>
        </w:tc>
        <w:tc>
          <w:tcPr>
            <w:tcW w:w="280" w:type="dxa"/>
            <w:vAlign w:val="bottom"/>
          </w:tcPr>
          <w:p>
            <w:pPr>
              <w:spacing w:after="0"/>
              <w:rPr>
                <w:sz w:val="17"/>
                <w:szCs w:val="17"/>
                <w:color w:val="auto"/>
              </w:rPr>
            </w:pPr>
          </w:p>
        </w:tc>
        <w:tc>
          <w:tcPr>
            <w:tcW w:w="1560" w:type="dxa"/>
            <w:vAlign w:val="bottom"/>
            <w:gridSpan w:val="2"/>
          </w:tcPr>
          <w:p>
            <w:pPr>
              <w:jc w:val="center"/>
              <w:ind w:right="280"/>
              <w:spacing w:after="0" w:line="203" w:lineRule="exact"/>
              <w:rPr>
                <w:sz w:val="20"/>
                <w:szCs w:val="20"/>
                <w:color w:val="auto"/>
              </w:rPr>
            </w:pPr>
            <w:r>
              <w:rPr>
                <w:rFonts w:ascii="Arial" w:cs="Arial" w:eastAsia="Arial" w:hAnsi="Arial"/>
                <w:sz w:val="16"/>
                <w:szCs w:val="16"/>
                <w:color w:val="auto"/>
                <w:w w:val="88"/>
              </w:rPr>
              <w:t>Centrica</w:t>
            </w:r>
            <w:r>
              <w:rPr>
                <w:rFonts w:ascii="Arial" w:cs="Arial" w:eastAsia="Arial" w:hAnsi="Arial"/>
                <w:sz w:val="21"/>
                <w:szCs w:val="21"/>
                <w:color w:val="auto"/>
                <w:w w:val="88"/>
                <w:vertAlign w:val="superscript"/>
              </w:rPr>
              <w:t>(4)</w:t>
            </w:r>
          </w:p>
        </w:tc>
        <w:tc>
          <w:tcPr>
            <w:tcW w:w="1540" w:type="dxa"/>
            <w:vAlign w:val="bottom"/>
            <w:gridSpan w:val="2"/>
          </w:tcPr>
          <w:p>
            <w:pPr>
              <w:jc w:val="center"/>
              <w:ind w:right="280"/>
              <w:spacing w:after="0"/>
              <w:rPr>
                <w:sz w:val="20"/>
                <w:szCs w:val="20"/>
                <w:color w:val="auto"/>
              </w:rPr>
            </w:pPr>
            <w:r>
              <w:rPr>
                <w:rFonts w:ascii="Arial" w:cs="Arial" w:eastAsia="Arial" w:hAnsi="Arial"/>
                <w:sz w:val="16"/>
                <w:szCs w:val="16"/>
                <w:color w:val="auto"/>
              </w:rPr>
              <w:t>X-DF</w:t>
            </w:r>
          </w:p>
        </w:tc>
        <w:tc>
          <w:tcPr>
            <w:tcW w:w="1840" w:type="dxa"/>
            <w:vAlign w:val="bottom"/>
          </w:tcPr>
          <w:p>
            <w:pPr>
              <w:jc w:val="center"/>
              <w:spacing w:after="0"/>
              <w:rPr>
                <w:sz w:val="20"/>
                <w:szCs w:val="20"/>
                <w:color w:val="auto"/>
              </w:rPr>
            </w:pPr>
            <w:r>
              <w:rPr>
                <w:rFonts w:ascii="Arial" w:cs="Arial" w:eastAsia="Arial" w:hAnsi="Arial"/>
                <w:sz w:val="16"/>
                <w:szCs w:val="16"/>
                <w:color w:val="auto"/>
                <w:w w:val="89"/>
              </w:rPr>
              <w:t>2027</w:t>
            </w:r>
          </w:p>
        </w:tc>
      </w:tr>
      <w:tr>
        <w:trPr>
          <w:trHeight w:val="203"/>
        </w:trPr>
        <w:tc>
          <w:tcPr>
            <w:tcW w:w="204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Hull No. 2274</w:t>
            </w:r>
          </w:p>
        </w:tc>
        <w:tc>
          <w:tcPr>
            <w:tcW w:w="1700" w:type="dxa"/>
            <w:vAlign w:val="bottom"/>
            <w:gridSpan w:val="2"/>
            <w:shd w:val="clear" w:color="auto" w:fill="E5FFFF"/>
          </w:tcPr>
          <w:p>
            <w:pPr>
              <w:jc w:val="center"/>
              <w:ind w:right="300"/>
              <w:spacing w:after="0"/>
              <w:rPr>
                <w:sz w:val="20"/>
                <w:szCs w:val="20"/>
                <w:color w:val="auto"/>
              </w:rPr>
            </w:pPr>
            <w:r>
              <w:rPr>
                <w:rFonts w:ascii="Arial" w:cs="Arial" w:eastAsia="Arial" w:hAnsi="Arial"/>
                <w:sz w:val="16"/>
                <w:szCs w:val="16"/>
                <w:color w:val="auto"/>
                <w:w w:val="91"/>
              </w:rPr>
              <w:t>Q2 2020</w:t>
            </w:r>
          </w:p>
        </w:tc>
        <w:tc>
          <w:tcPr>
            <w:tcW w:w="1460" w:type="dxa"/>
            <w:vAlign w:val="bottom"/>
            <w:gridSpan w:val="2"/>
            <w:shd w:val="clear" w:color="auto" w:fill="E5FFFF"/>
          </w:tcPr>
          <w:p>
            <w:pPr>
              <w:jc w:val="center"/>
              <w:ind w:right="300"/>
              <w:spacing w:after="0"/>
              <w:rPr>
                <w:sz w:val="20"/>
                <w:szCs w:val="20"/>
                <w:color w:val="auto"/>
              </w:rPr>
            </w:pPr>
            <w:r>
              <w:rPr>
                <w:rFonts w:ascii="Arial" w:cs="Arial" w:eastAsia="Arial" w:hAnsi="Arial"/>
                <w:sz w:val="16"/>
                <w:szCs w:val="16"/>
                <w:color w:val="auto"/>
                <w:w w:val="88"/>
              </w:rPr>
              <w:t>Samsung</w:t>
            </w:r>
          </w:p>
        </w:tc>
        <w:tc>
          <w:tcPr>
            <w:tcW w:w="114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180,000</w:t>
            </w:r>
          </w:p>
        </w:tc>
        <w:tc>
          <w:tcPr>
            <w:tcW w:w="280" w:type="dxa"/>
            <w:vAlign w:val="bottom"/>
            <w:shd w:val="clear" w:color="auto" w:fill="E5FFFF"/>
          </w:tcPr>
          <w:p>
            <w:pPr>
              <w:spacing w:after="0"/>
              <w:rPr>
                <w:sz w:val="17"/>
                <w:szCs w:val="17"/>
                <w:color w:val="auto"/>
              </w:rPr>
            </w:pPr>
          </w:p>
        </w:tc>
        <w:tc>
          <w:tcPr>
            <w:tcW w:w="1560" w:type="dxa"/>
            <w:vAlign w:val="bottom"/>
            <w:gridSpan w:val="2"/>
            <w:shd w:val="clear" w:color="auto" w:fill="E5FFFF"/>
          </w:tcPr>
          <w:p>
            <w:pPr>
              <w:jc w:val="center"/>
              <w:ind w:right="280"/>
              <w:spacing w:after="0"/>
              <w:rPr>
                <w:sz w:val="20"/>
                <w:szCs w:val="20"/>
                <w:color w:val="auto"/>
              </w:rPr>
            </w:pPr>
            <w:r>
              <w:rPr>
                <w:rFonts w:ascii="Arial" w:cs="Arial" w:eastAsia="Arial" w:hAnsi="Arial"/>
                <w:sz w:val="16"/>
                <w:szCs w:val="16"/>
                <w:color w:val="auto"/>
                <w:w w:val="97"/>
              </w:rPr>
              <w:t>JERA</w:t>
            </w:r>
          </w:p>
        </w:tc>
        <w:tc>
          <w:tcPr>
            <w:tcW w:w="1540" w:type="dxa"/>
            <w:vAlign w:val="bottom"/>
            <w:gridSpan w:val="2"/>
            <w:shd w:val="clear" w:color="auto" w:fill="E5FFFF"/>
          </w:tcPr>
          <w:p>
            <w:pPr>
              <w:jc w:val="center"/>
              <w:ind w:right="280"/>
              <w:spacing w:after="0"/>
              <w:rPr>
                <w:sz w:val="20"/>
                <w:szCs w:val="20"/>
                <w:color w:val="auto"/>
              </w:rPr>
            </w:pPr>
            <w:r>
              <w:rPr>
                <w:rFonts w:ascii="Arial" w:cs="Arial" w:eastAsia="Arial" w:hAnsi="Arial"/>
                <w:sz w:val="16"/>
                <w:szCs w:val="16"/>
                <w:color w:val="auto"/>
              </w:rPr>
              <w:t>X-DF</w:t>
            </w:r>
          </w:p>
        </w:tc>
        <w:tc>
          <w:tcPr>
            <w:tcW w:w="184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2032</w:t>
            </w:r>
          </w:p>
        </w:tc>
      </w:tr>
      <w:tr>
        <w:trPr>
          <w:trHeight w:val="203"/>
        </w:trPr>
        <w:tc>
          <w:tcPr>
            <w:tcW w:w="2040" w:type="dxa"/>
            <w:vAlign w:val="bottom"/>
            <w:gridSpan w:val="2"/>
          </w:tcPr>
          <w:p>
            <w:pPr>
              <w:spacing w:after="0"/>
              <w:rPr>
                <w:sz w:val="20"/>
                <w:szCs w:val="20"/>
                <w:color w:val="auto"/>
              </w:rPr>
            </w:pPr>
            <w:r>
              <w:rPr>
                <w:rFonts w:ascii="Arial" w:cs="Arial" w:eastAsia="Arial" w:hAnsi="Arial"/>
                <w:sz w:val="16"/>
                <w:szCs w:val="16"/>
                <w:color w:val="auto"/>
              </w:rPr>
              <w:t>Hull No. 2262</w:t>
            </w:r>
          </w:p>
        </w:tc>
        <w:tc>
          <w:tcPr>
            <w:tcW w:w="1700" w:type="dxa"/>
            <w:vAlign w:val="bottom"/>
            <w:gridSpan w:val="2"/>
          </w:tcPr>
          <w:p>
            <w:pPr>
              <w:jc w:val="center"/>
              <w:ind w:right="300"/>
              <w:spacing w:after="0"/>
              <w:rPr>
                <w:sz w:val="20"/>
                <w:szCs w:val="20"/>
                <w:color w:val="auto"/>
              </w:rPr>
            </w:pPr>
            <w:r>
              <w:rPr>
                <w:rFonts w:ascii="Arial" w:cs="Arial" w:eastAsia="Arial" w:hAnsi="Arial"/>
                <w:sz w:val="16"/>
                <w:szCs w:val="16"/>
                <w:color w:val="auto"/>
                <w:w w:val="91"/>
              </w:rPr>
              <w:t>Q3 2020</w:t>
            </w:r>
          </w:p>
        </w:tc>
        <w:tc>
          <w:tcPr>
            <w:tcW w:w="1460" w:type="dxa"/>
            <w:vAlign w:val="bottom"/>
            <w:gridSpan w:val="2"/>
          </w:tcPr>
          <w:p>
            <w:pPr>
              <w:jc w:val="center"/>
              <w:ind w:right="300"/>
              <w:spacing w:after="0"/>
              <w:rPr>
                <w:sz w:val="20"/>
                <w:szCs w:val="20"/>
                <w:color w:val="auto"/>
              </w:rPr>
            </w:pPr>
            <w:r>
              <w:rPr>
                <w:rFonts w:ascii="Arial" w:cs="Arial" w:eastAsia="Arial" w:hAnsi="Arial"/>
                <w:sz w:val="16"/>
                <w:szCs w:val="16"/>
                <w:color w:val="auto"/>
                <w:w w:val="88"/>
              </w:rPr>
              <w:t>Samsung</w:t>
            </w: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180,000</w:t>
            </w:r>
          </w:p>
        </w:tc>
        <w:tc>
          <w:tcPr>
            <w:tcW w:w="280" w:type="dxa"/>
            <w:vAlign w:val="bottom"/>
          </w:tcPr>
          <w:p>
            <w:pPr>
              <w:spacing w:after="0"/>
              <w:rPr>
                <w:sz w:val="17"/>
                <w:szCs w:val="17"/>
                <w:color w:val="auto"/>
              </w:rPr>
            </w:pPr>
          </w:p>
        </w:tc>
        <w:tc>
          <w:tcPr>
            <w:tcW w:w="1560" w:type="dxa"/>
            <w:vAlign w:val="bottom"/>
            <w:gridSpan w:val="2"/>
          </w:tcPr>
          <w:p>
            <w:pPr>
              <w:jc w:val="center"/>
              <w:ind w:right="280"/>
              <w:spacing w:after="0" w:line="203" w:lineRule="exact"/>
              <w:rPr>
                <w:sz w:val="20"/>
                <w:szCs w:val="20"/>
                <w:color w:val="auto"/>
              </w:rPr>
            </w:pPr>
            <w:r>
              <w:rPr>
                <w:rFonts w:ascii="Arial" w:cs="Arial" w:eastAsia="Arial" w:hAnsi="Arial"/>
                <w:sz w:val="16"/>
                <w:szCs w:val="16"/>
                <w:color w:val="auto"/>
                <w:w w:val="88"/>
              </w:rPr>
              <w:t>Centrica</w:t>
            </w:r>
            <w:r>
              <w:rPr>
                <w:rFonts w:ascii="Arial" w:cs="Arial" w:eastAsia="Arial" w:hAnsi="Arial"/>
                <w:sz w:val="21"/>
                <w:szCs w:val="21"/>
                <w:color w:val="auto"/>
                <w:w w:val="88"/>
                <w:vertAlign w:val="superscript"/>
              </w:rPr>
              <w:t>(4)</w:t>
            </w:r>
          </w:p>
        </w:tc>
        <w:tc>
          <w:tcPr>
            <w:tcW w:w="1540" w:type="dxa"/>
            <w:vAlign w:val="bottom"/>
            <w:gridSpan w:val="2"/>
          </w:tcPr>
          <w:p>
            <w:pPr>
              <w:jc w:val="center"/>
              <w:ind w:right="280"/>
              <w:spacing w:after="0"/>
              <w:rPr>
                <w:sz w:val="20"/>
                <w:szCs w:val="20"/>
                <w:color w:val="auto"/>
              </w:rPr>
            </w:pPr>
            <w:r>
              <w:rPr>
                <w:rFonts w:ascii="Arial" w:cs="Arial" w:eastAsia="Arial" w:hAnsi="Arial"/>
                <w:sz w:val="16"/>
                <w:szCs w:val="16"/>
                <w:color w:val="auto"/>
              </w:rPr>
              <w:t>X-DF</w:t>
            </w:r>
          </w:p>
        </w:tc>
        <w:tc>
          <w:tcPr>
            <w:tcW w:w="1840" w:type="dxa"/>
            <w:vAlign w:val="bottom"/>
          </w:tcPr>
          <w:p>
            <w:pPr>
              <w:jc w:val="center"/>
              <w:spacing w:after="0"/>
              <w:rPr>
                <w:sz w:val="20"/>
                <w:szCs w:val="20"/>
                <w:color w:val="auto"/>
              </w:rPr>
            </w:pPr>
            <w:r>
              <w:rPr>
                <w:rFonts w:ascii="Arial" w:cs="Arial" w:eastAsia="Arial" w:hAnsi="Arial"/>
                <w:sz w:val="16"/>
                <w:szCs w:val="16"/>
                <w:color w:val="auto"/>
                <w:w w:val="89"/>
              </w:rPr>
              <w:t>2027</w:t>
            </w:r>
          </w:p>
        </w:tc>
      </w:tr>
      <w:tr>
        <w:trPr>
          <w:trHeight w:val="203"/>
        </w:trPr>
        <w:tc>
          <w:tcPr>
            <w:tcW w:w="204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Hull No. 2300</w:t>
            </w:r>
          </w:p>
        </w:tc>
        <w:tc>
          <w:tcPr>
            <w:tcW w:w="1700" w:type="dxa"/>
            <w:vAlign w:val="bottom"/>
            <w:gridSpan w:val="2"/>
            <w:shd w:val="clear" w:color="auto" w:fill="E5FFFF"/>
          </w:tcPr>
          <w:p>
            <w:pPr>
              <w:jc w:val="center"/>
              <w:ind w:right="300"/>
              <w:spacing w:after="0"/>
              <w:rPr>
                <w:sz w:val="20"/>
                <w:szCs w:val="20"/>
                <w:color w:val="auto"/>
              </w:rPr>
            </w:pPr>
            <w:r>
              <w:rPr>
                <w:rFonts w:ascii="Arial" w:cs="Arial" w:eastAsia="Arial" w:hAnsi="Arial"/>
                <w:sz w:val="16"/>
                <w:szCs w:val="16"/>
                <w:color w:val="auto"/>
                <w:w w:val="91"/>
              </w:rPr>
              <w:t>Q4 2020</w:t>
            </w:r>
          </w:p>
        </w:tc>
        <w:tc>
          <w:tcPr>
            <w:tcW w:w="1460" w:type="dxa"/>
            <w:vAlign w:val="bottom"/>
            <w:gridSpan w:val="2"/>
            <w:shd w:val="clear" w:color="auto" w:fill="E5FFFF"/>
          </w:tcPr>
          <w:p>
            <w:pPr>
              <w:jc w:val="center"/>
              <w:ind w:right="300"/>
              <w:spacing w:after="0"/>
              <w:rPr>
                <w:sz w:val="20"/>
                <w:szCs w:val="20"/>
                <w:color w:val="auto"/>
              </w:rPr>
            </w:pPr>
            <w:r>
              <w:rPr>
                <w:rFonts w:ascii="Arial" w:cs="Arial" w:eastAsia="Arial" w:hAnsi="Arial"/>
                <w:sz w:val="16"/>
                <w:szCs w:val="16"/>
                <w:color w:val="auto"/>
                <w:w w:val="88"/>
              </w:rPr>
              <w:t>Samsung</w:t>
            </w:r>
          </w:p>
        </w:tc>
        <w:tc>
          <w:tcPr>
            <w:tcW w:w="114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174,000</w:t>
            </w:r>
          </w:p>
        </w:tc>
        <w:tc>
          <w:tcPr>
            <w:tcW w:w="280" w:type="dxa"/>
            <w:vAlign w:val="bottom"/>
            <w:shd w:val="clear" w:color="auto" w:fill="E5FFFF"/>
          </w:tcPr>
          <w:p>
            <w:pPr>
              <w:spacing w:after="0"/>
              <w:rPr>
                <w:sz w:val="17"/>
                <w:szCs w:val="17"/>
                <w:color w:val="auto"/>
              </w:rPr>
            </w:pPr>
          </w:p>
        </w:tc>
        <w:tc>
          <w:tcPr>
            <w:tcW w:w="1560" w:type="dxa"/>
            <w:vAlign w:val="bottom"/>
            <w:gridSpan w:val="2"/>
            <w:shd w:val="clear" w:color="auto" w:fill="E5FFFF"/>
          </w:tcPr>
          <w:p>
            <w:pPr>
              <w:jc w:val="center"/>
              <w:ind w:right="280"/>
              <w:spacing w:after="0" w:line="203" w:lineRule="exact"/>
              <w:rPr>
                <w:sz w:val="20"/>
                <w:szCs w:val="20"/>
                <w:color w:val="auto"/>
              </w:rPr>
            </w:pPr>
            <w:r>
              <w:rPr>
                <w:rFonts w:ascii="Arial" w:cs="Arial" w:eastAsia="Arial" w:hAnsi="Arial"/>
                <w:sz w:val="16"/>
                <w:szCs w:val="16"/>
                <w:color w:val="auto"/>
                <w:w w:val="87"/>
              </w:rPr>
              <w:t>Cheniere</w:t>
            </w:r>
            <w:r>
              <w:rPr>
                <w:rFonts w:ascii="Arial" w:cs="Arial" w:eastAsia="Arial" w:hAnsi="Arial"/>
                <w:sz w:val="21"/>
                <w:szCs w:val="21"/>
                <w:color w:val="auto"/>
                <w:w w:val="87"/>
                <w:vertAlign w:val="superscript"/>
              </w:rPr>
              <w:t>(5)</w:t>
            </w:r>
          </w:p>
        </w:tc>
        <w:tc>
          <w:tcPr>
            <w:tcW w:w="1540" w:type="dxa"/>
            <w:vAlign w:val="bottom"/>
            <w:gridSpan w:val="2"/>
            <w:shd w:val="clear" w:color="auto" w:fill="E5FFFF"/>
          </w:tcPr>
          <w:p>
            <w:pPr>
              <w:jc w:val="center"/>
              <w:ind w:right="280"/>
              <w:spacing w:after="0"/>
              <w:rPr>
                <w:sz w:val="20"/>
                <w:szCs w:val="20"/>
                <w:color w:val="auto"/>
              </w:rPr>
            </w:pPr>
            <w:r>
              <w:rPr>
                <w:rFonts w:ascii="Arial" w:cs="Arial" w:eastAsia="Arial" w:hAnsi="Arial"/>
                <w:sz w:val="16"/>
                <w:szCs w:val="16"/>
                <w:color w:val="auto"/>
              </w:rPr>
              <w:t>X-DF</w:t>
            </w:r>
          </w:p>
        </w:tc>
        <w:tc>
          <w:tcPr>
            <w:tcW w:w="184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2027</w:t>
            </w:r>
          </w:p>
        </w:tc>
      </w:tr>
      <w:tr>
        <w:trPr>
          <w:trHeight w:val="203"/>
        </w:trPr>
        <w:tc>
          <w:tcPr>
            <w:tcW w:w="2040" w:type="dxa"/>
            <w:vAlign w:val="bottom"/>
            <w:gridSpan w:val="2"/>
          </w:tcPr>
          <w:p>
            <w:pPr>
              <w:spacing w:after="0"/>
              <w:rPr>
                <w:sz w:val="20"/>
                <w:szCs w:val="20"/>
                <w:color w:val="auto"/>
              </w:rPr>
            </w:pPr>
            <w:r>
              <w:rPr>
                <w:rFonts w:ascii="Arial" w:cs="Arial" w:eastAsia="Arial" w:hAnsi="Arial"/>
                <w:sz w:val="16"/>
                <w:szCs w:val="16"/>
                <w:color w:val="auto"/>
              </w:rPr>
              <w:t>Hull No. 2301</w:t>
            </w:r>
          </w:p>
        </w:tc>
        <w:tc>
          <w:tcPr>
            <w:tcW w:w="1700" w:type="dxa"/>
            <w:vAlign w:val="bottom"/>
            <w:gridSpan w:val="2"/>
          </w:tcPr>
          <w:p>
            <w:pPr>
              <w:jc w:val="center"/>
              <w:ind w:right="300"/>
              <w:spacing w:after="0"/>
              <w:rPr>
                <w:sz w:val="20"/>
                <w:szCs w:val="20"/>
                <w:color w:val="auto"/>
              </w:rPr>
            </w:pPr>
            <w:r>
              <w:rPr>
                <w:rFonts w:ascii="Arial" w:cs="Arial" w:eastAsia="Arial" w:hAnsi="Arial"/>
                <w:sz w:val="16"/>
                <w:szCs w:val="16"/>
                <w:color w:val="auto"/>
                <w:w w:val="91"/>
              </w:rPr>
              <w:t>Q4 2020</w:t>
            </w:r>
          </w:p>
        </w:tc>
        <w:tc>
          <w:tcPr>
            <w:tcW w:w="1460" w:type="dxa"/>
            <w:vAlign w:val="bottom"/>
            <w:gridSpan w:val="2"/>
          </w:tcPr>
          <w:p>
            <w:pPr>
              <w:jc w:val="center"/>
              <w:ind w:right="300"/>
              <w:spacing w:after="0"/>
              <w:rPr>
                <w:sz w:val="20"/>
                <w:szCs w:val="20"/>
                <w:color w:val="auto"/>
              </w:rPr>
            </w:pPr>
            <w:r>
              <w:rPr>
                <w:rFonts w:ascii="Arial" w:cs="Arial" w:eastAsia="Arial" w:hAnsi="Arial"/>
                <w:sz w:val="16"/>
                <w:szCs w:val="16"/>
                <w:color w:val="auto"/>
                <w:w w:val="88"/>
              </w:rPr>
              <w:t>Samsung</w:t>
            </w: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174,000</w:t>
            </w:r>
          </w:p>
        </w:tc>
        <w:tc>
          <w:tcPr>
            <w:tcW w:w="280" w:type="dxa"/>
            <w:vAlign w:val="bottom"/>
          </w:tcPr>
          <w:p>
            <w:pPr>
              <w:spacing w:after="0"/>
              <w:rPr>
                <w:sz w:val="17"/>
                <w:szCs w:val="17"/>
                <w:color w:val="auto"/>
              </w:rPr>
            </w:pPr>
          </w:p>
        </w:tc>
        <w:tc>
          <w:tcPr>
            <w:tcW w:w="1560" w:type="dxa"/>
            <w:vAlign w:val="bottom"/>
            <w:gridSpan w:val="2"/>
          </w:tcPr>
          <w:p>
            <w:pPr>
              <w:jc w:val="center"/>
              <w:ind w:right="280"/>
              <w:spacing w:after="0" w:line="203" w:lineRule="exact"/>
              <w:rPr>
                <w:sz w:val="20"/>
                <w:szCs w:val="20"/>
                <w:color w:val="auto"/>
              </w:rPr>
            </w:pPr>
            <w:r>
              <w:rPr>
                <w:rFonts w:ascii="Arial" w:cs="Arial" w:eastAsia="Arial" w:hAnsi="Arial"/>
                <w:sz w:val="16"/>
                <w:szCs w:val="16"/>
                <w:color w:val="auto"/>
                <w:w w:val="87"/>
              </w:rPr>
              <w:t>Cheniere</w:t>
            </w:r>
            <w:r>
              <w:rPr>
                <w:rFonts w:ascii="Arial" w:cs="Arial" w:eastAsia="Arial" w:hAnsi="Arial"/>
                <w:sz w:val="21"/>
                <w:szCs w:val="21"/>
                <w:color w:val="auto"/>
                <w:w w:val="87"/>
                <w:vertAlign w:val="superscript"/>
              </w:rPr>
              <w:t>(5)</w:t>
            </w:r>
          </w:p>
        </w:tc>
        <w:tc>
          <w:tcPr>
            <w:tcW w:w="1540" w:type="dxa"/>
            <w:vAlign w:val="bottom"/>
            <w:gridSpan w:val="2"/>
          </w:tcPr>
          <w:p>
            <w:pPr>
              <w:jc w:val="center"/>
              <w:ind w:right="280"/>
              <w:spacing w:after="0"/>
              <w:rPr>
                <w:sz w:val="20"/>
                <w:szCs w:val="20"/>
                <w:color w:val="auto"/>
              </w:rPr>
            </w:pPr>
            <w:r>
              <w:rPr>
                <w:rFonts w:ascii="Arial" w:cs="Arial" w:eastAsia="Arial" w:hAnsi="Arial"/>
                <w:sz w:val="16"/>
                <w:szCs w:val="16"/>
                <w:color w:val="auto"/>
              </w:rPr>
              <w:t>X-DF</w:t>
            </w:r>
          </w:p>
        </w:tc>
        <w:tc>
          <w:tcPr>
            <w:tcW w:w="1840" w:type="dxa"/>
            <w:vAlign w:val="bottom"/>
          </w:tcPr>
          <w:p>
            <w:pPr>
              <w:jc w:val="center"/>
              <w:spacing w:after="0"/>
              <w:rPr>
                <w:sz w:val="20"/>
                <w:szCs w:val="20"/>
                <w:color w:val="auto"/>
              </w:rPr>
            </w:pPr>
            <w:r>
              <w:rPr>
                <w:rFonts w:ascii="Arial" w:cs="Arial" w:eastAsia="Arial" w:hAnsi="Arial"/>
                <w:sz w:val="16"/>
                <w:szCs w:val="16"/>
                <w:color w:val="auto"/>
                <w:w w:val="89"/>
              </w:rPr>
              <w:t>2027</w:t>
            </w:r>
          </w:p>
        </w:tc>
      </w:tr>
      <w:tr>
        <w:trPr>
          <w:trHeight w:val="203"/>
        </w:trPr>
        <w:tc>
          <w:tcPr>
            <w:tcW w:w="204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Hull No. 2311</w:t>
            </w:r>
          </w:p>
        </w:tc>
        <w:tc>
          <w:tcPr>
            <w:tcW w:w="1700" w:type="dxa"/>
            <w:vAlign w:val="bottom"/>
            <w:gridSpan w:val="2"/>
            <w:shd w:val="clear" w:color="auto" w:fill="E5FFFF"/>
          </w:tcPr>
          <w:p>
            <w:pPr>
              <w:jc w:val="center"/>
              <w:ind w:right="300"/>
              <w:spacing w:after="0"/>
              <w:rPr>
                <w:sz w:val="20"/>
                <w:szCs w:val="20"/>
                <w:color w:val="auto"/>
              </w:rPr>
            </w:pPr>
            <w:r>
              <w:rPr>
                <w:rFonts w:ascii="Arial" w:cs="Arial" w:eastAsia="Arial" w:hAnsi="Arial"/>
                <w:sz w:val="16"/>
                <w:szCs w:val="16"/>
                <w:color w:val="auto"/>
                <w:w w:val="91"/>
              </w:rPr>
              <w:t>Q2 2021</w:t>
            </w:r>
          </w:p>
        </w:tc>
        <w:tc>
          <w:tcPr>
            <w:tcW w:w="1460" w:type="dxa"/>
            <w:vAlign w:val="bottom"/>
            <w:gridSpan w:val="2"/>
            <w:shd w:val="clear" w:color="auto" w:fill="E5FFFF"/>
          </w:tcPr>
          <w:p>
            <w:pPr>
              <w:jc w:val="center"/>
              <w:ind w:right="300"/>
              <w:spacing w:after="0"/>
              <w:rPr>
                <w:sz w:val="20"/>
                <w:szCs w:val="20"/>
                <w:color w:val="auto"/>
              </w:rPr>
            </w:pPr>
            <w:r>
              <w:rPr>
                <w:rFonts w:ascii="Arial" w:cs="Arial" w:eastAsia="Arial" w:hAnsi="Arial"/>
                <w:sz w:val="16"/>
                <w:szCs w:val="16"/>
                <w:color w:val="auto"/>
                <w:w w:val="88"/>
              </w:rPr>
              <w:t>Samsung</w:t>
            </w:r>
          </w:p>
        </w:tc>
        <w:tc>
          <w:tcPr>
            <w:tcW w:w="114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180,000</w:t>
            </w:r>
          </w:p>
        </w:tc>
        <w:tc>
          <w:tcPr>
            <w:tcW w:w="280" w:type="dxa"/>
            <w:vAlign w:val="bottom"/>
            <w:shd w:val="clear" w:color="auto" w:fill="E5FFFF"/>
          </w:tcPr>
          <w:p>
            <w:pPr>
              <w:spacing w:after="0"/>
              <w:rPr>
                <w:sz w:val="17"/>
                <w:szCs w:val="17"/>
                <w:color w:val="auto"/>
              </w:rPr>
            </w:pPr>
          </w:p>
        </w:tc>
        <w:tc>
          <w:tcPr>
            <w:tcW w:w="1560" w:type="dxa"/>
            <w:vAlign w:val="bottom"/>
            <w:gridSpan w:val="2"/>
            <w:shd w:val="clear" w:color="auto" w:fill="E5FFFF"/>
          </w:tcPr>
          <w:p>
            <w:pPr>
              <w:jc w:val="center"/>
              <w:ind w:right="280"/>
              <w:spacing w:after="0" w:line="203" w:lineRule="exact"/>
              <w:rPr>
                <w:sz w:val="20"/>
                <w:szCs w:val="20"/>
                <w:color w:val="auto"/>
              </w:rPr>
            </w:pPr>
            <w:r>
              <w:rPr>
                <w:rFonts w:ascii="Arial" w:cs="Arial" w:eastAsia="Arial" w:hAnsi="Arial"/>
                <w:sz w:val="16"/>
                <w:szCs w:val="16"/>
                <w:color w:val="auto"/>
                <w:w w:val="87"/>
              </w:rPr>
              <w:t>Cheniere</w:t>
            </w:r>
            <w:r>
              <w:rPr>
                <w:rFonts w:ascii="Arial" w:cs="Arial" w:eastAsia="Arial" w:hAnsi="Arial"/>
                <w:sz w:val="21"/>
                <w:szCs w:val="21"/>
                <w:color w:val="auto"/>
                <w:w w:val="87"/>
                <w:vertAlign w:val="superscript"/>
              </w:rPr>
              <w:t>(5)</w:t>
            </w:r>
          </w:p>
        </w:tc>
        <w:tc>
          <w:tcPr>
            <w:tcW w:w="1540" w:type="dxa"/>
            <w:vAlign w:val="bottom"/>
            <w:gridSpan w:val="2"/>
            <w:shd w:val="clear" w:color="auto" w:fill="E5FFFF"/>
          </w:tcPr>
          <w:p>
            <w:pPr>
              <w:jc w:val="center"/>
              <w:ind w:right="280"/>
              <w:spacing w:after="0"/>
              <w:rPr>
                <w:sz w:val="20"/>
                <w:szCs w:val="20"/>
                <w:color w:val="auto"/>
              </w:rPr>
            </w:pPr>
            <w:r>
              <w:rPr>
                <w:rFonts w:ascii="Arial" w:cs="Arial" w:eastAsia="Arial" w:hAnsi="Arial"/>
                <w:sz w:val="16"/>
                <w:szCs w:val="16"/>
                <w:color w:val="auto"/>
              </w:rPr>
              <w:t>X-DF</w:t>
            </w:r>
          </w:p>
        </w:tc>
        <w:tc>
          <w:tcPr>
            <w:tcW w:w="184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2028</w:t>
            </w:r>
          </w:p>
        </w:tc>
      </w:tr>
      <w:tr>
        <w:trPr>
          <w:trHeight w:val="281"/>
        </w:trPr>
        <w:tc>
          <w:tcPr>
            <w:tcW w:w="2040" w:type="dxa"/>
            <w:vAlign w:val="bottom"/>
            <w:gridSpan w:val="2"/>
          </w:tcPr>
          <w:p>
            <w:pPr>
              <w:spacing w:after="0"/>
              <w:rPr>
                <w:sz w:val="20"/>
                <w:szCs w:val="20"/>
                <w:color w:val="auto"/>
              </w:rPr>
            </w:pPr>
            <w:r>
              <w:rPr>
                <w:rFonts w:ascii="Arial" w:cs="Arial" w:eastAsia="Arial" w:hAnsi="Arial"/>
                <w:sz w:val="16"/>
                <w:szCs w:val="16"/>
                <w:color w:val="auto"/>
              </w:rPr>
              <w:t>Hull No. 2312</w:t>
            </w:r>
          </w:p>
        </w:tc>
        <w:tc>
          <w:tcPr>
            <w:tcW w:w="1700" w:type="dxa"/>
            <w:vAlign w:val="bottom"/>
            <w:gridSpan w:val="2"/>
          </w:tcPr>
          <w:p>
            <w:pPr>
              <w:jc w:val="center"/>
              <w:ind w:right="300"/>
              <w:spacing w:after="0"/>
              <w:rPr>
                <w:sz w:val="20"/>
                <w:szCs w:val="20"/>
                <w:color w:val="auto"/>
              </w:rPr>
            </w:pPr>
            <w:r>
              <w:rPr>
                <w:rFonts w:ascii="Arial" w:cs="Arial" w:eastAsia="Arial" w:hAnsi="Arial"/>
                <w:sz w:val="16"/>
                <w:szCs w:val="16"/>
                <w:color w:val="auto"/>
                <w:w w:val="91"/>
              </w:rPr>
              <w:t>Q3 2021</w:t>
            </w:r>
          </w:p>
        </w:tc>
        <w:tc>
          <w:tcPr>
            <w:tcW w:w="1460" w:type="dxa"/>
            <w:vAlign w:val="bottom"/>
            <w:gridSpan w:val="2"/>
          </w:tcPr>
          <w:p>
            <w:pPr>
              <w:jc w:val="center"/>
              <w:ind w:right="300"/>
              <w:spacing w:after="0"/>
              <w:rPr>
                <w:sz w:val="20"/>
                <w:szCs w:val="20"/>
                <w:color w:val="auto"/>
              </w:rPr>
            </w:pPr>
            <w:r>
              <w:rPr>
                <w:rFonts w:ascii="Arial" w:cs="Arial" w:eastAsia="Arial" w:hAnsi="Arial"/>
                <w:sz w:val="16"/>
                <w:szCs w:val="16"/>
                <w:color w:val="auto"/>
                <w:w w:val="88"/>
              </w:rPr>
              <w:t>Samsung</w:t>
            </w: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180,000</w:t>
            </w:r>
          </w:p>
        </w:tc>
        <w:tc>
          <w:tcPr>
            <w:tcW w:w="280" w:type="dxa"/>
            <w:vAlign w:val="bottom"/>
          </w:tcPr>
          <w:p>
            <w:pPr>
              <w:spacing w:after="0"/>
              <w:rPr>
                <w:sz w:val="24"/>
                <w:szCs w:val="24"/>
                <w:color w:val="auto"/>
              </w:rPr>
            </w:pPr>
          </w:p>
        </w:tc>
        <w:tc>
          <w:tcPr>
            <w:tcW w:w="1560" w:type="dxa"/>
            <w:vAlign w:val="bottom"/>
            <w:gridSpan w:val="2"/>
          </w:tcPr>
          <w:p>
            <w:pPr>
              <w:jc w:val="center"/>
              <w:ind w:right="280"/>
              <w:spacing w:after="0"/>
              <w:rPr>
                <w:sz w:val="20"/>
                <w:szCs w:val="20"/>
                <w:color w:val="auto"/>
              </w:rPr>
            </w:pPr>
            <w:r>
              <w:rPr>
                <w:rFonts w:ascii="Arial" w:cs="Arial" w:eastAsia="Arial" w:hAnsi="Arial"/>
                <w:sz w:val="16"/>
                <w:szCs w:val="16"/>
                <w:color w:val="auto"/>
                <w:w w:val="87"/>
              </w:rPr>
              <w:t>Cheniere</w:t>
            </w:r>
            <w:r>
              <w:rPr>
                <w:rFonts w:ascii="Arial" w:cs="Arial" w:eastAsia="Arial" w:hAnsi="Arial"/>
                <w:sz w:val="21"/>
                <w:szCs w:val="21"/>
                <w:color w:val="auto"/>
                <w:w w:val="87"/>
                <w:vertAlign w:val="superscript"/>
              </w:rPr>
              <w:t>(5)</w:t>
            </w:r>
          </w:p>
        </w:tc>
        <w:tc>
          <w:tcPr>
            <w:tcW w:w="1540" w:type="dxa"/>
            <w:vAlign w:val="bottom"/>
            <w:gridSpan w:val="2"/>
          </w:tcPr>
          <w:p>
            <w:pPr>
              <w:jc w:val="center"/>
              <w:ind w:right="280"/>
              <w:spacing w:after="0"/>
              <w:rPr>
                <w:sz w:val="20"/>
                <w:szCs w:val="20"/>
                <w:color w:val="auto"/>
              </w:rPr>
            </w:pPr>
            <w:r>
              <w:rPr>
                <w:rFonts w:ascii="Arial" w:cs="Arial" w:eastAsia="Arial" w:hAnsi="Arial"/>
                <w:sz w:val="16"/>
                <w:szCs w:val="16"/>
                <w:color w:val="auto"/>
              </w:rPr>
              <w:t>X-DF</w:t>
            </w:r>
          </w:p>
        </w:tc>
        <w:tc>
          <w:tcPr>
            <w:tcW w:w="1840" w:type="dxa"/>
            <w:vAlign w:val="bottom"/>
          </w:tcPr>
          <w:p>
            <w:pPr>
              <w:jc w:val="center"/>
              <w:spacing w:after="0"/>
              <w:rPr>
                <w:sz w:val="20"/>
                <w:szCs w:val="20"/>
                <w:color w:val="auto"/>
              </w:rPr>
            </w:pPr>
            <w:r>
              <w:rPr>
                <w:rFonts w:ascii="Arial" w:cs="Arial" w:eastAsia="Arial" w:hAnsi="Arial"/>
                <w:sz w:val="16"/>
                <w:szCs w:val="16"/>
                <w:color w:val="auto"/>
                <w:w w:val="89"/>
              </w:rPr>
              <w:t>2028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60007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00075" cy="8255"/>
                    </a:xfrm>
                    <a:prstGeom prst="rect">
                      <a:avLst/>
                    </a:prstGeom>
                    <a:noFill/>
                  </pic:spPr>
                </pic:pic>
              </a:graphicData>
            </a:graphic>
          </wp:anchor>
        </w:drawing>
      </w:r>
    </w:p>
    <w:p>
      <w:pPr>
        <w:spacing w:after="0" w:line="80" w:lineRule="exact"/>
        <w:rPr>
          <w:sz w:val="20"/>
          <w:szCs w:val="20"/>
          <w:color w:val="auto"/>
        </w:rPr>
      </w:pPr>
    </w:p>
    <w:p>
      <w:pPr>
        <w:ind w:left="260" w:hanging="252"/>
        <w:spacing w:after="0"/>
        <w:tabs>
          <w:tab w:leader="none" w:pos="260"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Expected delivery quarters are presented.</w:t>
      </w:r>
    </w:p>
    <w:p>
      <w:pPr>
        <w:ind w:left="260" w:hanging="252"/>
        <w:spacing w:after="0" w:line="187" w:lineRule="auto"/>
        <w:tabs>
          <w:tab w:leader="none" w:pos="260"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Charter expiration to be determined based upon actual date of delivery.</w:t>
      </w:r>
    </w:p>
    <w:p>
      <w:pPr>
        <w:ind w:left="260" w:hanging="252"/>
        <w:spacing w:after="0" w:line="187" w:lineRule="auto"/>
        <w:tabs>
          <w:tab w:leader="none" w:pos="260"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The charter is expected to commence in May 2021.</w:t>
      </w:r>
    </w:p>
    <w:p>
      <w:pPr>
        <w:ind w:left="260" w:hanging="252"/>
        <w:spacing w:after="0" w:line="187" w:lineRule="auto"/>
        <w:tabs>
          <w:tab w:leader="none" w:pos="260"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The vessel is chartered to Pioneer Shipping Limited, a wholly owned subsidiary of Centrica plc (“Centrica”).</w:t>
      </w:r>
    </w:p>
    <w:p>
      <w:pPr>
        <w:ind w:left="260" w:hanging="252"/>
        <w:spacing w:after="0" w:line="197" w:lineRule="auto"/>
        <w:tabs>
          <w:tab w:leader="none" w:pos="260"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The vessel is chartered to a wholly owned subsidiary of Cheniere Energy, Inc. (“Cheniere”).</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Conference Call</w:t>
      </w:r>
    </w:p>
    <w:p>
      <w:pPr>
        <w:spacing w:after="0" w:line="239" w:lineRule="exact"/>
        <w:rPr>
          <w:sz w:val="20"/>
          <w:szCs w:val="20"/>
          <w:color w:val="auto"/>
        </w:rPr>
      </w:pPr>
    </w:p>
    <w:p>
      <w:pPr>
        <w:jc w:val="both"/>
        <w:ind w:right="340"/>
        <w:spacing w:after="0" w:line="278" w:lineRule="auto"/>
        <w:rPr>
          <w:sz w:val="20"/>
          <w:szCs w:val="20"/>
          <w:color w:val="auto"/>
        </w:rPr>
      </w:pPr>
      <w:r>
        <w:rPr>
          <w:rFonts w:ascii="Arial" w:cs="Arial" w:eastAsia="Arial" w:hAnsi="Arial"/>
          <w:sz w:val="16"/>
          <w:szCs w:val="16"/>
          <w:color w:val="auto"/>
        </w:rPr>
        <w:t>GasLog will host a conference call to discuss its results for the first quarter of 2019 at 8:30 a.m. EDT (1:30 p.m. BST) on Friday, May 3, 2019. Paul Wogan, Chief Executive Officer, and Alastair Maxwell, Chief Financial Officer, will review the Company’s operational and financial performance for the period. Management’s presentation will be followed by a Q&amp;A session.</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The dial-in numbers for the conference call are as follows: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+1 855 253 8928 (USA)</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+44 20 3107 0289 (United Kingdom)</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+33 1 70 80 71 53 (France)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+852 3011 4522 (Hong Kong)</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Conference ID: 2072487</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 live webcast of the conference call will also be available on the Investor Relations page of the Company’s website at </w:t>
      </w:r>
      <w:r>
        <w:rPr>
          <w:rFonts w:ascii="Arial" w:cs="Arial" w:eastAsia="Arial" w:hAnsi="Arial"/>
          <w:sz w:val="16"/>
          <w:szCs w:val="16"/>
          <w:u w:val="single" w:color="auto"/>
          <w:color w:val="0000FF"/>
        </w:rPr>
        <w:t>http://www.gaslogltd.com/investor-relations</w:t>
      </w:r>
      <w:r>
        <w:rPr>
          <w:rFonts w:ascii="Arial" w:cs="Arial" w:eastAsia="Arial" w:hAnsi="Arial"/>
          <w:sz w:val="16"/>
          <w:szCs w:val="16"/>
          <w:color w:val="auto"/>
        </w:rPr>
        <w:t>.</w:t>
      </w:r>
    </w:p>
    <w:p>
      <w:pPr>
        <w:spacing w:after="0" w:line="235" w:lineRule="exact"/>
        <w:rPr>
          <w:sz w:val="20"/>
          <w:szCs w:val="20"/>
          <w:color w:val="auto"/>
        </w:rPr>
      </w:pPr>
    </w:p>
    <w:p>
      <w:pPr>
        <w:ind w:right="1560"/>
        <w:spacing w:after="0" w:line="293" w:lineRule="auto"/>
        <w:rPr>
          <w:sz w:val="20"/>
          <w:szCs w:val="20"/>
          <w:color w:val="auto"/>
        </w:rPr>
      </w:pPr>
      <w:r>
        <w:rPr>
          <w:rFonts w:ascii="Arial" w:cs="Arial" w:eastAsia="Arial" w:hAnsi="Arial"/>
          <w:sz w:val="16"/>
          <w:szCs w:val="16"/>
          <w:color w:val="auto"/>
        </w:rPr>
        <w:t xml:space="preserve">For those unable to participate in the conference call, a replay of the webcast will be available on the Investor Relations page of the Company’s website at </w:t>
      </w:r>
      <w:r>
        <w:rPr>
          <w:rFonts w:ascii="Arial" w:cs="Arial" w:eastAsia="Arial" w:hAnsi="Arial"/>
          <w:sz w:val="16"/>
          <w:szCs w:val="16"/>
          <w:u w:val="single" w:color="auto"/>
          <w:color w:val="0000FF"/>
        </w:rPr>
        <w:t>http://www.gaslogltd.com/investor-relations</w:t>
      </w:r>
      <w:r>
        <w:rPr>
          <w:rFonts w:ascii="Arial" w:cs="Arial" w:eastAsia="Arial" w:hAnsi="Arial"/>
          <w:sz w:val="16"/>
          <w:szCs w:val="16"/>
          <w:color w:val="000000"/>
        </w:rPr>
        <w:t>.</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About GasLog</w:t>
      </w:r>
    </w:p>
    <w:p>
      <w:pPr>
        <w:spacing w:after="0" w:line="239" w:lineRule="exact"/>
        <w:rPr>
          <w:sz w:val="20"/>
          <w:szCs w:val="20"/>
          <w:color w:val="auto"/>
        </w:rPr>
      </w:pPr>
    </w:p>
    <w:p>
      <w:pPr>
        <w:ind w:right="140"/>
        <w:spacing w:after="0" w:line="297" w:lineRule="auto"/>
        <w:rPr>
          <w:sz w:val="20"/>
          <w:szCs w:val="20"/>
          <w:color w:val="auto"/>
        </w:rPr>
      </w:pPr>
      <w:r>
        <w:rPr>
          <w:rFonts w:ascii="Arial" w:cs="Arial" w:eastAsia="Arial" w:hAnsi="Arial"/>
          <w:sz w:val="15"/>
          <w:szCs w:val="15"/>
          <w:color w:val="auto"/>
        </w:rPr>
        <w:t xml:space="preserve">GasLog is an international owner, operator and manager of LNG carriers providing support to international energy companies as part of their LNG logistics chain. GasLog’s consolidated owned fleet consists of 34 LNG carriers (26 ships on the water and eight on order). GasLog also has an additional LNG carrier which was sold to a subsidiary of Mitsui &amp; Co., Ltd. and leased back under a long-term bareboat charter. GasLog’s consolidated fleet currently includes 15 LNG carriers in operation owned by GasLog Partners. GasLog’s principal executive offices are at Gildo Pastor Center, 7 Rue du Gabian, MC 98000, Monaco. Visit GasLog’s website at </w:t>
      </w:r>
      <w:r>
        <w:rPr>
          <w:rFonts w:ascii="Arial" w:cs="Arial" w:eastAsia="Arial" w:hAnsi="Arial"/>
          <w:sz w:val="15"/>
          <w:szCs w:val="15"/>
          <w:u w:val="single" w:color="auto"/>
          <w:color w:val="0000FF"/>
        </w:rPr>
        <w:t>http://www.gaslogltd.com</w:t>
      </w:r>
      <w:r>
        <w:rPr>
          <w:rFonts w:ascii="Arial" w:cs="Arial" w:eastAsia="Arial" w:hAnsi="Arial"/>
          <w:sz w:val="13"/>
          <w:szCs w:val="13"/>
          <w:color w:val="auto"/>
        </w:rPr>
        <w:t>.</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Forward Looking Statements</w:t>
      </w:r>
    </w:p>
    <w:p>
      <w:pPr>
        <w:spacing w:after="0" w:line="239" w:lineRule="exact"/>
        <w:rPr>
          <w:sz w:val="20"/>
          <w:szCs w:val="20"/>
          <w:color w:val="auto"/>
        </w:rPr>
      </w:pPr>
    </w:p>
    <w:p>
      <w:pPr>
        <w:ind w:right="80"/>
        <w:spacing w:after="0" w:line="289" w:lineRule="auto"/>
        <w:rPr>
          <w:sz w:val="20"/>
          <w:szCs w:val="20"/>
          <w:color w:val="auto"/>
        </w:rPr>
      </w:pPr>
      <w:r>
        <w:rPr>
          <w:rFonts w:ascii="Arial" w:cs="Arial" w:eastAsia="Arial" w:hAnsi="Arial"/>
          <w:sz w:val="15"/>
          <w:szCs w:val="15"/>
          <w:color w:val="auto"/>
        </w:rPr>
        <w:t>All statements in this press release that are not statements of historical fact are “forward-looking statements” within the meaning of the U.S. Private Securities Litigation Reform Act of 1995. Forward-looking statements include statements that address activities, events or developments that the Company expects, projects, believes or anticipates will or may occur in the future, particularly in relation to our operations, cash flows, financial position, liquidity and cash available for dividends or distributions, plans, strategies, business prospects and changes and trends in our business and the markets in which we operate. We caution that these forward-looking statements represent our estimates and assumptions only as of the date of this press release, about factors that are beyond our ability to control or predict, and are not intended to give any assurance as to future results. Any of these factors or a combination of these factors could materially affect future results of operations and the ultimate accuracy of the forward-looking statements. Accordingly, you should not unduly rely on any forward-looking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Factors that might cause future results and outcomes to differ include, but are not limited to, the following:</w:t>
      </w: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35901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359015" cy="29845"/>
                    </a:xfrm>
                    <a:prstGeom prst="rect">
                      <a:avLst/>
                    </a:prstGeom>
                    <a:noFill/>
                  </pic:spPr>
                </pic:pic>
              </a:graphicData>
            </a:graphic>
          </wp:anchor>
        </w:drawing>
      </w:r>
    </w:p>
    <w:p>
      <w:pPr>
        <w:sectPr>
          <w:pgSz w:w="11900" w:h="16838" w:orient="portrait"/>
          <w:cols w:equalWidth="0" w:num="1">
            <w:col w:w="11560"/>
          </w:cols>
          <w:pgMar w:left="160" w:top="266" w:right="179" w:bottom="1440" w:gutter="0" w:footer="0" w:header="0"/>
        </w:sectPr>
      </w:pPr>
    </w:p>
    <w:bookmarkStart w:id="9" w:name="page10"/>
    <w:bookmarkEnd w:id="9"/>
    <w:p>
      <w:pPr>
        <w:ind w:left="520" w:right="420" w:hanging="188"/>
        <w:spacing w:after="0" w:line="266" w:lineRule="auto"/>
        <w:tabs>
          <w:tab w:leader="none" w:pos="475" w:val="left"/>
        </w:tabs>
        <w:numPr>
          <w:ilvl w:val="0"/>
          <w:numId w:val="7"/>
        </w:numPr>
        <w:rPr>
          <w:rFonts w:ascii="Arial" w:cs="Arial" w:eastAsia="Arial" w:hAnsi="Arial"/>
          <w:sz w:val="16"/>
          <w:szCs w:val="16"/>
          <w:color w:val="auto"/>
        </w:rPr>
      </w:pPr>
      <w:r>
        <w:rPr>
          <w:rFonts w:ascii="Arial" w:cs="Arial" w:eastAsia="Arial" w:hAnsi="Arial"/>
          <w:sz w:val="16"/>
          <w:szCs w:val="16"/>
          <w:color w:val="auto"/>
        </w:rPr>
        <w:t>general LNG shipping market conditions and trends, including spot and multi-year charter rates, ship values, factors affecting supply and demand of LNG and LNG shipping, technological advancements and opportunities for the profitable operations of LNG carriers;</w:t>
      </w:r>
    </w:p>
    <w:p>
      <w:pPr>
        <w:spacing w:after="0" w:line="1" w:lineRule="exact"/>
        <w:rPr>
          <w:rFonts w:ascii="Arial" w:cs="Arial" w:eastAsia="Arial" w:hAnsi="Arial"/>
          <w:sz w:val="16"/>
          <w:szCs w:val="16"/>
          <w:color w:val="auto"/>
        </w:rPr>
      </w:pPr>
    </w:p>
    <w:p>
      <w:pPr>
        <w:ind w:left="460" w:hanging="128"/>
        <w:spacing w:after="0"/>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fluctuations in spot and multi-year charter hire rates and vessel values;</w:t>
      </w:r>
    </w:p>
    <w:p>
      <w:pPr>
        <w:spacing w:after="0" w:line="18" w:lineRule="exact"/>
        <w:rPr>
          <w:rFonts w:ascii="Arial" w:cs="Arial" w:eastAsia="Arial" w:hAnsi="Arial"/>
          <w:sz w:val="16"/>
          <w:szCs w:val="16"/>
          <w:color w:val="auto"/>
        </w:rPr>
      </w:pPr>
    </w:p>
    <w:p>
      <w:pPr>
        <w:ind w:left="460" w:hanging="128"/>
        <w:spacing w:after="0"/>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increased exposure to the spot market and fluctuations in spot charter rates;</w:t>
      </w:r>
    </w:p>
    <w:p>
      <w:pPr>
        <w:spacing w:after="0" w:line="18" w:lineRule="exact"/>
        <w:rPr>
          <w:rFonts w:ascii="Arial" w:cs="Arial" w:eastAsia="Arial" w:hAnsi="Arial"/>
          <w:sz w:val="16"/>
          <w:szCs w:val="16"/>
          <w:color w:val="auto"/>
        </w:rPr>
      </w:pPr>
    </w:p>
    <w:p>
      <w:pPr>
        <w:ind w:left="520" w:hanging="196"/>
        <w:spacing w:after="0" w:line="264" w:lineRule="auto"/>
        <w:tabs>
          <w:tab w:leader="none" w:pos="474"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ability to maximize the use of our vessels, including the re-deployment or disposition of vessels which are not under multi-year charters, including the risk that certain of our vessels may no longer have the latest technology at such time which may impact the rate at which we can charter such vessels;</w:t>
      </w:r>
    </w:p>
    <w:p>
      <w:pPr>
        <w:ind w:left="480" w:hanging="156"/>
        <w:spacing w:after="0"/>
        <w:tabs>
          <w:tab w:leader="none" w:pos="480" w:val="left"/>
        </w:tabs>
        <w:numPr>
          <w:ilvl w:val="0"/>
          <w:numId w:val="7"/>
        </w:numPr>
        <w:rPr>
          <w:rFonts w:ascii="Arial" w:cs="Arial" w:eastAsia="Arial" w:hAnsi="Arial"/>
          <w:sz w:val="16"/>
          <w:szCs w:val="16"/>
          <w:color w:val="auto"/>
        </w:rPr>
      </w:pPr>
      <w:r>
        <w:rPr>
          <w:rFonts w:ascii="Arial" w:cs="Arial" w:eastAsia="Arial" w:hAnsi="Arial"/>
          <w:sz w:val="16"/>
          <w:szCs w:val="16"/>
          <w:color w:val="auto"/>
        </w:rPr>
        <w:t>changes in our operating expenses, including crew wages, maintenance, dry-docking and insurance costs and bunker prices;</w:t>
      </w:r>
    </w:p>
    <w:p>
      <w:pPr>
        <w:spacing w:after="0" w:line="18" w:lineRule="exact"/>
        <w:rPr>
          <w:rFonts w:ascii="Arial" w:cs="Arial" w:eastAsia="Arial" w:hAnsi="Arial"/>
          <w:sz w:val="16"/>
          <w:szCs w:val="16"/>
          <w:color w:val="auto"/>
        </w:rPr>
      </w:pPr>
    </w:p>
    <w:p>
      <w:pPr>
        <w:ind w:left="480" w:hanging="156"/>
        <w:spacing w:after="0"/>
        <w:tabs>
          <w:tab w:leader="none" w:pos="480" w:val="left"/>
        </w:tabs>
        <w:numPr>
          <w:ilvl w:val="0"/>
          <w:numId w:val="7"/>
        </w:numPr>
        <w:rPr>
          <w:rFonts w:ascii="Arial" w:cs="Arial" w:eastAsia="Arial" w:hAnsi="Arial"/>
          <w:sz w:val="16"/>
          <w:szCs w:val="16"/>
          <w:color w:val="auto"/>
        </w:rPr>
      </w:pPr>
      <w:r>
        <w:rPr>
          <w:rFonts w:ascii="Arial" w:cs="Arial" w:eastAsia="Arial" w:hAnsi="Arial"/>
          <w:sz w:val="16"/>
          <w:szCs w:val="16"/>
          <w:color w:val="auto"/>
        </w:rPr>
        <w:t>number of off-hire days and dry-docking requirements including our ability to complete scheduled dry-dockings on time and within budget;</w:t>
      </w:r>
    </w:p>
    <w:p>
      <w:pPr>
        <w:spacing w:after="0" w:line="18" w:lineRule="exact"/>
        <w:rPr>
          <w:rFonts w:ascii="Arial" w:cs="Arial" w:eastAsia="Arial" w:hAnsi="Arial"/>
          <w:sz w:val="16"/>
          <w:szCs w:val="16"/>
          <w:color w:val="auto"/>
        </w:rPr>
      </w:pPr>
    </w:p>
    <w:p>
      <w:pPr>
        <w:ind w:left="480" w:hanging="156"/>
        <w:spacing w:after="0"/>
        <w:tabs>
          <w:tab w:leader="none" w:pos="480" w:val="left"/>
        </w:tabs>
        <w:numPr>
          <w:ilvl w:val="0"/>
          <w:numId w:val="7"/>
        </w:numPr>
        <w:rPr>
          <w:rFonts w:ascii="Arial" w:cs="Arial" w:eastAsia="Arial" w:hAnsi="Arial"/>
          <w:sz w:val="16"/>
          <w:szCs w:val="16"/>
          <w:color w:val="auto"/>
        </w:rPr>
      </w:pPr>
      <w:r>
        <w:rPr>
          <w:rFonts w:ascii="Arial" w:cs="Arial" w:eastAsia="Arial" w:hAnsi="Arial"/>
          <w:sz w:val="16"/>
          <w:szCs w:val="16"/>
          <w:color w:val="auto"/>
        </w:rPr>
        <w:t>planned capital expenditures and availability of capital resources to fund capital expenditures;</w:t>
      </w:r>
    </w:p>
    <w:p>
      <w:pPr>
        <w:spacing w:after="0" w:line="18" w:lineRule="exact"/>
        <w:rPr>
          <w:rFonts w:ascii="Arial" w:cs="Arial" w:eastAsia="Arial" w:hAnsi="Arial"/>
          <w:sz w:val="16"/>
          <w:szCs w:val="16"/>
          <w:color w:val="auto"/>
        </w:rPr>
      </w:pPr>
    </w:p>
    <w:p>
      <w:pPr>
        <w:ind w:left="480" w:hanging="156"/>
        <w:spacing w:after="0"/>
        <w:tabs>
          <w:tab w:leader="none" w:pos="480"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ability to maintain long-term relationships and enter into time charters with new and existing customers;</w:t>
      </w:r>
    </w:p>
    <w:p>
      <w:pPr>
        <w:spacing w:after="0" w:line="18" w:lineRule="exact"/>
        <w:rPr>
          <w:rFonts w:ascii="Arial" w:cs="Arial" w:eastAsia="Arial" w:hAnsi="Arial"/>
          <w:sz w:val="16"/>
          <w:szCs w:val="16"/>
          <w:color w:val="auto"/>
        </w:rPr>
      </w:pPr>
    </w:p>
    <w:p>
      <w:pPr>
        <w:ind w:left="460" w:hanging="128"/>
        <w:spacing w:after="0"/>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fluctuations in prices for crude oil, petroleum products and natural gas, including LNG;</w:t>
      </w:r>
    </w:p>
    <w:p>
      <w:pPr>
        <w:spacing w:after="0" w:line="18" w:lineRule="exact"/>
        <w:rPr>
          <w:rFonts w:ascii="Arial" w:cs="Arial" w:eastAsia="Arial" w:hAnsi="Arial"/>
          <w:sz w:val="16"/>
          <w:szCs w:val="16"/>
          <w:color w:val="auto"/>
        </w:rPr>
      </w:pPr>
    </w:p>
    <w:p>
      <w:pPr>
        <w:ind w:left="460" w:hanging="128"/>
        <w:spacing w:after="0"/>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changes in the ownership of our charterers;</w:t>
      </w:r>
    </w:p>
    <w:p>
      <w:pPr>
        <w:spacing w:after="0" w:line="18" w:lineRule="exact"/>
        <w:rPr>
          <w:rFonts w:ascii="Arial" w:cs="Arial" w:eastAsia="Arial" w:hAnsi="Arial"/>
          <w:sz w:val="16"/>
          <w:szCs w:val="16"/>
          <w:color w:val="auto"/>
        </w:rPr>
      </w:pPr>
    </w:p>
    <w:p>
      <w:pPr>
        <w:ind w:left="460" w:hanging="128"/>
        <w:spacing w:after="0"/>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customers’ performance of their obligations under our time charters and other contracts;</w:t>
      </w:r>
    </w:p>
    <w:p>
      <w:pPr>
        <w:spacing w:after="0" w:line="18" w:lineRule="exact"/>
        <w:rPr>
          <w:rFonts w:ascii="Arial" w:cs="Arial" w:eastAsia="Arial" w:hAnsi="Arial"/>
          <w:sz w:val="16"/>
          <w:szCs w:val="16"/>
          <w:color w:val="auto"/>
        </w:rPr>
      </w:pPr>
    </w:p>
    <w:p>
      <w:pPr>
        <w:ind w:left="460" w:hanging="128"/>
        <w:spacing w:after="0"/>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future operating performance and expenses, financial condition, liquidity and cash available for dividends and distributions;</w:t>
      </w:r>
    </w:p>
    <w:p>
      <w:pPr>
        <w:spacing w:after="0" w:line="18" w:lineRule="exact"/>
        <w:rPr>
          <w:rFonts w:ascii="Arial" w:cs="Arial" w:eastAsia="Arial" w:hAnsi="Arial"/>
          <w:sz w:val="16"/>
          <w:szCs w:val="16"/>
          <w:color w:val="auto"/>
        </w:rPr>
      </w:pPr>
    </w:p>
    <w:p>
      <w:pPr>
        <w:ind w:left="520" w:right="60" w:hanging="188"/>
        <w:spacing w:after="0" w:line="264" w:lineRule="auto"/>
        <w:tabs>
          <w:tab w:leader="none" w:pos="475"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ability to obtain financing to fund capital expenditures, acquisitions and other corporate activities, funding by banks of their financial commitments, and our ability to meet our restrictive covenants and other obligations under our credit facilities;</w:t>
      </w:r>
    </w:p>
    <w:p>
      <w:pPr>
        <w:ind w:left="460" w:hanging="128"/>
        <w:spacing w:after="0"/>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future, pending or recent acquisitions of or orders for ships or other assets, business strategy, areas of possible expansion and expected capital spending;</w:t>
      </w:r>
    </w:p>
    <w:p>
      <w:pPr>
        <w:spacing w:after="0" w:line="18" w:lineRule="exact"/>
        <w:rPr>
          <w:rFonts w:ascii="Arial" w:cs="Arial" w:eastAsia="Arial" w:hAnsi="Arial"/>
          <w:sz w:val="16"/>
          <w:szCs w:val="16"/>
          <w:color w:val="auto"/>
        </w:rPr>
      </w:pPr>
    </w:p>
    <w:p>
      <w:pPr>
        <w:ind w:left="460" w:hanging="128"/>
        <w:spacing w:after="0"/>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time that it may take to construct and deliver newbuildings and the useful lives of our ships;</w:t>
      </w:r>
    </w:p>
    <w:p>
      <w:pPr>
        <w:spacing w:after="0" w:line="18" w:lineRule="exact"/>
        <w:rPr>
          <w:rFonts w:ascii="Arial" w:cs="Arial" w:eastAsia="Arial" w:hAnsi="Arial"/>
          <w:sz w:val="16"/>
          <w:szCs w:val="16"/>
          <w:color w:val="auto"/>
        </w:rPr>
      </w:pPr>
    </w:p>
    <w:p>
      <w:pPr>
        <w:ind w:left="480" w:hanging="156"/>
        <w:spacing w:after="0"/>
        <w:tabs>
          <w:tab w:leader="none" w:pos="480" w:val="left"/>
        </w:tabs>
        <w:numPr>
          <w:ilvl w:val="0"/>
          <w:numId w:val="7"/>
        </w:numPr>
        <w:rPr>
          <w:rFonts w:ascii="Arial" w:cs="Arial" w:eastAsia="Arial" w:hAnsi="Arial"/>
          <w:sz w:val="16"/>
          <w:szCs w:val="16"/>
          <w:color w:val="auto"/>
        </w:rPr>
      </w:pPr>
      <w:r>
        <w:rPr>
          <w:rFonts w:ascii="Arial" w:cs="Arial" w:eastAsia="Arial" w:hAnsi="Arial"/>
          <w:sz w:val="16"/>
          <w:szCs w:val="16"/>
          <w:color w:val="auto"/>
        </w:rPr>
        <w:t>fluctuations in currencies and interest rates;</w:t>
      </w:r>
    </w:p>
    <w:p>
      <w:pPr>
        <w:spacing w:after="0" w:line="18" w:lineRule="exact"/>
        <w:rPr>
          <w:rFonts w:ascii="Arial" w:cs="Arial" w:eastAsia="Arial" w:hAnsi="Arial"/>
          <w:sz w:val="16"/>
          <w:szCs w:val="16"/>
          <w:color w:val="auto"/>
        </w:rPr>
      </w:pPr>
    </w:p>
    <w:p>
      <w:pPr>
        <w:ind w:left="520" w:right="320" w:hanging="188"/>
        <w:spacing w:after="0" w:line="264" w:lineRule="auto"/>
        <w:tabs>
          <w:tab w:leader="none" w:pos="475"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expected cost of and our ability to comply with environmental and regulatory conditions, including changes in laws and regulations or actions taken by regulatory authorities, governmental organizations, classification societies and standards imposed by our charterers applicable to our business;</w:t>
      </w:r>
    </w:p>
    <w:p>
      <w:pPr>
        <w:ind w:left="460" w:hanging="128"/>
        <w:spacing w:after="0"/>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risks inherent in ship operation, including the discharge of pollutants;</w:t>
      </w:r>
    </w:p>
    <w:p>
      <w:pPr>
        <w:spacing w:after="0" w:line="18" w:lineRule="exact"/>
        <w:rPr>
          <w:rFonts w:ascii="Arial" w:cs="Arial" w:eastAsia="Arial" w:hAnsi="Arial"/>
          <w:sz w:val="16"/>
          <w:szCs w:val="16"/>
          <w:color w:val="auto"/>
        </w:rPr>
      </w:pPr>
    </w:p>
    <w:p>
      <w:pPr>
        <w:ind w:left="460" w:hanging="128"/>
        <w:spacing w:after="0"/>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ability to retain key employees and the availability of skilled labour, ship crews and management;</w:t>
      </w:r>
    </w:p>
    <w:p>
      <w:pPr>
        <w:spacing w:after="0" w:line="18" w:lineRule="exact"/>
        <w:rPr>
          <w:rFonts w:ascii="Arial" w:cs="Arial" w:eastAsia="Arial" w:hAnsi="Arial"/>
          <w:sz w:val="16"/>
          <w:szCs w:val="16"/>
          <w:color w:val="auto"/>
        </w:rPr>
      </w:pPr>
    </w:p>
    <w:p>
      <w:pPr>
        <w:ind w:left="460" w:hanging="128"/>
        <w:spacing w:after="0"/>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potential disruption of shipping routes due to accidents, political events, piracy or acts by terrorists;</w:t>
      </w:r>
    </w:p>
    <w:p>
      <w:pPr>
        <w:spacing w:after="0" w:line="18" w:lineRule="exact"/>
        <w:rPr>
          <w:rFonts w:ascii="Arial" w:cs="Arial" w:eastAsia="Arial" w:hAnsi="Arial"/>
          <w:sz w:val="16"/>
          <w:szCs w:val="16"/>
          <w:color w:val="auto"/>
        </w:rPr>
      </w:pPr>
    </w:p>
    <w:p>
      <w:pPr>
        <w:ind w:left="460" w:hanging="128"/>
        <w:spacing w:after="0"/>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potential liability from future litigation;</w:t>
      </w:r>
    </w:p>
    <w:p>
      <w:pPr>
        <w:spacing w:after="0" w:line="18" w:lineRule="exact"/>
        <w:rPr>
          <w:rFonts w:ascii="Arial" w:cs="Arial" w:eastAsia="Arial" w:hAnsi="Arial"/>
          <w:sz w:val="16"/>
          <w:szCs w:val="16"/>
          <w:color w:val="auto"/>
        </w:rPr>
      </w:pPr>
    </w:p>
    <w:p>
      <w:pPr>
        <w:ind w:left="460" w:hanging="128"/>
        <w:spacing w:after="0"/>
        <w:tabs>
          <w:tab w:leader="none" w:pos="460" w:val="left"/>
        </w:tabs>
        <w:numPr>
          <w:ilvl w:val="0"/>
          <w:numId w:val="7"/>
        </w:numPr>
        <w:rPr>
          <w:rFonts w:ascii="Arial" w:cs="Arial" w:eastAsia="Arial" w:hAnsi="Arial"/>
          <w:sz w:val="15"/>
          <w:szCs w:val="15"/>
          <w:color w:val="auto"/>
        </w:rPr>
      </w:pPr>
      <w:r>
        <w:rPr>
          <w:rFonts w:ascii="Arial" w:cs="Arial" w:eastAsia="Arial" w:hAnsi="Arial"/>
          <w:sz w:val="15"/>
          <w:szCs w:val="15"/>
          <w:color w:val="auto"/>
        </w:rPr>
        <w:t>any malfunction or disruption of information technology systems and networks that our operations rely on or any impact of a possible cybersecurity event; and</w:t>
      </w:r>
    </w:p>
    <w:p>
      <w:pPr>
        <w:spacing w:after="0" w:line="30" w:lineRule="exact"/>
        <w:rPr>
          <w:rFonts w:ascii="Arial" w:cs="Arial" w:eastAsia="Arial" w:hAnsi="Arial"/>
          <w:sz w:val="15"/>
          <w:szCs w:val="15"/>
          <w:color w:val="auto"/>
        </w:rPr>
      </w:pPr>
    </w:p>
    <w:p>
      <w:pPr>
        <w:ind w:left="460" w:hanging="128"/>
        <w:spacing w:after="0"/>
        <w:tabs>
          <w:tab w:leader="none" w:pos="460" w:val="left"/>
        </w:tabs>
        <w:numPr>
          <w:ilvl w:val="0"/>
          <w:numId w:val="7"/>
        </w:numPr>
        <w:rPr>
          <w:rFonts w:ascii="Arial" w:cs="Arial" w:eastAsia="Arial" w:hAnsi="Arial"/>
          <w:sz w:val="15"/>
          <w:szCs w:val="15"/>
          <w:color w:val="auto"/>
        </w:rPr>
      </w:pPr>
      <w:r>
        <w:rPr>
          <w:rFonts w:ascii="Arial" w:cs="Arial" w:eastAsia="Arial" w:hAnsi="Arial"/>
          <w:sz w:val="15"/>
          <w:szCs w:val="15"/>
          <w:color w:val="auto"/>
        </w:rPr>
        <w:t xml:space="preserve">other risks and uncertainties described in the Company’s Annual Report on Form 20-F filed with the SEC on March 5, 2019 and available at </w:t>
      </w:r>
      <w:r>
        <w:rPr>
          <w:rFonts w:ascii="Arial" w:cs="Arial" w:eastAsia="Arial" w:hAnsi="Arial"/>
          <w:sz w:val="15"/>
          <w:szCs w:val="15"/>
          <w:u w:val="single" w:color="auto"/>
          <w:color w:val="0000FF"/>
        </w:rPr>
        <w:t>http://www.sec.gov</w:t>
      </w:r>
      <w:r>
        <w:rPr>
          <w:rFonts w:ascii="Arial" w:cs="Arial" w:eastAsia="Arial" w:hAnsi="Arial"/>
          <w:sz w:val="15"/>
          <w:szCs w:val="15"/>
          <w:color w:val="auto"/>
        </w:rPr>
        <w:t>.</w:t>
      </w:r>
    </w:p>
    <w:p>
      <w:pPr>
        <w:spacing w:after="0" w:line="242" w:lineRule="exact"/>
        <w:rPr>
          <w:sz w:val="20"/>
          <w:szCs w:val="20"/>
          <w:color w:val="auto"/>
        </w:rPr>
      </w:pPr>
    </w:p>
    <w:p>
      <w:pPr>
        <w:ind w:right="80"/>
        <w:spacing w:after="0" w:line="273" w:lineRule="auto"/>
        <w:rPr>
          <w:sz w:val="20"/>
          <w:szCs w:val="20"/>
          <w:color w:val="auto"/>
        </w:rPr>
      </w:pPr>
      <w:r>
        <w:rPr>
          <w:rFonts w:ascii="Arial" w:cs="Arial" w:eastAsia="Arial" w:hAnsi="Arial"/>
          <w:sz w:val="16"/>
          <w:szCs w:val="16"/>
          <w:color w:val="auto"/>
        </w:rPr>
        <w:t>We undertake no obligation to update or revise any forward-looking statements contained in this press release, whether as a result of new information, future events, a change in our views or expectations or otherwise, except as required by applicable law. New factors emerge from time to time, and it is not possible for us to predict all of these factors. Further, we cannot assess the impact of each such factor on our business or the extent to which any factor, or combination of factors, may cause actual results to be materially different from those contained in any forward-looking statement.</w:t>
      </w:r>
    </w:p>
    <w:p>
      <w:pPr>
        <w:spacing w:after="0" w:line="189" w:lineRule="exact"/>
        <w:rPr>
          <w:sz w:val="20"/>
          <w:szCs w:val="20"/>
          <w:color w:val="auto"/>
        </w:rPr>
      </w:pPr>
    </w:p>
    <w:p>
      <w:pPr>
        <w:ind w:right="340"/>
        <w:spacing w:after="0" w:line="328" w:lineRule="auto"/>
        <w:rPr>
          <w:sz w:val="20"/>
          <w:szCs w:val="20"/>
          <w:color w:val="auto"/>
        </w:rPr>
      </w:pPr>
      <w:r>
        <w:rPr>
          <w:rFonts w:ascii="Arial" w:cs="Arial" w:eastAsia="Arial" w:hAnsi="Arial"/>
          <w:sz w:val="15"/>
          <w:szCs w:val="15"/>
          <w:color w:val="auto"/>
        </w:rPr>
        <w:t>The declaration and payment of dividends are at all times subject to the discretion of our board of directors and will depend on, amongst other things, risks and uncertainties described above, restrictions in our credit facilities, the provisions of Bermuda law and such other factors as our board of directors may deem relevant.</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Contacts:</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Alastair Maxwell</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Chief Financial Officer</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Phone: +44-203-388-3100</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Phil Corbett</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Head of Investor Relations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Phone: +44-203-388-3116</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Joseph Nelson</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Deputy Head of Investor Relations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Phone: +1-212-223-0643</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Email: </w:t>
      </w:r>
      <w:r>
        <w:rPr>
          <w:rFonts w:ascii="Arial" w:cs="Arial" w:eastAsia="Arial" w:hAnsi="Arial"/>
          <w:sz w:val="16"/>
          <w:szCs w:val="16"/>
          <w:u w:val="single" w:color="auto"/>
          <w:color w:val="0000FF"/>
        </w:rPr>
        <w:t>ir@gaslogltd.com</w:t>
      </w:r>
    </w:p>
    <w:p>
      <w:pPr>
        <w:spacing w:after="0" w:line="22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35901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359015" cy="29845"/>
                    </a:xfrm>
                    <a:prstGeom prst="rect">
                      <a:avLst/>
                    </a:prstGeom>
                    <a:noFill/>
                  </pic:spPr>
                </pic:pic>
              </a:graphicData>
            </a:graphic>
          </wp:anchor>
        </w:drawing>
      </w:r>
    </w:p>
    <w:p>
      <w:pPr>
        <w:sectPr>
          <w:pgSz w:w="11900" w:h="16838" w:orient="portrait"/>
          <w:cols w:equalWidth="0" w:num="1">
            <w:col w:w="11520"/>
          </w:cols>
          <w:pgMar w:left="160" w:top="266" w:right="21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10"/>
        </w:trPr>
        <w:tc>
          <w:tcPr>
            <w:tcW w:w="7760" w:type="dxa"/>
            <w:vAlign w:val="bottom"/>
          </w:tcPr>
          <w:p>
            <w:pPr>
              <w:spacing w:after="0"/>
              <w:rPr>
                <w:sz w:val="20"/>
                <w:szCs w:val="20"/>
                <w:color w:val="auto"/>
              </w:rPr>
            </w:pPr>
            <w:r>
              <w:rPr>
                <w:rFonts w:ascii="Arial" w:cs="Arial" w:eastAsia="Arial" w:hAnsi="Arial"/>
                <w:sz w:val="16"/>
                <w:szCs w:val="16"/>
                <w:b w:val="1"/>
                <w:bCs w:val="1"/>
                <w:color w:val="auto"/>
              </w:rPr>
              <w:t>EXHIBIT I - Unaudited Interim Financial Information</w:t>
            </w: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7760" w:type="dxa"/>
            <w:vAlign w:val="bottom"/>
          </w:tcPr>
          <w:p>
            <w:pPr>
              <w:spacing w:after="0"/>
              <w:rPr>
                <w:sz w:val="20"/>
                <w:szCs w:val="20"/>
                <w:color w:val="auto"/>
              </w:rPr>
            </w:pPr>
            <w:r>
              <w:rPr>
                <w:rFonts w:ascii="Arial" w:cs="Arial" w:eastAsia="Arial" w:hAnsi="Arial"/>
                <w:sz w:val="16"/>
                <w:szCs w:val="16"/>
                <w:b w:val="1"/>
                <w:bCs w:val="1"/>
                <w:color w:val="auto"/>
              </w:rPr>
              <w:t>Unaudited condensed consolidated statements of financial position</w:t>
            </w:r>
          </w:p>
        </w:tc>
        <w:tc>
          <w:tcPr>
            <w:tcW w:w="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760" w:type="dxa"/>
            <w:vAlign w:val="bottom"/>
          </w:tcPr>
          <w:p>
            <w:pPr>
              <w:spacing w:after="0"/>
              <w:rPr>
                <w:sz w:val="20"/>
                <w:szCs w:val="20"/>
                <w:color w:val="auto"/>
              </w:rPr>
            </w:pPr>
            <w:r>
              <w:rPr>
                <w:rFonts w:ascii="Arial" w:cs="Arial" w:eastAsia="Arial" w:hAnsi="Arial"/>
                <w:sz w:val="16"/>
                <w:szCs w:val="16"/>
                <w:b w:val="1"/>
                <w:bCs w:val="1"/>
                <w:color w:val="auto"/>
              </w:rPr>
              <w:t>As of December 31, 2018 and March 31, 2019</w:t>
            </w:r>
          </w:p>
        </w:tc>
        <w:tc>
          <w:tcPr>
            <w:tcW w:w="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760" w:type="dxa"/>
            <w:vAlign w:val="bottom"/>
          </w:tcPr>
          <w:p>
            <w:pPr>
              <w:spacing w:after="0"/>
              <w:rPr>
                <w:sz w:val="20"/>
                <w:szCs w:val="20"/>
                <w:color w:val="auto"/>
              </w:rPr>
            </w:pPr>
            <w:r>
              <w:rPr>
                <w:rFonts w:ascii="Arial" w:cs="Arial" w:eastAsia="Arial" w:hAnsi="Arial"/>
                <w:sz w:val="16"/>
                <w:szCs w:val="16"/>
                <w:b w:val="1"/>
                <w:bCs w:val="1"/>
                <w:color w:val="auto"/>
              </w:rPr>
              <w:t>(Amounts expressed in thousands of U.S. Dollars)</w:t>
            </w: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1"/>
        </w:trPr>
        <w:tc>
          <w:tcPr>
            <w:tcW w:w="7760" w:type="dxa"/>
            <w:vAlign w:val="bottom"/>
          </w:tcPr>
          <w:p>
            <w:pPr>
              <w:spacing w:after="0"/>
              <w:rPr>
                <w:sz w:val="24"/>
                <w:szCs w:val="24"/>
                <w:color w:val="auto"/>
              </w:rPr>
            </w:pPr>
          </w:p>
        </w:tc>
        <w:tc>
          <w:tcPr>
            <w:tcW w:w="2000" w:type="dxa"/>
            <w:vAlign w:val="bottom"/>
            <w:gridSpan w:val="3"/>
          </w:tcPr>
          <w:p>
            <w:pPr>
              <w:jc w:val="right"/>
              <w:ind w:right="500"/>
              <w:spacing w:after="0"/>
              <w:rPr>
                <w:sz w:val="20"/>
                <w:szCs w:val="20"/>
                <w:color w:val="auto"/>
              </w:rPr>
            </w:pPr>
            <w:r>
              <w:rPr>
                <w:rFonts w:ascii="Arial" w:cs="Arial" w:eastAsia="Arial" w:hAnsi="Arial"/>
                <w:sz w:val="16"/>
                <w:szCs w:val="16"/>
                <w:b w:val="1"/>
                <w:bCs w:val="1"/>
                <w:color w:val="auto"/>
              </w:rPr>
              <w:t>December 31, 2018</w:t>
            </w:r>
          </w:p>
        </w:tc>
        <w:tc>
          <w:tcPr>
            <w:tcW w:w="1760" w:type="dxa"/>
            <w:vAlign w:val="bottom"/>
            <w:gridSpan w:val="3"/>
          </w:tcPr>
          <w:p>
            <w:pPr>
              <w:ind w:left="320"/>
              <w:spacing w:after="0"/>
              <w:rPr>
                <w:sz w:val="20"/>
                <w:szCs w:val="20"/>
                <w:color w:val="auto"/>
              </w:rPr>
            </w:pPr>
            <w:r>
              <w:rPr>
                <w:rFonts w:ascii="Arial" w:cs="Arial" w:eastAsia="Arial" w:hAnsi="Arial"/>
                <w:sz w:val="16"/>
                <w:szCs w:val="16"/>
                <w:b w:val="1"/>
                <w:bCs w:val="1"/>
                <w:color w:val="auto"/>
              </w:rPr>
              <w:t>March 31, 2019</w:t>
            </w:r>
          </w:p>
        </w:tc>
        <w:tc>
          <w:tcPr>
            <w:tcW w:w="0" w:type="dxa"/>
            <w:vAlign w:val="bottom"/>
          </w:tcPr>
          <w:p>
            <w:pPr>
              <w:spacing w:after="0"/>
              <w:rPr>
                <w:sz w:val="1"/>
                <w:szCs w:val="1"/>
                <w:color w:val="auto"/>
              </w:rPr>
            </w:pPr>
          </w:p>
        </w:tc>
      </w:tr>
      <w:tr>
        <w:trPr>
          <w:trHeight w:val="185"/>
        </w:trPr>
        <w:tc>
          <w:tcPr>
            <w:tcW w:w="776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Assets</w:t>
            </w:r>
          </w:p>
        </w:tc>
        <w:tc>
          <w:tcPr>
            <w:tcW w:w="360" w:type="dxa"/>
            <w:vAlign w:val="bottom"/>
            <w:tcBorders>
              <w:top w:val="single" w:sz="8" w:color="auto"/>
            </w:tcBorders>
            <w:shd w:val="clear" w:color="auto" w:fill="E5FFFF"/>
          </w:tcPr>
          <w:p>
            <w:pPr>
              <w:spacing w:after="0"/>
              <w:rPr>
                <w:sz w:val="16"/>
                <w:szCs w:val="16"/>
                <w:color w:val="auto"/>
              </w:rPr>
            </w:pPr>
          </w:p>
        </w:tc>
        <w:tc>
          <w:tcPr>
            <w:tcW w:w="1320" w:type="dxa"/>
            <w:vAlign w:val="bottom"/>
            <w:tcBorders>
              <w:top w:val="single" w:sz="8" w:color="auto"/>
            </w:tcBorders>
            <w:shd w:val="clear" w:color="auto" w:fill="E5FFFF"/>
          </w:tcPr>
          <w:p>
            <w:pPr>
              <w:spacing w:after="0"/>
              <w:rPr>
                <w:sz w:val="16"/>
                <w:szCs w:val="16"/>
                <w:color w:val="auto"/>
              </w:rPr>
            </w:pPr>
          </w:p>
        </w:tc>
        <w:tc>
          <w:tcPr>
            <w:tcW w:w="320" w:type="dxa"/>
            <w:vAlign w:val="bottom"/>
            <w:tcBorders>
              <w:top w:val="single" w:sz="8" w:color="E5FFFF"/>
            </w:tcBorders>
            <w:shd w:val="clear" w:color="auto" w:fill="E5FFFF"/>
          </w:tcPr>
          <w:p>
            <w:pPr>
              <w:spacing w:after="0"/>
              <w:rPr>
                <w:sz w:val="16"/>
                <w:szCs w:val="16"/>
                <w:color w:val="auto"/>
              </w:rPr>
            </w:pPr>
          </w:p>
        </w:tc>
        <w:tc>
          <w:tcPr>
            <w:tcW w:w="400" w:type="dxa"/>
            <w:vAlign w:val="bottom"/>
            <w:tcBorders>
              <w:top w:val="single" w:sz="8" w:color="auto"/>
            </w:tcBorders>
            <w:shd w:val="clear" w:color="auto" w:fill="E5FFFF"/>
          </w:tcPr>
          <w:p>
            <w:pPr>
              <w:spacing w:after="0"/>
              <w:rPr>
                <w:sz w:val="16"/>
                <w:szCs w:val="16"/>
                <w:color w:val="auto"/>
              </w:rPr>
            </w:pPr>
          </w:p>
        </w:tc>
        <w:tc>
          <w:tcPr>
            <w:tcW w:w="1300" w:type="dxa"/>
            <w:vAlign w:val="bottom"/>
            <w:tcBorders>
              <w:top w:val="single" w:sz="8" w:color="auto"/>
            </w:tcBorders>
            <w:shd w:val="clear" w:color="auto" w:fill="E5FFFF"/>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760" w:type="dxa"/>
            <w:vAlign w:val="bottom"/>
          </w:tcPr>
          <w:p>
            <w:pPr>
              <w:spacing w:after="0"/>
              <w:rPr>
                <w:sz w:val="20"/>
                <w:szCs w:val="20"/>
                <w:color w:val="auto"/>
              </w:rPr>
            </w:pPr>
            <w:r>
              <w:rPr>
                <w:rFonts w:ascii="Arial" w:cs="Arial" w:eastAsia="Arial" w:hAnsi="Arial"/>
                <w:sz w:val="16"/>
                <w:szCs w:val="16"/>
                <w:b w:val="1"/>
                <w:bCs w:val="1"/>
                <w:color w:val="auto"/>
              </w:rPr>
              <w:t>Non-current assets</w:t>
            </w:r>
          </w:p>
        </w:tc>
        <w:tc>
          <w:tcPr>
            <w:tcW w:w="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shd w:val="clear" w:color="auto" w:fill="E5FFFF"/>
          </w:tcPr>
          <w:p>
            <w:pPr>
              <w:spacing w:after="0"/>
              <w:rPr>
                <w:sz w:val="20"/>
                <w:szCs w:val="20"/>
                <w:color w:val="auto"/>
              </w:rPr>
            </w:pPr>
            <w:r>
              <w:rPr>
                <w:rFonts w:ascii="Arial" w:cs="Arial" w:eastAsia="Arial" w:hAnsi="Arial"/>
                <w:sz w:val="16"/>
                <w:szCs w:val="16"/>
                <w:color w:val="auto"/>
              </w:rPr>
              <w:t>Goodwill</w:t>
            </w:r>
          </w:p>
        </w:tc>
        <w:tc>
          <w:tcPr>
            <w:tcW w:w="2000" w:type="dxa"/>
            <w:vAlign w:val="bottom"/>
            <w:gridSpan w:val="3"/>
            <w:shd w:val="clear" w:color="auto" w:fill="E5FFFF"/>
          </w:tcPr>
          <w:p>
            <w:pPr>
              <w:jc w:val="right"/>
              <w:ind w:right="320"/>
              <w:spacing w:after="0"/>
              <w:rPr>
                <w:sz w:val="20"/>
                <w:szCs w:val="20"/>
                <w:color w:val="auto"/>
              </w:rPr>
            </w:pPr>
            <w:r>
              <w:rPr>
                <w:rFonts w:ascii="Arial" w:cs="Arial" w:eastAsia="Arial" w:hAnsi="Arial"/>
                <w:sz w:val="16"/>
                <w:szCs w:val="16"/>
                <w:color w:val="auto"/>
              </w:rPr>
              <w:t>9,511</w:t>
            </w:r>
          </w:p>
        </w:tc>
        <w:tc>
          <w:tcPr>
            <w:tcW w:w="170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9,511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tcPr>
          <w:p>
            <w:pPr>
              <w:spacing w:after="0"/>
              <w:rPr>
                <w:sz w:val="20"/>
                <w:szCs w:val="20"/>
                <w:color w:val="auto"/>
              </w:rPr>
            </w:pPr>
            <w:r>
              <w:rPr>
                <w:rFonts w:ascii="Arial" w:cs="Arial" w:eastAsia="Arial" w:hAnsi="Arial"/>
                <w:sz w:val="16"/>
                <w:szCs w:val="16"/>
                <w:color w:val="auto"/>
              </w:rPr>
              <w:t>Investment in associates</w:t>
            </w:r>
          </w:p>
        </w:tc>
        <w:tc>
          <w:tcPr>
            <w:tcW w:w="1680" w:type="dxa"/>
            <w:vAlign w:val="bottom"/>
            <w:gridSpan w:val="2"/>
          </w:tcPr>
          <w:p>
            <w:pPr>
              <w:jc w:val="right"/>
              <w:spacing w:after="0"/>
              <w:rPr>
                <w:sz w:val="20"/>
                <w:szCs w:val="20"/>
                <w:color w:val="auto"/>
              </w:rPr>
            </w:pPr>
            <w:r>
              <w:rPr>
                <w:rFonts w:ascii="Arial" w:cs="Arial" w:eastAsia="Arial" w:hAnsi="Arial"/>
                <w:sz w:val="16"/>
                <w:szCs w:val="16"/>
                <w:color w:val="auto"/>
              </w:rPr>
              <w:t>20,713</w:t>
            </w:r>
          </w:p>
        </w:tc>
        <w:tc>
          <w:tcPr>
            <w:tcW w:w="320" w:type="dxa"/>
            <w:vAlign w:val="bottom"/>
          </w:tcPr>
          <w:p>
            <w:pPr>
              <w:spacing w:after="0"/>
              <w:rPr>
                <w:sz w:val="17"/>
                <w:szCs w:val="17"/>
                <w:color w:val="auto"/>
              </w:rPr>
            </w:pPr>
          </w:p>
        </w:tc>
        <w:tc>
          <w:tcPr>
            <w:tcW w:w="1700" w:type="dxa"/>
            <w:vAlign w:val="bottom"/>
            <w:gridSpan w:val="2"/>
          </w:tcPr>
          <w:p>
            <w:pPr>
              <w:jc w:val="right"/>
              <w:spacing w:after="0"/>
              <w:rPr>
                <w:sz w:val="20"/>
                <w:szCs w:val="20"/>
                <w:color w:val="auto"/>
              </w:rPr>
            </w:pPr>
            <w:r>
              <w:rPr>
                <w:rFonts w:ascii="Arial" w:cs="Arial" w:eastAsia="Arial" w:hAnsi="Arial"/>
                <w:sz w:val="16"/>
                <w:szCs w:val="16"/>
                <w:color w:val="auto"/>
              </w:rPr>
              <w:t>20,958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shd w:val="clear" w:color="auto" w:fill="E5FFFF"/>
          </w:tcPr>
          <w:p>
            <w:pPr>
              <w:spacing w:after="0"/>
              <w:rPr>
                <w:sz w:val="20"/>
                <w:szCs w:val="20"/>
                <w:color w:val="auto"/>
              </w:rPr>
            </w:pPr>
            <w:r>
              <w:rPr>
                <w:rFonts w:ascii="Arial" w:cs="Arial" w:eastAsia="Arial" w:hAnsi="Arial"/>
                <w:sz w:val="16"/>
                <w:szCs w:val="16"/>
                <w:color w:val="auto"/>
              </w:rPr>
              <w:t>Deferred financing costs</w:t>
            </w:r>
          </w:p>
        </w:tc>
        <w:tc>
          <w:tcPr>
            <w:tcW w:w="168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4,576</w:t>
            </w:r>
          </w:p>
        </w:tc>
        <w:tc>
          <w:tcPr>
            <w:tcW w:w="320" w:type="dxa"/>
            <w:vAlign w:val="bottom"/>
            <w:shd w:val="clear" w:color="auto" w:fill="E5FFFF"/>
          </w:tcPr>
          <w:p>
            <w:pPr>
              <w:spacing w:after="0"/>
              <w:rPr>
                <w:sz w:val="17"/>
                <w:szCs w:val="17"/>
                <w:color w:val="auto"/>
              </w:rPr>
            </w:pPr>
          </w:p>
        </w:tc>
        <w:tc>
          <w:tcPr>
            <w:tcW w:w="400" w:type="dxa"/>
            <w:vAlign w:val="bottom"/>
            <w:shd w:val="clear" w:color="auto" w:fill="E5FFFF"/>
          </w:tcPr>
          <w:p>
            <w:pPr>
              <w:spacing w:after="0"/>
              <w:rPr>
                <w:sz w:val="17"/>
                <w:szCs w:val="17"/>
                <w:color w:val="auto"/>
              </w:rPr>
            </w:pPr>
          </w:p>
        </w:tc>
        <w:tc>
          <w:tcPr>
            <w:tcW w:w="13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tcPr>
          <w:p>
            <w:pPr>
              <w:spacing w:after="0"/>
              <w:rPr>
                <w:sz w:val="20"/>
                <w:szCs w:val="20"/>
                <w:color w:val="auto"/>
              </w:rPr>
            </w:pPr>
            <w:r>
              <w:rPr>
                <w:rFonts w:ascii="Arial" w:cs="Arial" w:eastAsia="Arial" w:hAnsi="Arial"/>
                <w:sz w:val="16"/>
                <w:szCs w:val="16"/>
                <w:color w:val="auto"/>
              </w:rPr>
              <w:t>Other non-current assets</w:t>
            </w:r>
          </w:p>
        </w:tc>
        <w:tc>
          <w:tcPr>
            <w:tcW w:w="1680" w:type="dxa"/>
            <w:vAlign w:val="bottom"/>
            <w:gridSpan w:val="2"/>
          </w:tcPr>
          <w:p>
            <w:pPr>
              <w:jc w:val="right"/>
              <w:spacing w:after="0"/>
              <w:rPr>
                <w:sz w:val="20"/>
                <w:szCs w:val="20"/>
                <w:color w:val="auto"/>
              </w:rPr>
            </w:pPr>
            <w:r>
              <w:rPr>
                <w:rFonts w:ascii="Arial" w:cs="Arial" w:eastAsia="Arial" w:hAnsi="Arial"/>
                <w:sz w:val="16"/>
                <w:szCs w:val="16"/>
                <w:color w:val="auto"/>
              </w:rPr>
              <w:t>2,543</w:t>
            </w:r>
          </w:p>
        </w:tc>
        <w:tc>
          <w:tcPr>
            <w:tcW w:w="320" w:type="dxa"/>
            <w:vAlign w:val="bottom"/>
          </w:tcPr>
          <w:p>
            <w:pPr>
              <w:spacing w:after="0"/>
              <w:rPr>
                <w:sz w:val="17"/>
                <w:szCs w:val="17"/>
                <w:color w:val="auto"/>
              </w:rPr>
            </w:pPr>
          </w:p>
        </w:tc>
        <w:tc>
          <w:tcPr>
            <w:tcW w:w="1700" w:type="dxa"/>
            <w:vAlign w:val="bottom"/>
            <w:gridSpan w:val="2"/>
          </w:tcPr>
          <w:p>
            <w:pPr>
              <w:jc w:val="right"/>
              <w:spacing w:after="0"/>
              <w:rPr>
                <w:sz w:val="20"/>
                <w:szCs w:val="20"/>
                <w:color w:val="auto"/>
              </w:rPr>
            </w:pPr>
            <w:r>
              <w:rPr>
                <w:rFonts w:ascii="Arial" w:cs="Arial" w:eastAsia="Arial" w:hAnsi="Arial"/>
                <w:sz w:val="16"/>
                <w:szCs w:val="16"/>
                <w:color w:val="auto"/>
              </w:rPr>
              <w:t>4,791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shd w:val="clear" w:color="auto" w:fill="E5FFFF"/>
          </w:tcPr>
          <w:p>
            <w:pPr>
              <w:spacing w:after="0"/>
              <w:rPr>
                <w:sz w:val="20"/>
                <w:szCs w:val="20"/>
                <w:color w:val="auto"/>
              </w:rPr>
            </w:pPr>
            <w:r>
              <w:rPr>
                <w:rFonts w:ascii="Arial" w:cs="Arial" w:eastAsia="Arial" w:hAnsi="Arial"/>
                <w:sz w:val="16"/>
                <w:szCs w:val="16"/>
                <w:color w:val="auto"/>
              </w:rPr>
              <w:t>Derivative financial instruments</w:t>
            </w:r>
          </w:p>
        </w:tc>
        <w:tc>
          <w:tcPr>
            <w:tcW w:w="168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8,966</w:t>
            </w:r>
          </w:p>
        </w:tc>
        <w:tc>
          <w:tcPr>
            <w:tcW w:w="320" w:type="dxa"/>
            <w:vAlign w:val="bottom"/>
            <w:shd w:val="clear" w:color="auto" w:fill="E5FFFF"/>
          </w:tcPr>
          <w:p>
            <w:pPr>
              <w:spacing w:after="0"/>
              <w:rPr>
                <w:sz w:val="17"/>
                <w:szCs w:val="17"/>
                <w:color w:val="auto"/>
              </w:rPr>
            </w:pPr>
          </w:p>
        </w:tc>
        <w:tc>
          <w:tcPr>
            <w:tcW w:w="170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2,958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tcPr>
          <w:p>
            <w:pPr>
              <w:spacing w:after="0"/>
              <w:rPr>
                <w:sz w:val="20"/>
                <w:szCs w:val="20"/>
                <w:color w:val="auto"/>
              </w:rPr>
            </w:pPr>
            <w:r>
              <w:rPr>
                <w:rFonts w:ascii="Arial" w:cs="Arial" w:eastAsia="Arial" w:hAnsi="Arial"/>
                <w:sz w:val="16"/>
                <w:szCs w:val="16"/>
                <w:color w:val="auto"/>
              </w:rPr>
              <w:t>Tangible fixed assets</w:t>
            </w:r>
          </w:p>
        </w:tc>
        <w:tc>
          <w:tcPr>
            <w:tcW w:w="1680" w:type="dxa"/>
            <w:vAlign w:val="bottom"/>
            <w:gridSpan w:val="2"/>
          </w:tcPr>
          <w:p>
            <w:pPr>
              <w:jc w:val="right"/>
              <w:spacing w:after="0"/>
              <w:rPr>
                <w:sz w:val="20"/>
                <w:szCs w:val="20"/>
                <w:color w:val="auto"/>
              </w:rPr>
            </w:pPr>
            <w:r>
              <w:rPr>
                <w:rFonts w:ascii="Arial" w:cs="Arial" w:eastAsia="Arial" w:hAnsi="Arial"/>
                <w:sz w:val="16"/>
                <w:szCs w:val="16"/>
                <w:color w:val="auto"/>
              </w:rPr>
              <w:t>4,323,582</w:t>
            </w:r>
          </w:p>
        </w:tc>
        <w:tc>
          <w:tcPr>
            <w:tcW w:w="320" w:type="dxa"/>
            <w:vAlign w:val="bottom"/>
          </w:tcPr>
          <w:p>
            <w:pPr>
              <w:spacing w:after="0"/>
              <w:rPr>
                <w:sz w:val="17"/>
                <w:szCs w:val="17"/>
                <w:color w:val="auto"/>
              </w:rPr>
            </w:pPr>
          </w:p>
        </w:tc>
        <w:tc>
          <w:tcPr>
            <w:tcW w:w="1700" w:type="dxa"/>
            <w:vAlign w:val="bottom"/>
            <w:gridSpan w:val="2"/>
          </w:tcPr>
          <w:p>
            <w:pPr>
              <w:jc w:val="right"/>
              <w:spacing w:after="0"/>
              <w:rPr>
                <w:sz w:val="20"/>
                <w:szCs w:val="20"/>
                <w:color w:val="auto"/>
              </w:rPr>
            </w:pPr>
            <w:r>
              <w:rPr>
                <w:rFonts w:ascii="Arial" w:cs="Arial" w:eastAsia="Arial" w:hAnsi="Arial"/>
                <w:sz w:val="16"/>
                <w:szCs w:val="16"/>
                <w:color w:val="auto"/>
              </w:rPr>
              <w:t>4,500,415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shd w:val="clear" w:color="auto" w:fill="E5FFFF"/>
          </w:tcPr>
          <w:p>
            <w:pPr>
              <w:spacing w:after="0"/>
              <w:rPr>
                <w:sz w:val="20"/>
                <w:szCs w:val="20"/>
                <w:color w:val="auto"/>
              </w:rPr>
            </w:pPr>
            <w:r>
              <w:rPr>
                <w:rFonts w:ascii="Arial" w:cs="Arial" w:eastAsia="Arial" w:hAnsi="Arial"/>
                <w:sz w:val="16"/>
                <w:szCs w:val="16"/>
                <w:color w:val="auto"/>
              </w:rPr>
              <w:t>Vessels under construction</w:t>
            </w:r>
          </w:p>
        </w:tc>
        <w:tc>
          <w:tcPr>
            <w:tcW w:w="168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159,275</w:t>
            </w:r>
          </w:p>
        </w:tc>
        <w:tc>
          <w:tcPr>
            <w:tcW w:w="320" w:type="dxa"/>
            <w:vAlign w:val="bottom"/>
            <w:shd w:val="clear" w:color="auto" w:fill="E5FFFF"/>
          </w:tcPr>
          <w:p>
            <w:pPr>
              <w:spacing w:after="0"/>
              <w:rPr>
                <w:sz w:val="17"/>
                <w:szCs w:val="17"/>
                <w:color w:val="auto"/>
              </w:rPr>
            </w:pPr>
          </w:p>
        </w:tc>
        <w:tc>
          <w:tcPr>
            <w:tcW w:w="170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155,841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tcPr>
          <w:p>
            <w:pPr>
              <w:spacing w:after="0"/>
              <w:rPr>
                <w:sz w:val="20"/>
                <w:szCs w:val="20"/>
                <w:color w:val="auto"/>
              </w:rPr>
            </w:pPr>
            <w:r>
              <w:rPr>
                <w:rFonts w:ascii="Arial" w:cs="Arial" w:eastAsia="Arial" w:hAnsi="Arial"/>
                <w:sz w:val="16"/>
                <w:szCs w:val="16"/>
                <w:color w:val="auto"/>
              </w:rPr>
              <w:t>Right-of-use assets</w:t>
            </w:r>
          </w:p>
        </w:tc>
        <w:tc>
          <w:tcPr>
            <w:tcW w:w="1680" w:type="dxa"/>
            <w:vAlign w:val="bottom"/>
            <w:gridSpan w:val="2"/>
          </w:tcPr>
          <w:p>
            <w:pPr>
              <w:jc w:val="right"/>
              <w:spacing w:after="0"/>
              <w:rPr>
                <w:sz w:val="20"/>
                <w:szCs w:val="20"/>
                <w:color w:val="auto"/>
              </w:rPr>
            </w:pPr>
            <w:r>
              <w:rPr>
                <w:rFonts w:ascii="Arial" w:cs="Arial" w:eastAsia="Arial" w:hAnsi="Arial"/>
                <w:sz w:val="16"/>
                <w:szCs w:val="16"/>
                <w:color w:val="auto"/>
              </w:rPr>
              <w:t>206,753</w:t>
            </w:r>
          </w:p>
        </w:tc>
        <w:tc>
          <w:tcPr>
            <w:tcW w:w="320" w:type="dxa"/>
            <w:vAlign w:val="bottom"/>
          </w:tcPr>
          <w:p>
            <w:pPr>
              <w:spacing w:after="0"/>
              <w:rPr>
                <w:sz w:val="17"/>
                <w:szCs w:val="17"/>
                <w:color w:val="auto"/>
              </w:rPr>
            </w:pPr>
          </w:p>
        </w:tc>
        <w:tc>
          <w:tcPr>
            <w:tcW w:w="1700" w:type="dxa"/>
            <w:vAlign w:val="bottom"/>
            <w:gridSpan w:val="2"/>
          </w:tcPr>
          <w:p>
            <w:pPr>
              <w:jc w:val="right"/>
              <w:spacing w:after="0"/>
              <w:rPr>
                <w:sz w:val="20"/>
                <w:szCs w:val="20"/>
                <w:color w:val="auto"/>
              </w:rPr>
            </w:pPr>
            <w:r>
              <w:rPr>
                <w:rFonts w:ascii="Arial" w:cs="Arial" w:eastAsia="Arial" w:hAnsi="Arial"/>
                <w:sz w:val="16"/>
                <w:szCs w:val="16"/>
                <w:color w:val="auto"/>
              </w:rPr>
              <w:t>212,918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76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Total non-current assets</w:t>
            </w:r>
          </w:p>
        </w:tc>
        <w:tc>
          <w:tcPr>
            <w:tcW w:w="360" w:type="dxa"/>
            <w:vAlign w:val="bottom"/>
            <w:tcBorders>
              <w:top w:val="single" w:sz="8" w:color="E5FFFF"/>
            </w:tcBorders>
            <w:shd w:val="clear" w:color="auto" w:fill="E5FFFF"/>
          </w:tcPr>
          <w:p>
            <w:pPr>
              <w:spacing w:after="0"/>
              <w:rPr>
                <w:sz w:val="17"/>
                <w:szCs w:val="17"/>
                <w:color w:val="auto"/>
              </w:rPr>
            </w:pPr>
          </w:p>
        </w:tc>
        <w:tc>
          <w:tcPr>
            <w:tcW w:w="13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4,735,919</w:t>
            </w:r>
          </w:p>
        </w:tc>
        <w:tc>
          <w:tcPr>
            <w:tcW w:w="320" w:type="dxa"/>
            <w:vAlign w:val="bottom"/>
            <w:tcBorders>
              <w:top w:val="single" w:sz="8" w:color="E5FFFF"/>
            </w:tcBorders>
            <w:shd w:val="clear" w:color="auto" w:fill="E5FFFF"/>
          </w:tcPr>
          <w:p>
            <w:pPr>
              <w:spacing w:after="0"/>
              <w:rPr>
                <w:sz w:val="17"/>
                <w:szCs w:val="17"/>
                <w:color w:val="auto"/>
              </w:rPr>
            </w:pPr>
          </w:p>
        </w:tc>
        <w:tc>
          <w:tcPr>
            <w:tcW w:w="400" w:type="dxa"/>
            <w:vAlign w:val="bottom"/>
            <w:tcBorders>
              <w:top w:val="single" w:sz="8" w:color="E5FFFF"/>
            </w:tcBorders>
            <w:shd w:val="clear" w:color="auto" w:fill="E5FFFF"/>
          </w:tcPr>
          <w:p>
            <w:pPr>
              <w:spacing w:after="0"/>
              <w:rPr>
                <w:sz w:val="17"/>
                <w:szCs w:val="17"/>
                <w:color w:val="auto"/>
              </w:rPr>
            </w:pPr>
          </w:p>
        </w:tc>
        <w:tc>
          <w:tcPr>
            <w:tcW w:w="13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4,907,392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7760" w:type="dxa"/>
            <w:vAlign w:val="bottom"/>
          </w:tcPr>
          <w:p>
            <w:pPr>
              <w:spacing w:after="0" w:line="183" w:lineRule="exact"/>
              <w:rPr>
                <w:sz w:val="20"/>
                <w:szCs w:val="20"/>
                <w:color w:val="auto"/>
              </w:rPr>
            </w:pPr>
            <w:r>
              <w:rPr>
                <w:rFonts w:ascii="Arial" w:cs="Arial" w:eastAsia="Arial" w:hAnsi="Arial"/>
                <w:sz w:val="16"/>
                <w:szCs w:val="16"/>
                <w:b w:val="1"/>
                <w:bCs w:val="1"/>
                <w:color w:val="auto"/>
              </w:rPr>
              <w:t>Current assets</w:t>
            </w:r>
          </w:p>
        </w:tc>
        <w:tc>
          <w:tcPr>
            <w:tcW w:w="3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760" w:type="dxa"/>
            <w:vAlign w:val="bottom"/>
            <w:shd w:val="clear" w:color="auto" w:fill="E5FFFF"/>
          </w:tcPr>
          <w:p>
            <w:pPr>
              <w:spacing w:after="0"/>
              <w:rPr>
                <w:sz w:val="20"/>
                <w:szCs w:val="20"/>
                <w:color w:val="auto"/>
              </w:rPr>
            </w:pPr>
            <w:r>
              <w:rPr>
                <w:rFonts w:ascii="Arial" w:cs="Arial" w:eastAsia="Arial" w:hAnsi="Arial"/>
                <w:sz w:val="16"/>
                <w:szCs w:val="16"/>
                <w:color w:val="auto"/>
              </w:rPr>
              <w:t>Trade and other receivables</w:t>
            </w:r>
          </w:p>
        </w:tc>
        <w:tc>
          <w:tcPr>
            <w:tcW w:w="168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20,244</w:t>
            </w:r>
          </w:p>
        </w:tc>
        <w:tc>
          <w:tcPr>
            <w:tcW w:w="320" w:type="dxa"/>
            <w:vAlign w:val="bottom"/>
            <w:shd w:val="clear" w:color="auto" w:fill="E5FFFF"/>
          </w:tcPr>
          <w:p>
            <w:pPr>
              <w:spacing w:after="0"/>
              <w:rPr>
                <w:sz w:val="17"/>
                <w:szCs w:val="17"/>
                <w:color w:val="auto"/>
              </w:rPr>
            </w:pPr>
          </w:p>
        </w:tc>
        <w:tc>
          <w:tcPr>
            <w:tcW w:w="170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19,368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tcPr>
          <w:p>
            <w:pPr>
              <w:spacing w:after="0"/>
              <w:rPr>
                <w:sz w:val="20"/>
                <w:szCs w:val="20"/>
                <w:color w:val="auto"/>
              </w:rPr>
            </w:pPr>
            <w:r>
              <w:rPr>
                <w:rFonts w:ascii="Arial" w:cs="Arial" w:eastAsia="Arial" w:hAnsi="Arial"/>
                <w:sz w:val="16"/>
                <w:szCs w:val="16"/>
                <w:color w:val="auto"/>
              </w:rPr>
              <w:t>Dividends receivable and other amounts due from related parties</w:t>
            </w:r>
          </w:p>
        </w:tc>
        <w:tc>
          <w:tcPr>
            <w:tcW w:w="1680" w:type="dxa"/>
            <w:vAlign w:val="bottom"/>
            <w:gridSpan w:val="2"/>
          </w:tcPr>
          <w:p>
            <w:pPr>
              <w:jc w:val="right"/>
              <w:spacing w:after="0"/>
              <w:rPr>
                <w:sz w:val="20"/>
                <w:szCs w:val="20"/>
                <w:color w:val="auto"/>
              </w:rPr>
            </w:pPr>
            <w:r>
              <w:rPr>
                <w:rFonts w:ascii="Arial" w:cs="Arial" w:eastAsia="Arial" w:hAnsi="Arial"/>
                <w:sz w:val="16"/>
                <w:szCs w:val="16"/>
                <w:color w:val="auto"/>
              </w:rPr>
              <w:t>33,395</w:t>
            </w:r>
          </w:p>
        </w:tc>
        <w:tc>
          <w:tcPr>
            <w:tcW w:w="320" w:type="dxa"/>
            <w:vAlign w:val="bottom"/>
          </w:tcPr>
          <w:p>
            <w:pPr>
              <w:spacing w:after="0"/>
              <w:rPr>
                <w:sz w:val="17"/>
                <w:szCs w:val="17"/>
                <w:color w:val="auto"/>
              </w:rPr>
            </w:pPr>
          </w:p>
        </w:tc>
        <w:tc>
          <w:tcPr>
            <w:tcW w:w="1700" w:type="dxa"/>
            <w:vAlign w:val="bottom"/>
            <w:gridSpan w:val="2"/>
          </w:tcPr>
          <w:p>
            <w:pPr>
              <w:jc w:val="right"/>
              <w:spacing w:after="0"/>
              <w:rPr>
                <w:sz w:val="20"/>
                <w:szCs w:val="20"/>
                <w:color w:val="auto"/>
              </w:rPr>
            </w:pPr>
            <w:r>
              <w:rPr>
                <w:rFonts w:ascii="Arial" w:cs="Arial" w:eastAsia="Arial" w:hAnsi="Arial"/>
                <w:sz w:val="16"/>
                <w:szCs w:val="16"/>
                <w:color w:val="auto"/>
              </w:rPr>
              <w:t>5,330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shd w:val="clear" w:color="auto" w:fill="E5FFFF"/>
          </w:tcPr>
          <w:p>
            <w:pPr>
              <w:spacing w:after="0"/>
              <w:rPr>
                <w:sz w:val="20"/>
                <w:szCs w:val="20"/>
                <w:color w:val="auto"/>
              </w:rPr>
            </w:pPr>
            <w:r>
              <w:rPr>
                <w:rFonts w:ascii="Arial" w:cs="Arial" w:eastAsia="Arial" w:hAnsi="Arial"/>
                <w:sz w:val="16"/>
                <w:szCs w:val="16"/>
                <w:color w:val="auto"/>
              </w:rPr>
              <w:t>Derivative financial instruments</w:t>
            </w:r>
          </w:p>
        </w:tc>
        <w:tc>
          <w:tcPr>
            <w:tcW w:w="168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6,222</w:t>
            </w:r>
          </w:p>
        </w:tc>
        <w:tc>
          <w:tcPr>
            <w:tcW w:w="320" w:type="dxa"/>
            <w:vAlign w:val="bottom"/>
            <w:shd w:val="clear" w:color="auto" w:fill="E5FFFF"/>
          </w:tcPr>
          <w:p>
            <w:pPr>
              <w:spacing w:after="0"/>
              <w:rPr>
                <w:sz w:val="17"/>
                <w:szCs w:val="17"/>
                <w:color w:val="auto"/>
              </w:rPr>
            </w:pPr>
          </w:p>
        </w:tc>
        <w:tc>
          <w:tcPr>
            <w:tcW w:w="170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4,236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tcPr>
          <w:p>
            <w:pPr>
              <w:spacing w:after="0"/>
              <w:rPr>
                <w:sz w:val="20"/>
                <w:szCs w:val="20"/>
                <w:color w:val="auto"/>
              </w:rPr>
            </w:pPr>
            <w:r>
              <w:rPr>
                <w:rFonts w:ascii="Arial" w:cs="Arial" w:eastAsia="Arial" w:hAnsi="Arial"/>
                <w:sz w:val="16"/>
                <w:szCs w:val="16"/>
                <w:color w:val="auto"/>
              </w:rPr>
              <w:t>Inventories</w:t>
            </w:r>
          </w:p>
        </w:tc>
        <w:tc>
          <w:tcPr>
            <w:tcW w:w="1680" w:type="dxa"/>
            <w:vAlign w:val="bottom"/>
            <w:gridSpan w:val="2"/>
          </w:tcPr>
          <w:p>
            <w:pPr>
              <w:jc w:val="right"/>
              <w:spacing w:after="0"/>
              <w:rPr>
                <w:sz w:val="20"/>
                <w:szCs w:val="20"/>
                <w:color w:val="auto"/>
              </w:rPr>
            </w:pPr>
            <w:r>
              <w:rPr>
                <w:rFonts w:ascii="Arial" w:cs="Arial" w:eastAsia="Arial" w:hAnsi="Arial"/>
                <w:sz w:val="16"/>
                <w:szCs w:val="16"/>
                <w:color w:val="auto"/>
              </w:rPr>
              <w:t>7,753</w:t>
            </w:r>
          </w:p>
        </w:tc>
        <w:tc>
          <w:tcPr>
            <w:tcW w:w="320" w:type="dxa"/>
            <w:vAlign w:val="bottom"/>
          </w:tcPr>
          <w:p>
            <w:pPr>
              <w:spacing w:after="0"/>
              <w:rPr>
                <w:sz w:val="17"/>
                <w:szCs w:val="17"/>
                <w:color w:val="auto"/>
              </w:rPr>
            </w:pPr>
          </w:p>
        </w:tc>
        <w:tc>
          <w:tcPr>
            <w:tcW w:w="1700" w:type="dxa"/>
            <w:vAlign w:val="bottom"/>
            <w:gridSpan w:val="2"/>
          </w:tcPr>
          <w:p>
            <w:pPr>
              <w:jc w:val="right"/>
              <w:spacing w:after="0"/>
              <w:rPr>
                <w:sz w:val="20"/>
                <w:szCs w:val="20"/>
                <w:color w:val="auto"/>
              </w:rPr>
            </w:pPr>
            <w:r>
              <w:rPr>
                <w:rFonts w:ascii="Arial" w:cs="Arial" w:eastAsia="Arial" w:hAnsi="Arial"/>
                <w:sz w:val="16"/>
                <w:szCs w:val="16"/>
                <w:color w:val="auto"/>
              </w:rPr>
              <w:t>11,932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shd w:val="clear" w:color="auto" w:fill="E5FFFF"/>
          </w:tcPr>
          <w:p>
            <w:pPr>
              <w:spacing w:after="0"/>
              <w:rPr>
                <w:sz w:val="20"/>
                <w:szCs w:val="20"/>
                <w:color w:val="auto"/>
              </w:rPr>
            </w:pPr>
            <w:r>
              <w:rPr>
                <w:rFonts w:ascii="Arial" w:cs="Arial" w:eastAsia="Arial" w:hAnsi="Arial"/>
                <w:sz w:val="16"/>
                <w:szCs w:val="16"/>
                <w:color w:val="auto"/>
              </w:rPr>
              <w:t>Prepayments and other current assets</w:t>
            </w:r>
          </w:p>
        </w:tc>
        <w:tc>
          <w:tcPr>
            <w:tcW w:w="168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3,680</w:t>
            </w:r>
          </w:p>
        </w:tc>
        <w:tc>
          <w:tcPr>
            <w:tcW w:w="320" w:type="dxa"/>
            <w:vAlign w:val="bottom"/>
            <w:shd w:val="clear" w:color="auto" w:fill="E5FFFF"/>
          </w:tcPr>
          <w:p>
            <w:pPr>
              <w:spacing w:after="0"/>
              <w:rPr>
                <w:sz w:val="17"/>
                <w:szCs w:val="17"/>
                <w:color w:val="auto"/>
              </w:rPr>
            </w:pPr>
          </w:p>
        </w:tc>
        <w:tc>
          <w:tcPr>
            <w:tcW w:w="170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5,462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tcPr>
          <w:p>
            <w:pPr>
              <w:spacing w:after="0"/>
              <w:rPr>
                <w:sz w:val="20"/>
                <w:szCs w:val="20"/>
                <w:color w:val="auto"/>
              </w:rPr>
            </w:pPr>
            <w:r>
              <w:rPr>
                <w:rFonts w:ascii="Arial" w:cs="Arial" w:eastAsia="Arial" w:hAnsi="Arial"/>
                <w:sz w:val="16"/>
                <w:szCs w:val="16"/>
                <w:color w:val="auto"/>
              </w:rPr>
              <w:t>Short-term investments</w:t>
            </w:r>
          </w:p>
        </w:tc>
        <w:tc>
          <w:tcPr>
            <w:tcW w:w="1680" w:type="dxa"/>
            <w:vAlign w:val="bottom"/>
            <w:gridSpan w:val="2"/>
          </w:tcPr>
          <w:p>
            <w:pPr>
              <w:jc w:val="right"/>
              <w:spacing w:after="0"/>
              <w:rPr>
                <w:sz w:val="20"/>
                <w:szCs w:val="20"/>
                <w:color w:val="auto"/>
              </w:rPr>
            </w:pPr>
            <w:r>
              <w:rPr>
                <w:rFonts w:ascii="Arial" w:cs="Arial" w:eastAsia="Arial" w:hAnsi="Arial"/>
                <w:sz w:val="16"/>
                <w:szCs w:val="16"/>
                <w:color w:val="auto"/>
              </w:rPr>
              <w:t>25,000</w:t>
            </w:r>
          </w:p>
        </w:tc>
        <w:tc>
          <w:tcPr>
            <w:tcW w:w="320" w:type="dxa"/>
            <w:vAlign w:val="bottom"/>
          </w:tcPr>
          <w:p>
            <w:pPr>
              <w:spacing w:after="0"/>
              <w:rPr>
                <w:sz w:val="17"/>
                <w:szCs w:val="17"/>
                <w:color w:val="auto"/>
              </w:rPr>
            </w:pPr>
          </w:p>
        </w:tc>
        <w:tc>
          <w:tcPr>
            <w:tcW w:w="1700" w:type="dxa"/>
            <w:vAlign w:val="bottom"/>
            <w:gridSpan w:val="2"/>
          </w:tcPr>
          <w:p>
            <w:pPr>
              <w:jc w:val="right"/>
              <w:spacing w:after="0"/>
              <w:rPr>
                <w:sz w:val="20"/>
                <w:szCs w:val="20"/>
                <w:color w:val="auto"/>
              </w:rPr>
            </w:pPr>
            <w:r>
              <w:rPr>
                <w:rFonts w:ascii="Arial" w:cs="Arial" w:eastAsia="Arial" w:hAnsi="Arial"/>
                <w:sz w:val="16"/>
                <w:szCs w:val="16"/>
                <w:color w:val="auto"/>
              </w:rPr>
              <w:t>10,000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shd w:val="clear" w:color="auto" w:fill="E5FFFF"/>
          </w:tcPr>
          <w:p>
            <w:pPr>
              <w:spacing w:after="0"/>
              <w:rPr>
                <w:sz w:val="20"/>
                <w:szCs w:val="20"/>
                <w:color w:val="auto"/>
              </w:rPr>
            </w:pPr>
            <w:r>
              <w:rPr>
                <w:rFonts w:ascii="Arial" w:cs="Arial" w:eastAsia="Arial" w:hAnsi="Arial"/>
                <w:sz w:val="16"/>
                <w:szCs w:val="16"/>
                <w:color w:val="auto"/>
              </w:rPr>
              <w:t>Cash and cash equivalents</w:t>
            </w:r>
          </w:p>
        </w:tc>
        <w:tc>
          <w:tcPr>
            <w:tcW w:w="168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342,594</w:t>
            </w:r>
          </w:p>
        </w:tc>
        <w:tc>
          <w:tcPr>
            <w:tcW w:w="320" w:type="dxa"/>
            <w:vAlign w:val="bottom"/>
            <w:shd w:val="clear" w:color="auto" w:fill="E5FFFF"/>
          </w:tcPr>
          <w:p>
            <w:pPr>
              <w:spacing w:after="0"/>
              <w:rPr>
                <w:sz w:val="17"/>
                <w:szCs w:val="17"/>
                <w:color w:val="auto"/>
              </w:rPr>
            </w:pPr>
          </w:p>
        </w:tc>
        <w:tc>
          <w:tcPr>
            <w:tcW w:w="170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230,750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76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Total current assets</w:t>
            </w:r>
          </w:p>
        </w:tc>
        <w:tc>
          <w:tcPr>
            <w:tcW w:w="360" w:type="dxa"/>
            <w:vAlign w:val="bottom"/>
            <w:tcBorders>
              <w:bottom w:val="single" w:sz="8" w:color="E5FFFF"/>
            </w:tcBorders>
          </w:tcPr>
          <w:p>
            <w:pPr>
              <w:spacing w:after="0"/>
              <w:rPr>
                <w:sz w:val="17"/>
                <w:szCs w:val="17"/>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438,888</w:t>
            </w:r>
          </w:p>
        </w:tc>
        <w:tc>
          <w:tcPr>
            <w:tcW w:w="320" w:type="dxa"/>
            <w:vAlign w:val="bottom"/>
            <w:tcBorders>
              <w:bottom w:val="single" w:sz="8" w:color="E5FFFF"/>
            </w:tcBorders>
          </w:tcPr>
          <w:p>
            <w:pPr>
              <w:spacing w:after="0"/>
              <w:rPr>
                <w:sz w:val="17"/>
                <w:szCs w:val="17"/>
                <w:color w:val="auto"/>
              </w:rPr>
            </w:pPr>
          </w:p>
        </w:tc>
        <w:tc>
          <w:tcPr>
            <w:tcW w:w="400" w:type="dxa"/>
            <w:vAlign w:val="bottom"/>
            <w:tcBorders>
              <w:bottom w:val="single" w:sz="8" w:color="E5FFFF"/>
            </w:tcBorders>
          </w:tcPr>
          <w:p>
            <w:pPr>
              <w:spacing w:after="0"/>
              <w:rPr>
                <w:sz w:val="17"/>
                <w:szCs w:val="17"/>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287,078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76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Total assets</w:t>
            </w:r>
          </w:p>
        </w:tc>
        <w:tc>
          <w:tcPr>
            <w:tcW w:w="360" w:type="dxa"/>
            <w:vAlign w:val="bottom"/>
            <w:tcBorders>
              <w:bottom w:val="single" w:sz="8" w:color="E5FFFF"/>
            </w:tcBorders>
            <w:shd w:val="clear" w:color="auto" w:fill="E5FFFF"/>
          </w:tcPr>
          <w:p>
            <w:pPr>
              <w:spacing w:after="0"/>
              <w:rPr>
                <w:sz w:val="17"/>
                <w:szCs w:val="17"/>
                <w:color w:val="auto"/>
              </w:rPr>
            </w:pPr>
          </w:p>
        </w:tc>
        <w:tc>
          <w:tcPr>
            <w:tcW w:w="13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5,174,807</w:t>
            </w:r>
          </w:p>
        </w:tc>
        <w:tc>
          <w:tcPr>
            <w:tcW w:w="320" w:type="dxa"/>
            <w:vAlign w:val="bottom"/>
            <w:tcBorders>
              <w:bottom w:val="single" w:sz="8" w:color="E5FFFF"/>
            </w:tcBorders>
            <w:shd w:val="clear" w:color="auto" w:fill="E5FFFF"/>
          </w:tcPr>
          <w:p>
            <w:pPr>
              <w:spacing w:after="0"/>
              <w:rPr>
                <w:sz w:val="17"/>
                <w:szCs w:val="17"/>
                <w:color w:val="auto"/>
              </w:rPr>
            </w:pPr>
          </w:p>
        </w:tc>
        <w:tc>
          <w:tcPr>
            <w:tcW w:w="400" w:type="dxa"/>
            <w:vAlign w:val="bottom"/>
            <w:tcBorders>
              <w:bottom w:val="single" w:sz="8" w:color="E5FFFF"/>
            </w:tcBorders>
            <w:shd w:val="clear" w:color="auto" w:fill="E5FFFF"/>
          </w:tcPr>
          <w:p>
            <w:pPr>
              <w:spacing w:after="0"/>
              <w:rPr>
                <w:sz w:val="17"/>
                <w:szCs w:val="17"/>
                <w:color w:val="auto"/>
              </w:rPr>
            </w:pPr>
          </w:p>
        </w:tc>
        <w:tc>
          <w:tcPr>
            <w:tcW w:w="13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5,194,470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760" w:type="dxa"/>
            <w:vAlign w:val="bottom"/>
            <w:vMerge w:val="restart"/>
          </w:tcPr>
          <w:p>
            <w:pPr>
              <w:spacing w:after="0"/>
              <w:rPr>
                <w:sz w:val="20"/>
                <w:szCs w:val="20"/>
                <w:color w:val="auto"/>
              </w:rPr>
            </w:pPr>
            <w:r>
              <w:rPr>
                <w:rFonts w:ascii="Arial" w:cs="Arial" w:eastAsia="Arial" w:hAnsi="Arial"/>
                <w:sz w:val="16"/>
                <w:szCs w:val="16"/>
                <w:b w:val="1"/>
                <w:bCs w:val="1"/>
                <w:color w:val="auto"/>
              </w:rPr>
              <w:t>Equity and liabilities</w:t>
            </w:r>
          </w:p>
        </w:tc>
        <w:tc>
          <w:tcPr>
            <w:tcW w:w="3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76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776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Equity</w:t>
            </w:r>
          </w:p>
        </w:tc>
        <w:tc>
          <w:tcPr>
            <w:tcW w:w="360" w:type="dxa"/>
            <w:vAlign w:val="bottom"/>
            <w:shd w:val="clear" w:color="auto" w:fill="E5FFFF"/>
          </w:tcPr>
          <w:p>
            <w:pPr>
              <w:spacing w:after="0"/>
              <w:rPr>
                <w:sz w:val="17"/>
                <w:szCs w:val="17"/>
                <w:color w:val="auto"/>
              </w:rPr>
            </w:pPr>
          </w:p>
        </w:tc>
        <w:tc>
          <w:tcPr>
            <w:tcW w:w="132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400" w:type="dxa"/>
            <w:vAlign w:val="bottom"/>
            <w:shd w:val="clear" w:color="auto" w:fill="E5FFFF"/>
          </w:tcPr>
          <w:p>
            <w:pPr>
              <w:spacing w:after="0"/>
              <w:rPr>
                <w:sz w:val="17"/>
                <w:szCs w:val="17"/>
                <w:color w:val="auto"/>
              </w:rPr>
            </w:pPr>
          </w:p>
        </w:tc>
        <w:tc>
          <w:tcPr>
            <w:tcW w:w="1300" w:type="dxa"/>
            <w:vAlign w:val="bottom"/>
            <w:shd w:val="clear" w:color="auto" w:fill="E5FF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tcPr>
          <w:p>
            <w:pPr>
              <w:spacing w:after="0"/>
              <w:rPr>
                <w:sz w:val="20"/>
                <w:szCs w:val="20"/>
                <w:color w:val="auto"/>
              </w:rPr>
            </w:pPr>
            <w:r>
              <w:rPr>
                <w:rFonts w:ascii="Arial" w:cs="Arial" w:eastAsia="Arial" w:hAnsi="Arial"/>
                <w:sz w:val="16"/>
                <w:szCs w:val="16"/>
                <w:color w:val="auto"/>
              </w:rPr>
              <w:t>Preference shares</w:t>
            </w:r>
          </w:p>
        </w:tc>
        <w:tc>
          <w:tcPr>
            <w:tcW w:w="1680" w:type="dxa"/>
            <w:vAlign w:val="bottom"/>
            <w:gridSpan w:val="2"/>
          </w:tcPr>
          <w:p>
            <w:pPr>
              <w:jc w:val="right"/>
              <w:spacing w:after="0"/>
              <w:rPr>
                <w:sz w:val="20"/>
                <w:szCs w:val="20"/>
                <w:color w:val="auto"/>
              </w:rPr>
            </w:pPr>
            <w:r>
              <w:rPr>
                <w:rFonts w:ascii="Arial" w:cs="Arial" w:eastAsia="Arial" w:hAnsi="Arial"/>
                <w:sz w:val="16"/>
                <w:szCs w:val="16"/>
                <w:color w:val="auto"/>
              </w:rPr>
              <w:t>46</w:t>
            </w:r>
          </w:p>
        </w:tc>
        <w:tc>
          <w:tcPr>
            <w:tcW w:w="320" w:type="dxa"/>
            <w:vAlign w:val="bottom"/>
          </w:tcPr>
          <w:p>
            <w:pPr>
              <w:spacing w:after="0"/>
              <w:rPr>
                <w:sz w:val="17"/>
                <w:szCs w:val="17"/>
                <w:color w:val="auto"/>
              </w:rPr>
            </w:pPr>
          </w:p>
        </w:tc>
        <w:tc>
          <w:tcPr>
            <w:tcW w:w="1700" w:type="dxa"/>
            <w:vAlign w:val="bottom"/>
            <w:gridSpan w:val="2"/>
          </w:tcPr>
          <w:p>
            <w:pPr>
              <w:jc w:val="right"/>
              <w:spacing w:after="0"/>
              <w:rPr>
                <w:sz w:val="20"/>
                <w:szCs w:val="20"/>
                <w:color w:val="auto"/>
              </w:rPr>
            </w:pPr>
            <w:r>
              <w:rPr>
                <w:rFonts w:ascii="Arial" w:cs="Arial" w:eastAsia="Arial" w:hAnsi="Arial"/>
                <w:sz w:val="16"/>
                <w:szCs w:val="16"/>
                <w:color w:val="auto"/>
              </w:rPr>
              <w:t>46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shd w:val="clear" w:color="auto" w:fill="E5FFFF"/>
          </w:tcPr>
          <w:p>
            <w:pPr>
              <w:spacing w:after="0"/>
              <w:rPr>
                <w:sz w:val="20"/>
                <w:szCs w:val="20"/>
                <w:color w:val="auto"/>
              </w:rPr>
            </w:pPr>
            <w:r>
              <w:rPr>
                <w:rFonts w:ascii="Arial" w:cs="Arial" w:eastAsia="Arial" w:hAnsi="Arial"/>
                <w:sz w:val="16"/>
                <w:szCs w:val="16"/>
                <w:color w:val="auto"/>
              </w:rPr>
              <w:t>Share capital</w:t>
            </w:r>
          </w:p>
        </w:tc>
        <w:tc>
          <w:tcPr>
            <w:tcW w:w="168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810</w:t>
            </w:r>
          </w:p>
        </w:tc>
        <w:tc>
          <w:tcPr>
            <w:tcW w:w="320" w:type="dxa"/>
            <w:vAlign w:val="bottom"/>
            <w:shd w:val="clear" w:color="auto" w:fill="E5FFFF"/>
          </w:tcPr>
          <w:p>
            <w:pPr>
              <w:spacing w:after="0"/>
              <w:rPr>
                <w:sz w:val="17"/>
                <w:szCs w:val="17"/>
                <w:color w:val="auto"/>
              </w:rPr>
            </w:pPr>
          </w:p>
        </w:tc>
        <w:tc>
          <w:tcPr>
            <w:tcW w:w="170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810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tcPr>
          <w:p>
            <w:pPr>
              <w:spacing w:after="0"/>
              <w:rPr>
                <w:sz w:val="20"/>
                <w:szCs w:val="20"/>
                <w:color w:val="auto"/>
              </w:rPr>
            </w:pPr>
            <w:r>
              <w:rPr>
                <w:rFonts w:ascii="Arial" w:cs="Arial" w:eastAsia="Arial" w:hAnsi="Arial"/>
                <w:sz w:val="16"/>
                <w:szCs w:val="16"/>
                <w:color w:val="auto"/>
              </w:rPr>
              <w:t>Contributed surplus</w:t>
            </w:r>
          </w:p>
        </w:tc>
        <w:tc>
          <w:tcPr>
            <w:tcW w:w="1680" w:type="dxa"/>
            <w:vAlign w:val="bottom"/>
            <w:gridSpan w:val="2"/>
          </w:tcPr>
          <w:p>
            <w:pPr>
              <w:jc w:val="right"/>
              <w:spacing w:after="0"/>
              <w:rPr>
                <w:sz w:val="20"/>
                <w:szCs w:val="20"/>
                <w:color w:val="auto"/>
              </w:rPr>
            </w:pPr>
            <w:r>
              <w:rPr>
                <w:rFonts w:ascii="Arial" w:cs="Arial" w:eastAsia="Arial" w:hAnsi="Arial"/>
                <w:sz w:val="16"/>
                <w:szCs w:val="16"/>
                <w:color w:val="auto"/>
              </w:rPr>
              <w:t>850,576</w:t>
            </w:r>
          </w:p>
        </w:tc>
        <w:tc>
          <w:tcPr>
            <w:tcW w:w="320" w:type="dxa"/>
            <w:vAlign w:val="bottom"/>
          </w:tcPr>
          <w:p>
            <w:pPr>
              <w:spacing w:after="0"/>
              <w:rPr>
                <w:sz w:val="17"/>
                <w:szCs w:val="17"/>
                <w:color w:val="auto"/>
              </w:rPr>
            </w:pPr>
          </w:p>
        </w:tc>
        <w:tc>
          <w:tcPr>
            <w:tcW w:w="1700" w:type="dxa"/>
            <w:vAlign w:val="bottom"/>
            <w:gridSpan w:val="2"/>
          </w:tcPr>
          <w:p>
            <w:pPr>
              <w:jc w:val="right"/>
              <w:spacing w:after="0"/>
              <w:rPr>
                <w:sz w:val="20"/>
                <w:szCs w:val="20"/>
                <w:color w:val="auto"/>
              </w:rPr>
            </w:pPr>
            <w:r>
              <w:rPr>
                <w:rFonts w:ascii="Arial" w:cs="Arial" w:eastAsia="Arial" w:hAnsi="Arial"/>
                <w:sz w:val="16"/>
                <w:szCs w:val="16"/>
                <w:color w:val="auto"/>
              </w:rPr>
              <w:t>835,931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shd w:val="clear" w:color="auto" w:fill="E5FFFF"/>
          </w:tcPr>
          <w:p>
            <w:pPr>
              <w:spacing w:after="0"/>
              <w:rPr>
                <w:sz w:val="20"/>
                <w:szCs w:val="20"/>
                <w:color w:val="auto"/>
              </w:rPr>
            </w:pPr>
            <w:r>
              <w:rPr>
                <w:rFonts w:ascii="Arial" w:cs="Arial" w:eastAsia="Arial" w:hAnsi="Arial"/>
                <w:sz w:val="16"/>
                <w:szCs w:val="16"/>
                <w:color w:val="auto"/>
              </w:rPr>
              <w:t>Reserves</w:t>
            </w:r>
          </w:p>
        </w:tc>
        <w:tc>
          <w:tcPr>
            <w:tcW w:w="168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18,962</w:t>
            </w:r>
          </w:p>
        </w:tc>
        <w:tc>
          <w:tcPr>
            <w:tcW w:w="320" w:type="dxa"/>
            <w:vAlign w:val="bottom"/>
            <w:shd w:val="clear" w:color="auto" w:fill="E5FFFF"/>
          </w:tcPr>
          <w:p>
            <w:pPr>
              <w:spacing w:after="0"/>
              <w:rPr>
                <w:sz w:val="17"/>
                <w:szCs w:val="17"/>
                <w:color w:val="auto"/>
              </w:rPr>
            </w:pPr>
          </w:p>
        </w:tc>
        <w:tc>
          <w:tcPr>
            <w:tcW w:w="170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18,889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tcPr>
          <w:p>
            <w:pPr>
              <w:spacing w:after="0"/>
              <w:rPr>
                <w:sz w:val="20"/>
                <w:szCs w:val="20"/>
                <w:color w:val="auto"/>
              </w:rPr>
            </w:pPr>
            <w:r>
              <w:rPr>
                <w:rFonts w:ascii="Arial" w:cs="Arial" w:eastAsia="Arial" w:hAnsi="Arial"/>
                <w:sz w:val="16"/>
                <w:szCs w:val="16"/>
                <w:color w:val="auto"/>
              </w:rPr>
              <w:t>Treasury shares</w:t>
            </w:r>
          </w:p>
        </w:tc>
        <w:tc>
          <w:tcPr>
            <w:tcW w:w="2000" w:type="dxa"/>
            <w:vAlign w:val="bottom"/>
            <w:gridSpan w:val="3"/>
          </w:tcPr>
          <w:p>
            <w:pPr>
              <w:jc w:val="right"/>
              <w:ind w:right="260"/>
              <w:spacing w:after="0"/>
              <w:rPr>
                <w:sz w:val="20"/>
                <w:szCs w:val="20"/>
                <w:color w:val="auto"/>
              </w:rPr>
            </w:pPr>
            <w:r>
              <w:rPr>
                <w:rFonts w:ascii="Arial" w:cs="Arial" w:eastAsia="Arial" w:hAnsi="Arial"/>
                <w:sz w:val="16"/>
                <w:szCs w:val="16"/>
                <w:color w:val="auto"/>
              </w:rPr>
              <w:t>(3,266)</w:t>
            </w:r>
          </w:p>
        </w:tc>
        <w:tc>
          <w:tcPr>
            <w:tcW w:w="1700" w:type="dxa"/>
            <w:vAlign w:val="bottom"/>
            <w:gridSpan w:val="2"/>
          </w:tcPr>
          <w:p>
            <w:pPr>
              <w:jc w:val="right"/>
              <w:spacing w:after="0"/>
              <w:rPr>
                <w:sz w:val="20"/>
                <w:szCs w:val="20"/>
                <w:color w:val="auto"/>
              </w:rPr>
            </w:pPr>
            <w:r>
              <w:rPr>
                <w:rFonts w:ascii="Arial" w:cs="Arial" w:eastAsia="Arial" w:hAnsi="Arial"/>
                <w:sz w:val="16"/>
                <w:szCs w:val="16"/>
                <w:color w:val="auto"/>
              </w:rPr>
              <w:t>(7,018)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760" w:type="dxa"/>
            <w:vAlign w:val="bottom"/>
            <w:shd w:val="clear" w:color="auto" w:fill="E5FFFF"/>
          </w:tcPr>
          <w:p>
            <w:pPr>
              <w:spacing w:after="0"/>
              <w:rPr>
                <w:sz w:val="20"/>
                <w:szCs w:val="20"/>
                <w:color w:val="auto"/>
              </w:rPr>
            </w:pPr>
            <w:r>
              <w:rPr>
                <w:rFonts w:ascii="Arial" w:cs="Arial" w:eastAsia="Arial" w:hAnsi="Arial"/>
                <w:sz w:val="16"/>
                <w:szCs w:val="16"/>
                <w:color w:val="auto"/>
              </w:rPr>
              <w:t>Retained earnings</w:t>
            </w:r>
          </w:p>
        </w:tc>
        <w:tc>
          <w:tcPr>
            <w:tcW w:w="168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12,614</w:t>
            </w:r>
          </w:p>
        </w:tc>
        <w:tc>
          <w:tcPr>
            <w:tcW w:w="320" w:type="dxa"/>
            <w:vAlign w:val="bottom"/>
            <w:shd w:val="clear" w:color="auto" w:fill="E5FFFF"/>
          </w:tcPr>
          <w:p>
            <w:pPr>
              <w:spacing w:after="0"/>
              <w:rPr>
                <w:sz w:val="17"/>
                <w:szCs w:val="17"/>
                <w:color w:val="auto"/>
              </w:rPr>
            </w:pPr>
          </w:p>
        </w:tc>
        <w:tc>
          <w:tcPr>
            <w:tcW w:w="170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1,882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760" w:type="dxa"/>
            <w:vAlign w:val="bottom"/>
          </w:tcPr>
          <w:p>
            <w:pPr>
              <w:spacing w:after="0"/>
              <w:rPr>
                <w:sz w:val="20"/>
                <w:szCs w:val="20"/>
                <w:color w:val="auto"/>
              </w:rPr>
            </w:pPr>
            <w:r>
              <w:rPr>
                <w:rFonts w:ascii="Arial" w:cs="Arial" w:eastAsia="Arial" w:hAnsi="Arial"/>
                <w:sz w:val="16"/>
                <w:szCs w:val="16"/>
                <w:b w:val="1"/>
                <w:bCs w:val="1"/>
                <w:color w:val="auto"/>
              </w:rPr>
              <w:t>Equity attributable to owners of the Group</w:t>
            </w:r>
          </w:p>
        </w:tc>
        <w:tc>
          <w:tcPr>
            <w:tcW w:w="360" w:type="dxa"/>
            <w:vAlign w:val="bottom"/>
          </w:tcPr>
          <w:p>
            <w:pPr>
              <w:spacing w:after="0"/>
              <w:rPr>
                <w:sz w:val="17"/>
                <w:szCs w:val="17"/>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879,742</w:t>
            </w: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850,540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shd w:val="clear" w:color="auto" w:fill="E5FFFF"/>
          </w:tcPr>
          <w:p>
            <w:pPr>
              <w:spacing w:after="0"/>
              <w:rPr>
                <w:sz w:val="20"/>
                <w:szCs w:val="20"/>
                <w:color w:val="auto"/>
              </w:rPr>
            </w:pPr>
            <w:r>
              <w:rPr>
                <w:rFonts w:ascii="Arial" w:cs="Arial" w:eastAsia="Arial" w:hAnsi="Arial"/>
                <w:sz w:val="16"/>
                <w:szCs w:val="16"/>
                <w:color w:val="auto"/>
              </w:rPr>
              <w:t>Non-controlling interests</w:t>
            </w:r>
          </w:p>
        </w:tc>
        <w:tc>
          <w:tcPr>
            <w:tcW w:w="168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1,103,380</w:t>
            </w:r>
          </w:p>
        </w:tc>
        <w:tc>
          <w:tcPr>
            <w:tcW w:w="320" w:type="dxa"/>
            <w:vAlign w:val="bottom"/>
            <w:shd w:val="clear" w:color="auto" w:fill="E5FFFF"/>
          </w:tcPr>
          <w:p>
            <w:pPr>
              <w:spacing w:after="0"/>
              <w:rPr>
                <w:sz w:val="17"/>
                <w:szCs w:val="17"/>
                <w:color w:val="auto"/>
              </w:rPr>
            </w:pPr>
          </w:p>
        </w:tc>
        <w:tc>
          <w:tcPr>
            <w:tcW w:w="170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1,093,729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76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Total equity</w:t>
            </w:r>
          </w:p>
        </w:tc>
        <w:tc>
          <w:tcPr>
            <w:tcW w:w="360" w:type="dxa"/>
            <w:vAlign w:val="bottom"/>
            <w:tcBorders>
              <w:bottom w:val="single" w:sz="8" w:color="E5FFFF"/>
            </w:tcBorders>
          </w:tcPr>
          <w:p>
            <w:pPr>
              <w:spacing w:after="0"/>
              <w:rPr>
                <w:sz w:val="17"/>
                <w:szCs w:val="17"/>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1,983,122</w:t>
            </w:r>
          </w:p>
        </w:tc>
        <w:tc>
          <w:tcPr>
            <w:tcW w:w="320" w:type="dxa"/>
            <w:vAlign w:val="bottom"/>
            <w:tcBorders>
              <w:bottom w:val="single" w:sz="8" w:color="E5FFFF"/>
            </w:tcBorders>
          </w:tcPr>
          <w:p>
            <w:pPr>
              <w:spacing w:after="0"/>
              <w:rPr>
                <w:sz w:val="17"/>
                <w:szCs w:val="17"/>
                <w:color w:val="auto"/>
              </w:rPr>
            </w:pPr>
          </w:p>
        </w:tc>
        <w:tc>
          <w:tcPr>
            <w:tcW w:w="400" w:type="dxa"/>
            <w:vAlign w:val="bottom"/>
            <w:tcBorders>
              <w:bottom w:val="single" w:sz="8" w:color="E5FFFF"/>
            </w:tcBorders>
          </w:tcPr>
          <w:p>
            <w:pPr>
              <w:spacing w:after="0"/>
              <w:rPr>
                <w:sz w:val="17"/>
                <w:szCs w:val="17"/>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1,944,269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7760" w:type="dxa"/>
            <w:vAlign w:val="bottom"/>
            <w:shd w:val="clear" w:color="auto" w:fill="E5FFFF"/>
          </w:tcPr>
          <w:p>
            <w:pPr>
              <w:spacing w:after="0" w:line="183" w:lineRule="exact"/>
              <w:rPr>
                <w:sz w:val="20"/>
                <w:szCs w:val="20"/>
                <w:color w:val="auto"/>
              </w:rPr>
            </w:pPr>
            <w:r>
              <w:rPr>
                <w:rFonts w:ascii="Arial" w:cs="Arial" w:eastAsia="Arial" w:hAnsi="Arial"/>
                <w:sz w:val="16"/>
                <w:szCs w:val="16"/>
                <w:b w:val="1"/>
                <w:bCs w:val="1"/>
                <w:color w:val="auto"/>
              </w:rPr>
              <w:t>Current liabilities</w:t>
            </w:r>
          </w:p>
        </w:tc>
        <w:tc>
          <w:tcPr>
            <w:tcW w:w="360" w:type="dxa"/>
            <w:vAlign w:val="bottom"/>
            <w:shd w:val="clear" w:color="auto" w:fill="E5FFFF"/>
          </w:tcPr>
          <w:p>
            <w:pPr>
              <w:spacing w:after="0"/>
              <w:rPr>
                <w:sz w:val="15"/>
                <w:szCs w:val="15"/>
                <w:color w:val="auto"/>
              </w:rPr>
            </w:pPr>
          </w:p>
        </w:tc>
        <w:tc>
          <w:tcPr>
            <w:tcW w:w="1320" w:type="dxa"/>
            <w:vAlign w:val="bottom"/>
            <w:shd w:val="clear" w:color="auto" w:fill="E5FFFF"/>
          </w:tcPr>
          <w:p>
            <w:pPr>
              <w:spacing w:after="0"/>
              <w:rPr>
                <w:sz w:val="15"/>
                <w:szCs w:val="15"/>
                <w:color w:val="auto"/>
              </w:rPr>
            </w:pPr>
          </w:p>
        </w:tc>
        <w:tc>
          <w:tcPr>
            <w:tcW w:w="320" w:type="dxa"/>
            <w:vAlign w:val="bottom"/>
            <w:shd w:val="clear" w:color="auto" w:fill="E5FFFF"/>
          </w:tcPr>
          <w:p>
            <w:pPr>
              <w:spacing w:after="0"/>
              <w:rPr>
                <w:sz w:val="15"/>
                <w:szCs w:val="15"/>
                <w:color w:val="auto"/>
              </w:rPr>
            </w:pPr>
          </w:p>
        </w:tc>
        <w:tc>
          <w:tcPr>
            <w:tcW w:w="400" w:type="dxa"/>
            <w:vAlign w:val="bottom"/>
            <w:shd w:val="clear" w:color="auto" w:fill="E5FFFF"/>
          </w:tcPr>
          <w:p>
            <w:pPr>
              <w:spacing w:after="0"/>
              <w:rPr>
                <w:sz w:val="15"/>
                <w:szCs w:val="15"/>
                <w:color w:val="auto"/>
              </w:rPr>
            </w:pPr>
          </w:p>
        </w:tc>
        <w:tc>
          <w:tcPr>
            <w:tcW w:w="1300" w:type="dxa"/>
            <w:vAlign w:val="bottom"/>
            <w:shd w:val="clear" w:color="auto" w:fill="E5FFFF"/>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760" w:type="dxa"/>
            <w:vAlign w:val="bottom"/>
          </w:tcPr>
          <w:p>
            <w:pPr>
              <w:spacing w:after="0"/>
              <w:rPr>
                <w:sz w:val="20"/>
                <w:szCs w:val="20"/>
                <w:color w:val="auto"/>
              </w:rPr>
            </w:pPr>
            <w:r>
              <w:rPr>
                <w:rFonts w:ascii="Arial" w:cs="Arial" w:eastAsia="Arial" w:hAnsi="Arial"/>
                <w:sz w:val="16"/>
                <w:szCs w:val="16"/>
                <w:color w:val="auto"/>
              </w:rPr>
              <w:t>Trade accounts payable</w:t>
            </w:r>
          </w:p>
        </w:tc>
        <w:tc>
          <w:tcPr>
            <w:tcW w:w="2000" w:type="dxa"/>
            <w:vAlign w:val="bottom"/>
            <w:gridSpan w:val="3"/>
          </w:tcPr>
          <w:p>
            <w:pPr>
              <w:jc w:val="right"/>
              <w:ind w:right="320"/>
              <w:spacing w:after="0"/>
              <w:rPr>
                <w:sz w:val="20"/>
                <w:szCs w:val="20"/>
                <w:color w:val="auto"/>
              </w:rPr>
            </w:pPr>
            <w:r>
              <w:rPr>
                <w:rFonts w:ascii="Arial" w:cs="Arial" w:eastAsia="Arial" w:hAnsi="Arial"/>
                <w:sz w:val="16"/>
                <w:szCs w:val="16"/>
                <w:color w:val="auto"/>
              </w:rPr>
              <w:t>11,890</w:t>
            </w:r>
          </w:p>
        </w:tc>
        <w:tc>
          <w:tcPr>
            <w:tcW w:w="1700" w:type="dxa"/>
            <w:vAlign w:val="bottom"/>
            <w:gridSpan w:val="2"/>
          </w:tcPr>
          <w:p>
            <w:pPr>
              <w:jc w:val="right"/>
              <w:spacing w:after="0"/>
              <w:rPr>
                <w:sz w:val="20"/>
                <w:szCs w:val="20"/>
                <w:color w:val="auto"/>
              </w:rPr>
            </w:pPr>
            <w:r>
              <w:rPr>
                <w:rFonts w:ascii="Arial" w:cs="Arial" w:eastAsia="Arial" w:hAnsi="Arial"/>
                <w:sz w:val="16"/>
                <w:szCs w:val="16"/>
                <w:color w:val="auto"/>
              </w:rPr>
              <w:t>19,986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shd w:val="clear" w:color="auto" w:fill="E5FFFF"/>
          </w:tcPr>
          <w:p>
            <w:pPr>
              <w:spacing w:after="0"/>
              <w:rPr>
                <w:sz w:val="20"/>
                <w:szCs w:val="20"/>
                <w:color w:val="auto"/>
              </w:rPr>
            </w:pPr>
            <w:r>
              <w:rPr>
                <w:rFonts w:ascii="Arial" w:cs="Arial" w:eastAsia="Arial" w:hAnsi="Arial"/>
                <w:sz w:val="16"/>
                <w:szCs w:val="16"/>
                <w:color w:val="auto"/>
              </w:rPr>
              <w:t>Ship management creditors</w:t>
            </w:r>
          </w:p>
        </w:tc>
        <w:tc>
          <w:tcPr>
            <w:tcW w:w="168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580</w:t>
            </w:r>
          </w:p>
        </w:tc>
        <w:tc>
          <w:tcPr>
            <w:tcW w:w="320" w:type="dxa"/>
            <w:vAlign w:val="bottom"/>
            <w:shd w:val="clear" w:color="auto" w:fill="E5FFFF"/>
          </w:tcPr>
          <w:p>
            <w:pPr>
              <w:spacing w:after="0"/>
              <w:rPr>
                <w:sz w:val="17"/>
                <w:szCs w:val="17"/>
                <w:color w:val="auto"/>
              </w:rPr>
            </w:pPr>
          </w:p>
        </w:tc>
        <w:tc>
          <w:tcPr>
            <w:tcW w:w="170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751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tcPr>
          <w:p>
            <w:pPr>
              <w:spacing w:after="0"/>
              <w:rPr>
                <w:sz w:val="20"/>
                <w:szCs w:val="20"/>
                <w:color w:val="auto"/>
              </w:rPr>
            </w:pPr>
            <w:r>
              <w:rPr>
                <w:rFonts w:ascii="Arial" w:cs="Arial" w:eastAsia="Arial" w:hAnsi="Arial"/>
                <w:sz w:val="16"/>
                <w:szCs w:val="16"/>
                <w:color w:val="auto"/>
              </w:rPr>
              <w:t>Amounts due to related parties</w:t>
            </w:r>
          </w:p>
        </w:tc>
        <w:tc>
          <w:tcPr>
            <w:tcW w:w="1680" w:type="dxa"/>
            <w:vAlign w:val="bottom"/>
            <w:gridSpan w:val="2"/>
          </w:tcPr>
          <w:p>
            <w:pPr>
              <w:jc w:val="right"/>
              <w:spacing w:after="0"/>
              <w:rPr>
                <w:sz w:val="20"/>
                <w:szCs w:val="20"/>
                <w:color w:val="auto"/>
              </w:rPr>
            </w:pPr>
            <w:r>
              <w:rPr>
                <w:rFonts w:ascii="Arial" w:cs="Arial" w:eastAsia="Arial" w:hAnsi="Arial"/>
                <w:sz w:val="16"/>
                <w:szCs w:val="16"/>
                <w:color w:val="auto"/>
              </w:rPr>
              <w:t>169</w:t>
            </w:r>
          </w:p>
        </w:tc>
        <w:tc>
          <w:tcPr>
            <w:tcW w:w="320" w:type="dxa"/>
            <w:vAlign w:val="bottom"/>
          </w:tcPr>
          <w:p>
            <w:pPr>
              <w:spacing w:after="0"/>
              <w:rPr>
                <w:sz w:val="17"/>
                <w:szCs w:val="17"/>
                <w:color w:val="auto"/>
              </w:rPr>
            </w:pPr>
          </w:p>
        </w:tc>
        <w:tc>
          <w:tcPr>
            <w:tcW w:w="1700" w:type="dxa"/>
            <w:vAlign w:val="bottom"/>
            <w:gridSpan w:val="2"/>
          </w:tcPr>
          <w:p>
            <w:pPr>
              <w:jc w:val="right"/>
              <w:spacing w:after="0"/>
              <w:rPr>
                <w:sz w:val="20"/>
                <w:szCs w:val="20"/>
                <w:color w:val="auto"/>
              </w:rPr>
            </w:pPr>
            <w:r>
              <w:rPr>
                <w:rFonts w:ascii="Arial" w:cs="Arial" w:eastAsia="Arial" w:hAnsi="Arial"/>
                <w:sz w:val="16"/>
                <w:szCs w:val="16"/>
                <w:color w:val="auto"/>
              </w:rPr>
              <w:t>81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shd w:val="clear" w:color="auto" w:fill="E5FFFF"/>
          </w:tcPr>
          <w:p>
            <w:pPr>
              <w:spacing w:after="0"/>
              <w:rPr>
                <w:sz w:val="20"/>
                <w:szCs w:val="20"/>
                <w:color w:val="auto"/>
              </w:rPr>
            </w:pPr>
            <w:r>
              <w:rPr>
                <w:rFonts w:ascii="Arial" w:cs="Arial" w:eastAsia="Arial" w:hAnsi="Arial"/>
                <w:sz w:val="16"/>
                <w:szCs w:val="16"/>
                <w:color w:val="auto"/>
              </w:rPr>
              <w:t>Derivative financial instruments</w:t>
            </w:r>
          </w:p>
        </w:tc>
        <w:tc>
          <w:tcPr>
            <w:tcW w:w="168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2,091</w:t>
            </w:r>
          </w:p>
        </w:tc>
        <w:tc>
          <w:tcPr>
            <w:tcW w:w="320" w:type="dxa"/>
            <w:vAlign w:val="bottom"/>
            <w:shd w:val="clear" w:color="auto" w:fill="E5FFFF"/>
          </w:tcPr>
          <w:p>
            <w:pPr>
              <w:spacing w:after="0"/>
              <w:rPr>
                <w:sz w:val="17"/>
                <w:szCs w:val="17"/>
                <w:color w:val="auto"/>
              </w:rPr>
            </w:pPr>
          </w:p>
        </w:tc>
        <w:tc>
          <w:tcPr>
            <w:tcW w:w="170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2,785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tcPr>
          <w:p>
            <w:pPr>
              <w:spacing w:after="0"/>
              <w:rPr>
                <w:sz w:val="20"/>
                <w:szCs w:val="20"/>
                <w:color w:val="auto"/>
              </w:rPr>
            </w:pPr>
            <w:r>
              <w:rPr>
                <w:rFonts w:ascii="Arial" w:cs="Arial" w:eastAsia="Arial" w:hAnsi="Arial"/>
                <w:sz w:val="16"/>
                <w:szCs w:val="16"/>
                <w:color w:val="auto"/>
              </w:rPr>
              <w:t>Other payables and accruals</w:t>
            </w:r>
          </w:p>
        </w:tc>
        <w:tc>
          <w:tcPr>
            <w:tcW w:w="1680" w:type="dxa"/>
            <w:vAlign w:val="bottom"/>
            <w:gridSpan w:val="2"/>
          </w:tcPr>
          <w:p>
            <w:pPr>
              <w:jc w:val="right"/>
              <w:spacing w:after="0"/>
              <w:rPr>
                <w:sz w:val="20"/>
                <w:szCs w:val="20"/>
                <w:color w:val="auto"/>
              </w:rPr>
            </w:pPr>
            <w:r>
              <w:rPr>
                <w:rFonts w:ascii="Arial" w:cs="Arial" w:eastAsia="Arial" w:hAnsi="Arial"/>
                <w:sz w:val="16"/>
                <w:szCs w:val="16"/>
                <w:color w:val="auto"/>
              </w:rPr>
              <w:t>127,450</w:t>
            </w:r>
          </w:p>
        </w:tc>
        <w:tc>
          <w:tcPr>
            <w:tcW w:w="320" w:type="dxa"/>
            <w:vAlign w:val="bottom"/>
          </w:tcPr>
          <w:p>
            <w:pPr>
              <w:spacing w:after="0"/>
              <w:rPr>
                <w:sz w:val="17"/>
                <w:szCs w:val="17"/>
                <w:color w:val="auto"/>
              </w:rPr>
            </w:pPr>
          </w:p>
        </w:tc>
        <w:tc>
          <w:tcPr>
            <w:tcW w:w="1700" w:type="dxa"/>
            <w:vAlign w:val="bottom"/>
            <w:gridSpan w:val="2"/>
          </w:tcPr>
          <w:p>
            <w:pPr>
              <w:jc w:val="right"/>
              <w:spacing w:after="0"/>
              <w:rPr>
                <w:sz w:val="20"/>
                <w:szCs w:val="20"/>
                <w:color w:val="auto"/>
              </w:rPr>
            </w:pPr>
            <w:r>
              <w:rPr>
                <w:rFonts w:ascii="Arial" w:cs="Arial" w:eastAsia="Arial" w:hAnsi="Arial"/>
                <w:sz w:val="16"/>
                <w:szCs w:val="16"/>
                <w:color w:val="auto"/>
              </w:rPr>
              <w:t>62,957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shd w:val="clear" w:color="auto" w:fill="E5FFFF"/>
          </w:tcPr>
          <w:p>
            <w:pPr>
              <w:spacing w:after="0"/>
              <w:rPr>
                <w:sz w:val="20"/>
                <w:szCs w:val="20"/>
                <w:color w:val="auto"/>
              </w:rPr>
            </w:pPr>
            <w:r>
              <w:rPr>
                <w:rFonts w:ascii="Arial" w:cs="Arial" w:eastAsia="Arial" w:hAnsi="Arial"/>
                <w:sz w:val="16"/>
                <w:szCs w:val="16"/>
                <w:color w:val="auto"/>
              </w:rPr>
              <w:t>Borrowings, current portion</w:t>
            </w:r>
          </w:p>
        </w:tc>
        <w:tc>
          <w:tcPr>
            <w:tcW w:w="168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520,550</w:t>
            </w:r>
          </w:p>
        </w:tc>
        <w:tc>
          <w:tcPr>
            <w:tcW w:w="320" w:type="dxa"/>
            <w:vAlign w:val="bottom"/>
            <w:shd w:val="clear" w:color="auto" w:fill="E5FFFF"/>
          </w:tcPr>
          <w:p>
            <w:pPr>
              <w:spacing w:after="0"/>
              <w:rPr>
                <w:sz w:val="17"/>
                <w:szCs w:val="17"/>
                <w:color w:val="auto"/>
              </w:rPr>
            </w:pPr>
          </w:p>
        </w:tc>
        <w:tc>
          <w:tcPr>
            <w:tcW w:w="170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172,686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tcPr>
          <w:p>
            <w:pPr>
              <w:spacing w:after="0"/>
              <w:rPr>
                <w:sz w:val="20"/>
                <w:szCs w:val="20"/>
                <w:color w:val="auto"/>
              </w:rPr>
            </w:pPr>
            <w:r>
              <w:rPr>
                <w:rFonts w:ascii="Arial" w:cs="Arial" w:eastAsia="Arial" w:hAnsi="Arial"/>
                <w:sz w:val="16"/>
                <w:szCs w:val="16"/>
                <w:color w:val="auto"/>
              </w:rPr>
              <w:t>Lease liability, current portion</w:t>
            </w:r>
          </w:p>
        </w:tc>
        <w:tc>
          <w:tcPr>
            <w:tcW w:w="1680" w:type="dxa"/>
            <w:vAlign w:val="bottom"/>
            <w:gridSpan w:val="2"/>
          </w:tcPr>
          <w:p>
            <w:pPr>
              <w:jc w:val="right"/>
              <w:spacing w:after="0"/>
              <w:rPr>
                <w:sz w:val="20"/>
                <w:szCs w:val="20"/>
                <w:color w:val="auto"/>
              </w:rPr>
            </w:pPr>
            <w:r>
              <w:rPr>
                <w:rFonts w:ascii="Arial" w:cs="Arial" w:eastAsia="Arial" w:hAnsi="Arial"/>
                <w:sz w:val="16"/>
                <w:szCs w:val="16"/>
                <w:color w:val="auto"/>
              </w:rPr>
              <w:t>6,675</w:t>
            </w:r>
          </w:p>
        </w:tc>
        <w:tc>
          <w:tcPr>
            <w:tcW w:w="320" w:type="dxa"/>
            <w:vAlign w:val="bottom"/>
          </w:tcPr>
          <w:p>
            <w:pPr>
              <w:spacing w:after="0"/>
              <w:rPr>
                <w:sz w:val="17"/>
                <w:szCs w:val="17"/>
                <w:color w:val="auto"/>
              </w:rPr>
            </w:pPr>
          </w:p>
        </w:tc>
        <w:tc>
          <w:tcPr>
            <w:tcW w:w="1700" w:type="dxa"/>
            <w:vAlign w:val="bottom"/>
            <w:gridSpan w:val="2"/>
          </w:tcPr>
          <w:p>
            <w:pPr>
              <w:jc w:val="right"/>
              <w:spacing w:after="0"/>
              <w:rPr>
                <w:sz w:val="20"/>
                <w:szCs w:val="20"/>
                <w:color w:val="auto"/>
              </w:rPr>
            </w:pPr>
            <w:r>
              <w:rPr>
                <w:rFonts w:ascii="Arial" w:cs="Arial" w:eastAsia="Arial" w:hAnsi="Arial"/>
                <w:sz w:val="16"/>
                <w:szCs w:val="16"/>
                <w:color w:val="auto"/>
              </w:rPr>
              <w:t>8,959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76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Total current liabilities</w:t>
            </w:r>
          </w:p>
        </w:tc>
        <w:tc>
          <w:tcPr>
            <w:tcW w:w="360" w:type="dxa"/>
            <w:vAlign w:val="bottom"/>
            <w:tcBorders>
              <w:top w:val="single" w:sz="8" w:color="E5FFFF"/>
            </w:tcBorders>
            <w:shd w:val="clear" w:color="auto" w:fill="E5FFFF"/>
          </w:tcPr>
          <w:p>
            <w:pPr>
              <w:spacing w:after="0"/>
              <w:rPr>
                <w:sz w:val="17"/>
                <w:szCs w:val="17"/>
                <w:color w:val="auto"/>
              </w:rPr>
            </w:pPr>
          </w:p>
        </w:tc>
        <w:tc>
          <w:tcPr>
            <w:tcW w:w="13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669,405</w:t>
            </w:r>
          </w:p>
        </w:tc>
        <w:tc>
          <w:tcPr>
            <w:tcW w:w="320" w:type="dxa"/>
            <w:vAlign w:val="bottom"/>
            <w:tcBorders>
              <w:top w:val="single" w:sz="8" w:color="E5FFFF"/>
            </w:tcBorders>
            <w:shd w:val="clear" w:color="auto" w:fill="E5FFFF"/>
          </w:tcPr>
          <w:p>
            <w:pPr>
              <w:spacing w:after="0"/>
              <w:rPr>
                <w:sz w:val="17"/>
                <w:szCs w:val="17"/>
                <w:color w:val="auto"/>
              </w:rPr>
            </w:pPr>
          </w:p>
        </w:tc>
        <w:tc>
          <w:tcPr>
            <w:tcW w:w="400" w:type="dxa"/>
            <w:vAlign w:val="bottom"/>
            <w:tcBorders>
              <w:top w:val="single" w:sz="8" w:color="E5FFFF"/>
            </w:tcBorders>
            <w:shd w:val="clear" w:color="auto" w:fill="E5FFFF"/>
          </w:tcPr>
          <w:p>
            <w:pPr>
              <w:spacing w:after="0"/>
              <w:rPr>
                <w:sz w:val="17"/>
                <w:szCs w:val="17"/>
                <w:color w:val="auto"/>
              </w:rPr>
            </w:pPr>
          </w:p>
        </w:tc>
        <w:tc>
          <w:tcPr>
            <w:tcW w:w="13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268,205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7760" w:type="dxa"/>
            <w:vAlign w:val="bottom"/>
          </w:tcPr>
          <w:p>
            <w:pPr>
              <w:spacing w:after="0" w:line="183" w:lineRule="exact"/>
              <w:rPr>
                <w:sz w:val="20"/>
                <w:szCs w:val="20"/>
                <w:color w:val="auto"/>
              </w:rPr>
            </w:pPr>
            <w:r>
              <w:rPr>
                <w:rFonts w:ascii="Arial" w:cs="Arial" w:eastAsia="Arial" w:hAnsi="Arial"/>
                <w:sz w:val="16"/>
                <w:szCs w:val="16"/>
                <w:b w:val="1"/>
                <w:bCs w:val="1"/>
                <w:color w:val="auto"/>
              </w:rPr>
              <w:t>Non-current liabilities</w:t>
            </w:r>
          </w:p>
        </w:tc>
        <w:tc>
          <w:tcPr>
            <w:tcW w:w="3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760" w:type="dxa"/>
            <w:vAlign w:val="bottom"/>
            <w:shd w:val="clear" w:color="auto" w:fill="E5FFFF"/>
          </w:tcPr>
          <w:p>
            <w:pPr>
              <w:spacing w:after="0"/>
              <w:rPr>
                <w:sz w:val="20"/>
                <w:szCs w:val="20"/>
                <w:color w:val="auto"/>
              </w:rPr>
            </w:pPr>
            <w:r>
              <w:rPr>
                <w:rFonts w:ascii="Arial" w:cs="Arial" w:eastAsia="Arial" w:hAnsi="Arial"/>
                <w:sz w:val="16"/>
                <w:szCs w:val="16"/>
                <w:color w:val="auto"/>
              </w:rPr>
              <w:t>Derivative financial instruments</w:t>
            </w:r>
          </w:p>
        </w:tc>
        <w:tc>
          <w:tcPr>
            <w:tcW w:w="168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10,001</w:t>
            </w:r>
          </w:p>
        </w:tc>
        <w:tc>
          <w:tcPr>
            <w:tcW w:w="320" w:type="dxa"/>
            <w:vAlign w:val="bottom"/>
            <w:shd w:val="clear" w:color="auto" w:fill="E5FFFF"/>
          </w:tcPr>
          <w:p>
            <w:pPr>
              <w:spacing w:after="0"/>
              <w:rPr>
                <w:sz w:val="17"/>
                <w:szCs w:val="17"/>
                <w:color w:val="auto"/>
              </w:rPr>
            </w:pPr>
          </w:p>
        </w:tc>
        <w:tc>
          <w:tcPr>
            <w:tcW w:w="170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22,952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tcPr>
          <w:p>
            <w:pPr>
              <w:spacing w:after="0"/>
              <w:rPr>
                <w:sz w:val="20"/>
                <w:szCs w:val="20"/>
                <w:color w:val="auto"/>
              </w:rPr>
            </w:pPr>
            <w:r>
              <w:rPr>
                <w:rFonts w:ascii="Arial" w:cs="Arial" w:eastAsia="Arial" w:hAnsi="Arial"/>
                <w:sz w:val="16"/>
                <w:szCs w:val="16"/>
                <w:color w:val="auto"/>
              </w:rPr>
              <w:t>Borrowings, non-current portion</w:t>
            </w:r>
          </w:p>
        </w:tc>
        <w:tc>
          <w:tcPr>
            <w:tcW w:w="1680" w:type="dxa"/>
            <w:vAlign w:val="bottom"/>
            <w:gridSpan w:val="2"/>
          </w:tcPr>
          <w:p>
            <w:pPr>
              <w:jc w:val="right"/>
              <w:spacing w:after="0"/>
              <w:rPr>
                <w:sz w:val="20"/>
                <w:szCs w:val="20"/>
                <w:color w:val="auto"/>
              </w:rPr>
            </w:pPr>
            <w:r>
              <w:rPr>
                <w:rFonts w:ascii="Arial" w:cs="Arial" w:eastAsia="Arial" w:hAnsi="Arial"/>
                <w:sz w:val="16"/>
                <w:szCs w:val="16"/>
                <w:color w:val="auto"/>
              </w:rPr>
              <w:t>2,307,909</w:t>
            </w:r>
          </w:p>
        </w:tc>
        <w:tc>
          <w:tcPr>
            <w:tcW w:w="320" w:type="dxa"/>
            <w:vAlign w:val="bottom"/>
          </w:tcPr>
          <w:p>
            <w:pPr>
              <w:spacing w:after="0"/>
              <w:rPr>
                <w:sz w:val="17"/>
                <w:szCs w:val="17"/>
                <w:color w:val="auto"/>
              </w:rPr>
            </w:pPr>
          </w:p>
        </w:tc>
        <w:tc>
          <w:tcPr>
            <w:tcW w:w="1700" w:type="dxa"/>
            <w:vAlign w:val="bottom"/>
            <w:gridSpan w:val="2"/>
          </w:tcPr>
          <w:p>
            <w:pPr>
              <w:jc w:val="right"/>
              <w:spacing w:after="0"/>
              <w:rPr>
                <w:sz w:val="20"/>
                <w:szCs w:val="20"/>
                <w:color w:val="auto"/>
              </w:rPr>
            </w:pPr>
            <w:r>
              <w:rPr>
                <w:rFonts w:ascii="Arial" w:cs="Arial" w:eastAsia="Arial" w:hAnsi="Arial"/>
                <w:sz w:val="16"/>
                <w:szCs w:val="16"/>
                <w:color w:val="auto"/>
              </w:rPr>
              <w:t>2,748,035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shd w:val="clear" w:color="auto" w:fill="E5FFFF"/>
          </w:tcPr>
          <w:p>
            <w:pPr>
              <w:spacing w:after="0"/>
              <w:rPr>
                <w:sz w:val="20"/>
                <w:szCs w:val="20"/>
                <w:color w:val="auto"/>
              </w:rPr>
            </w:pPr>
            <w:r>
              <w:rPr>
                <w:rFonts w:ascii="Arial" w:cs="Arial" w:eastAsia="Arial" w:hAnsi="Arial"/>
                <w:sz w:val="16"/>
                <w:szCs w:val="16"/>
                <w:color w:val="auto"/>
              </w:rPr>
              <w:t>Lease liability, non-current portion</w:t>
            </w:r>
          </w:p>
        </w:tc>
        <w:tc>
          <w:tcPr>
            <w:tcW w:w="168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199,424</w:t>
            </w:r>
          </w:p>
        </w:tc>
        <w:tc>
          <w:tcPr>
            <w:tcW w:w="320" w:type="dxa"/>
            <w:vAlign w:val="bottom"/>
            <w:shd w:val="clear" w:color="auto" w:fill="E5FFFF"/>
          </w:tcPr>
          <w:p>
            <w:pPr>
              <w:spacing w:after="0"/>
              <w:rPr>
                <w:sz w:val="17"/>
                <w:szCs w:val="17"/>
                <w:color w:val="auto"/>
              </w:rPr>
            </w:pPr>
          </w:p>
        </w:tc>
        <w:tc>
          <w:tcPr>
            <w:tcW w:w="170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203,100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tcPr>
          <w:p>
            <w:pPr>
              <w:spacing w:after="0"/>
              <w:rPr>
                <w:sz w:val="20"/>
                <w:szCs w:val="20"/>
                <w:color w:val="auto"/>
              </w:rPr>
            </w:pPr>
            <w:r>
              <w:rPr>
                <w:rFonts w:ascii="Arial" w:cs="Arial" w:eastAsia="Arial" w:hAnsi="Arial"/>
                <w:sz w:val="16"/>
                <w:szCs w:val="16"/>
                <w:color w:val="auto"/>
              </w:rPr>
              <w:t>Other non-current liabilities</w:t>
            </w:r>
          </w:p>
        </w:tc>
        <w:tc>
          <w:tcPr>
            <w:tcW w:w="1680" w:type="dxa"/>
            <w:vAlign w:val="bottom"/>
            <w:gridSpan w:val="2"/>
          </w:tcPr>
          <w:p>
            <w:pPr>
              <w:jc w:val="right"/>
              <w:spacing w:after="0"/>
              <w:rPr>
                <w:sz w:val="20"/>
                <w:szCs w:val="20"/>
                <w:color w:val="auto"/>
              </w:rPr>
            </w:pPr>
            <w:r>
              <w:rPr>
                <w:rFonts w:ascii="Arial" w:cs="Arial" w:eastAsia="Arial" w:hAnsi="Arial"/>
                <w:sz w:val="16"/>
                <w:szCs w:val="16"/>
                <w:color w:val="auto"/>
              </w:rPr>
              <w:t>4,946</w:t>
            </w:r>
          </w:p>
        </w:tc>
        <w:tc>
          <w:tcPr>
            <w:tcW w:w="320" w:type="dxa"/>
            <w:vAlign w:val="bottom"/>
          </w:tcPr>
          <w:p>
            <w:pPr>
              <w:spacing w:after="0"/>
              <w:rPr>
                <w:sz w:val="17"/>
                <w:szCs w:val="17"/>
                <w:color w:val="auto"/>
              </w:rPr>
            </w:pPr>
          </w:p>
        </w:tc>
        <w:tc>
          <w:tcPr>
            <w:tcW w:w="1700" w:type="dxa"/>
            <w:vAlign w:val="bottom"/>
            <w:gridSpan w:val="2"/>
          </w:tcPr>
          <w:p>
            <w:pPr>
              <w:jc w:val="right"/>
              <w:spacing w:after="0"/>
              <w:rPr>
                <w:sz w:val="20"/>
                <w:szCs w:val="20"/>
                <w:color w:val="auto"/>
              </w:rPr>
            </w:pPr>
            <w:r>
              <w:rPr>
                <w:rFonts w:ascii="Arial" w:cs="Arial" w:eastAsia="Arial" w:hAnsi="Arial"/>
                <w:sz w:val="16"/>
                <w:szCs w:val="16"/>
                <w:color w:val="auto"/>
              </w:rPr>
              <w:t>7,909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76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Total non-current liabilities</w:t>
            </w:r>
          </w:p>
        </w:tc>
        <w:tc>
          <w:tcPr>
            <w:tcW w:w="360" w:type="dxa"/>
            <w:vAlign w:val="bottom"/>
            <w:tcBorders>
              <w:top w:val="single" w:sz="8" w:color="E5FFFF"/>
            </w:tcBorders>
            <w:shd w:val="clear" w:color="auto" w:fill="E5FFFF"/>
          </w:tcPr>
          <w:p>
            <w:pPr>
              <w:spacing w:after="0"/>
              <w:rPr>
                <w:sz w:val="17"/>
                <w:szCs w:val="17"/>
                <w:color w:val="auto"/>
              </w:rPr>
            </w:pPr>
          </w:p>
        </w:tc>
        <w:tc>
          <w:tcPr>
            <w:tcW w:w="13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2,522,280</w:t>
            </w:r>
          </w:p>
        </w:tc>
        <w:tc>
          <w:tcPr>
            <w:tcW w:w="320" w:type="dxa"/>
            <w:vAlign w:val="bottom"/>
            <w:tcBorders>
              <w:top w:val="single" w:sz="8" w:color="E5FFFF"/>
            </w:tcBorders>
            <w:shd w:val="clear" w:color="auto" w:fill="E5FFFF"/>
          </w:tcPr>
          <w:p>
            <w:pPr>
              <w:spacing w:after="0"/>
              <w:rPr>
                <w:sz w:val="17"/>
                <w:szCs w:val="17"/>
                <w:color w:val="auto"/>
              </w:rPr>
            </w:pPr>
          </w:p>
        </w:tc>
        <w:tc>
          <w:tcPr>
            <w:tcW w:w="400" w:type="dxa"/>
            <w:vAlign w:val="bottom"/>
            <w:tcBorders>
              <w:top w:val="single" w:sz="8" w:color="E5FFFF"/>
            </w:tcBorders>
            <w:shd w:val="clear" w:color="auto" w:fill="E5FFFF"/>
          </w:tcPr>
          <w:p>
            <w:pPr>
              <w:spacing w:after="0"/>
              <w:rPr>
                <w:sz w:val="17"/>
                <w:szCs w:val="17"/>
                <w:color w:val="auto"/>
              </w:rPr>
            </w:pPr>
          </w:p>
        </w:tc>
        <w:tc>
          <w:tcPr>
            <w:tcW w:w="13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2,981,996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760" w:type="dxa"/>
            <w:vAlign w:val="bottom"/>
          </w:tcPr>
          <w:p>
            <w:pPr>
              <w:spacing w:after="0"/>
              <w:rPr>
                <w:sz w:val="20"/>
                <w:szCs w:val="20"/>
                <w:color w:val="auto"/>
              </w:rPr>
            </w:pPr>
            <w:r>
              <w:rPr>
                <w:rFonts w:ascii="Arial" w:cs="Arial" w:eastAsia="Arial" w:hAnsi="Arial"/>
                <w:sz w:val="16"/>
                <w:szCs w:val="16"/>
                <w:b w:val="1"/>
                <w:bCs w:val="1"/>
                <w:color w:val="auto"/>
              </w:rPr>
              <w:t>Total equity and liabilities</w:t>
            </w:r>
          </w:p>
        </w:tc>
        <w:tc>
          <w:tcPr>
            <w:tcW w:w="360" w:type="dxa"/>
            <w:vAlign w:val="bottom"/>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5,174,807</w:t>
            </w: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5,194,470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35901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359015" cy="29845"/>
                    </a:xfrm>
                    <a:prstGeom prst="rect">
                      <a:avLst/>
                    </a:prstGeom>
                    <a:noFill/>
                  </pic:spPr>
                </pic:pic>
              </a:graphicData>
            </a:graphic>
          </wp:anchor>
        </w:drawing>
      </w:r>
    </w:p>
    <w:p>
      <w:pPr>
        <w:sectPr>
          <w:pgSz w:w="11900" w:h="16838" w:orient="portrait"/>
          <w:cols w:equalWidth="0" w:num="1">
            <w:col w:w="11520"/>
          </w:cols>
          <w:pgMar w:left="160" w:top="262" w:right="219" w:bottom="1440" w:gutter="0" w:footer="0" w:header="0"/>
        </w:sectPr>
      </w:pPr>
    </w:p>
    <w:bookmarkStart w:id="11" w:name="page12"/>
    <w:bookmarkEnd w:id="11"/>
    <w:p>
      <w:pPr>
        <w:spacing w:after="0"/>
        <w:rPr>
          <w:sz w:val="20"/>
          <w:szCs w:val="20"/>
          <w:color w:val="auto"/>
        </w:rPr>
      </w:pPr>
      <w:r>
        <w:rPr>
          <w:rFonts w:ascii="Arial" w:cs="Arial" w:eastAsia="Arial" w:hAnsi="Arial"/>
          <w:sz w:val="16"/>
          <w:szCs w:val="16"/>
          <w:b w:val="1"/>
          <w:bCs w:val="1"/>
          <w:color w:val="auto"/>
        </w:rPr>
        <w:t>Unaudited condensed consolidated statements of profit or loss</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 the three months ended March 31, 2018 and 2019</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(Amounts expressed in thousands of U.S. Dollars, except per share data)</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40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3380" w:type="dxa"/>
            <w:vAlign w:val="bottom"/>
            <w:gridSpan w:val="4"/>
          </w:tcPr>
          <w:p>
            <w:pPr>
              <w:jc w:val="right"/>
              <w:ind w:right="800"/>
              <w:spacing w:after="0"/>
              <w:rPr>
                <w:sz w:val="20"/>
                <w:szCs w:val="20"/>
                <w:color w:val="auto"/>
              </w:rPr>
            </w:pPr>
            <w:r>
              <w:rPr>
                <w:rFonts w:ascii="Arial" w:cs="Arial" w:eastAsia="Arial" w:hAnsi="Arial"/>
                <w:sz w:val="16"/>
                <w:szCs w:val="16"/>
                <w:b w:val="1"/>
                <w:bCs w:val="1"/>
                <w:color w:val="auto"/>
              </w:rPr>
              <w:t>For the three months ended</w:t>
            </w:r>
          </w:p>
        </w:tc>
        <w:tc>
          <w:tcPr>
            <w:tcW w:w="0" w:type="dxa"/>
            <w:vAlign w:val="bottom"/>
          </w:tcPr>
          <w:p>
            <w:pPr>
              <w:spacing w:after="0"/>
              <w:rPr>
                <w:sz w:val="1"/>
                <w:szCs w:val="1"/>
                <w:color w:val="auto"/>
              </w:rPr>
            </w:pPr>
          </w:p>
        </w:tc>
      </w:tr>
      <w:tr>
        <w:trPr>
          <w:trHeight w:val="213"/>
        </w:trPr>
        <w:tc>
          <w:tcPr>
            <w:tcW w:w="440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860" w:type="dxa"/>
            <w:vAlign w:val="bottom"/>
            <w:gridSpan w:val="2"/>
          </w:tcPr>
          <w:p>
            <w:pPr>
              <w:jc w:val="right"/>
              <w:ind w:right="620"/>
              <w:spacing w:after="0"/>
              <w:rPr>
                <w:sz w:val="20"/>
                <w:szCs w:val="20"/>
                <w:color w:val="auto"/>
              </w:rPr>
            </w:pPr>
            <w:r>
              <w:rPr>
                <w:rFonts w:ascii="Arial" w:cs="Arial" w:eastAsia="Arial" w:hAnsi="Arial"/>
                <w:sz w:val="16"/>
                <w:szCs w:val="16"/>
                <w:b w:val="1"/>
                <w:bCs w:val="1"/>
                <w:color w:val="auto"/>
              </w:rPr>
              <w:t>March 31, 2018</w:t>
            </w:r>
          </w:p>
        </w:tc>
        <w:tc>
          <w:tcPr>
            <w:tcW w:w="152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March 31, 2019</w:t>
            </w:r>
          </w:p>
        </w:tc>
        <w:tc>
          <w:tcPr>
            <w:tcW w:w="0" w:type="dxa"/>
            <w:vAlign w:val="bottom"/>
          </w:tcPr>
          <w:p>
            <w:pPr>
              <w:spacing w:after="0"/>
              <w:rPr>
                <w:sz w:val="1"/>
                <w:szCs w:val="1"/>
                <w:color w:val="auto"/>
              </w:rPr>
            </w:pPr>
          </w:p>
        </w:tc>
      </w:tr>
      <w:tr>
        <w:trPr>
          <w:trHeight w:val="199"/>
        </w:trPr>
        <w:tc>
          <w:tcPr>
            <w:tcW w:w="440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Revenues</w:t>
            </w:r>
          </w:p>
        </w:tc>
        <w:tc>
          <w:tcPr>
            <w:tcW w:w="3820" w:type="dxa"/>
            <w:vAlign w:val="bottom"/>
            <w:tcBorders>
              <w:top w:val="single" w:sz="8" w:color="E5FFFF"/>
            </w:tcBorders>
            <w:shd w:val="clear" w:color="auto" w:fill="E5FFFF"/>
          </w:tcPr>
          <w:p>
            <w:pPr>
              <w:spacing w:after="0"/>
              <w:rPr>
                <w:sz w:val="17"/>
                <w:szCs w:val="17"/>
                <w:color w:val="auto"/>
              </w:rPr>
            </w:pPr>
          </w:p>
        </w:tc>
        <w:tc>
          <w:tcPr>
            <w:tcW w:w="14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138,478</w:t>
            </w:r>
          </w:p>
        </w:tc>
        <w:tc>
          <w:tcPr>
            <w:tcW w:w="460" w:type="dxa"/>
            <w:vAlign w:val="bottom"/>
            <w:tcBorders>
              <w:top w:val="single" w:sz="8" w:color="E5FFFF"/>
            </w:tcBorders>
            <w:shd w:val="clear" w:color="auto" w:fill="E5FFFF"/>
          </w:tcPr>
          <w:p>
            <w:pPr>
              <w:spacing w:after="0"/>
              <w:rPr>
                <w:sz w:val="17"/>
                <w:szCs w:val="17"/>
                <w:color w:val="auto"/>
              </w:rPr>
            </w:pPr>
          </w:p>
        </w:tc>
        <w:tc>
          <w:tcPr>
            <w:tcW w:w="138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166,547</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0" w:type="dxa"/>
            <w:vAlign w:val="bottom"/>
          </w:tcPr>
          <w:p>
            <w:pPr>
              <w:spacing w:after="0"/>
              <w:rPr>
                <w:sz w:val="20"/>
                <w:szCs w:val="20"/>
                <w:color w:val="auto"/>
              </w:rPr>
            </w:pPr>
            <w:r>
              <w:rPr>
                <w:rFonts w:ascii="Arial" w:cs="Arial" w:eastAsia="Arial" w:hAnsi="Arial"/>
                <w:sz w:val="16"/>
                <w:szCs w:val="16"/>
                <w:color w:val="auto"/>
              </w:rPr>
              <w:t>Net pool allocation</w:t>
            </w:r>
          </w:p>
        </w:tc>
        <w:tc>
          <w:tcPr>
            <w:tcW w:w="5680" w:type="dxa"/>
            <w:vAlign w:val="bottom"/>
            <w:gridSpan w:val="3"/>
          </w:tcPr>
          <w:p>
            <w:pPr>
              <w:jc w:val="right"/>
              <w:ind w:right="460"/>
              <w:spacing w:after="0"/>
              <w:rPr>
                <w:sz w:val="20"/>
                <w:szCs w:val="20"/>
                <w:color w:val="auto"/>
              </w:rPr>
            </w:pPr>
            <w:r>
              <w:rPr>
                <w:rFonts w:ascii="Arial" w:cs="Arial" w:eastAsia="Arial" w:hAnsi="Arial"/>
                <w:sz w:val="16"/>
                <w:szCs w:val="16"/>
                <w:color w:val="auto"/>
              </w:rPr>
              <w:t>8,653</w:t>
            </w:r>
          </w:p>
        </w:tc>
        <w:tc>
          <w:tcPr>
            <w:tcW w:w="1380" w:type="dxa"/>
            <w:vAlign w:val="bottom"/>
          </w:tcPr>
          <w:p>
            <w:pPr>
              <w:jc w:val="right"/>
              <w:spacing w:after="0"/>
              <w:rPr>
                <w:sz w:val="20"/>
                <w:szCs w:val="20"/>
                <w:color w:val="auto"/>
              </w:rPr>
            </w:pPr>
            <w:r>
              <w:rPr>
                <w:rFonts w:ascii="Arial" w:cs="Arial" w:eastAsia="Arial" w:hAnsi="Arial"/>
                <w:sz w:val="16"/>
                <w:szCs w:val="16"/>
                <w:color w:val="auto"/>
              </w:rPr>
              <w:t>(6,738)</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0" w:type="dxa"/>
            <w:vAlign w:val="bottom"/>
            <w:shd w:val="clear" w:color="auto" w:fill="E5FFFF"/>
          </w:tcPr>
          <w:p>
            <w:pPr>
              <w:spacing w:after="0"/>
              <w:rPr>
                <w:sz w:val="20"/>
                <w:szCs w:val="20"/>
                <w:color w:val="auto"/>
              </w:rPr>
            </w:pPr>
            <w:r>
              <w:rPr>
                <w:rFonts w:ascii="Arial" w:cs="Arial" w:eastAsia="Arial" w:hAnsi="Arial"/>
                <w:sz w:val="16"/>
                <w:szCs w:val="16"/>
                <w:color w:val="auto"/>
              </w:rPr>
              <w:t>Voyage expenses and commissions</w:t>
            </w:r>
          </w:p>
        </w:tc>
        <w:tc>
          <w:tcPr>
            <w:tcW w:w="5680" w:type="dxa"/>
            <w:vAlign w:val="bottom"/>
            <w:gridSpan w:val="3"/>
            <w:shd w:val="clear" w:color="auto" w:fill="E5FFFF"/>
          </w:tcPr>
          <w:p>
            <w:pPr>
              <w:jc w:val="right"/>
              <w:ind w:right="400"/>
              <w:spacing w:after="0"/>
              <w:rPr>
                <w:sz w:val="20"/>
                <w:szCs w:val="20"/>
                <w:color w:val="auto"/>
              </w:rPr>
            </w:pPr>
            <w:r>
              <w:rPr>
                <w:rFonts w:ascii="Arial" w:cs="Arial" w:eastAsia="Arial" w:hAnsi="Arial"/>
                <w:sz w:val="16"/>
                <w:szCs w:val="16"/>
                <w:color w:val="auto"/>
              </w:rPr>
              <w:t>(5,281)</w:t>
            </w: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(6,917)</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400" w:type="dxa"/>
            <w:vAlign w:val="bottom"/>
          </w:tcPr>
          <w:p>
            <w:pPr>
              <w:spacing w:after="0"/>
              <w:rPr>
                <w:sz w:val="20"/>
                <w:szCs w:val="20"/>
                <w:color w:val="auto"/>
              </w:rPr>
            </w:pPr>
            <w:r>
              <w:rPr>
                <w:rFonts w:ascii="Arial" w:cs="Arial" w:eastAsia="Arial" w:hAnsi="Arial"/>
                <w:sz w:val="16"/>
                <w:szCs w:val="16"/>
                <w:color w:val="auto"/>
              </w:rPr>
              <w:t>Vessel operating and supervision costs</w:t>
            </w:r>
          </w:p>
        </w:tc>
        <w:tc>
          <w:tcPr>
            <w:tcW w:w="5680" w:type="dxa"/>
            <w:vAlign w:val="bottom"/>
            <w:gridSpan w:val="3"/>
          </w:tcPr>
          <w:p>
            <w:pPr>
              <w:jc w:val="right"/>
              <w:ind w:right="400"/>
              <w:spacing w:after="0"/>
              <w:rPr>
                <w:sz w:val="20"/>
                <w:szCs w:val="20"/>
                <w:color w:val="auto"/>
              </w:rPr>
            </w:pPr>
            <w:r>
              <w:rPr>
                <w:rFonts w:ascii="Arial" w:cs="Arial" w:eastAsia="Arial" w:hAnsi="Arial"/>
                <w:sz w:val="16"/>
                <w:szCs w:val="16"/>
                <w:color w:val="auto"/>
              </w:rPr>
              <w:t>(34,313)</w:t>
            </w:r>
          </w:p>
        </w:tc>
        <w:tc>
          <w:tcPr>
            <w:tcW w:w="1380" w:type="dxa"/>
            <w:vAlign w:val="bottom"/>
          </w:tcPr>
          <w:p>
            <w:pPr>
              <w:jc w:val="right"/>
              <w:spacing w:after="0"/>
              <w:rPr>
                <w:sz w:val="20"/>
                <w:szCs w:val="20"/>
                <w:color w:val="auto"/>
              </w:rPr>
            </w:pPr>
            <w:r>
              <w:rPr>
                <w:rFonts w:ascii="Arial" w:cs="Arial" w:eastAsia="Arial" w:hAnsi="Arial"/>
                <w:sz w:val="16"/>
                <w:szCs w:val="16"/>
                <w:color w:val="auto"/>
              </w:rPr>
              <w:t>(32,970)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0" w:type="dxa"/>
            <w:vAlign w:val="bottom"/>
            <w:shd w:val="clear" w:color="auto" w:fill="E5FFFF"/>
          </w:tcPr>
          <w:p>
            <w:pPr>
              <w:spacing w:after="0"/>
              <w:rPr>
                <w:sz w:val="20"/>
                <w:szCs w:val="20"/>
                <w:color w:val="auto"/>
              </w:rPr>
            </w:pPr>
            <w:r>
              <w:rPr>
                <w:rFonts w:ascii="Arial" w:cs="Arial" w:eastAsia="Arial" w:hAnsi="Arial"/>
                <w:sz w:val="16"/>
                <w:szCs w:val="16"/>
                <w:color w:val="auto"/>
              </w:rPr>
              <w:t>Depreciation</w:t>
            </w:r>
          </w:p>
        </w:tc>
        <w:tc>
          <w:tcPr>
            <w:tcW w:w="5680" w:type="dxa"/>
            <w:vAlign w:val="bottom"/>
            <w:gridSpan w:val="3"/>
            <w:shd w:val="clear" w:color="auto" w:fill="E5FFFF"/>
          </w:tcPr>
          <w:p>
            <w:pPr>
              <w:jc w:val="right"/>
              <w:ind w:right="400"/>
              <w:spacing w:after="0"/>
              <w:rPr>
                <w:sz w:val="20"/>
                <w:szCs w:val="20"/>
                <w:color w:val="auto"/>
              </w:rPr>
            </w:pPr>
            <w:r>
              <w:rPr>
                <w:rFonts w:ascii="Arial" w:cs="Arial" w:eastAsia="Arial" w:hAnsi="Arial"/>
                <w:sz w:val="16"/>
                <w:szCs w:val="16"/>
                <w:color w:val="auto"/>
              </w:rPr>
              <w:t>(35,529)</w:t>
            </w: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(39,599)</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0" w:type="dxa"/>
            <w:vAlign w:val="bottom"/>
          </w:tcPr>
          <w:p>
            <w:pPr>
              <w:spacing w:after="0"/>
              <w:rPr>
                <w:sz w:val="20"/>
                <w:szCs w:val="20"/>
                <w:color w:val="auto"/>
              </w:rPr>
            </w:pPr>
            <w:r>
              <w:rPr>
                <w:rFonts w:ascii="Arial" w:cs="Arial" w:eastAsia="Arial" w:hAnsi="Arial"/>
                <w:sz w:val="16"/>
                <w:szCs w:val="16"/>
                <w:color w:val="auto"/>
              </w:rPr>
              <w:t>General and administrative expenses</w:t>
            </w:r>
          </w:p>
        </w:tc>
        <w:tc>
          <w:tcPr>
            <w:tcW w:w="5680" w:type="dxa"/>
            <w:vAlign w:val="bottom"/>
            <w:gridSpan w:val="3"/>
          </w:tcPr>
          <w:p>
            <w:pPr>
              <w:jc w:val="right"/>
              <w:ind w:right="400"/>
              <w:spacing w:after="0"/>
              <w:rPr>
                <w:sz w:val="20"/>
                <w:szCs w:val="20"/>
                <w:color w:val="auto"/>
              </w:rPr>
            </w:pPr>
            <w:r>
              <w:rPr>
                <w:rFonts w:ascii="Arial" w:cs="Arial" w:eastAsia="Arial" w:hAnsi="Arial"/>
                <w:sz w:val="16"/>
                <w:szCs w:val="16"/>
                <w:color w:val="auto"/>
              </w:rPr>
              <w:t>(12,013)</w:t>
            </w:r>
          </w:p>
        </w:tc>
        <w:tc>
          <w:tcPr>
            <w:tcW w:w="1380" w:type="dxa"/>
            <w:vAlign w:val="bottom"/>
          </w:tcPr>
          <w:p>
            <w:pPr>
              <w:jc w:val="right"/>
              <w:spacing w:after="0"/>
              <w:rPr>
                <w:sz w:val="20"/>
                <w:szCs w:val="20"/>
                <w:color w:val="auto"/>
              </w:rPr>
            </w:pPr>
            <w:r>
              <w:rPr>
                <w:rFonts w:ascii="Arial" w:cs="Arial" w:eastAsia="Arial" w:hAnsi="Arial"/>
                <w:sz w:val="16"/>
                <w:szCs w:val="16"/>
                <w:color w:val="auto"/>
              </w:rPr>
              <w:t>(10,377)</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40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Profit from operations</w:t>
            </w:r>
          </w:p>
        </w:tc>
        <w:tc>
          <w:tcPr>
            <w:tcW w:w="3820" w:type="dxa"/>
            <w:vAlign w:val="bottom"/>
            <w:tcBorders>
              <w:top w:val="single" w:sz="8" w:color="E5FFFF"/>
            </w:tcBorders>
            <w:shd w:val="clear" w:color="auto" w:fill="E5FFFF"/>
          </w:tcPr>
          <w:p>
            <w:pPr>
              <w:spacing w:after="0"/>
              <w:rPr>
                <w:sz w:val="17"/>
                <w:szCs w:val="17"/>
                <w:color w:val="auto"/>
              </w:rPr>
            </w:pPr>
          </w:p>
        </w:tc>
        <w:tc>
          <w:tcPr>
            <w:tcW w:w="14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59,995</w:t>
            </w:r>
          </w:p>
        </w:tc>
        <w:tc>
          <w:tcPr>
            <w:tcW w:w="460" w:type="dxa"/>
            <w:vAlign w:val="bottom"/>
            <w:tcBorders>
              <w:top w:val="single" w:sz="8" w:color="E5FFFF"/>
            </w:tcBorders>
            <w:shd w:val="clear" w:color="auto" w:fill="E5FFFF"/>
          </w:tcPr>
          <w:p>
            <w:pPr>
              <w:spacing w:after="0"/>
              <w:rPr>
                <w:sz w:val="17"/>
                <w:szCs w:val="17"/>
                <w:color w:val="auto"/>
              </w:rPr>
            </w:pPr>
          </w:p>
        </w:tc>
        <w:tc>
          <w:tcPr>
            <w:tcW w:w="13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69,946</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400" w:type="dxa"/>
            <w:vAlign w:val="bottom"/>
          </w:tcPr>
          <w:p>
            <w:pPr>
              <w:spacing w:after="0"/>
              <w:rPr>
                <w:sz w:val="20"/>
                <w:szCs w:val="20"/>
                <w:color w:val="auto"/>
              </w:rPr>
            </w:pPr>
            <w:r>
              <w:rPr>
                <w:rFonts w:ascii="Arial" w:cs="Arial" w:eastAsia="Arial" w:hAnsi="Arial"/>
                <w:sz w:val="16"/>
                <w:szCs w:val="16"/>
                <w:color w:val="auto"/>
              </w:rPr>
              <w:t>Financial costs</w:t>
            </w:r>
          </w:p>
        </w:tc>
        <w:tc>
          <w:tcPr>
            <w:tcW w:w="38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(36,597)</w:t>
            </w:r>
          </w:p>
        </w:tc>
        <w:tc>
          <w:tcPr>
            <w:tcW w:w="46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(45,507)</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0" w:type="dxa"/>
            <w:vAlign w:val="bottom"/>
            <w:shd w:val="clear" w:color="auto" w:fill="E5FFFF"/>
          </w:tcPr>
          <w:p>
            <w:pPr>
              <w:spacing w:after="0"/>
              <w:rPr>
                <w:sz w:val="20"/>
                <w:szCs w:val="20"/>
                <w:color w:val="auto"/>
              </w:rPr>
            </w:pPr>
            <w:r>
              <w:rPr>
                <w:rFonts w:ascii="Arial" w:cs="Arial" w:eastAsia="Arial" w:hAnsi="Arial"/>
                <w:sz w:val="16"/>
                <w:szCs w:val="16"/>
                <w:color w:val="auto"/>
              </w:rPr>
              <w:t>Financial income</w:t>
            </w:r>
          </w:p>
        </w:tc>
        <w:tc>
          <w:tcPr>
            <w:tcW w:w="5680" w:type="dxa"/>
            <w:vAlign w:val="bottom"/>
            <w:gridSpan w:val="3"/>
            <w:shd w:val="clear" w:color="auto" w:fill="E5FFFF"/>
          </w:tcPr>
          <w:p>
            <w:pPr>
              <w:jc w:val="right"/>
              <w:ind w:right="460"/>
              <w:spacing w:after="0"/>
              <w:rPr>
                <w:sz w:val="20"/>
                <w:szCs w:val="20"/>
                <w:color w:val="auto"/>
              </w:rPr>
            </w:pPr>
            <w:r>
              <w:rPr>
                <w:rFonts w:ascii="Arial" w:cs="Arial" w:eastAsia="Arial" w:hAnsi="Arial"/>
                <w:sz w:val="16"/>
                <w:szCs w:val="16"/>
                <w:color w:val="auto"/>
              </w:rPr>
              <w:t>1,016</w:t>
            </w: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1,459</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0" w:type="dxa"/>
            <w:vAlign w:val="bottom"/>
          </w:tcPr>
          <w:p>
            <w:pPr>
              <w:spacing w:after="0"/>
              <w:rPr>
                <w:sz w:val="20"/>
                <w:szCs w:val="20"/>
                <w:color w:val="auto"/>
              </w:rPr>
            </w:pPr>
            <w:r>
              <w:rPr>
                <w:rFonts w:ascii="Arial" w:cs="Arial" w:eastAsia="Arial" w:hAnsi="Arial"/>
                <w:sz w:val="16"/>
                <w:szCs w:val="16"/>
                <w:color w:val="auto"/>
              </w:rPr>
              <w:t>Gain/(loss) on derivatives</w:t>
            </w:r>
          </w:p>
        </w:tc>
        <w:tc>
          <w:tcPr>
            <w:tcW w:w="5680" w:type="dxa"/>
            <w:vAlign w:val="bottom"/>
            <w:gridSpan w:val="3"/>
          </w:tcPr>
          <w:p>
            <w:pPr>
              <w:jc w:val="right"/>
              <w:ind w:right="460"/>
              <w:spacing w:after="0"/>
              <w:rPr>
                <w:sz w:val="20"/>
                <w:szCs w:val="20"/>
                <w:color w:val="auto"/>
              </w:rPr>
            </w:pPr>
            <w:r>
              <w:rPr>
                <w:rFonts w:ascii="Arial" w:cs="Arial" w:eastAsia="Arial" w:hAnsi="Arial"/>
                <w:sz w:val="16"/>
                <w:szCs w:val="16"/>
                <w:color w:val="auto"/>
              </w:rPr>
              <w:t>17,771</w:t>
            </w:r>
          </w:p>
        </w:tc>
        <w:tc>
          <w:tcPr>
            <w:tcW w:w="1380" w:type="dxa"/>
            <w:vAlign w:val="bottom"/>
          </w:tcPr>
          <w:p>
            <w:pPr>
              <w:jc w:val="right"/>
              <w:spacing w:after="0"/>
              <w:rPr>
                <w:sz w:val="20"/>
                <w:szCs w:val="20"/>
                <w:color w:val="auto"/>
              </w:rPr>
            </w:pPr>
            <w:r>
              <w:rPr>
                <w:rFonts w:ascii="Arial" w:cs="Arial" w:eastAsia="Arial" w:hAnsi="Arial"/>
                <w:sz w:val="16"/>
                <w:szCs w:val="16"/>
                <w:color w:val="auto"/>
              </w:rPr>
              <w:t>(20,244)</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0" w:type="dxa"/>
            <w:vAlign w:val="bottom"/>
            <w:shd w:val="clear" w:color="auto" w:fill="E5FFFF"/>
          </w:tcPr>
          <w:p>
            <w:pPr>
              <w:spacing w:after="0"/>
              <w:rPr>
                <w:sz w:val="20"/>
                <w:szCs w:val="20"/>
                <w:color w:val="auto"/>
              </w:rPr>
            </w:pPr>
            <w:r>
              <w:rPr>
                <w:rFonts w:ascii="Arial" w:cs="Arial" w:eastAsia="Arial" w:hAnsi="Arial"/>
                <w:sz w:val="16"/>
                <w:szCs w:val="16"/>
                <w:color w:val="auto"/>
              </w:rPr>
              <w:t>Share of profit of associates</w:t>
            </w:r>
          </w:p>
        </w:tc>
        <w:tc>
          <w:tcPr>
            <w:tcW w:w="5680" w:type="dxa"/>
            <w:vAlign w:val="bottom"/>
            <w:gridSpan w:val="3"/>
            <w:shd w:val="clear" w:color="auto" w:fill="E5FFFF"/>
          </w:tcPr>
          <w:p>
            <w:pPr>
              <w:jc w:val="right"/>
              <w:ind w:right="460"/>
              <w:spacing w:after="0"/>
              <w:rPr>
                <w:sz w:val="20"/>
                <w:szCs w:val="20"/>
                <w:color w:val="auto"/>
              </w:rPr>
            </w:pPr>
            <w:r>
              <w:rPr>
                <w:rFonts w:ascii="Arial" w:cs="Arial" w:eastAsia="Arial" w:hAnsi="Arial"/>
                <w:sz w:val="16"/>
                <w:szCs w:val="16"/>
                <w:color w:val="auto"/>
              </w:rPr>
              <w:t>356</w:t>
            </w: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245</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40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Total other expenses, net</w:t>
            </w:r>
          </w:p>
        </w:tc>
        <w:tc>
          <w:tcPr>
            <w:tcW w:w="3820" w:type="dxa"/>
            <w:vAlign w:val="bottom"/>
            <w:tcBorders>
              <w:bottom w:val="single" w:sz="8" w:color="E5FFFF"/>
            </w:tcBorders>
          </w:tcPr>
          <w:p>
            <w:pPr>
              <w:spacing w:after="0"/>
              <w:rPr>
                <w:sz w:val="17"/>
                <w:szCs w:val="17"/>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(17,454)</w:t>
            </w:r>
          </w:p>
        </w:tc>
        <w:tc>
          <w:tcPr>
            <w:tcW w:w="460" w:type="dxa"/>
            <w:vAlign w:val="bottom"/>
            <w:tcBorders>
              <w:bottom w:val="single" w:sz="8" w:color="E5FFFF"/>
            </w:tcBorders>
          </w:tcPr>
          <w:p>
            <w:pPr>
              <w:spacing w:after="0"/>
              <w:rPr>
                <w:sz w:val="17"/>
                <w:szCs w:val="17"/>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(64,047)</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40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Profit for the period</w:t>
            </w:r>
          </w:p>
        </w:tc>
        <w:tc>
          <w:tcPr>
            <w:tcW w:w="3820" w:type="dxa"/>
            <w:vAlign w:val="bottom"/>
            <w:tcBorders>
              <w:bottom w:val="single" w:sz="8" w:color="E5FFFF"/>
            </w:tcBorders>
            <w:shd w:val="clear" w:color="auto" w:fill="E5FFFF"/>
          </w:tcPr>
          <w:p>
            <w:pPr>
              <w:spacing w:after="0"/>
              <w:rPr>
                <w:sz w:val="17"/>
                <w:szCs w:val="17"/>
                <w:color w:val="auto"/>
              </w:rPr>
            </w:pPr>
          </w:p>
        </w:tc>
        <w:tc>
          <w:tcPr>
            <w:tcW w:w="14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42,541</w:t>
            </w:r>
          </w:p>
        </w:tc>
        <w:tc>
          <w:tcPr>
            <w:tcW w:w="460" w:type="dxa"/>
            <w:vAlign w:val="bottom"/>
            <w:tcBorders>
              <w:bottom w:val="single" w:sz="8" w:color="E5FFFF"/>
            </w:tcBorders>
            <w:shd w:val="clear" w:color="auto" w:fill="E5FFFF"/>
          </w:tcPr>
          <w:p>
            <w:pPr>
              <w:spacing w:after="0"/>
              <w:rPr>
                <w:sz w:val="17"/>
                <w:szCs w:val="17"/>
                <w:color w:val="auto"/>
              </w:rPr>
            </w:pPr>
          </w:p>
        </w:tc>
        <w:tc>
          <w:tcPr>
            <w:tcW w:w="13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5,899</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00" w:type="dxa"/>
            <w:vAlign w:val="bottom"/>
            <w:vMerge w:val="restart"/>
          </w:tcPr>
          <w:p>
            <w:pPr>
              <w:spacing w:after="0"/>
              <w:rPr>
                <w:sz w:val="20"/>
                <w:szCs w:val="20"/>
                <w:color w:val="auto"/>
              </w:rPr>
            </w:pPr>
            <w:r>
              <w:rPr>
                <w:rFonts w:ascii="Arial" w:cs="Arial" w:eastAsia="Arial" w:hAnsi="Arial"/>
                <w:sz w:val="16"/>
                <w:szCs w:val="16"/>
                <w:color w:val="auto"/>
              </w:rPr>
              <w:t>Attributable to:</w:t>
            </w:r>
          </w:p>
        </w:tc>
        <w:tc>
          <w:tcPr>
            <w:tcW w:w="38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400" w:type="dxa"/>
            <w:vAlign w:val="bottom"/>
            <w:vMerge w:val="continue"/>
          </w:tcPr>
          <w:p>
            <w:pPr>
              <w:spacing w:after="0"/>
              <w:rPr>
                <w:sz w:val="13"/>
                <w:szCs w:val="13"/>
                <w:color w:val="auto"/>
              </w:rPr>
            </w:pPr>
          </w:p>
        </w:tc>
        <w:tc>
          <w:tcPr>
            <w:tcW w:w="38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4400" w:type="dxa"/>
            <w:vAlign w:val="bottom"/>
            <w:shd w:val="clear" w:color="auto" w:fill="E5FFFF"/>
          </w:tcPr>
          <w:p>
            <w:pPr>
              <w:spacing w:after="0"/>
              <w:rPr>
                <w:sz w:val="20"/>
                <w:szCs w:val="20"/>
                <w:color w:val="auto"/>
              </w:rPr>
            </w:pPr>
            <w:r>
              <w:rPr>
                <w:rFonts w:ascii="Arial" w:cs="Arial" w:eastAsia="Arial" w:hAnsi="Arial"/>
                <w:sz w:val="16"/>
                <w:szCs w:val="16"/>
                <w:color w:val="auto"/>
              </w:rPr>
              <w:t>Owners of the Group</w:t>
            </w:r>
          </w:p>
        </w:tc>
        <w:tc>
          <w:tcPr>
            <w:tcW w:w="5680" w:type="dxa"/>
            <w:vAlign w:val="bottom"/>
            <w:gridSpan w:val="3"/>
            <w:shd w:val="clear" w:color="auto" w:fill="E5FFFF"/>
          </w:tcPr>
          <w:p>
            <w:pPr>
              <w:jc w:val="right"/>
              <w:ind w:right="460"/>
              <w:spacing w:after="0"/>
              <w:rPr>
                <w:sz w:val="20"/>
                <w:szCs w:val="20"/>
                <w:color w:val="auto"/>
              </w:rPr>
            </w:pPr>
            <w:r>
              <w:rPr>
                <w:rFonts w:ascii="Arial" w:cs="Arial" w:eastAsia="Arial" w:hAnsi="Arial"/>
                <w:sz w:val="16"/>
                <w:szCs w:val="16"/>
                <w:color w:val="auto"/>
              </w:rPr>
              <w:t>19,304</w:t>
            </w: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(10,947)</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0" w:type="dxa"/>
            <w:vAlign w:val="bottom"/>
          </w:tcPr>
          <w:p>
            <w:pPr>
              <w:spacing w:after="0"/>
              <w:rPr>
                <w:sz w:val="20"/>
                <w:szCs w:val="20"/>
                <w:color w:val="auto"/>
              </w:rPr>
            </w:pPr>
            <w:r>
              <w:rPr>
                <w:rFonts w:ascii="Arial" w:cs="Arial" w:eastAsia="Arial" w:hAnsi="Arial"/>
                <w:sz w:val="16"/>
                <w:szCs w:val="16"/>
                <w:color w:val="auto"/>
              </w:rPr>
              <w:t>Non-controlling interests</w:t>
            </w:r>
          </w:p>
        </w:tc>
        <w:tc>
          <w:tcPr>
            <w:tcW w:w="5680" w:type="dxa"/>
            <w:vAlign w:val="bottom"/>
            <w:gridSpan w:val="3"/>
          </w:tcPr>
          <w:p>
            <w:pPr>
              <w:jc w:val="right"/>
              <w:ind w:right="460"/>
              <w:spacing w:after="0"/>
              <w:rPr>
                <w:sz w:val="20"/>
                <w:szCs w:val="20"/>
                <w:color w:val="auto"/>
              </w:rPr>
            </w:pPr>
            <w:r>
              <w:rPr>
                <w:rFonts w:ascii="Arial" w:cs="Arial" w:eastAsia="Arial" w:hAnsi="Arial"/>
                <w:sz w:val="16"/>
                <w:szCs w:val="16"/>
                <w:color w:val="auto"/>
              </w:rPr>
              <w:t>23,237</w:t>
            </w:r>
          </w:p>
        </w:tc>
        <w:tc>
          <w:tcPr>
            <w:tcW w:w="1380" w:type="dxa"/>
            <w:vAlign w:val="bottom"/>
          </w:tcPr>
          <w:p>
            <w:pPr>
              <w:jc w:val="right"/>
              <w:spacing w:after="0"/>
              <w:rPr>
                <w:sz w:val="20"/>
                <w:szCs w:val="20"/>
                <w:color w:val="auto"/>
              </w:rPr>
            </w:pPr>
            <w:r>
              <w:rPr>
                <w:rFonts w:ascii="Arial" w:cs="Arial" w:eastAsia="Arial" w:hAnsi="Arial"/>
                <w:sz w:val="16"/>
                <w:szCs w:val="16"/>
                <w:color w:val="auto"/>
              </w:rPr>
              <w:t>16,846</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400" w:type="dxa"/>
            <w:vAlign w:val="bottom"/>
            <w:tcBorders>
              <w:top w:val="single" w:sz="8" w:color="E5FFFF"/>
              <w:bottom w:val="single" w:sz="8" w:color="E5FFFF"/>
            </w:tcBorders>
            <w:shd w:val="clear" w:color="auto" w:fill="E5FFFF"/>
          </w:tcPr>
          <w:p>
            <w:pPr>
              <w:spacing w:after="0"/>
              <w:rPr>
                <w:sz w:val="17"/>
                <w:szCs w:val="17"/>
                <w:color w:val="auto"/>
              </w:rPr>
            </w:pPr>
          </w:p>
        </w:tc>
        <w:tc>
          <w:tcPr>
            <w:tcW w:w="3820" w:type="dxa"/>
            <w:vAlign w:val="bottom"/>
            <w:tcBorders>
              <w:top w:val="single" w:sz="8" w:color="E5FFFF"/>
              <w:bottom w:val="single" w:sz="8" w:color="E5FFFF"/>
            </w:tcBorders>
            <w:shd w:val="clear" w:color="auto" w:fill="E5FFFF"/>
          </w:tcPr>
          <w:p>
            <w:pPr>
              <w:spacing w:after="0"/>
              <w:rPr>
                <w:sz w:val="17"/>
                <w:szCs w:val="17"/>
                <w:color w:val="auto"/>
              </w:rPr>
            </w:pPr>
          </w:p>
        </w:tc>
        <w:tc>
          <w:tcPr>
            <w:tcW w:w="14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42,541</w:t>
            </w:r>
          </w:p>
        </w:tc>
        <w:tc>
          <w:tcPr>
            <w:tcW w:w="460" w:type="dxa"/>
            <w:vAlign w:val="bottom"/>
            <w:tcBorders>
              <w:top w:val="single" w:sz="8" w:color="E5FFFF"/>
              <w:bottom w:val="single" w:sz="8" w:color="E5FFFF"/>
            </w:tcBorders>
            <w:shd w:val="clear" w:color="auto" w:fill="E5FFFF"/>
          </w:tcPr>
          <w:p>
            <w:pPr>
              <w:spacing w:after="0"/>
              <w:rPr>
                <w:sz w:val="17"/>
                <w:szCs w:val="17"/>
                <w:color w:val="auto"/>
              </w:rPr>
            </w:pPr>
          </w:p>
        </w:tc>
        <w:tc>
          <w:tcPr>
            <w:tcW w:w="13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5,899</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4400" w:type="dxa"/>
            <w:vAlign w:val="bottom"/>
          </w:tcPr>
          <w:p>
            <w:pPr>
              <w:spacing w:after="0"/>
              <w:rPr>
                <w:sz w:val="20"/>
                <w:szCs w:val="20"/>
                <w:color w:val="auto"/>
              </w:rPr>
            </w:pPr>
            <w:r>
              <w:rPr>
                <w:rFonts w:ascii="Arial" w:cs="Arial" w:eastAsia="Arial" w:hAnsi="Arial"/>
                <w:sz w:val="16"/>
                <w:szCs w:val="16"/>
                <w:b w:val="1"/>
                <w:bCs w:val="1"/>
                <w:color w:val="auto"/>
              </w:rPr>
              <w:t>Earnings/(loss) per share – basic and diluted</w:t>
            </w:r>
          </w:p>
        </w:tc>
        <w:tc>
          <w:tcPr>
            <w:tcW w:w="5680" w:type="dxa"/>
            <w:vAlign w:val="bottom"/>
            <w:gridSpan w:val="3"/>
          </w:tcPr>
          <w:p>
            <w:pPr>
              <w:jc w:val="right"/>
              <w:ind w:right="460"/>
              <w:spacing w:after="0"/>
              <w:rPr>
                <w:sz w:val="20"/>
                <w:szCs w:val="20"/>
                <w:color w:val="auto"/>
              </w:rPr>
            </w:pPr>
            <w:r>
              <w:rPr>
                <w:rFonts w:ascii="Arial" w:cs="Arial" w:eastAsia="Arial" w:hAnsi="Arial"/>
                <w:sz w:val="16"/>
                <w:szCs w:val="16"/>
                <w:b w:val="1"/>
                <w:bCs w:val="1"/>
                <w:color w:val="auto"/>
              </w:rPr>
              <w:t>0.21</w:t>
            </w:r>
          </w:p>
        </w:tc>
        <w:tc>
          <w:tcPr>
            <w:tcW w:w="152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(0.17)</w:t>
            </w:r>
          </w:p>
        </w:tc>
        <w:tc>
          <w:tcPr>
            <w:tcW w:w="0" w:type="dxa"/>
            <w:vAlign w:val="bottom"/>
          </w:tcPr>
          <w:p>
            <w:pPr>
              <w:spacing w:after="0"/>
              <w:rPr>
                <w:sz w:val="1"/>
                <w:szCs w:val="1"/>
                <w:color w:val="auto"/>
              </w:rPr>
            </w:pPr>
          </w:p>
        </w:tc>
      </w:tr>
      <w:tr>
        <w:trPr>
          <w:trHeight w:val="385"/>
        </w:trPr>
        <w:tc>
          <w:tcPr>
            <w:tcW w:w="4400" w:type="dxa"/>
            <w:vAlign w:val="bottom"/>
          </w:tcPr>
          <w:p>
            <w:pPr>
              <w:spacing w:after="0"/>
              <w:rPr>
                <w:sz w:val="24"/>
                <w:szCs w:val="24"/>
                <w:color w:val="auto"/>
              </w:rPr>
            </w:pPr>
          </w:p>
        </w:tc>
        <w:tc>
          <w:tcPr>
            <w:tcW w:w="3820" w:type="dxa"/>
            <w:vAlign w:val="bottom"/>
          </w:tcPr>
          <w:p>
            <w:pPr>
              <w:jc w:val="right"/>
              <w:ind w:right="2280"/>
              <w:spacing w:after="0"/>
              <w:rPr>
                <w:sz w:val="20"/>
                <w:szCs w:val="20"/>
                <w:color w:val="auto"/>
              </w:rPr>
            </w:pPr>
            <w:r>
              <w:rPr>
                <w:rFonts w:ascii="Arial" w:cs="Arial" w:eastAsia="Arial" w:hAnsi="Arial"/>
                <w:sz w:val="14"/>
                <w:szCs w:val="14"/>
                <w:color w:val="auto"/>
              </w:rPr>
              <w:t>12</w:t>
            </w:r>
          </w:p>
        </w:tc>
        <w:tc>
          <w:tcPr>
            <w:tcW w:w="1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4400" w:type="dxa"/>
            <w:vAlign w:val="bottom"/>
            <w:tcBorders>
              <w:bottom w:val="single" w:sz="8" w:color="808080"/>
            </w:tcBorders>
          </w:tcPr>
          <w:p>
            <w:pPr>
              <w:spacing w:after="0"/>
              <w:rPr>
                <w:sz w:val="10"/>
                <w:szCs w:val="10"/>
                <w:color w:val="auto"/>
              </w:rPr>
            </w:pPr>
          </w:p>
        </w:tc>
        <w:tc>
          <w:tcPr>
            <w:tcW w:w="3820" w:type="dxa"/>
            <w:vAlign w:val="bottom"/>
            <w:tcBorders>
              <w:bottom w:val="single" w:sz="8" w:color="808080"/>
            </w:tcBorders>
          </w:tcPr>
          <w:p>
            <w:pPr>
              <w:spacing w:after="0"/>
              <w:rPr>
                <w:sz w:val="10"/>
                <w:szCs w:val="10"/>
                <w:color w:val="auto"/>
              </w:rPr>
            </w:pPr>
          </w:p>
        </w:tc>
        <w:tc>
          <w:tcPr>
            <w:tcW w:w="140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-455930</wp:posOffset>
            </wp:positionV>
            <wp:extent cx="7269480"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9480" cy="128905"/>
                    </a:xfrm>
                    <a:prstGeom prst="rect">
                      <a:avLst/>
                    </a:prstGeom>
                    <a:noFill/>
                  </pic:spPr>
                </pic:pic>
              </a:graphicData>
            </a:graphic>
          </wp:anchor>
        </w:drawing>
        <w:drawing>
          <wp:anchor simplePos="0" relativeHeight="251657728" behindDoc="1" locked="0" layoutInCell="0" allowOverlap="1">
            <wp:simplePos x="0" y="0"/>
            <wp:positionH relativeFrom="column">
              <wp:posOffset>7349490</wp:posOffset>
            </wp:positionH>
            <wp:positionV relativeFrom="paragraph">
              <wp:posOffset>-29210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600"/>
          </w:cols>
          <w:pgMar w:left="160" w:top="262" w:right="139" w:bottom="1440" w:gutter="0" w:footer="0" w:header="0"/>
        </w:sectPr>
      </w:pPr>
    </w:p>
    <w:bookmarkStart w:id="12" w:name="page13"/>
    <w:bookmarkEnd w:id="12"/>
    <w:p>
      <w:pPr>
        <w:spacing w:after="0"/>
        <w:rPr>
          <w:sz w:val="20"/>
          <w:szCs w:val="20"/>
          <w:color w:val="auto"/>
        </w:rPr>
      </w:pPr>
      <w:r>
        <w:rPr>
          <w:rFonts w:ascii="Arial" w:cs="Arial" w:eastAsia="Arial" w:hAnsi="Arial"/>
          <w:sz w:val="16"/>
          <w:szCs w:val="16"/>
          <w:b w:val="1"/>
          <w:bCs w:val="1"/>
          <w:color w:val="auto"/>
        </w:rPr>
        <w:t>Unaudited condensed consolidated statements of cash flows</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 the three months ended March 31, 2018 and 2019</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(Amounts expressed in thousands of U.S. Dollars)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8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300" w:type="dxa"/>
            <w:vAlign w:val="bottom"/>
            <w:gridSpan w:val="5"/>
          </w:tcPr>
          <w:p>
            <w:pPr>
              <w:ind w:left="500"/>
              <w:spacing w:after="0"/>
              <w:rPr>
                <w:sz w:val="20"/>
                <w:szCs w:val="20"/>
                <w:color w:val="auto"/>
              </w:rPr>
            </w:pPr>
            <w:r>
              <w:rPr>
                <w:rFonts w:ascii="Arial" w:cs="Arial" w:eastAsia="Arial" w:hAnsi="Arial"/>
                <w:sz w:val="16"/>
                <w:szCs w:val="16"/>
                <w:b w:val="1"/>
                <w:bCs w:val="1"/>
                <w:color w:val="auto"/>
              </w:rPr>
              <w:t>For the three months ended</w:t>
            </w:r>
          </w:p>
        </w:tc>
        <w:tc>
          <w:tcPr>
            <w:tcW w:w="0" w:type="dxa"/>
            <w:vAlign w:val="bottom"/>
          </w:tcPr>
          <w:p>
            <w:pPr>
              <w:spacing w:after="0"/>
              <w:rPr>
                <w:sz w:val="1"/>
                <w:szCs w:val="1"/>
                <w:color w:val="auto"/>
              </w:rPr>
            </w:pPr>
          </w:p>
        </w:tc>
      </w:tr>
      <w:tr>
        <w:trPr>
          <w:trHeight w:val="213"/>
        </w:trPr>
        <w:tc>
          <w:tcPr>
            <w:tcW w:w="7880" w:type="dxa"/>
            <w:vAlign w:val="bottom"/>
          </w:tcPr>
          <w:p>
            <w:pPr>
              <w:spacing w:after="0"/>
              <w:rPr>
                <w:sz w:val="18"/>
                <w:szCs w:val="18"/>
                <w:color w:val="auto"/>
              </w:rPr>
            </w:pPr>
          </w:p>
        </w:tc>
        <w:tc>
          <w:tcPr>
            <w:tcW w:w="2000" w:type="dxa"/>
            <w:vAlign w:val="bottom"/>
            <w:gridSpan w:val="3"/>
          </w:tcPr>
          <w:p>
            <w:pPr>
              <w:jc w:val="right"/>
              <w:ind w:right="560"/>
              <w:spacing w:after="0"/>
              <w:rPr>
                <w:sz w:val="20"/>
                <w:szCs w:val="20"/>
                <w:color w:val="auto"/>
              </w:rPr>
            </w:pPr>
            <w:r>
              <w:rPr>
                <w:rFonts w:ascii="Arial" w:cs="Arial" w:eastAsia="Arial" w:hAnsi="Arial"/>
                <w:sz w:val="16"/>
                <w:szCs w:val="16"/>
                <w:b w:val="1"/>
                <w:bCs w:val="1"/>
                <w:color w:val="auto"/>
              </w:rPr>
              <w:t>March 31, 2018</w:t>
            </w:r>
          </w:p>
        </w:tc>
        <w:tc>
          <w:tcPr>
            <w:tcW w:w="1720" w:type="dxa"/>
            <w:vAlign w:val="bottom"/>
            <w:gridSpan w:val="3"/>
          </w:tcPr>
          <w:p>
            <w:pPr>
              <w:ind w:left="200"/>
              <w:spacing w:after="0"/>
              <w:rPr>
                <w:sz w:val="20"/>
                <w:szCs w:val="20"/>
                <w:color w:val="auto"/>
              </w:rPr>
            </w:pPr>
            <w:r>
              <w:rPr>
                <w:rFonts w:ascii="Arial" w:cs="Arial" w:eastAsia="Arial" w:hAnsi="Arial"/>
                <w:sz w:val="16"/>
                <w:szCs w:val="16"/>
                <w:b w:val="1"/>
                <w:bCs w:val="1"/>
                <w:color w:val="auto"/>
              </w:rPr>
              <w:t>March 31, 2019</w:t>
            </w:r>
          </w:p>
        </w:tc>
        <w:tc>
          <w:tcPr>
            <w:tcW w:w="0" w:type="dxa"/>
            <w:vAlign w:val="bottom"/>
          </w:tcPr>
          <w:p>
            <w:pPr>
              <w:spacing w:after="0"/>
              <w:rPr>
                <w:sz w:val="1"/>
                <w:szCs w:val="1"/>
                <w:color w:val="auto"/>
              </w:rPr>
            </w:pPr>
          </w:p>
        </w:tc>
      </w:tr>
      <w:tr>
        <w:trPr>
          <w:trHeight w:val="205"/>
        </w:trPr>
        <w:tc>
          <w:tcPr>
            <w:tcW w:w="788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420" w:type="dxa"/>
            <w:vAlign w:val="bottom"/>
            <w:shd w:val="clear" w:color="auto" w:fill="E5FFFF"/>
          </w:tcPr>
          <w:p>
            <w:pPr>
              <w:spacing w:after="0"/>
              <w:rPr>
                <w:sz w:val="17"/>
                <w:szCs w:val="17"/>
                <w:color w:val="auto"/>
              </w:rPr>
            </w:pPr>
          </w:p>
        </w:tc>
        <w:tc>
          <w:tcPr>
            <w:tcW w:w="132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1320" w:type="dxa"/>
            <w:vAlign w:val="bottom"/>
            <w:shd w:val="clear" w:color="auto" w:fill="E5FFFF"/>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80" w:type="dxa"/>
            <w:vAlign w:val="bottom"/>
          </w:tcPr>
          <w:p>
            <w:pPr>
              <w:spacing w:after="0"/>
              <w:rPr>
                <w:sz w:val="20"/>
                <w:szCs w:val="20"/>
                <w:color w:val="auto"/>
              </w:rPr>
            </w:pPr>
            <w:r>
              <w:rPr>
                <w:rFonts w:ascii="Arial" w:cs="Arial" w:eastAsia="Arial" w:hAnsi="Arial"/>
                <w:sz w:val="16"/>
                <w:szCs w:val="16"/>
                <w:color w:val="auto"/>
              </w:rPr>
              <w:t>Profit for the period</w:t>
            </w:r>
          </w:p>
        </w:tc>
        <w:tc>
          <w:tcPr>
            <w:tcW w:w="2000" w:type="dxa"/>
            <w:vAlign w:val="bottom"/>
            <w:gridSpan w:val="3"/>
          </w:tcPr>
          <w:p>
            <w:pPr>
              <w:jc w:val="right"/>
              <w:ind w:right="260"/>
              <w:spacing w:after="0"/>
              <w:rPr>
                <w:sz w:val="20"/>
                <w:szCs w:val="20"/>
                <w:color w:val="auto"/>
              </w:rPr>
            </w:pPr>
            <w:r>
              <w:rPr>
                <w:rFonts w:ascii="Arial" w:cs="Arial" w:eastAsia="Arial" w:hAnsi="Arial"/>
                <w:sz w:val="16"/>
                <w:szCs w:val="16"/>
                <w:color w:val="auto"/>
              </w:rPr>
              <w:t>42,541</w:t>
            </w:r>
          </w:p>
        </w:tc>
        <w:tc>
          <w:tcPr>
            <w:tcW w:w="1580" w:type="dxa"/>
            <w:vAlign w:val="bottom"/>
            <w:gridSpan w:val="2"/>
          </w:tcPr>
          <w:p>
            <w:pPr>
              <w:jc w:val="right"/>
              <w:spacing w:after="0"/>
              <w:rPr>
                <w:sz w:val="20"/>
                <w:szCs w:val="20"/>
                <w:color w:val="auto"/>
              </w:rPr>
            </w:pPr>
            <w:r>
              <w:rPr>
                <w:rFonts w:ascii="Arial" w:cs="Arial" w:eastAsia="Arial" w:hAnsi="Arial"/>
                <w:sz w:val="16"/>
                <w:szCs w:val="16"/>
                <w:color w:val="auto"/>
              </w:rPr>
              <w:t>5,899</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80" w:type="dxa"/>
            <w:vAlign w:val="bottom"/>
            <w:shd w:val="clear" w:color="auto" w:fill="E5FFFF"/>
          </w:tcPr>
          <w:p>
            <w:pPr>
              <w:spacing w:after="0"/>
              <w:rPr>
                <w:sz w:val="20"/>
                <w:szCs w:val="20"/>
                <w:color w:val="auto"/>
              </w:rPr>
            </w:pPr>
            <w:r>
              <w:rPr>
                <w:rFonts w:ascii="Arial" w:cs="Arial" w:eastAsia="Arial" w:hAnsi="Arial"/>
                <w:sz w:val="16"/>
                <w:szCs w:val="16"/>
                <w:color w:val="auto"/>
              </w:rPr>
              <w:t>Adjustments for:</w:t>
            </w:r>
          </w:p>
        </w:tc>
        <w:tc>
          <w:tcPr>
            <w:tcW w:w="420" w:type="dxa"/>
            <w:vAlign w:val="bottom"/>
            <w:shd w:val="clear" w:color="auto" w:fill="E5FFFF"/>
          </w:tcPr>
          <w:p>
            <w:pPr>
              <w:spacing w:after="0"/>
              <w:rPr>
                <w:sz w:val="17"/>
                <w:szCs w:val="17"/>
                <w:color w:val="auto"/>
              </w:rPr>
            </w:pPr>
          </w:p>
        </w:tc>
        <w:tc>
          <w:tcPr>
            <w:tcW w:w="132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1320" w:type="dxa"/>
            <w:vAlign w:val="bottom"/>
            <w:shd w:val="clear" w:color="auto" w:fill="E5FFFF"/>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80" w:type="dxa"/>
            <w:vAlign w:val="bottom"/>
          </w:tcPr>
          <w:p>
            <w:pPr>
              <w:spacing w:after="0"/>
              <w:rPr>
                <w:sz w:val="20"/>
                <w:szCs w:val="20"/>
                <w:color w:val="auto"/>
              </w:rPr>
            </w:pPr>
            <w:r>
              <w:rPr>
                <w:rFonts w:ascii="Arial" w:cs="Arial" w:eastAsia="Arial" w:hAnsi="Arial"/>
                <w:sz w:val="16"/>
                <w:szCs w:val="16"/>
                <w:color w:val="auto"/>
              </w:rPr>
              <w:t>Depreciation</w:t>
            </w:r>
          </w:p>
        </w:tc>
        <w:tc>
          <w:tcPr>
            <w:tcW w:w="2000" w:type="dxa"/>
            <w:vAlign w:val="bottom"/>
            <w:gridSpan w:val="3"/>
          </w:tcPr>
          <w:p>
            <w:pPr>
              <w:jc w:val="right"/>
              <w:ind w:right="260"/>
              <w:spacing w:after="0"/>
              <w:rPr>
                <w:sz w:val="20"/>
                <w:szCs w:val="20"/>
                <w:color w:val="auto"/>
              </w:rPr>
            </w:pPr>
            <w:r>
              <w:rPr>
                <w:rFonts w:ascii="Arial" w:cs="Arial" w:eastAsia="Arial" w:hAnsi="Arial"/>
                <w:sz w:val="16"/>
                <w:szCs w:val="16"/>
                <w:color w:val="auto"/>
              </w:rPr>
              <w:t>35,529</w:t>
            </w:r>
          </w:p>
        </w:tc>
        <w:tc>
          <w:tcPr>
            <w:tcW w:w="1580" w:type="dxa"/>
            <w:vAlign w:val="bottom"/>
            <w:gridSpan w:val="2"/>
          </w:tcPr>
          <w:p>
            <w:pPr>
              <w:jc w:val="right"/>
              <w:spacing w:after="0"/>
              <w:rPr>
                <w:sz w:val="20"/>
                <w:szCs w:val="20"/>
                <w:color w:val="auto"/>
              </w:rPr>
            </w:pPr>
            <w:r>
              <w:rPr>
                <w:rFonts w:ascii="Arial" w:cs="Arial" w:eastAsia="Arial" w:hAnsi="Arial"/>
                <w:sz w:val="16"/>
                <w:szCs w:val="16"/>
                <w:color w:val="auto"/>
              </w:rPr>
              <w:t>39,599</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80" w:type="dxa"/>
            <w:vAlign w:val="bottom"/>
            <w:shd w:val="clear" w:color="auto" w:fill="E5FFFF"/>
          </w:tcPr>
          <w:p>
            <w:pPr>
              <w:spacing w:after="0"/>
              <w:rPr>
                <w:sz w:val="20"/>
                <w:szCs w:val="20"/>
                <w:color w:val="auto"/>
              </w:rPr>
            </w:pPr>
            <w:r>
              <w:rPr>
                <w:rFonts w:ascii="Arial" w:cs="Arial" w:eastAsia="Arial" w:hAnsi="Arial"/>
                <w:sz w:val="16"/>
                <w:szCs w:val="16"/>
                <w:color w:val="auto"/>
              </w:rPr>
              <w:t>Share of profit of associates</w:t>
            </w:r>
          </w:p>
        </w:tc>
        <w:tc>
          <w:tcPr>
            <w:tcW w:w="2000" w:type="dxa"/>
            <w:vAlign w:val="bottom"/>
            <w:gridSpan w:val="3"/>
            <w:shd w:val="clear" w:color="auto" w:fill="E5FFFF"/>
          </w:tcPr>
          <w:p>
            <w:pPr>
              <w:jc w:val="right"/>
              <w:ind w:right="200"/>
              <w:spacing w:after="0"/>
              <w:rPr>
                <w:sz w:val="20"/>
                <w:szCs w:val="20"/>
                <w:color w:val="auto"/>
              </w:rPr>
            </w:pPr>
            <w:r>
              <w:rPr>
                <w:rFonts w:ascii="Arial" w:cs="Arial" w:eastAsia="Arial" w:hAnsi="Arial"/>
                <w:sz w:val="16"/>
                <w:szCs w:val="16"/>
                <w:color w:val="auto"/>
              </w:rPr>
              <w:t>(356)</w:t>
            </w:r>
          </w:p>
        </w:tc>
        <w:tc>
          <w:tcPr>
            <w:tcW w:w="158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(245)</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80" w:type="dxa"/>
            <w:vAlign w:val="bottom"/>
          </w:tcPr>
          <w:p>
            <w:pPr>
              <w:spacing w:after="0"/>
              <w:rPr>
                <w:sz w:val="20"/>
                <w:szCs w:val="20"/>
                <w:color w:val="auto"/>
              </w:rPr>
            </w:pPr>
            <w:r>
              <w:rPr>
                <w:rFonts w:ascii="Arial" w:cs="Arial" w:eastAsia="Arial" w:hAnsi="Arial"/>
                <w:sz w:val="16"/>
                <w:szCs w:val="16"/>
                <w:color w:val="auto"/>
              </w:rPr>
              <w:t>Financial income</w:t>
            </w:r>
          </w:p>
        </w:tc>
        <w:tc>
          <w:tcPr>
            <w:tcW w:w="2000" w:type="dxa"/>
            <w:vAlign w:val="bottom"/>
            <w:gridSpan w:val="3"/>
          </w:tcPr>
          <w:p>
            <w:pPr>
              <w:jc w:val="right"/>
              <w:ind w:right="200"/>
              <w:spacing w:after="0"/>
              <w:rPr>
                <w:sz w:val="20"/>
                <w:szCs w:val="20"/>
                <w:color w:val="auto"/>
              </w:rPr>
            </w:pPr>
            <w:r>
              <w:rPr>
                <w:rFonts w:ascii="Arial" w:cs="Arial" w:eastAsia="Arial" w:hAnsi="Arial"/>
                <w:sz w:val="16"/>
                <w:szCs w:val="16"/>
                <w:color w:val="auto"/>
              </w:rPr>
              <w:t>(1,016)</w:t>
            </w:r>
          </w:p>
        </w:tc>
        <w:tc>
          <w:tcPr>
            <w:tcW w:w="1580" w:type="dxa"/>
            <w:vAlign w:val="bottom"/>
            <w:gridSpan w:val="2"/>
          </w:tcPr>
          <w:p>
            <w:pPr>
              <w:jc w:val="right"/>
              <w:spacing w:after="0"/>
              <w:rPr>
                <w:sz w:val="20"/>
                <w:szCs w:val="20"/>
                <w:color w:val="auto"/>
              </w:rPr>
            </w:pPr>
            <w:r>
              <w:rPr>
                <w:rFonts w:ascii="Arial" w:cs="Arial" w:eastAsia="Arial" w:hAnsi="Arial"/>
                <w:sz w:val="16"/>
                <w:szCs w:val="16"/>
                <w:color w:val="auto"/>
              </w:rPr>
              <w:t>(1,459)</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80" w:type="dxa"/>
            <w:vAlign w:val="bottom"/>
            <w:shd w:val="clear" w:color="auto" w:fill="E5FFFF"/>
          </w:tcPr>
          <w:p>
            <w:pPr>
              <w:spacing w:after="0"/>
              <w:rPr>
                <w:sz w:val="20"/>
                <w:szCs w:val="20"/>
                <w:color w:val="auto"/>
              </w:rPr>
            </w:pPr>
            <w:r>
              <w:rPr>
                <w:rFonts w:ascii="Arial" w:cs="Arial" w:eastAsia="Arial" w:hAnsi="Arial"/>
                <w:sz w:val="16"/>
                <w:szCs w:val="16"/>
                <w:color w:val="auto"/>
              </w:rPr>
              <w:t>Financial costs</w:t>
            </w:r>
          </w:p>
        </w:tc>
        <w:tc>
          <w:tcPr>
            <w:tcW w:w="2000" w:type="dxa"/>
            <w:vAlign w:val="bottom"/>
            <w:gridSpan w:val="3"/>
            <w:shd w:val="clear" w:color="auto" w:fill="E5FFFF"/>
          </w:tcPr>
          <w:p>
            <w:pPr>
              <w:jc w:val="right"/>
              <w:ind w:right="260"/>
              <w:spacing w:after="0"/>
              <w:rPr>
                <w:sz w:val="20"/>
                <w:szCs w:val="20"/>
                <w:color w:val="auto"/>
              </w:rPr>
            </w:pPr>
            <w:r>
              <w:rPr>
                <w:rFonts w:ascii="Arial" w:cs="Arial" w:eastAsia="Arial" w:hAnsi="Arial"/>
                <w:sz w:val="16"/>
                <w:szCs w:val="16"/>
                <w:color w:val="auto"/>
              </w:rPr>
              <w:t>36,597</w:t>
            </w:r>
          </w:p>
        </w:tc>
        <w:tc>
          <w:tcPr>
            <w:tcW w:w="158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45,507</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80" w:type="dxa"/>
            <w:vAlign w:val="bottom"/>
          </w:tcPr>
          <w:p>
            <w:pPr>
              <w:spacing w:after="0"/>
              <w:rPr>
                <w:sz w:val="20"/>
                <w:szCs w:val="20"/>
                <w:color w:val="auto"/>
              </w:rPr>
            </w:pPr>
            <w:r>
              <w:rPr>
                <w:rFonts w:ascii="Arial" w:cs="Arial" w:eastAsia="Arial" w:hAnsi="Arial"/>
                <w:sz w:val="16"/>
                <w:szCs w:val="16"/>
                <w:color w:val="auto"/>
              </w:rPr>
              <w:t>Unrealized foreign exchange (gains)/losses on cash and cash equivalents</w:t>
            </w:r>
          </w:p>
        </w:tc>
        <w:tc>
          <w:tcPr>
            <w:tcW w:w="2000" w:type="dxa"/>
            <w:vAlign w:val="bottom"/>
            <w:gridSpan w:val="3"/>
          </w:tcPr>
          <w:p>
            <w:pPr>
              <w:jc w:val="right"/>
              <w:ind w:right="200"/>
              <w:spacing w:after="0"/>
              <w:rPr>
                <w:sz w:val="20"/>
                <w:szCs w:val="20"/>
                <w:color w:val="auto"/>
              </w:rPr>
            </w:pPr>
            <w:r>
              <w:rPr>
                <w:rFonts w:ascii="Arial" w:cs="Arial" w:eastAsia="Arial" w:hAnsi="Arial"/>
                <w:sz w:val="16"/>
                <w:szCs w:val="16"/>
                <w:color w:val="auto"/>
              </w:rPr>
              <w:t>(459)</w:t>
            </w:r>
          </w:p>
        </w:tc>
        <w:tc>
          <w:tcPr>
            <w:tcW w:w="1580" w:type="dxa"/>
            <w:vAlign w:val="bottom"/>
            <w:gridSpan w:val="2"/>
          </w:tcPr>
          <w:p>
            <w:pPr>
              <w:jc w:val="right"/>
              <w:spacing w:after="0"/>
              <w:rPr>
                <w:sz w:val="20"/>
                <w:szCs w:val="20"/>
                <w:color w:val="auto"/>
              </w:rPr>
            </w:pPr>
            <w:r>
              <w:rPr>
                <w:rFonts w:ascii="Arial" w:cs="Arial" w:eastAsia="Arial" w:hAnsi="Arial"/>
                <w:sz w:val="16"/>
                <w:szCs w:val="16"/>
                <w:color w:val="auto"/>
              </w:rPr>
              <w:t>131</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7880" w:type="dxa"/>
            <w:vAlign w:val="bottom"/>
            <w:shd w:val="clear" w:color="auto" w:fill="E5FFFF"/>
          </w:tcPr>
          <w:p>
            <w:pPr>
              <w:spacing w:after="0"/>
              <w:rPr>
                <w:sz w:val="20"/>
                <w:szCs w:val="20"/>
                <w:color w:val="auto"/>
              </w:rPr>
            </w:pPr>
            <w:r>
              <w:rPr>
                <w:rFonts w:ascii="Arial" w:cs="Arial" w:eastAsia="Arial" w:hAnsi="Arial"/>
                <w:sz w:val="16"/>
                <w:szCs w:val="16"/>
                <w:color w:val="auto"/>
                <w:w w:val="98"/>
              </w:rPr>
              <w:t>Unrealized (gain)/loss on derivative financial instruments held for trading including ineffective portion of cash flow</w:t>
            </w:r>
          </w:p>
        </w:tc>
        <w:tc>
          <w:tcPr>
            <w:tcW w:w="420" w:type="dxa"/>
            <w:vAlign w:val="bottom"/>
            <w:shd w:val="clear" w:color="auto" w:fill="E5FFFF"/>
          </w:tcPr>
          <w:p>
            <w:pPr>
              <w:spacing w:after="0"/>
              <w:rPr>
                <w:sz w:val="16"/>
                <w:szCs w:val="16"/>
                <w:color w:val="auto"/>
              </w:rPr>
            </w:pPr>
          </w:p>
        </w:tc>
        <w:tc>
          <w:tcPr>
            <w:tcW w:w="1320" w:type="dxa"/>
            <w:vAlign w:val="bottom"/>
            <w:shd w:val="clear" w:color="auto" w:fill="E5FFFF"/>
          </w:tcPr>
          <w:p>
            <w:pPr>
              <w:spacing w:after="0"/>
              <w:rPr>
                <w:sz w:val="16"/>
                <w:szCs w:val="16"/>
                <w:color w:val="auto"/>
              </w:rPr>
            </w:pPr>
          </w:p>
        </w:tc>
        <w:tc>
          <w:tcPr>
            <w:tcW w:w="260" w:type="dxa"/>
            <w:vAlign w:val="bottom"/>
            <w:shd w:val="clear" w:color="auto" w:fill="E5FFFF"/>
          </w:tcPr>
          <w:p>
            <w:pPr>
              <w:spacing w:after="0"/>
              <w:rPr>
                <w:sz w:val="16"/>
                <w:szCs w:val="16"/>
                <w:color w:val="auto"/>
              </w:rPr>
            </w:pPr>
          </w:p>
        </w:tc>
        <w:tc>
          <w:tcPr>
            <w:tcW w:w="260" w:type="dxa"/>
            <w:vAlign w:val="bottom"/>
            <w:shd w:val="clear" w:color="auto" w:fill="E5FFFF"/>
          </w:tcPr>
          <w:p>
            <w:pPr>
              <w:spacing w:after="0"/>
              <w:rPr>
                <w:sz w:val="16"/>
                <w:szCs w:val="16"/>
                <w:color w:val="auto"/>
              </w:rPr>
            </w:pPr>
          </w:p>
        </w:tc>
        <w:tc>
          <w:tcPr>
            <w:tcW w:w="1320" w:type="dxa"/>
            <w:vAlign w:val="bottom"/>
            <w:shd w:val="clear" w:color="auto" w:fill="E5FFFF"/>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7880" w:type="dxa"/>
            <w:vAlign w:val="bottom"/>
            <w:shd w:val="clear" w:color="auto" w:fill="E5FFFF"/>
          </w:tcPr>
          <w:p>
            <w:pPr>
              <w:ind w:left="180"/>
              <w:spacing w:after="0"/>
              <w:rPr>
                <w:sz w:val="20"/>
                <w:szCs w:val="20"/>
                <w:color w:val="auto"/>
              </w:rPr>
            </w:pPr>
            <w:r>
              <w:rPr>
                <w:rFonts w:ascii="Arial" w:cs="Arial" w:eastAsia="Arial" w:hAnsi="Arial"/>
                <w:sz w:val="16"/>
                <w:szCs w:val="16"/>
                <w:color w:val="auto"/>
              </w:rPr>
              <w:t>hedges</w:t>
            </w:r>
          </w:p>
        </w:tc>
        <w:tc>
          <w:tcPr>
            <w:tcW w:w="2000" w:type="dxa"/>
            <w:vAlign w:val="bottom"/>
            <w:gridSpan w:val="3"/>
            <w:shd w:val="clear" w:color="auto" w:fill="E5FFFF"/>
          </w:tcPr>
          <w:p>
            <w:pPr>
              <w:jc w:val="right"/>
              <w:ind w:right="200"/>
              <w:spacing w:after="0"/>
              <w:rPr>
                <w:sz w:val="20"/>
                <w:szCs w:val="20"/>
                <w:color w:val="auto"/>
              </w:rPr>
            </w:pPr>
            <w:r>
              <w:rPr>
                <w:rFonts w:ascii="Arial" w:cs="Arial" w:eastAsia="Arial" w:hAnsi="Arial"/>
                <w:sz w:val="16"/>
                <w:szCs w:val="16"/>
                <w:color w:val="auto"/>
              </w:rPr>
              <w:t>(16,898)</w:t>
            </w:r>
          </w:p>
        </w:tc>
        <w:tc>
          <w:tcPr>
            <w:tcW w:w="158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21,103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880" w:type="dxa"/>
            <w:vAlign w:val="bottom"/>
          </w:tcPr>
          <w:p>
            <w:pPr>
              <w:spacing w:after="0"/>
              <w:rPr>
                <w:sz w:val="20"/>
                <w:szCs w:val="20"/>
                <w:color w:val="auto"/>
              </w:rPr>
            </w:pPr>
            <w:r>
              <w:rPr>
                <w:rFonts w:ascii="Arial" w:cs="Arial" w:eastAsia="Arial" w:hAnsi="Arial"/>
                <w:sz w:val="16"/>
                <w:szCs w:val="16"/>
                <w:color w:val="auto"/>
              </w:rPr>
              <w:t>Share-based compensation</w:t>
            </w:r>
          </w:p>
        </w:tc>
        <w:tc>
          <w:tcPr>
            <w:tcW w:w="2000" w:type="dxa"/>
            <w:vAlign w:val="bottom"/>
            <w:gridSpan w:val="3"/>
          </w:tcPr>
          <w:p>
            <w:pPr>
              <w:jc w:val="right"/>
              <w:ind w:right="260"/>
              <w:spacing w:after="0"/>
              <w:rPr>
                <w:sz w:val="20"/>
                <w:szCs w:val="20"/>
                <w:color w:val="auto"/>
              </w:rPr>
            </w:pPr>
            <w:r>
              <w:rPr>
                <w:rFonts w:ascii="Arial" w:cs="Arial" w:eastAsia="Arial" w:hAnsi="Arial"/>
                <w:sz w:val="16"/>
                <w:szCs w:val="16"/>
                <w:color w:val="auto"/>
              </w:rPr>
              <w:t>1,186</w:t>
            </w:r>
          </w:p>
        </w:tc>
        <w:tc>
          <w:tcPr>
            <w:tcW w:w="1580" w:type="dxa"/>
            <w:vAlign w:val="bottom"/>
            <w:gridSpan w:val="2"/>
          </w:tcPr>
          <w:p>
            <w:pPr>
              <w:jc w:val="right"/>
              <w:spacing w:after="0"/>
              <w:rPr>
                <w:sz w:val="20"/>
                <w:szCs w:val="20"/>
                <w:color w:val="auto"/>
              </w:rPr>
            </w:pPr>
            <w:r>
              <w:rPr>
                <w:rFonts w:ascii="Arial" w:cs="Arial" w:eastAsia="Arial" w:hAnsi="Arial"/>
                <w:sz w:val="16"/>
                <w:szCs w:val="16"/>
                <w:color w:val="auto"/>
              </w:rPr>
              <w:t>1,322</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80" w:type="dxa"/>
            <w:vAlign w:val="bottom"/>
            <w:tcBorders>
              <w:top w:val="single" w:sz="8" w:color="E5FFFF"/>
            </w:tcBorders>
            <w:shd w:val="clear" w:color="auto" w:fill="E5FFFF"/>
          </w:tcPr>
          <w:p>
            <w:pPr>
              <w:spacing w:after="0"/>
              <w:rPr>
                <w:sz w:val="17"/>
                <w:szCs w:val="17"/>
                <w:color w:val="auto"/>
              </w:rPr>
            </w:pPr>
          </w:p>
        </w:tc>
        <w:tc>
          <w:tcPr>
            <w:tcW w:w="420" w:type="dxa"/>
            <w:vAlign w:val="bottom"/>
            <w:tcBorders>
              <w:top w:val="single" w:sz="8" w:color="E5FFFF"/>
            </w:tcBorders>
            <w:shd w:val="clear" w:color="auto" w:fill="E5FFFF"/>
          </w:tcPr>
          <w:p>
            <w:pPr>
              <w:spacing w:after="0"/>
              <w:rPr>
                <w:sz w:val="17"/>
                <w:szCs w:val="17"/>
                <w:color w:val="auto"/>
              </w:rPr>
            </w:pPr>
          </w:p>
        </w:tc>
        <w:tc>
          <w:tcPr>
            <w:tcW w:w="13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97,124</w:t>
            </w:r>
          </w:p>
        </w:tc>
        <w:tc>
          <w:tcPr>
            <w:tcW w:w="260" w:type="dxa"/>
            <w:vAlign w:val="bottom"/>
            <w:tcBorders>
              <w:top w:val="single" w:sz="8" w:color="E5FFFF"/>
            </w:tcBorders>
            <w:shd w:val="clear" w:color="auto" w:fill="E5FFFF"/>
          </w:tcPr>
          <w:p>
            <w:pPr>
              <w:spacing w:after="0"/>
              <w:rPr>
                <w:sz w:val="17"/>
                <w:szCs w:val="17"/>
                <w:color w:val="auto"/>
              </w:rPr>
            </w:pPr>
          </w:p>
        </w:tc>
        <w:tc>
          <w:tcPr>
            <w:tcW w:w="260" w:type="dxa"/>
            <w:vAlign w:val="bottom"/>
            <w:tcBorders>
              <w:top w:val="single" w:sz="8" w:color="E5FFFF"/>
            </w:tcBorders>
            <w:shd w:val="clear" w:color="auto" w:fill="E5FFFF"/>
          </w:tcPr>
          <w:p>
            <w:pPr>
              <w:spacing w:after="0"/>
              <w:rPr>
                <w:sz w:val="17"/>
                <w:szCs w:val="17"/>
                <w:color w:val="auto"/>
              </w:rPr>
            </w:pPr>
          </w:p>
        </w:tc>
        <w:tc>
          <w:tcPr>
            <w:tcW w:w="13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111,857</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80" w:type="dxa"/>
            <w:vAlign w:val="bottom"/>
            <w:tcBorders>
              <w:bottom w:val="single" w:sz="8" w:color="E5FFFF"/>
            </w:tcBorders>
          </w:tcPr>
          <w:p>
            <w:pPr>
              <w:spacing w:after="0"/>
              <w:rPr>
                <w:sz w:val="20"/>
                <w:szCs w:val="20"/>
                <w:color w:val="auto"/>
              </w:rPr>
            </w:pPr>
            <w:r>
              <w:rPr>
                <w:rFonts w:ascii="Arial" w:cs="Arial" w:eastAsia="Arial" w:hAnsi="Arial"/>
                <w:sz w:val="16"/>
                <w:szCs w:val="16"/>
                <w:color w:val="auto"/>
              </w:rPr>
              <w:t>Movements in working capital</w:t>
            </w:r>
          </w:p>
        </w:tc>
        <w:tc>
          <w:tcPr>
            <w:tcW w:w="420" w:type="dxa"/>
            <w:vAlign w:val="bottom"/>
            <w:tcBorders>
              <w:bottom w:val="single" w:sz="8" w:color="E5FFFF"/>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(13,692)</w:t>
            </w:r>
          </w:p>
        </w:tc>
        <w:tc>
          <w:tcPr>
            <w:tcW w:w="260" w:type="dxa"/>
            <w:vAlign w:val="bottom"/>
            <w:tcBorders>
              <w:bottom w:val="single" w:sz="8" w:color="E5FFFF"/>
            </w:tcBorders>
          </w:tcPr>
          <w:p>
            <w:pPr>
              <w:spacing w:after="0"/>
              <w:rPr>
                <w:sz w:val="17"/>
                <w:szCs w:val="17"/>
                <w:color w:val="auto"/>
              </w:rPr>
            </w:pPr>
          </w:p>
        </w:tc>
        <w:tc>
          <w:tcPr>
            <w:tcW w:w="260" w:type="dxa"/>
            <w:vAlign w:val="bottom"/>
            <w:tcBorders>
              <w:bottom w:val="single" w:sz="8" w:color="E5FFFF"/>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(11,676)</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8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Cash provided by operations</w:t>
            </w:r>
          </w:p>
        </w:tc>
        <w:tc>
          <w:tcPr>
            <w:tcW w:w="420" w:type="dxa"/>
            <w:vAlign w:val="bottom"/>
            <w:shd w:val="clear" w:color="auto" w:fill="E5FFFF"/>
          </w:tcPr>
          <w:p>
            <w:pPr>
              <w:spacing w:after="0"/>
              <w:rPr>
                <w:sz w:val="17"/>
                <w:szCs w:val="17"/>
                <w:color w:val="auto"/>
              </w:rPr>
            </w:pPr>
          </w:p>
        </w:tc>
        <w:tc>
          <w:tcPr>
            <w:tcW w:w="13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83,432</w:t>
            </w:r>
          </w:p>
        </w:tc>
        <w:tc>
          <w:tcPr>
            <w:tcW w:w="26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13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100,181</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80" w:type="dxa"/>
            <w:vAlign w:val="bottom"/>
            <w:tcBorders>
              <w:bottom w:val="single" w:sz="8" w:color="E5FFFF"/>
            </w:tcBorders>
          </w:tcPr>
          <w:p>
            <w:pPr>
              <w:spacing w:after="0"/>
              <w:rPr>
                <w:sz w:val="20"/>
                <w:szCs w:val="20"/>
                <w:color w:val="auto"/>
              </w:rPr>
            </w:pPr>
            <w:r>
              <w:rPr>
                <w:rFonts w:ascii="Arial" w:cs="Arial" w:eastAsia="Arial" w:hAnsi="Arial"/>
                <w:sz w:val="16"/>
                <w:szCs w:val="16"/>
                <w:color w:val="auto"/>
              </w:rPr>
              <w:t>Interest paid</w:t>
            </w:r>
          </w:p>
        </w:tc>
        <w:tc>
          <w:tcPr>
            <w:tcW w:w="420" w:type="dxa"/>
            <w:vAlign w:val="bottom"/>
            <w:tcBorders>
              <w:bottom w:val="single" w:sz="8" w:color="E5FFFF"/>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(40,154)</w:t>
            </w:r>
          </w:p>
        </w:tc>
        <w:tc>
          <w:tcPr>
            <w:tcW w:w="260" w:type="dxa"/>
            <w:vAlign w:val="bottom"/>
            <w:tcBorders>
              <w:bottom w:val="single" w:sz="8" w:color="E5FFFF"/>
            </w:tcBorders>
          </w:tcPr>
          <w:p>
            <w:pPr>
              <w:spacing w:after="0"/>
              <w:rPr>
                <w:sz w:val="17"/>
                <w:szCs w:val="17"/>
                <w:color w:val="auto"/>
              </w:rPr>
            </w:pPr>
          </w:p>
        </w:tc>
        <w:tc>
          <w:tcPr>
            <w:tcW w:w="260" w:type="dxa"/>
            <w:vAlign w:val="bottom"/>
            <w:tcBorders>
              <w:bottom w:val="single" w:sz="8" w:color="E5FFFF"/>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(57,467)</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8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Net cash provided by operating activities</w:t>
            </w:r>
          </w:p>
        </w:tc>
        <w:tc>
          <w:tcPr>
            <w:tcW w:w="420" w:type="dxa"/>
            <w:vAlign w:val="bottom"/>
            <w:shd w:val="clear" w:color="auto" w:fill="E5FFFF"/>
          </w:tcPr>
          <w:p>
            <w:pPr>
              <w:spacing w:after="0"/>
              <w:rPr>
                <w:sz w:val="17"/>
                <w:szCs w:val="17"/>
                <w:color w:val="auto"/>
              </w:rPr>
            </w:pPr>
          </w:p>
        </w:tc>
        <w:tc>
          <w:tcPr>
            <w:tcW w:w="13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43,278</w:t>
            </w:r>
          </w:p>
        </w:tc>
        <w:tc>
          <w:tcPr>
            <w:tcW w:w="26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13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42,714</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7880" w:type="dxa"/>
            <w:vAlign w:val="bottom"/>
          </w:tcPr>
          <w:p>
            <w:pPr>
              <w:spacing w:after="0" w:line="183" w:lineRule="exact"/>
              <w:rPr>
                <w:sz w:val="20"/>
                <w:szCs w:val="20"/>
                <w:color w:val="auto"/>
              </w:rPr>
            </w:pPr>
            <w:r>
              <w:rPr>
                <w:rFonts w:ascii="Arial" w:cs="Arial" w:eastAsia="Arial" w:hAnsi="Arial"/>
                <w:sz w:val="16"/>
                <w:szCs w:val="16"/>
                <w:b w:val="1"/>
                <w:bCs w:val="1"/>
                <w:color w:val="auto"/>
              </w:rPr>
              <w:t>Cash flows from investing activities:</w:t>
            </w:r>
          </w:p>
        </w:tc>
        <w:tc>
          <w:tcPr>
            <w:tcW w:w="4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880" w:type="dxa"/>
            <w:vAlign w:val="bottom"/>
            <w:shd w:val="clear" w:color="auto" w:fill="E5FFFF"/>
          </w:tcPr>
          <w:p>
            <w:pPr>
              <w:spacing w:after="0"/>
              <w:rPr>
                <w:sz w:val="20"/>
                <w:szCs w:val="20"/>
                <w:color w:val="auto"/>
              </w:rPr>
            </w:pPr>
            <w:r>
              <w:rPr>
                <w:rFonts w:ascii="Arial" w:cs="Arial" w:eastAsia="Arial" w:hAnsi="Arial"/>
                <w:sz w:val="16"/>
                <w:szCs w:val="16"/>
                <w:color w:val="auto"/>
              </w:rPr>
              <w:t>Payments for tangible fixed assets and vessels under construction</w:t>
            </w:r>
          </w:p>
        </w:tc>
        <w:tc>
          <w:tcPr>
            <w:tcW w:w="2000" w:type="dxa"/>
            <w:vAlign w:val="bottom"/>
            <w:gridSpan w:val="3"/>
            <w:shd w:val="clear" w:color="auto" w:fill="E5FFFF"/>
          </w:tcPr>
          <w:p>
            <w:pPr>
              <w:jc w:val="right"/>
              <w:ind w:right="200"/>
              <w:spacing w:after="0"/>
              <w:rPr>
                <w:sz w:val="20"/>
                <w:szCs w:val="20"/>
                <w:color w:val="auto"/>
              </w:rPr>
            </w:pPr>
            <w:r>
              <w:rPr>
                <w:rFonts w:ascii="Arial" w:cs="Arial" w:eastAsia="Arial" w:hAnsi="Arial"/>
                <w:sz w:val="16"/>
                <w:szCs w:val="16"/>
                <w:color w:val="auto"/>
              </w:rPr>
              <w:t>(547,021)</w:t>
            </w:r>
          </w:p>
        </w:tc>
        <w:tc>
          <w:tcPr>
            <w:tcW w:w="158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(220,549)</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80" w:type="dxa"/>
            <w:vAlign w:val="bottom"/>
          </w:tcPr>
          <w:p>
            <w:pPr>
              <w:spacing w:after="0"/>
              <w:rPr>
                <w:sz w:val="20"/>
                <w:szCs w:val="20"/>
                <w:color w:val="auto"/>
              </w:rPr>
            </w:pPr>
            <w:r>
              <w:rPr>
                <w:rFonts w:ascii="Arial" w:cs="Arial" w:eastAsia="Arial" w:hAnsi="Arial"/>
                <w:sz w:val="16"/>
                <w:szCs w:val="16"/>
                <w:color w:val="auto"/>
              </w:rPr>
              <w:t>Return of capital expenditures</w:t>
            </w:r>
          </w:p>
        </w:tc>
        <w:tc>
          <w:tcPr>
            <w:tcW w:w="420" w:type="dxa"/>
            <w:vAlign w:val="bottom"/>
          </w:tcPr>
          <w:p>
            <w:pPr>
              <w:spacing w:after="0"/>
              <w:rPr>
                <w:sz w:val="17"/>
                <w:szCs w:val="17"/>
                <w:color w:val="auto"/>
              </w:rPr>
            </w:pPr>
          </w:p>
        </w:tc>
        <w:tc>
          <w:tcPr>
            <w:tcW w:w="15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580" w:type="dxa"/>
            <w:vAlign w:val="bottom"/>
            <w:gridSpan w:val="2"/>
          </w:tcPr>
          <w:p>
            <w:pPr>
              <w:jc w:val="right"/>
              <w:spacing w:after="0"/>
              <w:rPr>
                <w:sz w:val="20"/>
                <w:szCs w:val="20"/>
                <w:color w:val="auto"/>
              </w:rPr>
            </w:pPr>
            <w:r>
              <w:rPr>
                <w:rFonts w:ascii="Arial" w:cs="Arial" w:eastAsia="Arial" w:hAnsi="Arial"/>
                <w:sz w:val="16"/>
                <w:szCs w:val="16"/>
                <w:color w:val="auto"/>
              </w:rPr>
              <w:t>5,629</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80" w:type="dxa"/>
            <w:vAlign w:val="bottom"/>
            <w:shd w:val="clear" w:color="auto" w:fill="E5FFFF"/>
          </w:tcPr>
          <w:p>
            <w:pPr>
              <w:spacing w:after="0"/>
              <w:rPr>
                <w:sz w:val="20"/>
                <w:szCs w:val="20"/>
                <w:color w:val="auto"/>
              </w:rPr>
            </w:pPr>
            <w:r>
              <w:rPr>
                <w:rFonts w:ascii="Arial" w:cs="Arial" w:eastAsia="Arial" w:hAnsi="Arial"/>
                <w:sz w:val="16"/>
                <w:szCs w:val="16"/>
                <w:color w:val="auto"/>
              </w:rPr>
              <w:t>Dividends received from associate</w:t>
            </w:r>
          </w:p>
        </w:tc>
        <w:tc>
          <w:tcPr>
            <w:tcW w:w="2000" w:type="dxa"/>
            <w:vAlign w:val="bottom"/>
            <w:gridSpan w:val="3"/>
            <w:shd w:val="clear" w:color="auto" w:fill="E5FFFF"/>
          </w:tcPr>
          <w:p>
            <w:pPr>
              <w:jc w:val="right"/>
              <w:ind w:right="260"/>
              <w:spacing w:after="0"/>
              <w:rPr>
                <w:sz w:val="20"/>
                <w:szCs w:val="20"/>
                <w:color w:val="auto"/>
              </w:rPr>
            </w:pPr>
            <w:r>
              <w:rPr>
                <w:rFonts w:ascii="Arial" w:cs="Arial" w:eastAsia="Arial" w:hAnsi="Arial"/>
                <w:sz w:val="16"/>
                <w:szCs w:val="16"/>
                <w:color w:val="auto"/>
              </w:rPr>
              <w:t>125</w:t>
            </w:r>
          </w:p>
        </w:tc>
        <w:tc>
          <w:tcPr>
            <w:tcW w:w="158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538</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80" w:type="dxa"/>
            <w:vAlign w:val="bottom"/>
          </w:tcPr>
          <w:p>
            <w:pPr>
              <w:spacing w:after="0"/>
              <w:rPr>
                <w:sz w:val="20"/>
                <w:szCs w:val="20"/>
                <w:color w:val="auto"/>
              </w:rPr>
            </w:pPr>
            <w:r>
              <w:rPr>
                <w:rFonts w:ascii="Arial" w:cs="Arial" w:eastAsia="Arial" w:hAnsi="Arial"/>
                <w:sz w:val="16"/>
                <w:szCs w:val="16"/>
                <w:color w:val="auto"/>
              </w:rPr>
              <w:t>Purchase of short-term investments</w:t>
            </w:r>
          </w:p>
        </w:tc>
        <w:tc>
          <w:tcPr>
            <w:tcW w:w="2000" w:type="dxa"/>
            <w:vAlign w:val="bottom"/>
            <w:gridSpan w:val="3"/>
          </w:tcPr>
          <w:p>
            <w:pPr>
              <w:jc w:val="right"/>
              <w:ind w:right="200"/>
              <w:spacing w:after="0"/>
              <w:rPr>
                <w:sz w:val="20"/>
                <w:szCs w:val="20"/>
                <w:color w:val="auto"/>
              </w:rPr>
            </w:pPr>
            <w:r>
              <w:rPr>
                <w:rFonts w:ascii="Arial" w:cs="Arial" w:eastAsia="Arial" w:hAnsi="Arial"/>
                <w:sz w:val="16"/>
                <w:szCs w:val="16"/>
                <w:color w:val="auto"/>
              </w:rPr>
              <w:t>(10,000)</w:t>
            </w:r>
          </w:p>
        </w:tc>
        <w:tc>
          <w:tcPr>
            <w:tcW w:w="1580" w:type="dxa"/>
            <w:vAlign w:val="bottom"/>
            <w:gridSpan w:val="2"/>
          </w:tcPr>
          <w:p>
            <w:pPr>
              <w:jc w:val="right"/>
              <w:spacing w:after="0"/>
              <w:rPr>
                <w:sz w:val="20"/>
                <w:szCs w:val="20"/>
                <w:color w:val="auto"/>
              </w:rPr>
            </w:pPr>
            <w:r>
              <w:rPr>
                <w:rFonts w:ascii="Arial" w:cs="Arial" w:eastAsia="Arial" w:hAnsi="Arial"/>
                <w:sz w:val="16"/>
                <w:szCs w:val="16"/>
                <w:color w:val="auto"/>
              </w:rPr>
              <w:t>(10,000)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80" w:type="dxa"/>
            <w:vAlign w:val="bottom"/>
            <w:shd w:val="clear" w:color="auto" w:fill="E5FFFF"/>
          </w:tcPr>
          <w:p>
            <w:pPr>
              <w:spacing w:after="0"/>
              <w:rPr>
                <w:sz w:val="20"/>
                <w:szCs w:val="20"/>
                <w:color w:val="auto"/>
              </w:rPr>
            </w:pPr>
            <w:r>
              <w:rPr>
                <w:rFonts w:ascii="Arial" w:cs="Arial" w:eastAsia="Arial" w:hAnsi="Arial"/>
                <w:sz w:val="16"/>
                <w:szCs w:val="16"/>
                <w:color w:val="auto"/>
              </w:rPr>
              <w:t>Maturity of short-term investments</w:t>
            </w:r>
          </w:p>
        </w:tc>
        <w:tc>
          <w:tcPr>
            <w:tcW w:w="420" w:type="dxa"/>
            <w:vAlign w:val="bottom"/>
            <w:shd w:val="clear" w:color="auto" w:fill="E5FFFF"/>
          </w:tcPr>
          <w:p>
            <w:pPr>
              <w:spacing w:after="0"/>
              <w:rPr>
                <w:sz w:val="17"/>
                <w:szCs w:val="17"/>
                <w:color w:val="auto"/>
              </w:rPr>
            </w:pPr>
          </w:p>
        </w:tc>
        <w:tc>
          <w:tcPr>
            <w:tcW w:w="1580" w:type="dxa"/>
            <w:vAlign w:val="bottom"/>
            <w:gridSpan w:val="2"/>
            <w:shd w:val="clear" w:color="auto" w:fill="E5FFFF"/>
          </w:tcPr>
          <w:p>
            <w:pPr>
              <w:jc w:val="right"/>
              <w:ind w:right="260"/>
              <w:spacing w:after="0"/>
              <w:rPr>
                <w:sz w:val="20"/>
                <w:szCs w:val="20"/>
                <w:color w:val="auto"/>
              </w:rPr>
            </w:pPr>
            <w:r>
              <w:rPr>
                <w:rFonts w:ascii="Arial" w:cs="Arial" w:eastAsia="Arial" w:hAnsi="Arial"/>
                <w:sz w:val="16"/>
                <w:szCs w:val="16"/>
                <w:color w:val="auto"/>
              </w:rPr>
              <w:t>—</w:t>
            </w:r>
          </w:p>
        </w:tc>
        <w:tc>
          <w:tcPr>
            <w:tcW w:w="158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25,000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80" w:type="dxa"/>
            <w:vAlign w:val="bottom"/>
          </w:tcPr>
          <w:p>
            <w:pPr>
              <w:spacing w:after="0"/>
              <w:rPr>
                <w:sz w:val="20"/>
                <w:szCs w:val="20"/>
                <w:color w:val="auto"/>
              </w:rPr>
            </w:pPr>
            <w:r>
              <w:rPr>
                <w:rFonts w:ascii="Arial" w:cs="Arial" w:eastAsia="Arial" w:hAnsi="Arial"/>
                <w:sz w:val="16"/>
                <w:szCs w:val="16"/>
                <w:color w:val="auto"/>
              </w:rPr>
              <w:t>Restricted cash</w:t>
            </w:r>
          </w:p>
        </w:tc>
        <w:tc>
          <w:tcPr>
            <w:tcW w:w="2000" w:type="dxa"/>
            <w:vAlign w:val="bottom"/>
            <w:gridSpan w:val="3"/>
          </w:tcPr>
          <w:p>
            <w:pPr>
              <w:jc w:val="right"/>
              <w:ind w:right="200"/>
              <w:spacing w:after="0"/>
              <w:rPr>
                <w:sz w:val="20"/>
                <w:szCs w:val="20"/>
                <w:color w:val="auto"/>
              </w:rPr>
            </w:pPr>
            <w:r>
              <w:rPr>
                <w:rFonts w:ascii="Arial" w:cs="Arial" w:eastAsia="Arial" w:hAnsi="Arial"/>
                <w:sz w:val="16"/>
                <w:szCs w:val="16"/>
                <w:color w:val="auto"/>
              </w:rPr>
              <w:t>(4,915)</w:t>
            </w:r>
          </w:p>
        </w:tc>
        <w:tc>
          <w:tcPr>
            <w:tcW w:w="2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80" w:type="dxa"/>
            <w:vAlign w:val="bottom"/>
            <w:shd w:val="clear" w:color="auto" w:fill="E5FFFF"/>
          </w:tcPr>
          <w:p>
            <w:pPr>
              <w:spacing w:after="0"/>
              <w:rPr>
                <w:sz w:val="20"/>
                <w:szCs w:val="20"/>
                <w:color w:val="auto"/>
              </w:rPr>
            </w:pPr>
            <w:r>
              <w:rPr>
                <w:rFonts w:ascii="Arial" w:cs="Arial" w:eastAsia="Arial" w:hAnsi="Arial"/>
                <w:sz w:val="16"/>
                <w:szCs w:val="16"/>
                <w:color w:val="auto"/>
              </w:rPr>
              <w:t>Financial income received</w:t>
            </w:r>
          </w:p>
        </w:tc>
        <w:tc>
          <w:tcPr>
            <w:tcW w:w="2000" w:type="dxa"/>
            <w:vAlign w:val="bottom"/>
            <w:gridSpan w:val="3"/>
            <w:shd w:val="clear" w:color="auto" w:fill="E5FFFF"/>
          </w:tcPr>
          <w:p>
            <w:pPr>
              <w:jc w:val="right"/>
              <w:ind w:right="260"/>
              <w:spacing w:after="0"/>
              <w:rPr>
                <w:sz w:val="20"/>
                <w:szCs w:val="20"/>
                <w:color w:val="auto"/>
              </w:rPr>
            </w:pPr>
            <w:r>
              <w:rPr>
                <w:rFonts w:ascii="Arial" w:cs="Arial" w:eastAsia="Arial" w:hAnsi="Arial"/>
                <w:sz w:val="16"/>
                <w:szCs w:val="16"/>
                <w:color w:val="auto"/>
              </w:rPr>
              <w:t>874</w:t>
            </w:r>
          </w:p>
        </w:tc>
        <w:tc>
          <w:tcPr>
            <w:tcW w:w="158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1,363</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8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Net cash used in investing activities</w:t>
            </w:r>
          </w:p>
        </w:tc>
        <w:tc>
          <w:tcPr>
            <w:tcW w:w="420" w:type="dxa"/>
            <w:vAlign w:val="bottom"/>
            <w:tcBorders>
              <w:bottom w:val="single" w:sz="8" w:color="E5FFFF"/>
            </w:tcBorders>
          </w:tcPr>
          <w:p>
            <w:pPr>
              <w:spacing w:after="0"/>
              <w:rPr>
                <w:sz w:val="17"/>
                <w:szCs w:val="17"/>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(560,937)</w:t>
            </w:r>
          </w:p>
        </w:tc>
        <w:tc>
          <w:tcPr>
            <w:tcW w:w="260" w:type="dxa"/>
            <w:vAlign w:val="bottom"/>
            <w:tcBorders>
              <w:bottom w:val="single" w:sz="8" w:color="E5FFFF"/>
            </w:tcBorders>
          </w:tcPr>
          <w:p>
            <w:pPr>
              <w:spacing w:after="0"/>
              <w:rPr>
                <w:sz w:val="17"/>
                <w:szCs w:val="17"/>
                <w:color w:val="auto"/>
              </w:rPr>
            </w:pPr>
          </w:p>
        </w:tc>
        <w:tc>
          <w:tcPr>
            <w:tcW w:w="260" w:type="dxa"/>
            <w:vAlign w:val="bottom"/>
            <w:tcBorders>
              <w:bottom w:val="single" w:sz="8" w:color="E5FFFF"/>
            </w:tcBorders>
          </w:tcPr>
          <w:p>
            <w:pPr>
              <w:spacing w:after="0"/>
              <w:rPr>
                <w:sz w:val="17"/>
                <w:szCs w:val="17"/>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(198,019)</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7880" w:type="dxa"/>
            <w:vAlign w:val="bottom"/>
            <w:shd w:val="clear" w:color="auto" w:fill="E5FFFF"/>
          </w:tcPr>
          <w:p>
            <w:pPr>
              <w:spacing w:after="0" w:line="183" w:lineRule="exact"/>
              <w:rPr>
                <w:sz w:val="20"/>
                <w:szCs w:val="20"/>
                <w:color w:val="auto"/>
              </w:rPr>
            </w:pPr>
            <w:r>
              <w:rPr>
                <w:rFonts w:ascii="Arial" w:cs="Arial" w:eastAsia="Arial" w:hAnsi="Arial"/>
                <w:sz w:val="16"/>
                <w:szCs w:val="16"/>
                <w:b w:val="1"/>
                <w:bCs w:val="1"/>
                <w:color w:val="auto"/>
              </w:rPr>
              <w:t>Cash flows from financing activities:</w:t>
            </w:r>
          </w:p>
        </w:tc>
        <w:tc>
          <w:tcPr>
            <w:tcW w:w="420" w:type="dxa"/>
            <w:vAlign w:val="bottom"/>
            <w:shd w:val="clear" w:color="auto" w:fill="E5FFFF"/>
          </w:tcPr>
          <w:p>
            <w:pPr>
              <w:spacing w:after="0"/>
              <w:rPr>
                <w:sz w:val="15"/>
                <w:szCs w:val="15"/>
                <w:color w:val="auto"/>
              </w:rPr>
            </w:pPr>
          </w:p>
        </w:tc>
        <w:tc>
          <w:tcPr>
            <w:tcW w:w="1320" w:type="dxa"/>
            <w:vAlign w:val="bottom"/>
            <w:shd w:val="clear" w:color="auto" w:fill="E5FFFF"/>
          </w:tcPr>
          <w:p>
            <w:pPr>
              <w:spacing w:after="0"/>
              <w:rPr>
                <w:sz w:val="15"/>
                <w:szCs w:val="15"/>
                <w:color w:val="auto"/>
              </w:rPr>
            </w:pPr>
          </w:p>
        </w:tc>
        <w:tc>
          <w:tcPr>
            <w:tcW w:w="260" w:type="dxa"/>
            <w:vAlign w:val="bottom"/>
            <w:shd w:val="clear" w:color="auto" w:fill="E5FFFF"/>
          </w:tcPr>
          <w:p>
            <w:pPr>
              <w:spacing w:after="0"/>
              <w:rPr>
                <w:sz w:val="15"/>
                <w:szCs w:val="15"/>
                <w:color w:val="auto"/>
              </w:rPr>
            </w:pPr>
          </w:p>
        </w:tc>
        <w:tc>
          <w:tcPr>
            <w:tcW w:w="260" w:type="dxa"/>
            <w:vAlign w:val="bottom"/>
            <w:shd w:val="clear" w:color="auto" w:fill="E5FFFF"/>
          </w:tcPr>
          <w:p>
            <w:pPr>
              <w:spacing w:after="0"/>
              <w:rPr>
                <w:sz w:val="15"/>
                <w:szCs w:val="15"/>
                <w:color w:val="auto"/>
              </w:rPr>
            </w:pPr>
          </w:p>
        </w:tc>
        <w:tc>
          <w:tcPr>
            <w:tcW w:w="1320" w:type="dxa"/>
            <w:vAlign w:val="bottom"/>
            <w:shd w:val="clear" w:color="auto" w:fill="E5FFFF"/>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880" w:type="dxa"/>
            <w:vAlign w:val="bottom"/>
          </w:tcPr>
          <w:p>
            <w:pPr>
              <w:spacing w:after="0"/>
              <w:rPr>
                <w:sz w:val="20"/>
                <w:szCs w:val="20"/>
                <w:color w:val="auto"/>
              </w:rPr>
            </w:pPr>
            <w:r>
              <w:rPr>
                <w:rFonts w:ascii="Arial" w:cs="Arial" w:eastAsia="Arial" w:hAnsi="Arial"/>
                <w:sz w:val="16"/>
                <w:szCs w:val="16"/>
                <w:color w:val="auto"/>
              </w:rPr>
              <w:t>Proceeds from bank loans and bonds</w:t>
            </w:r>
          </w:p>
        </w:tc>
        <w:tc>
          <w:tcPr>
            <w:tcW w:w="2000" w:type="dxa"/>
            <w:vAlign w:val="bottom"/>
            <w:gridSpan w:val="3"/>
          </w:tcPr>
          <w:p>
            <w:pPr>
              <w:jc w:val="right"/>
              <w:ind w:right="260"/>
              <w:spacing w:after="0"/>
              <w:rPr>
                <w:sz w:val="20"/>
                <w:szCs w:val="20"/>
                <w:color w:val="auto"/>
              </w:rPr>
            </w:pPr>
            <w:r>
              <w:rPr>
                <w:rFonts w:ascii="Arial" w:cs="Arial" w:eastAsia="Arial" w:hAnsi="Arial"/>
                <w:sz w:val="16"/>
                <w:szCs w:val="16"/>
                <w:color w:val="auto"/>
              </w:rPr>
              <w:t>498,225</w:t>
            </w:r>
          </w:p>
        </w:tc>
        <w:tc>
          <w:tcPr>
            <w:tcW w:w="1580" w:type="dxa"/>
            <w:vAlign w:val="bottom"/>
            <w:gridSpan w:val="2"/>
          </w:tcPr>
          <w:p>
            <w:pPr>
              <w:jc w:val="right"/>
              <w:spacing w:after="0"/>
              <w:rPr>
                <w:sz w:val="20"/>
                <w:szCs w:val="20"/>
                <w:color w:val="auto"/>
              </w:rPr>
            </w:pPr>
            <w:r>
              <w:rPr>
                <w:rFonts w:ascii="Arial" w:cs="Arial" w:eastAsia="Arial" w:hAnsi="Arial"/>
                <w:sz w:val="16"/>
                <w:szCs w:val="16"/>
                <w:color w:val="auto"/>
              </w:rPr>
              <w:t>525,805</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80" w:type="dxa"/>
            <w:vAlign w:val="bottom"/>
            <w:shd w:val="clear" w:color="auto" w:fill="E5FFFF"/>
          </w:tcPr>
          <w:p>
            <w:pPr>
              <w:spacing w:after="0"/>
              <w:rPr>
                <w:sz w:val="20"/>
                <w:szCs w:val="20"/>
                <w:color w:val="auto"/>
              </w:rPr>
            </w:pPr>
            <w:r>
              <w:rPr>
                <w:rFonts w:ascii="Arial" w:cs="Arial" w:eastAsia="Arial" w:hAnsi="Arial"/>
                <w:sz w:val="16"/>
                <w:szCs w:val="16"/>
                <w:color w:val="auto"/>
              </w:rPr>
              <w:t>Bank loan repayments</w:t>
            </w:r>
          </w:p>
        </w:tc>
        <w:tc>
          <w:tcPr>
            <w:tcW w:w="2000" w:type="dxa"/>
            <w:vAlign w:val="bottom"/>
            <w:gridSpan w:val="3"/>
            <w:shd w:val="clear" w:color="auto" w:fill="E5FFFF"/>
          </w:tcPr>
          <w:p>
            <w:pPr>
              <w:jc w:val="right"/>
              <w:ind w:right="200"/>
              <w:spacing w:after="0"/>
              <w:rPr>
                <w:sz w:val="20"/>
                <w:szCs w:val="20"/>
                <w:color w:val="auto"/>
              </w:rPr>
            </w:pPr>
            <w:r>
              <w:rPr>
                <w:rFonts w:ascii="Arial" w:cs="Arial" w:eastAsia="Arial" w:hAnsi="Arial"/>
                <w:sz w:val="16"/>
                <w:szCs w:val="16"/>
                <w:color w:val="auto"/>
              </w:rPr>
              <w:t>(83,938)</w:t>
            </w:r>
          </w:p>
        </w:tc>
        <w:tc>
          <w:tcPr>
            <w:tcW w:w="158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(426,208)</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80" w:type="dxa"/>
            <w:vAlign w:val="bottom"/>
          </w:tcPr>
          <w:p>
            <w:pPr>
              <w:spacing w:after="0"/>
              <w:rPr>
                <w:sz w:val="20"/>
                <w:szCs w:val="20"/>
                <w:color w:val="auto"/>
              </w:rPr>
            </w:pPr>
            <w:r>
              <w:rPr>
                <w:rFonts w:ascii="Arial" w:cs="Arial" w:eastAsia="Arial" w:hAnsi="Arial"/>
                <w:sz w:val="16"/>
                <w:szCs w:val="16"/>
                <w:color w:val="auto"/>
              </w:rPr>
              <w:t>Payment of loan issuance costs</w:t>
            </w:r>
          </w:p>
        </w:tc>
        <w:tc>
          <w:tcPr>
            <w:tcW w:w="2000" w:type="dxa"/>
            <w:vAlign w:val="bottom"/>
            <w:gridSpan w:val="3"/>
          </w:tcPr>
          <w:p>
            <w:pPr>
              <w:jc w:val="right"/>
              <w:ind w:right="200"/>
              <w:spacing w:after="0"/>
              <w:rPr>
                <w:sz w:val="20"/>
                <w:szCs w:val="20"/>
                <w:color w:val="auto"/>
              </w:rPr>
            </w:pPr>
            <w:r>
              <w:rPr>
                <w:rFonts w:ascii="Arial" w:cs="Arial" w:eastAsia="Arial" w:hAnsi="Arial"/>
                <w:sz w:val="16"/>
                <w:szCs w:val="16"/>
                <w:color w:val="auto"/>
              </w:rPr>
              <w:t>(6,753)</w:t>
            </w:r>
          </w:p>
        </w:tc>
        <w:tc>
          <w:tcPr>
            <w:tcW w:w="1580" w:type="dxa"/>
            <w:vAlign w:val="bottom"/>
            <w:gridSpan w:val="2"/>
          </w:tcPr>
          <w:p>
            <w:pPr>
              <w:jc w:val="right"/>
              <w:spacing w:after="0"/>
              <w:rPr>
                <w:sz w:val="20"/>
                <w:szCs w:val="20"/>
                <w:color w:val="auto"/>
              </w:rPr>
            </w:pPr>
            <w:r>
              <w:rPr>
                <w:rFonts w:ascii="Arial" w:cs="Arial" w:eastAsia="Arial" w:hAnsi="Arial"/>
                <w:sz w:val="16"/>
                <w:szCs w:val="16"/>
                <w:color w:val="auto"/>
              </w:rPr>
              <w:t>(7,780)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80" w:type="dxa"/>
            <w:vAlign w:val="bottom"/>
            <w:shd w:val="clear" w:color="auto" w:fill="E5FFFF"/>
          </w:tcPr>
          <w:p>
            <w:pPr>
              <w:spacing w:after="0"/>
              <w:rPr>
                <w:sz w:val="20"/>
                <w:szCs w:val="20"/>
                <w:color w:val="auto"/>
              </w:rPr>
            </w:pPr>
            <w:r>
              <w:rPr>
                <w:rFonts w:ascii="Arial" w:cs="Arial" w:eastAsia="Arial" w:hAnsi="Arial"/>
                <w:sz w:val="16"/>
                <w:szCs w:val="16"/>
                <w:color w:val="auto"/>
              </w:rPr>
              <w:t>Proceeds from GasLog Partners’ public offerings (net of underwriting discounts and commissions)</w:t>
            </w:r>
          </w:p>
        </w:tc>
        <w:tc>
          <w:tcPr>
            <w:tcW w:w="2000" w:type="dxa"/>
            <w:vAlign w:val="bottom"/>
            <w:gridSpan w:val="3"/>
            <w:shd w:val="clear" w:color="auto" w:fill="E5FFFF"/>
          </w:tcPr>
          <w:p>
            <w:pPr>
              <w:jc w:val="right"/>
              <w:ind w:right="260"/>
              <w:spacing w:after="0"/>
              <w:rPr>
                <w:sz w:val="20"/>
                <w:szCs w:val="20"/>
                <w:color w:val="auto"/>
              </w:rPr>
            </w:pPr>
            <w:r>
              <w:rPr>
                <w:rFonts w:ascii="Arial" w:cs="Arial" w:eastAsia="Arial" w:hAnsi="Arial"/>
                <w:sz w:val="16"/>
                <w:szCs w:val="16"/>
                <w:color w:val="auto"/>
              </w:rPr>
              <w:t>111,544</w:t>
            </w:r>
          </w:p>
        </w:tc>
        <w:tc>
          <w:tcPr>
            <w:tcW w:w="260" w:type="dxa"/>
            <w:vAlign w:val="bottom"/>
            <w:shd w:val="clear" w:color="auto" w:fill="E5FFFF"/>
          </w:tcPr>
          <w:p>
            <w:pPr>
              <w:spacing w:after="0"/>
              <w:rPr>
                <w:sz w:val="17"/>
                <w:szCs w:val="17"/>
                <w:color w:val="auto"/>
              </w:rPr>
            </w:pPr>
          </w:p>
        </w:tc>
        <w:tc>
          <w:tcPr>
            <w:tcW w:w="13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80" w:type="dxa"/>
            <w:vAlign w:val="bottom"/>
          </w:tcPr>
          <w:p>
            <w:pPr>
              <w:spacing w:after="0"/>
              <w:rPr>
                <w:sz w:val="20"/>
                <w:szCs w:val="20"/>
                <w:color w:val="auto"/>
              </w:rPr>
            </w:pPr>
            <w:r>
              <w:rPr>
                <w:rFonts w:ascii="Arial" w:cs="Arial" w:eastAsia="Arial" w:hAnsi="Arial"/>
                <w:sz w:val="16"/>
                <w:szCs w:val="16"/>
                <w:color w:val="auto"/>
              </w:rPr>
              <w:t>Payment of equity raising costs</w:t>
            </w:r>
          </w:p>
        </w:tc>
        <w:tc>
          <w:tcPr>
            <w:tcW w:w="2000" w:type="dxa"/>
            <w:vAlign w:val="bottom"/>
            <w:gridSpan w:val="3"/>
          </w:tcPr>
          <w:p>
            <w:pPr>
              <w:jc w:val="right"/>
              <w:ind w:right="200"/>
              <w:spacing w:after="0"/>
              <w:rPr>
                <w:sz w:val="20"/>
                <w:szCs w:val="20"/>
                <w:color w:val="auto"/>
              </w:rPr>
            </w:pPr>
            <w:r>
              <w:rPr>
                <w:rFonts w:ascii="Arial" w:cs="Arial" w:eastAsia="Arial" w:hAnsi="Arial"/>
                <w:sz w:val="16"/>
                <w:szCs w:val="16"/>
                <w:color w:val="auto"/>
              </w:rPr>
              <w:t>(315)</w:t>
            </w:r>
          </w:p>
        </w:tc>
        <w:tc>
          <w:tcPr>
            <w:tcW w:w="1580" w:type="dxa"/>
            <w:vAlign w:val="bottom"/>
            <w:gridSpan w:val="2"/>
          </w:tcPr>
          <w:p>
            <w:pPr>
              <w:jc w:val="right"/>
              <w:spacing w:after="0"/>
              <w:rPr>
                <w:sz w:val="20"/>
                <w:szCs w:val="20"/>
                <w:color w:val="auto"/>
              </w:rPr>
            </w:pPr>
            <w:r>
              <w:rPr>
                <w:rFonts w:ascii="Arial" w:cs="Arial" w:eastAsia="Arial" w:hAnsi="Arial"/>
                <w:sz w:val="16"/>
                <w:szCs w:val="16"/>
                <w:color w:val="auto"/>
              </w:rPr>
              <w:t>(668)</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80" w:type="dxa"/>
            <w:vAlign w:val="bottom"/>
            <w:shd w:val="clear" w:color="auto" w:fill="E5FFFF"/>
          </w:tcPr>
          <w:p>
            <w:pPr>
              <w:spacing w:after="0"/>
              <w:rPr>
                <w:sz w:val="20"/>
                <w:szCs w:val="20"/>
                <w:color w:val="auto"/>
              </w:rPr>
            </w:pPr>
            <w:r>
              <w:rPr>
                <w:rFonts w:ascii="Arial" w:cs="Arial" w:eastAsia="Arial" w:hAnsi="Arial"/>
                <w:sz w:val="16"/>
                <w:szCs w:val="16"/>
                <w:color w:val="auto"/>
              </w:rPr>
              <w:t>Dividends paid</w:t>
            </w:r>
          </w:p>
        </w:tc>
        <w:tc>
          <w:tcPr>
            <w:tcW w:w="2000" w:type="dxa"/>
            <w:vAlign w:val="bottom"/>
            <w:gridSpan w:val="3"/>
            <w:shd w:val="clear" w:color="auto" w:fill="E5FFFF"/>
          </w:tcPr>
          <w:p>
            <w:pPr>
              <w:jc w:val="right"/>
              <w:ind w:right="200"/>
              <w:spacing w:after="0"/>
              <w:rPr>
                <w:sz w:val="20"/>
                <w:szCs w:val="20"/>
                <w:color w:val="auto"/>
              </w:rPr>
            </w:pPr>
            <w:r>
              <w:rPr>
                <w:rFonts w:ascii="Arial" w:cs="Arial" w:eastAsia="Arial" w:hAnsi="Arial"/>
                <w:sz w:val="16"/>
                <w:szCs w:val="16"/>
                <w:color w:val="auto"/>
              </w:rPr>
              <w:t>(34,673)</w:t>
            </w:r>
          </w:p>
        </w:tc>
        <w:tc>
          <w:tcPr>
            <w:tcW w:w="158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(41,418)</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80" w:type="dxa"/>
            <w:vAlign w:val="bottom"/>
          </w:tcPr>
          <w:p>
            <w:pPr>
              <w:spacing w:after="0"/>
              <w:rPr>
                <w:sz w:val="20"/>
                <w:szCs w:val="20"/>
                <w:color w:val="auto"/>
              </w:rPr>
            </w:pPr>
            <w:r>
              <w:rPr>
                <w:rFonts w:ascii="Arial" w:cs="Arial" w:eastAsia="Arial" w:hAnsi="Arial"/>
                <w:sz w:val="16"/>
                <w:szCs w:val="16"/>
                <w:color w:val="auto"/>
              </w:rPr>
              <w:t>Purchase of treasury shares</w:t>
            </w:r>
          </w:p>
        </w:tc>
        <w:tc>
          <w:tcPr>
            <w:tcW w:w="2000" w:type="dxa"/>
            <w:vAlign w:val="bottom"/>
            <w:gridSpan w:val="3"/>
          </w:tcPr>
          <w:p>
            <w:pPr>
              <w:jc w:val="right"/>
              <w:ind w:right="200"/>
              <w:spacing w:after="0"/>
              <w:rPr>
                <w:sz w:val="20"/>
                <w:szCs w:val="20"/>
                <w:color w:val="auto"/>
              </w:rPr>
            </w:pPr>
            <w:r>
              <w:rPr>
                <w:rFonts w:ascii="Arial" w:cs="Arial" w:eastAsia="Arial" w:hAnsi="Arial"/>
                <w:sz w:val="16"/>
                <w:szCs w:val="16"/>
                <w:color w:val="auto"/>
              </w:rPr>
              <w:t>(62)</w:t>
            </w:r>
          </w:p>
        </w:tc>
        <w:tc>
          <w:tcPr>
            <w:tcW w:w="1580" w:type="dxa"/>
            <w:vAlign w:val="bottom"/>
            <w:gridSpan w:val="2"/>
          </w:tcPr>
          <w:p>
            <w:pPr>
              <w:jc w:val="right"/>
              <w:spacing w:after="0"/>
              <w:rPr>
                <w:sz w:val="20"/>
                <w:szCs w:val="20"/>
                <w:color w:val="auto"/>
              </w:rPr>
            </w:pPr>
            <w:r>
              <w:rPr>
                <w:rFonts w:ascii="Arial" w:cs="Arial" w:eastAsia="Arial" w:hAnsi="Arial"/>
                <w:sz w:val="16"/>
                <w:szCs w:val="16"/>
                <w:color w:val="auto"/>
              </w:rPr>
              <w:t>(3,751)</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80" w:type="dxa"/>
            <w:vAlign w:val="bottom"/>
            <w:shd w:val="clear" w:color="auto" w:fill="E5FFFF"/>
          </w:tcPr>
          <w:p>
            <w:pPr>
              <w:spacing w:after="0"/>
              <w:rPr>
                <w:sz w:val="20"/>
                <w:szCs w:val="20"/>
                <w:color w:val="auto"/>
              </w:rPr>
            </w:pPr>
            <w:r>
              <w:rPr>
                <w:rFonts w:ascii="Arial" w:cs="Arial" w:eastAsia="Arial" w:hAnsi="Arial"/>
                <w:sz w:val="16"/>
                <w:szCs w:val="16"/>
                <w:color w:val="auto"/>
              </w:rPr>
              <w:t>Payments for lease liability</w:t>
            </w:r>
          </w:p>
        </w:tc>
        <w:tc>
          <w:tcPr>
            <w:tcW w:w="2000" w:type="dxa"/>
            <w:vAlign w:val="bottom"/>
            <w:gridSpan w:val="3"/>
            <w:shd w:val="clear" w:color="auto" w:fill="E5FFFF"/>
          </w:tcPr>
          <w:p>
            <w:pPr>
              <w:jc w:val="right"/>
              <w:ind w:right="200"/>
              <w:spacing w:after="0"/>
              <w:rPr>
                <w:sz w:val="20"/>
                <w:szCs w:val="20"/>
                <w:color w:val="auto"/>
              </w:rPr>
            </w:pPr>
            <w:r>
              <w:rPr>
                <w:rFonts w:ascii="Arial" w:cs="Arial" w:eastAsia="Arial" w:hAnsi="Arial"/>
                <w:sz w:val="16"/>
                <w:szCs w:val="16"/>
                <w:color w:val="auto"/>
              </w:rPr>
              <w:t>(1,773)</w:t>
            </w:r>
          </w:p>
        </w:tc>
        <w:tc>
          <w:tcPr>
            <w:tcW w:w="158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(2,388)</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8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Net cash provided by financing activities</w:t>
            </w:r>
          </w:p>
        </w:tc>
        <w:tc>
          <w:tcPr>
            <w:tcW w:w="420" w:type="dxa"/>
            <w:vAlign w:val="bottom"/>
            <w:tcBorders>
              <w:bottom w:val="single" w:sz="8" w:color="E5FFFF"/>
            </w:tcBorders>
          </w:tcPr>
          <w:p>
            <w:pPr>
              <w:spacing w:after="0"/>
              <w:rPr>
                <w:sz w:val="17"/>
                <w:szCs w:val="17"/>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482,255</w:t>
            </w:r>
          </w:p>
        </w:tc>
        <w:tc>
          <w:tcPr>
            <w:tcW w:w="260" w:type="dxa"/>
            <w:vAlign w:val="bottom"/>
            <w:tcBorders>
              <w:bottom w:val="single" w:sz="8" w:color="E5FFFF"/>
            </w:tcBorders>
          </w:tcPr>
          <w:p>
            <w:pPr>
              <w:spacing w:after="0"/>
              <w:rPr>
                <w:sz w:val="17"/>
                <w:szCs w:val="17"/>
                <w:color w:val="auto"/>
              </w:rPr>
            </w:pPr>
          </w:p>
        </w:tc>
        <w:tc>
          <w:tcPr>
            <w:tcW w:w="260" w:type="dxa"/>
            <w:vAlign w:val="bottom"/>
            <w:tcBorders>
              <w:bottom w:val="single" w:sz="8" w:color="E5FFFF"/>
            </w:tcBorders>
          </w:tcPr>
          <w:p>
            <w:pPr>
              <w:spacing w:after="0"/>
              <w:rPr>
                <w:sz w:val="17"/>
                <w:szCs w:val="17"/>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43,592</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80" w:type="dxa"/>
            <w:vAlign w:val="bottom"/>
            <w:shd w:val="clear" w:color="auto" w:fill="E5FFFF"/>
          </w:tcPr>
          <w:p>
            <w:pPr>
              <w:spacing w:after="0"/>
              <w:rPr>
                <w:sz w:val="20"/>
                <w:szCs w:val="20"/>
                <w:color w:val="auto"/>
              </w:rPr>
            </w:pPr>
            <w:r>
              <w:rPr>
                <w:rFonts w:ascii="Arial" w:cs="Arial" w:eastAsia="Arial" w:hAnsi="Arial"/>
                <w:sz w:val="16"/>
                <w:szCs w:val="16"/>
                <w:color w:val="auto"/>
              </w:rPr>
              <w:t>Effects of exchange rate changes on cash and cash equivalents</w:t>
            </w:r>
          </w:p>
        </w:tc>
        <w:tc>
          <w:tcPr>
            <w:tcW w:w="420" w:type="dxa"/>
            <w:vAlign w:val="bottom"/>
            <w:shd w:val="clear" w:color="auto" w:fill="E5FFFF"/>
          </w:tcPr>
          <w:p>
            <w:pPr>
              <w:spacing w:after="0"/>
              <w:rPr>
                <w:sz w:val="17"/>
                <w:szCs w:val="17"/>
                <w:color w:val="auto"/>
              </w:rPr>
            </w:pPr>
          </w:p>
        </w:tc>
        <w:tc>
          <w:tcPr>
            <w:tcW w:w="13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459</w:t>
            </w:r>
          </w:p>
        </w:tc>
        <w:tc>
          <w:tcPr>
            <w:tcW w:w="26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13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(131)</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8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Decrease in cash and cash equivalents</w:t>
            </w:r>
          </w:p>
        </w:tc>
        <w:tc>
          <w:tcPr>
            <w:tcW w:w="420" w:type="dxa"/>
            <w:vAlign w:val="bottom"/>
            <w:tcBorders>
              <w:bottom w:val="single" w:sz="8" w:color="E5FFFF"/>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(34,945)</w:t>
            </w:r>
          </w:p>
        </w:tc>
        <w:tc>
          <w:tcPr>
            <w:tcW w:w="260" w:type="dxa"/>
            <w:vAlign w:val="bottom"/>
            <w:tcBorders>
              <w:bottom w:val="single" w:sz="8" w:color="E5FFFF"/>
            </w:tcBorders>
          </w:tcPr>
          <w:p>
            <w:pPr>
              <w:spacing w:after="0"/>
              <w:rPr>
                <w:sz w:val="17"/>
                <w:szCs w:val="17"/>
                <w:color w:val="auto"/>
              </w:rPr>
            </w:pPr>
          </w:p>
        </w:tc>
        <w:tc>
          <w:tcPr>
            <w:tcW w:w="260" w:type="dxa"/>
            <w:vAlign w:val="bottom"/>
            <w:tcBorders>
              <w:bottom w:val="single" w:sz="8" w:color="E5FFFF"/>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(111,844)</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80" w:type="dxa"/>
            <w:vAlign w:val="bottom"/>
            <w:shd w:val="clear" w:color="auto" w:fill="E5FFFF"/>
          </w:tcPr>
          <w:p>
            <w:pPr>
              <w:spacing w:after="0"/>
              <w:rPr>
                <w:sz w:val="20"/>
                <w:szCs w:val="20"/>
                <w:color w:val="auto"/>
              </w:rPr>
            </w:pPr>
            <w:r>
              <w:rPr>
                <w:rFonts w:ascii="Arial" w:cs="Arial" w:eastAsia="Arial" w:hAnsi="Arial"/>
                <w:sz w:val="16"/>
                <w:szCs w:val="16"/>
                <w:color w:val="auto"/>
              </w:rPr>
              <w:t>Cash and cash equivalents, beginning of the period</w:t>
            </w:r>
          </w:p>
        </w:tc>
        <w:tc>
          <w:tcPr>
            <w:tcW w:w="420" w:type="dxa"/>
            <w:vAlign w:val="bottom"/>
            <w:shd w:val="clear" w:color="auto" w:fill="E5FFFF"/>
          </w:tcPr>
          <w:p>
            <w:pPr>
              <w:spacing w:after="0"/>
              <w:rPr>
                <w:sz w:val="17"/>
                <w:szCs w:val="17"/>
                <w:color w:val="auto"/>
              </w:rPr>
            </w:pPr>
          </w:p>
        </w:tc>
        <w:tc>
          <w:tcPr>
            <w:tcW w:w="13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384,092</w:t>
            </w:r>
          </w:p>
        </w:tc>
        <w:tc>
          <w:tcPr>
            <w:tcW w:w="26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13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342,594</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80" w:type="dxa"/>
            <w:vAlign w:val="bottom"/>
          </w:tcPr>
          <w:p>
            <w:pPr>
              <w:spacing w:after="0"/>
              <w:rPr>
                <w:sz w:val="20"/>
                <w:szCs w:val="20"/>
                <w:color w:val="auto"/>
              </w:rPr>
            </w:pPr>
            <w:r>
              <w:rPr>
                <w:rFonts w:ascii="Arial" w:cs="Arial" w:eastAsia="Arial" w:hAnsi="Arial"/>
                <w:sz w:val="16"/>
                <w:szCs w:val="16"/>
                <w:b w:val="1"/>
                <w:bCs w:val="1"/>
                <w:color w:val="auto"/>
              </w:rPr>
              <w:t>Cash and cash equivalents, end of the period</w:t>
            </w:r>
          </w:p>
        </w:tc>
        <w:tc>
          <w:tcPr>
            <w:tcW w:w="420" w:type="dxa"/>
            <w:vAlign w:val="bottom"/>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349,147</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230,750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80" w:type="dxa"/>
            <w:vAlign w:val="bottom"/>
            <w:vMerge w:val="restart"/>
          </w:tcPr>
          <w:p>
            <w:pPr>
              <w:ind w:left="5720"/>
              <w:spacing w:after="0"/>
              <w:rPr>
                <w:sz w:val="20"/>
                <w:szCs w:val="20"/>
                <w:color w:val="auto"/>
              </w:rPr>
            </w:pPr>
            <w:r>
              <w:rPr>
                <w:rFonts w:ascii="Arial" w:cs="Arial" w:eastAsia="Arial" w:hAnsi="Arial"/>
                <w:sz w:val="14"/>
                <w:szCs w:val="14"/>
                <w:color w:val="auto"/>
              </w:rPr>
              <w:t>13</w:t>
            </w:r>
          </w:p>
        </w:tc>
        <w:tc>
          <w:tcPr>
            <w:tcW w:w="4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788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788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7349490</wp:posOffset>
            </wp:positionH>
            <wp:positionV relativeFrom="paragraph">
              <wp:posOffset>-29210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600"/>
          </w:cols>
          <w:pgMar w:left="160" w:top="262" w:right="139" w:bottom="1440" w:gutter="0" w:footer="0" w:header="0"/>
        </w:sectPr>
      </w:pPr>
    </w:p>
    <w:bookmarkStart w:id="13" w:name="page14"/>
    <w:bookmarkEnd w:id="13"/>
    <w:p>
      <w:pPr>
        <w:spacing w:after="0"/>
        <w:rPr>
          <w:sz w:val="20"/>
          <w:szCs w:val="20"/>
          <w:color w:val="auto"/>
        </w:rPr>
      </w:pPr>
      <w:r>
        <w:rPr>
          <w:rFonts w:ascii="Arial" w:cs="Arial" w:eastAsia="Arial" w:hAnsi="Arial"/>
          <w:sz w:val="16"/>
          <w:szCs w:val="16"/>
          <w:b w:val="1"/>
          <w:bCs w:val="1"/>
          <w:color w:val="auto"/>
        </w:rPr>
        <w:t>EXHIBIT II</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Non-GAAP Financial Measures: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EBITDA, Adjusted EBITDA, Adjusted Profit and Adjusted EPS</w:t>
      </w:r>
    </w:p>
    <w:p>
      <w:pPr>
        <w:spacing w:after="0" w:line="239" w:lineRule="exact"/>
        <w:rPr>
          <w:sz w:val="20"/>
          <w:szCs w:val="20"/>
          <w:color w:val="auto"/>
        </w:rPr>
      </w:pPr>
    </w:p>
    <w:p>
      <w:pPr>
        <w:ind w:right="60"/>
        <w:spacing w:after="0" w:line="306" w:lineRule="auto"/>
        <w:rPr>
          <w:sz w:val="20"/>
          <w:szCs w:val="20"/>
          <w:color w:val="auto"/>
        </w:rPr>
      </w:pPr>
      <w:r>
        <w:rPr>
          <w:rFonts w:ascii="Arial" w:cs="Arial" w:eastAsia="Arial" w:hAnsi="Arial"/>
          <w:sz w:val="14"/>
          <w:szCs w:val="14"/>
          <w:color w:val="auto"/>
        </w:rPr>
        <w:t>EBITDA is defined as earnings before depreciation, amortization, financial income and costs, gain/loss on derivatives and taxes. Adjusted EBITDA is defined as EBITDA before foreign exchange gains/losses. Adjusted Profit represents earnings before write-off and accelerated amortization of unamortized loan fees/bond fees and premium, foreign exchange gains/losses and non-cash gain/loss on derivatives that includes (if any) (a) unrealized gain/loss on derivative financial instruments held for trading, (b) recycled loss of cash flow hedges reclassified to profit or loss and (c) ineffective portion of cash flow hedges. Adjusted EPS represents earnings attributable to owners of the Group adjusted for non-cash gain/loss on derivatives as defined above, foreign exchange gains/losses and write-off and accelerated amortization of unamortized loan/bond fees and premium, all adjustments calculated at Group level, without deduction for non-controlling interests, divided by the weighted average number of shares outstanding. EBITDA, Adjusted EBITDA, Adjusted Profit and Adjusted EPS are non-GAAP financial measures that are used as supplemental financial measures by management and external users of financial statements, such as investors, to assess our financial and operating performance. We believe that these non-GAAP financial measures assist our management and investors by increasing the comparability of our performance from period to period. We believe that including EBITDA, Adjusted EBITDA, Adjusted Profit and Adjusted EPS assists our management and investors in (i) understanding and analyzing the results of our operating and business performance, (ii) selecting between investing in us and other investment alternatives and (iii) monitoring our ongoing financial and operational strength in assessing whether to purchase and/or to continue to hold our common shares. This is achieved by excluding the potentially disparate effects between periods of, in the case of EBITDA and Adjusted EBITDA, financial costs, gain/loss on derivatives, taxes, depreciation and amortization; in the case of Adjusted EBITDA, foreign exchange gains/losses; and in the case of Adjusted Profit and Adjusted EPS, non-cash gain/loss on derivatives, foreign exchange gains/losses and write-off and accelerated amortization of unamortized loan fees, which items are affected by various and possibly changing financing methods, financial market conditions, capital structure and historical cost basis, and which items may significantly affect results of operations between periods.</w:t>
      </w:r>
    </w:p>
    <w:p>
      <w:pPr>
        <w:spacing w:after="0" w:line="174" w:lineRule="exact"/>
        <w:rPr>
          <w:sz w:val="20"/>
          <w:szCs w:val="20"/>
          <w:color w:val="auto"/>
        </w:rPr>
      </w:pPr>
    </w:p>
    <w:p>
      <w:pPr>
        <w:ind w:right="60"/>
        <w:spacing w:after="0" w:line="313" w:lineRule="auto"/>
        <w:rPr>
          <w:sz w:val="20"/>
          <w:szCs w:val="20"/>
          <w:color w:val="auto"/>
        </w:rPr>
      </w:pPr>
      <w:r>
        <w:rPr>
          <w:rFonts w:ascii="Arial" w:cs="Arial" w:eastAsia="Arial" w:hAnsi="Arial"/>
          <w:sz w:val="14"/>
          <w:szCs w:val="14"/>
          <w:color w:val="auto"/>
        </w:rPr>
        <w:t>EBITDA, Adjusted EBITDA, Adjusted Profit and Adjusted EPS have limitations as analytical tools and should not be considered as alternatives to, or as substitutes for, or superior to, profit, profit from operations, earnings per share or any other measure of operating performance presented in accordance with IFRS. Some of these limitations include the fact that they do not reflect (i) our cash expenditures or future requirements for capital expenditures or contractual commitments, (ii) changes in, or cash requirements for, our working capital needs and (iii) the cash requirements necessary to service interest or principal payments on our debt. Although depreciation and amortization are non-cash charges, the assets being depreciated and amortized will have to be replaced in the future, and EBITDA and Adjusted EBITDA do not reflect any cash requirements for such replacements. EBITDA, Adjusted EBITDA, Adjusted Profit and Adjusted EPS are not adjusted for all non-cash income or expense items that are reflected in our statements of cash flows and other companies in our industry may calculate these measures differently than we do, limiting their usefulness as a comparative measure.</w:t>
      </w:r>
    </w:p>
    <w:p>
      <w:pPr>
        <w:spacing w:after="0" w:line="164" w:lineRule="exact"/>
        <w:rPr>
          <w:sz w:val="20"/>
          <w:szCs w:val="20"/>
          <w:color w:val="auto"/>
        </w:rPr>
      </w:pPr>
    </w:p>
    <w:p>
      <w:pPr>
        <w:jc w:val="both"/>
        <w:ind w:right="100"/>
        <w:spacing w:after="0" w:line="273" w:lineRule="auto"/>
        <w:rPr>
          <w:sz w:val="20"/>
          <w:szCs w:val="20"/>
          <w:color w:val="auto"/>
        </w:rPr>
      </w:pPr>
      <w:r>
        <w:rPr>
          <w:rFonts w:ascii="Arial" w:cs="Arial" w:eastAsia="Arial" w:hAnsi="Arial"/>
          <w:sz w:val="16"/>
          <w:szCs w:val="16"/>
          <w:color w:val="auto"/>
        </w:rPr>
        <w:t>In evaluating Adjusted EBITDA, Adjusted Profit and Adjusted EPS, you should be aware that in the future we may incur expenses that are the same as or similar to some of the adjustments in this presentation. Our presentation of Adjusted EBITDA, Adjusted Profit and Adjusted EPS should not be construed as an inference that our future results will be unaffected by the excluded items. Therefore, the non-GAAP financial measures as presented below may not be comparable to similarly titled measures of other companies in the shipping or other industries.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Reconciliation of Profit to EBITDA and Adjusted EBITDA:</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(Amounts expressed in thousands of U.S. Dollars)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40" w:type="dxa"/>
            <w:vAlign w:val="bottom"/>
          </w:tcPr>
          <w:p>
            <w:pPr>
              <w:spacing w:after="0"/>
              <w:rPr>
                <w:sz w:val="17"/>
                <w:szCs w:val="17"/>
                <w:color w:val="auto"/>
              </w:rPr>
            </w:pPr>
          </w:p>
        </w:tc>
        <w:tc>
          <w:tcPr>
            <w:tcW w:w="486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3920" w:type="dxa"/>
            <w:vAlign w:val="bottom"/>
            <w:gridSpan w:val="4"/>
          </w:tcPr>
          <w:p>
            <w:pPr>
              <w:ind w:left="640"/>
              <w:spacing w:after="0"/>
              <w:rPr>
                <w:sz w:val="20"/>
                <w:szCs w:val="20"/>
                <w:color w:val="auto"/>
              </w:rPr>
            </w:pPr>
            <w:r>
              <w:rPr>
                <w:rFonts w:ascii="Arial" w:cs="Arial" w:eastAsia="Arial" w:hAnsi="Arial"/>
                <w:sz w:val="16"/>
                <w:szCs w:val="16"/>
                <w:b w:val="1"/>
                <w:bCs w:val="1"/>
                <w:color w:val="auto"/>
              </w:rPr>
              <w:t>For the three months ended</w:t>
            </w:r>
          </w:p>
        </w:tc>
        <w:tc>
          <w:tcPr>
            <w:tcW w:w="0" w:type="dxa"/>
            <w:vAlign w:val="bottom"/>
          </w:tcPr>
          <w:p>
            <w:pPr>
              <w:spacing w:after="0"/>
              <w:rPr>
                <w:sz w:val="1"/>
                <w:szCs w:val="1"/>
                <w:color w:val="auto"/>
              </w:rPr>
            </w:pPr>
          </w:p>
        </w:tc>
      </w:tr>
      <w:tr>
        <w:trPr>
          <w:trHeight w:val="213"/>
        </w:trPr>
        <w:tc>
          <w:tcPr>
            <w:tcW w:w="14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74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rPr>
              <w:t>March 31, 2018</w:t>
            </w:r>
          </w:p>
        </w:tc>
        <w:tc>
          <w:tcPr>
            <w:tcW w:w="2180" w:type="dxa"/>
            <w:vAlign w:val="bottom"/>
            <w:gridSpan w:val="2"/>
          </w:tcPr>
          <w:p>
            <w:pPr>
              <w:ind w:left="200"/>
              <w:spacing w:after="0"/>
              <w:rPr>
                <w:sz w:val="20"/>
                <w:szCs w:val="20"/>
                <w:color w:val="auto"/>
              </w:rPr>
            </w:pPr>
            <w:r>
              <w:rPr>
                <w:rFonts w:ascii="Arial" w:cs="Arial" w:eastAsia="Arial" w:hAnsi="Arial"/>
                <w:sz w:val="16"/>
                <w:szCs w:val="16"/>
                <w:b w:val="1"/>
                <w:bCs w:val="1"/>
                <w:color w:val="auto"/>
              </w:rPr>
              <w:t>March 31, 2019</w:t>
            </w:r>
          </w:p>
        </w:tc>
        <w:tc>
          <w:tcPr>
            <w:tcW w:w="0" w:type="dxa"/>
            <w:vAlign w:val="bottom"/>
          </w:tcPr>
          <w:p>
            <w:pPr>
              <w:spacing w:after="0"/>
              <w:rPr>
                <w:sz w:val="1"/>
                <w:szCs w:val="1"/>
                <w:color w:val="auto"/>
              </w:rPr>
            </w:pPr>
          </w:p>
        </w:tc>
      </w:tr>
      <w:tr>
        <w:trPr>
          <w:trHeight w:val="199"/>
        </w:trPr>
        <w:tc>
          <w:tcPr>
            <w:tcW w:w="140" w:type="dxa"/>
            <w:vAlign w:val="bottom"/>
          </w:tcPr>
          <w:p>
            <w:pPr>
              <w:spacing w:after="0"/>
              <w:rPr>
                <w:sz w:val="17"/>
                <w:szCs w:val="17"/>
                <w:color w:val="auto"/>
              </w:rPr>
            </w:pPr>
          </w:p>
        </w:tc>
        <w:tc>
          <w:tcPr>
            <w:tcW w:w="4860" w:type="dxa"/>
            <w:vAlign w:val="bottom"/>
            <w:tcBorders>
              <w:top w:val="single" w:sz="8" w:color="E5FFFF"/>
            </w:tcBorders>
            <w:shd w:val="clear" w:color="auto" w:fill="E5FFFF"/>
          </w:tcPr>
          <w:p>
            <w:pPr>
              <w:ind w:left="40"/>
              <w:spacing w:after="0"/>
              <w:rPr>
                <w:sz w:val="20"/>
                <w:szCs w:val="20"/>
                <w:color w:val="auto"/>
              </w:rPr>
            </w:pPr>
            <w:r>
              <w:rPr>
                <w:rFonts w:ascii="Arial" w:cs="Arial" w:eastAsia="Arial" w:hAnsi="Arial"/>
                <w:sz w:val="16"/>
                <w:szCs w:val="16"/>
                <w:color w:val="auto"/>
              </w:rPr>
              <w:t>Profit for the period</w:t>
            </w:r>
          </w:p>
        </w:tc>
        <w:tc>
          <w:tcPr>
            <w:tcW w:w="2680" w:type="dxa"/>
            <w:vAlign w:val="bottom"/>
            <w:tcBorders>
              <w:top w:val="single" w:sz="8" w:color="E5FFFF"/>
            </w:tcBorders>
            <w:shd w:val="clear" w:color="auto" w:fill="E5FFFF"/>
          </w:tcPr>
          <w:p>
            <w:pPr>
              <w:spacing w:after="0"/>
              <w:rPr>
                <w:sz w:val="17"/>
                <w:szCs w:val="17"/>
                <w:color w:val="auto"/>
              </w:rPr>
            </w:pPr>
          </w:p>
        </w:tc>
        <w:tc>
          <w:tcPr>
            <w:tcW w:w="14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42,541</w:t>
            </w:r>
          </w:p>
        </w:tc>
        <w:tc>
          <w:tcPr>
            <w:tcW w:w="280" w:type="dxa"/>
            <w:vAlign w:val="bottom"/>
            <w:tcBorders>
              <w:top w:val="single" w:sz="8" w:color="E5FFFF"/>
            </w:tcBorders>
            <w:shd w:val="clear" w:color="auto" w:fill="E5FFFF"/>
          </w:tcPr>
          <w:p>
            <w:pPr>
              <w:spacing w:after="0"/>
              <w:rPr>
                <w:sz w:val="17"/>
                <w:szCs w:val="17"/>
                <w:color w:val="auto"/>
              </w:rPr>
            </w:pPr>
          </w:p>
        </w:tc>
        <w:tc>
          <w:tcPr>
            <w:tcW w:w="14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5,899</w:t>
            </w: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0" w:type="dxa"/>
            <w:vAlign w:val="bottom"/>
          </w:tcPr>
          <w:p>
            <w:pPr>
              <w:spacing w:after="0"/>
              <w:rPr>
                <w:sz w:val="17"/>
                <w:szCs w:val="17"/>
                <w:color w:val="auto"/>
              </w:rPr>
            </w:pPr>
          </w:p>
        </w:tc>
        <w:tc>
          <w:tcPr>
            <w:tcW w:w="4860" w:type="dxa"/>
            <w:vAlign w:val="bottom"/>
          </w:tcPr>
          <w:p>
            <w:pPr>
              <w:ind w:left="40"/>
              <w:spacing w:after="0"/>
              <w:rPr>
                <w:sz w:val="20"/>
                <w:szCs w:val="20"/>
                <w:color w:val="auto"/>
              </w:rPr>
            </w:pPr>
            <w:r>
              <w:rPr>
                <w:rFonts w:ascii="Arial" w:cs="Arial" w:eastAsia="Arial" w:hAnsi="Arial"/>
                <w:sz w:val="16"/>
                <w:szCs w:val="16"/>
                <w:color w:val="auto"/>
              </w:rPr>
              <w:t>Depreciation</w:t>
            </w:r>
          </w:p>
        </w:tc>
        <w:tc>
          <w:tcPr>
            <w:tcW w:w="4140" w:type="dxa"/>
            <w:vAlign w:val="bottom"/>
            <w:gridSpan w:val="2"/>
          </w:tcPr>
          <w:p>
            <w:pPr>
              <w:jc w:val="right"/>
              <w:spacing w:after="0"/>
              <w:rPr>
                <w:sz w:val="20"/>
                <w:szCs w:val="20"/>
                <w:color w:val="auto"/>
              </w:rPr>
            </w:pPr>
            <w:r>
              <w:rPr>
                <w:rFonts w:ascii="Arial" w:cs="Arial" w:eastAsia="Arial" w:hAnsi="Arial"/>
                <w:sz w:val="16"/>
                <w:szCs w:val="16"/>
                <w:color w:val="auto"/>
              </w:rPr>
              <w:t>35,529</w:t>
            </w:r>
          </w:p>
        </w:tc>
        <w:tc>
          <w:tcPr>
            <w:tcW w:w="2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39,599</w:t>
            </w: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0" w:type="dxa"/>
            <w:vAlign w:val="bottom"/>
          </w:tcPr>
          <w:p>
            <w:pPr>
              <w:spacing w:after="0"/>
              <w:rPr>
                <w:sz w:val="17"/>
                <w:szCs w:val="17"/>
                <w:color w:val="auto"/>
              </w:rPr>
            </w:pPr>
          </w:p>
        </w:tc>
        <w:tc>
          <w:tcPr>
            <w:tcW w:w="4860" w:type="dxa"/>
            <w:vAlign w:val="bottom"/>
            <w:shd w:val="clear" w:color="auto" w:fill="E5FFFF"/>
          </w:tcPr>
          <w:p>
            <w:pPr>
              <w:ind w:left="40"/>
              <w:spacing w:after="0"/>
              <w:rPr>
                <w:sz w:val="20"/>
                <w:szCs w:val="20"/>
                <w:color w:val="auto"/>
              </w:rPr>
            </w:pPr>
            <w:r>
              <w:rPr>
                <w:rFonts w:ascii="Arial" w:cs="Arial" w:eastAsia="Arial" w:hAnsi="Arial"/>
                <w:sz w:val="16"/>
                <w:szCs w:val="16"/>
                <w:color w:val="auto"/>
              </w:rPr>
              <w:t>Financial costs</w:t>
            </w:r>
          </w:p>
        </w:tc>
        <w:tc>
          <w:tcPr>
            <w:tcW w:w="414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36,597</w:t>
            </w:r>
          </w:p>
        </w:tc>
        <w:tc>
          <w:tcPr>
            <w:tcW w:w="280" w:type="dxa"/>
            <w:vAlign w:val="bottom"/>
            <w:shd w:val="clear" w:color="auto" w:fill="E5FFFF"/>
          </w:tcPr>
          <w:p>
            <w:pPr>
              <w:spacing w:after="0"/>
              <w:rPr>
                <w:sz w:val="17"/>
                <w:szCs w:val="17"/>
                <w:color w:val="auto"/>
              </w:rPr>
            </w:pPr>
          </w:p>
        </w:tc>
        <w:tc>
          <w:tcPr>
            <w:tcW w:w="14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45,507</w:t>
            </w: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0" w:type="dxa"/>
            <w:vAlign w:val="bottom"/>
          </w:tcPr>
          <w:p>
            <w:pPr>
              <w:spacing w:after="0"/>
              <w:rPr>
                <w:sz w:val="17"/>
                <w:szCs w:val="17"/>
                <w:color w:val="auto"/>
              </w:rPr>
            </w:pPr>
          </w:p>
        </w:tc>
        <w:tc>
          <w:tcPr>
            <w:tcW w:w="4860" w:type="dxa"/>
            <w:vAlign w:val="bottom"/>
          </w:tcPr>
          <w:p>
            <w:pPr>
              <w:ind w:left="40"/>
              <w:spacing w:after="0"/>
              <w:rPr>
                <w:sz w:val="20"/>
                <w:szCs w:val="20"/>
                <w:color w:val="auto"/>
              </w:rPr>
            </w:pPr>
            <w:r>
              <w:rPr>
                <w:rFonts w:ascii="Arial" w:cs="Arial" w:eastAsia="Arial" w:hAnsi="Arial"/>
                <w:sz w:val="16"/>
                <w:szCs w:val="16"/>
                <w:color w:val="auto"/>
              </w:rPr>
              <w:t>Financial income</w:t>
            </w:r>
          </w:p>
        </w:tc>
        <w:tc>
          <w:tcPr>
            <w:tcW w:w="4420" w:type="dxa"/>
            <w:vAlign w:val="bottom"/>
            <w:gridSpan w:val="3"/>
          </w:tcPr>
          <w:p>
            <w:pPr>
              <w:jc w:val="right"/>
              <w:ind w:right="240"/>
              <w:spacing w:after="0"/>
              <w:rPr>
                <w:sz w:val="20"/>
                <w:szCs w:val="20"/>
                <w:color w:val="auto"/>
              </w:rPr>
            </w:pPr>
            <w:r>
              <w:rPr>
                <w:rFonts w:ascii="Arial" w:cs="Arial" w:eastAsia="Arial" w:hAnsi="Arial"/>
                <w:sz w:val="16"/>
                <w:szCs w:val="16"/>
                <w:color w:val="auto"/>
              </w:rPr>
              <w:t>(1,016)</w:t>
            </w:r>
          </w:p>
        </w:tc>
        <w:tc>
          <w:tcPr>
            <w:tcW w:w="1460" w:type="dxa"/>
            <w:vAlign w:val="bottom"/>
          </w:tcPr>
          <w:p>
            <w:pPr>
              <w:jc w:val="right"/>
              <w:spacing w:after="0"/>
              <w:rPr>
                <w:sz w:val="20"/>
                <w:szCs w:val="20"/>
                <w:color w:val="auto"/>
              </w:rPr>
            </w:pPr>
            <w:r>
              <w:rPr>
                <w:rFonts w:ascii="Arial" w:cs="Arial" w:eastAsia="Arial" w:hAnsi="Arial"/>
                <w:sz w:val="16"/>
                <w:szCs w:val="16"/>
                <w:color w:val="auto"/>
              </w:rPr>
              <w:t>(1,459)</w:t>
            </w: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0" w:type="dxa"/>
            <w:vAlign w:val="bottom"/>
          </w:tcPr>
          <w:p>
            <w:pPr>
              <w:spacing w:after="0"/>
              <w:rPr>
                <w:sz w:val="17"/>
                <w:szCs w:val="17"/>
                <w:color w:val="auto"/>
              </w:rPr>
            </w:pPr>
          </w:p>
        </w:tc>
        <w:tc>
          <w:tcPr>
            <w:tcW w:w="4860" w:type="dxa"/>
            <w:vAlign w:val="bottom"/>
            <w:shd w:val="clear" w:color="auto" w:fill="E5FFFF"/>
          </w:tcPr>
          <w:p>
            <w:pPr>
              <w:spacing w:after="0"/>
              <w:rPr>
                <w:sz w:val="20"/>
                <w:szCs w:val="20"/>
                <w:color w:val="auto"/>
              </w:rPr>
            </w:pPr>
            <w:r>
              <w:rPr>
                <w:rFonts w:ascii="Arial" w:cs="Arial" w:eastAsia="Arial" w:hAnsi="Arial"/>
                <w:sz w:val="16"/>
                <w:szCs w:val="16"/>
                <w:color w:val="auto"/>
              </w:rPr>
              <w:t>(Gain)/loss on derivatives</w:t>
            </w:r>
          </w:p>
        </w:tc>
        <w:tc>
          <w:tcPr>
            <w:tcW w:w="4420" w:type="dxa"/>
            <w:vAlign w:val="bottom"/>
            <w:gridSpan w:val="3"/>
            <w:shd w:val="clear" w:color="auto" w:fill="E5FFFF"/>
          </w:tcPr>
          <w:p>
            <w:pPr>
              <w:jc w:val="right"/>
              <w:ind w:right="240"/>
              <w:spacing w:after="0"/>
              <w:rPr>
                <w:sz w:val="20"/>
                <w:szCs w:val="20"/>
                <w:color w:val="auto"/>
              </w:rPr>
            </w:pPr>
            <w:r>
              <w:rPr>
                <w:rFonts w:ascii="Arial" w:cs="Arial" w:eastAsia="Arial" w:hAnsi="Arial"/>
                <w:sz w:val="16"/>
                <w:szCs w:val="16"/>
                <w:color w:val="auto"/>
              </w:rPr>
              <w:t>(17,771)</w:t>
            </w:r>
          </w:p>
        </w:tc>
        <w:tc>
          <w:tcPr>
            <w:tcW w:w="14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20,244</w:t>
            </w: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486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EBITDA</w:t>
            </w:r>
          </w:p>
        </w:tc>
        <w:tc>
          <w:tcPr>
            <w:tcW w:w="2680" w:type="dxa"/>
            <w:vAlign w:val="bottom"/>
            <w:tcBorders>
              <w:bottom w:val="single" w:sz="8" w:color="E5FFFF"/>
            </w:tcBorders>
          </w:tcPr>
          <w:p>
            <w:pPr>
              <w:spacing w:after="0"/>
              <w:rPr>
                <w:sz w:val="17"/>
                <w:szCs w:val="17"/>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95,880</w:t>
            </w:r>
          </w:p>
        </w:tc>
        <w:tc>
          <w:tcPr>
            <w:tcW w:w="280" w:type="dxa"/>
            <w:vAlign w:val="bottom"/>
            <w:tcBorders>
              <w:bottom w:val="single" w:sz="8" w:color="E5FFFF"/>
            </w:tcBorders>
          </w:tcPr>
          <w:p>
            <w:pPr>
              <w:spacing w:after="0"/>
              <w:rPr>
                <w:sz w:val="17"/>
                <w:szCs w:val="17"/>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109,790</w:t>
            </w: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4860" w:type="dxa"/>
            <w:vAlign w:val="bottom"/>
            <w:shd w:val="clear" w:color="auto" w:fill="E5FFFF"/>
          </w:tcPr>
          <w:p>
            <w:pPr>
              <w:spacing w:after="0"/>
              <w:rPr>
                <w:sz w:val="20"/>
                <w:szCs w:val="20"/>
                <w:color w:val="auto"/>
              </w:rPr>
            </w:pPr>
            <w:r>
              <w:rPr>
                <w:rFonts w:ascii="Arial" w:cs="Arial" w:eastAsia="Arial" w:hAnsi="Arial"/>
                <w:sz w:val="16"/>
                <w:szCs w:val="16"/>
                <w:color w:val="auto"/>
              </w:rPr>
              <w:t>Foreign exchange (gains)/losses, net</w:t>
            </w:r>
          </w:p>
        </w:tc>
        <w:tc>
          <w:tcPr>
            <w:tcW w:w="2680" w:type="dxa"/>
            <w:vAlign w:val="bottom"/>
            <w:shd w:val="clear" w:color="auto" w:fill="E5FFFF"/>
          </w:tcPr>
          <w:p>
            <w:pPr>
              <w:spacing w:after="0"/>
              <w:rPr>
                <w:sz w:val="17"/>
                <w:szCs w:val="17"/>
                <w:color w:val="auto"/>
              </w:rPr>
            </w:pPr>
          </w:p>
        </w:tc>
        <w:tc>
          <w:tcPr>
            <w:tcW w:w="14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(354)</w:t>
            </w:r>
          </w:p>
        </w:tc>
        <w:tc>
          <w:tcPr>
            <w:tcW w:w="280" w:type="dxa"/>
            <w:vAlign w:val="bottom"/>
            <w:shd w:val="clear" w:color="auto" w:fill="E5FFFF"/>
          </w:tcPr>
          <w:p>
            <w:pPr>
              <w:spacing w:after="0"/>
              <w:rPr>
                <w:sz w:val="17"/>
                <w:szCs w:val="17"/>
                <w:color w:val="auto"/>
              </w:rPr>
            </w:pPr>
          </w:p>
        </w:tc>
        <w:tc>
          <w:tcPr>
            <w:tcW w:w="14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150</w:t>
            </w: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4860" w:type="dxa"/>
            <w:vAlign w:val="bottom"/>
          </w:tcPr>
          <w:p>
            <w:pPr>
              <w:spacing w:after="0"/>
              <w:rPr>
                <w:sz w:val="20"/>
                <w:szCs w:val="20"/>
                <w:color w:val="auto"/>
              </w:rPr>
            </w:pPr>
            <w:r>
              <w:rPr>
                <w:rFonts w:ascii="Arial" w:cs="Arial" w:eastAsia="Arial" w:hAnsi="Arial"/>
                <w:sz w:val="16"/>
                <w:szCs w:val="16"/>
                <w:b w:val="1"/>
                <w:bCs w:val="1"/>
                <w:color w:val="auto"/>
              </w:rPr>
              <w:t>Adjusted EBITDA</w:t>
            </w:r>
          </w:p>
        </w:tc>
        <w:tc>
          <w:tcPr>
            <w:tcW w:w="2680" w:type="dxa"/>
            <w:vAlign w:val="bottom"/>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95,526</w:t>
            </w:r>
          </w:p>
        </w:tc>
        <w:tc>
          <w:tcPr>
            <w:tcW w:w="280" w:type="dxa"/>
            <w:vAlign w:val="bottom"/>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109,940</w:t>
            </w: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Reconciliation of Profit to Adjusted Profit:</w:t>
            </w:r>
          </w:p>
        </w:tc>
        <w:tc>
          <w:tcPr>
            <w:tcW w:w="26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5000" w:type="dxa"/>
            <w:vAlign w:val="bottom"/>
            <w:gridSpan w:val="2"/>
            <w:vMerge w:val="continue"/>
          </w:tcPr>
          <w:p>
            <w:pPr>
              <w:spacing w:after="0"/>
              <w:rPr>
                <w:sz w:val="24"/>
                <w:szCs w:val="24"/>
                <w:color w:val="auto"/>
              </w:rPr>
            </w:pPr>
          </w:p>
        </w:tc>
        <w:tc>
          <w:tcPr>
            <w:tcW w:w="26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000" w:type="dxa"/>
            <w:vAlign w:val="bottom"/>
            <w:gridSpan w:val="2"/>
          </w:tcPr>
          <w:p>
            <w:pPr>
              <w:spacing w:after="0"/>
              <w:rPr>
                <w:sz w:val="20"/>
                <w:szCs w:val="20"/>
                <w:color w:val="auto"/>
              </w:rPr>
            </w:pPr>
            <w:r>
              <w:rPr>
                <w:rFonts w:ascii="Arial" w:cs="Arial" w:eastAsia="Arial" w:hAnsi="Arial"/>
                <w:sz w:val="16"/>
                <w:szCs w:val="16"/>
                <w:b w:val="1"/>
                <w:bCs w:val="1"/>
                <w:color w:val="auto"/>
              </w:rPr>
              <w:t>(Amounts expressed in thousands of U.S. Dollars)</w:t>
            </w:r>
          </w:p>
        </w:tc>
        <w:tc>
          <w:tcPr>
            <w:tcW w:w="26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14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3920" w:type="dxa"/>
            <w:vAlign w:val="bottom"/>
            <w:gridSpan w:val="4"/>
          </w:tcPr>
          <w:p>
            <w:pPr>
              <w:ind w:left="640"/>
              <w:spacing w:after="0"/>
              <w:rPr>
                <w:sz w:val="20"/>
                <w:szCs w:val="20"/>
                <w:color w:val="auto"/>
              </w:rPr>
            </w:pPr>
            <w:r>
              <w:rPr>
                <w:rFonts w:ascii="Arial" w:cs="Arial" w:eastAsia="Arial" w:hAnsi="Arial"/>
                <w:sz w:val="16"/>
                <w:szCs w:val="16"/>
                <w:b w:val="1"/>
                <w:bCs w:val="1"/>
                <w:color w:val="auto"/>
              </w:rPr>
              <w:t>For the three months ended</w:t>
            </w:r>
          </w:p>
        </w:tc>
        <w:tc>
          <w:tcPr>
            <w:tcW w:w="0" w:type="dxa"/>
            <w:vAlign w:val="bottom"/>
          </w:tcPr>
          <w:p>
            <w:pPr>
              <w:spacing w:after="0"/>
              <w:rPr>
                <w:sz w:val="1"/>
                <w:szCs w:val="1"/>
                <w:color w:val="auto"/>
              </w:rPr>
            </w:pPr>
          </w:p>
        </w:tc>
      </w:tr>
      <w:tr>
        <w:trPr>
          <w:trHeight w:val="210"/>
        </w:trPr>
        <w:tc>
          <w:tcPr>
            <w:tcW w:w="14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74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rPr>
              <w:t>March 31, 2018</w:t>
            </w:r>
          </w:p>
        </w:tc>
        <w:tc>
          <w:tcPr>
            <w:tcW w:w="2180" w:type="dxa"/>
            <w:vAlign w:val="bottom"/>
            <w:gridSpan w:val="2"/>
          </w:tcPr>
          <w:p>
            <w:pPr>
              <w:ind w:left="200"/>
              <w:spacing w:after="0"/>
              <w:rPr>
                <w:sz w:val="20"/>
                <w:szCs w:val="20"/>
                <w:color w:val="auto"/>
              </w:rPr>
            </w:pPr>
            <w:r>
              <w:rPr>
                <w:rFonts w:ascii="Arial" w:cs="Arial" w:eastAsia="Arial" w:hAnsi="Arial"/>
                <w:sz w:val="16"/>
                <w:szCs w:val="16"/>
                <w:b w:val="1"/>
                <w:bCs w:val="1"/>
                <w:color w:val="auto"/>
              </w:rPr>
              <w:t>March 31, 2019</w:t>
            </w:r>
          </w:p>
        </w:tc>
        <w:tc>
          <w:tcPr>
            <w:tcW w:w="0" w:type="dxa"/>
            <w:vAlign w:val="bottom"/>
          </w:tcPr>
          <w:p>
            <w:pPr>
              <w:spacing w:after="0"/>
              <w:rPr>
                <w:sz w:val="1"/>
                <w:szCs w:val="1"/>
                <w:color w:val="auto"/>
              </w:rPr>
            </w:pPr>
          </w:p>
        </w:tc>
      </w:tr>
      <w:tr>
        <w:trPr>
          <w:trHeight w:val="202"/>
        </w:trPr>
        <w:tc>
          <w:tcPr>
            <w:tcW w:w="140" w:type="dxa"/>
            <w:vAlign w:val="bottom"/>
          </w:tcPr>
          <w:p>
            <w:pPr>
              <w:spacing w:after="0"/>
              <w:rPr>
                <w:sz w:val="17"/>
                <w:szCs w:val="17"/>
                <w:color w:val="auto"/>
              </w:rPr>
            </w:pPr>
          </w:p>
        </w:tc>
        <w:tc>
          <w:tcPr>
            <w:tcW w:w="486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Profit for the period</w:t>
            </w:r>
          </w:p>
        </w:tc>
        <w:tc>
          <w:tcPr>
            <w:tcW w:w="2680" w:type="dxa"/>
            <w:vAlign w:val="bottom"/>
            <w:tcBorders>
              <w:top w:val="single" w:sz="8" w:color="E5FFFF"/>
            </w:tcBorders>
            <w:shd w:val="clear" w:color="auto" w:fill="E5FFFF"/>
          </w:tcPr>
          <w:p>
            <w:pPr>
              <w:spacing w:after="0"/>
              <w:rPr>
                <w:sz w:val="17"/>
                <w:szCs w:val="17"/>
                <w:color w:val="auto"/>
              </w:rPr>
            </w:pPr>
          </w:p>
        </w:tc>
        <w:tc>
          <w:tcPr>
            <w:tcW w:w="14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42,541</w:t>
            </w:r>
          </w:p>
        </w:tc>
        <w:tc>
          <w:tcPr>
            <w:tcW w:w="280" w:type="dxa"/>
            <w:vAlign w:val="bottom"/>
            <w:tcBorders>
              <w:top w:val="single" w:sz="8" w:color="E5FFFF"/>
            </w:tcBorders>
            <w:shd w:val="clear" w:color="auto" w:fill="E5FFFF"/>
          </w:tcPr>
          <w:p>
            <w:pPr>
              <w:spacing w:after="0"/>
              <w:rPr>
                <w:sz w:val="17"/>
                <w:szCs w:val="17"/>
                <w:color w:val="auto"/>
              </w:rPr>
            </w:pPr>
          </w:p>
        </w:tc>
        <w:tc>
          <w:tcPr>
            <w:tcW w:w="14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5,899</w:t>
            </w: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0" w:type="dxa"/>
            <w:vAlign w:val="bottom"/>
          </w:tcPr>
          <w:p>
            <w:pPr>
              <w:spacing w:after="0"/>
              <w:rPr>
                <w:sz w:val="17"/>
                <w:szCs w:val="17"/>
                <w:color w:val="auto"/>
              </w:rPr>
            </w:pPr>
          </w:p>
        </w:tc>
        <w:tc>
          <w:tcPr>
            <w:tcW w:w="4860" w:type="dxa"/>
            <w:vAlign w:val="bottom"/>
          </w:tcPr>
          <w:p>
            <w:pPr>
              <w:spacing w:after="0"/>
              <w:rPr>
                <w:sz w:val="20"/>
                <w:szCs w:val="20"/>
                <w:color w:val="auto"/>
              </w:rPr>
            </w:pPr>
            <w:r>
              <w:rPr>
                <w:rFonts w:ascii="Arial" w:cs="Arial" w:eastAsia="Arial" w:hAnsi="Arial"/>
                <w:sz w:val="16"/>
                <w:szCs w:val="16"/>
                <w:color w:val="auto"/>
              </w:rPr>
              <w:t>Non-cash (gain)/loss on derivatives</w:t>
            </w:r>
          </w:p>
        </w:tc>
        <w:tc>
          <w:tcPr>
            <w:tcW w:w="4420" w:type="dxa"/>
            <w:vAlign w:val="bottom"/>
            <w:gridSpan w:val="3"/>
          </w:tcPr>
          <w:p>
            <w:pPr>
              <w:jc w:val="right"/>
              <w:ind w:right="240"/>
              <w:spacing w:after="0"/>
              <w:rPr>
                <w:sz w:val="20"/>
                <w:szCs w:val="20"/>
                <w:color w:val="auto"/>
              </w:rPr>
            </w:pPr>
            <w:r>
              <w:rPr>
                <w:rFonts w:ascii="Arial" w:cs="Arial" w:eastAsia="Arial" w:hAnsi="Arial"/>
                <w:sz w:val="16"/>
                <w:szCs w:val="16"/>
                <w:color w:val="auto"/>
              </w:rPr>
              <w:t>(16,898)</w:t>
            </w:r>
          </w:p>
        </w:tc>
        <w:tc>
          <w:tcPr>
            <w:tcW w:w="1460" w:type="dxa"/>
            <w:vAlign w:val="bottom"/>
          </w:tcPr>
          <w:p>
            <w:pPr>
              <w:jc w:val="right"/>
              <w:spacing w:after="0"/>
              <w:rPr>
                <w:sz w:val="20"/>
                <w:szCs w:val="20"/>
                <w:color w:val="auto"/>
              </w:rPr>
            </w:pPr>
            <w:r>
              <w:rPr>
                <w:rFonts w:ascii="Arial" w:cs="Arial" w:eastAsia="Arial" w:hAnsi="Arial"/>
                <w:sz w:val="16"/>
                <w:szCs w:val="16"/>
                <w:color w:val="auto"/>
              </w:rPr>
              <w:t>21,103</w:t>
            </w: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0" w:type="dxa"/>
            <w:vAlign w:val="bottom"/>
          </w:tcPr>
          <w:p>
            <w:pPr>
              <w:spacing w:after="0"/>
              <w:rPr>
                <w:sz w:val="17"/>
                <w:szCs w:val="17"/>
                <w:color w:val="auto"/>
              </w:rPr>
            </w:pPr>
          </w:p>
        </w:tc>
        <w:tc>
          <w:tcPr>
            <w:tcW w:w="4860" w:type="dxa"/>
            <w:vAlign w:val="bottom"/>
            <w:shd w:val="clear" w:color="auto" w:fill="E5FFFF"/>
          </w:tcPr>
          <w:p>
            <w:pPr>
              <w:spacing w:after="0"/>
              <w:rPr>
                <w:sz w:val="20"/>
                <w:szCs w:val="20"/>
                <w:color w:val="auto"/>
              </w:rPr>
            </w:pPr>
            <w:r>
              <w:rPr>
                <w:rFonts w:ascii="Arial" w:cs="Arial" w:eastAsia="Arial" w:hAnsi="Arial"/>
                <w:sz w:val="16"/>
                <w:szCs w:val="16"/>
                <w:color w:val="auto"/>
              </w:rPr>
              <w:t>Write-off and accelerated amortization of unamortized loan fees</w:t>
            </w:r>
          </w:p>
        </w:tc>
        <w:tc>
          <w:tcPr>
            <w:tcW w:w="2680" w:type="dxa"/>
            <w:vAlign w:val="bottom"/>
            <w:shd w:val="clear" w:color="auto" w:fill="E5FFFF"/>
          </w:tcPr>
          <w:p>
            <w:pPr>
              <w:spacing w:after="0"/>
              <w:rPr>
                <w:sz w:val="17"/>
                <w:szCs w:val="17"/>
                <w:color w:val="auto"/>
              </w:rPr>
            </w:pPr>
          </w:p>
        </w:tc>
        <w:tc>
          <w:tcPr>
            <w:tcW w:w="1740" w:type="dxa"/>
            <w:vAlign w:val="bottom"/>
            <w:gridSpan w:val="2"/>
            <w:shd w:val="clear" w:color="auto" w:fill="E5FFFF"/>
          </w:tcPr>
          <w:p>
            <w:pPr>
              <w:jc w:val="right"/>
              <w:ind w:right="300"/>
              <w:spacing w:after="0"/>
              <w:rPr>
                <w:sz w:val="20"/>
                <w:szCs w:val="20"/>
                <w:color w:val="auto"/>
              </w:rPr>
            </w:pPr>
            <w:r>
              <w:rPr>
                <w:rFonts w:ascii="Arial" w:cs="Arial" w:eastAsia="Arial" w:hAnsi="Arial"/>
                <w:sz w:val="16"/>
                <w:szCs w:val="16"/>
                <w:color w:val="auto"/>
              </w:rPr>
              <w:t>—</w:t>
            </w:r>
          </w:p>
        </w:tc>
        <w:tc>
          <w:tcPr>
            <w:tcW w:w="14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988</w:t>
            </w: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0" w:type="dxa"/>
            <w:vAlign w:val="bottom"/>
          </w:tcPr>
          <w:p>
            <w:pPr>
              <w:spacing w:after="0"/>
              <w:rPr>
                <w:sz w:val="17"/>
                <w:szCs w:val="17"/>
                <w:color w:val="auto"/>
              </w:rPr>
            </w:pPr>
          </w:p>
        </w:tc>
        <w:tc>
          <w:tcPr>
            <w:tcW w:w="4860" w:type="dxa"/>
            <w:vAlign w:val="bottom"/>
          </w:tcPr>
          <w:p>
            <w:pPr>
              <w:spacing w:after="0"/>
              <w:rPr>
                <w:sz w:val="20"/>
                <w:szCs w:val="20"/>
                <w:color w:val="auto"/>
              </w:rPr>
            </w:pPr>
            <w:r>
              <w:rPr>
                <w:rFonts w:ascii="Arial" w:cs="Arial" w:eastAsia="Arial" w:hAnsi="Arial"/>
                <w:sz w:val="16"/>
                <w:szCs w:val="16"/>
                <w:color w:val="auto"/>
              </w:rPr>
              <w:t>Foreign exchange (gains)/losses, net</w:t>
            </w:r>
          </w:p>
        </w:tc>
        <w:tc>
          <w:tcPr>
            <w:tcW w:w="4420" w:type="dxa"/>
            <w:vAlign w:val="bottom"/>
            <w:gridSpan w:val="3"/>
          </w:tcPr>
          <w:p>
            <w:pPr>
              <w:jc w:val="right"/>
              <w:ind w:right="240"/>
              <w:spacing w:after="0"/>
              <w:rPr>
                <w:sz w:val="20"/>
                <w:szCs w:val="20"/>
                <w:color w:val="auto"/>
              </w:rPr>
            </w:pPr>
            <w:r>
              <w:rPr>
                <w:rFonts w:ascii="Arial" w:cs="Arial" w:eastAsia="Arial" w:hAnsi="Arial"/>
                <w:sz w:val="16"/>
                <w:szCs w:val="16"/>
                <w:color w:val="auto"/>
              </w:rPr>
              <w:t>(354)</w:t>
            </w:r>
          </w:p>
        </w:tc>
        <w:tc>
          <w:tcPr>
            <w:tcW w:w="1460" w:type="dxa"/>
            <w:vAlign w:val="bottom"/>
          </w:tcPr>
          <w:p>
            <w:pPr>
              <w:jc w:val="right"/>
              <w:spacing w:after="0"/>
              <w:rPr>
                <w:sz w:val="20"/>
                <w:szCs w:val="20"/>
                <w:color w:val="auto"/>
              </w:rPr>
            </w:pPr>
            <w:r>
              <w:rPr>
                <w:rFonts w:ascii="Arial" w:cs="Arial" w:eastAsia="Arial" w:hAnsi="Arial"/>
                <w:sz w:val="16"/>
                <w:szCs w:val="16"/>
                <w:color w:val="auto"/>
              </w:rPr>
              <w:t>150</w:t>
            </w: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4860" w:type="dxa"/>
            <w:vAlign w:val="bottom"/>
            <w:tcBorders>
              <w:top w:val="single" w:sz="8" w:color="E5FFFF"/>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Adjusted Profit</w:t>
            </w:r>
          </w:p>
        </w:tc>
        <w:tc>
          <w:tcPr>
            <w:tcW w:w="2680" w:type="dxa"/>
            <w:vAlign w:val="bottom"/>
            <w:tcBorders>
              <w:top w:val="single" w:sz="8" w:color="E5FFFF"/>
              <w:bottom w:val="single" w:sz="8" w:color="E5FFFF"/>
            </w:tcBorders>
            <w:shd w:val="clear" w:color="auto" w:fill="E5FFFF"/>
          </w:tcPr>
          <w:p>
            <w:pPr>
              <w:spacing w:after="0"/>
              <w:rPr>
                <w:sz w:val="17"/>
                <w:szCs w:val="17"/>
                <w:color w:val="auto"/>
              </w:rPr>
            </w:pPr>
          </w:p>
        </w:tc>
        <w:tc>
          <w:tcPr>
            <w:tcW w:w="14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25,289</w:t>
            </w:r>
          </w:p>
        </w:tc>
        <w:tc>
          <w:tcPr>
            <w:tcW w:w="280" w:type="dxa"/>
            <w:vAlign w:val="bottom"/>
            <w:tcBorders>
              <w:top w:val="single" w:sz="8" w:color="E5FFFF"/>
              <w:bottom w:val="single" w:sz="8" w:color="E5FFFF"/>
            </w:tcBorders>
            <w:shd w:val="clear" w:color="auto" w:fill="E5FFFF"/>
          </w:tcPr>
          <w:p>
            <w:pPr>
              <w:spacing w:after="0"/>
              <w:rPr>
                <w:sz w:val="17"/>
                <w:szCs w:val="17"/>
                <w:color w:val="auto"/>
              </w:rPr>
            </w:pPr>
          </w:p>
        </w:tc>
        <w:tc>
          <w:tcPr>
            <w:tcW w:w="14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28,140</w:t>
            </w: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2680" w:type="dxa"/>
            <w:vAlign w:val="bottom"/>
            <w:vMerge w:val="restart"/>
          </w:tcPr>
          <w:p>
            <w:pPr>
              <w:jc w:val="right"/>
              <w:ind w:right="1740"/>
              <w:spacing w:after="0"/>
              <w:rPr>
                <w:sz w:val="20"/>
                <w:szCs w:val="20"/>
                <w:color w:val="auto"/>
              </w:rPr>
            </w:pPr>
            <w:r>
              <w:rPr>
                <w:rFonts w:ascii="Arial" w:cs="Arial" w:eastAsia="Arial" w:hAnsi="Arial"/>
                <w:sz w:val="14"/>
                <w:szCs w:val="14"/>
                <w:color w:val="auto"/>
              </w:rPr>
              <w:t>14</w:t>
            </w:r>
          </w:p>
        </w:tc>
        <w:tc>
          <w:tcPr>
            <w:tcW w:w="1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14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2680" w:type="dxa"/>
            <w:vAlign w:val="bottom"/>
            <w:vMerge w:val="continue"/>
          </w:tcPr>
          <w:p>
            <w:pPr>
              <w:spacing w:after="0"/>
              <w:rPr>
                <w:sz w:val="24"/>
                <w:szCs w:val="24"/>
                <w:color w:val="auto"/>
              </w:rPr>
            </w:pPr>
          </w:p>
        </w:tc>
        <w:tc>
          <w:tcPr>
            <w:tcW w:w="1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140" w:type="dxa"/>
            <w:vAlign w:val="bottom"/>
            <w:tcBorders>
              <w:bottom w:val="single" w:sz="8" w:color="808080"/>
            </w:tcBorders>
          </w:tcPr>
          <w:p>
            <w:pPr>
              <w:spacing w:after="0"/>
              <w:rPr>
                <w:sz w:val="10"/>
                <w:szCs w:val="10"/>
                <w:color w:val="auto"/>
              </w:rPr>
            </w:pPr>
          </w:p>
        </w:tc>
        <w:tc>
          <w:tcPr>
            <w:tcW w:w="4860" w:type="dxa"/>
            <w:vAlign w:val="bottom"/>
            <w:tcBorders>
              <w:bottom w:val="single" w:sz="8" w:color="808080"/>
            </w:tcBorders>
          </w:tcPr>
          <w:p>
            <w:pPr>
              <w:spacing w:after="0"/>
              <w:rPr>
                <w:sz w:val="10"/>
                <w:szCs w:val="10"/>
                <w:color w:val="auto"/>
              </w:rPr>
            </w:pPr>
          </w:p>
        </w:tc>
        <w:tc>
          <w:tcPr>
            <w:tcW w:w="268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7349490</wp:posOffset>
            </wp:positionH>
            <wp:positionV relativeFrom="paragraph">
              <wp:posOffset>-29210</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600"/>
          </w:cols>
          <w:pgMar w:left="160" w:top="262" w:right="139" w:bottom="1440" w:gutter="0" w:footer="0" w:header="0"/>
        </w:sectPr>
      </w:pPr>
    </w:p>
    <w:bookmarkStart w:id="14" w:name="page15"/>
    <w:bookmarkEnd w:id="14"/>
    <w:p>
      <w:pPr>
        <w:spacing w:after="0"/>
        <w:rPr>
          <w:sz w:val="20"/>
          <w:szCs w:val="20"/>
          <w:color w:val="auto"/>
        </w:rPr>
      </w:pPr>
      <w:r>
        <w:rPr>
          <w:rFonts w:ascii="Arial" w:cs="Arial" w:eastAsia="Arial" w:hAnsi="Arial"/>
          <w:sz w:val="14"/>
          <w:szCs w:val="14"/>
          <w:b w:val="1"/>
          <w:bCs w:val="1"/>
          <w:color w:val="auto"/>
        </w:rPr>
        <w:t>Reconciliation of Earnings/(Loss) Per Share to Adjusted (Loss)/Earnings Per Share:</w:t>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(Amounts expressed in thousands of U.S. Dollars, except shares and per share data)</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color w:val="auto"/>
        </w:rPr>
        <w:t>Profit/(loss) for the period attributable to owners of the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-109855</wp:posOffset>
            </wp:positionV>
            <wp:extent cx="726948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9480" cy="13716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Less:</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Dividend on preference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7269480"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9480" cy="128905"/>
                    </a:xfrm>
                    <a:prstGeom prst="rect">
                      <a:avLst/>
                    </a:prstGeom>
                    <a:noFill/>
                  </pic:spPr>
                </pic:pic>
              </a:graphicData>
            </a:graphic>
          </wp:anchor>
        </w:drawing>
      </w:r>
    </w:p>
    <w:p>
      <w:pPr>
        <w:ind w:right="2020"/>
        <w:spacing w:after="0" w:line="276" w:lineRule="auto"/>
        <w:rPr>
          <w:sz w:val="20"/>
          <w:szCs w:val="20"/>
          <w:color w:val="auto"/>
        </w:rPr>
      </w:pPr>
      <w:r>
        <w:rPr>
          <w:rFonts w:ascii="Arial" w:cs="Arial" w:eastAsia="Arial" w:hAnsi="Arial"/>
          <w:sz w:val="16"/>
          <w:szCs w:val="16"/>
          <w:color w:val="auto"/>
        </w:rPr>
        <w:t>Profit/(loss) for the period available to owners of the Group used in EPS calculation Weighted average number of shares outstanding, basic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26948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9480" cy="13716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Earnings/(loss) per share</w:t>
      </w:r>
    </w:p>
    <w:p>
      <w:pPr>
        <w:spacing w:after="0" w:line="50" w:lineRule="exact"/>
        <w:rPr>
          <w:sz w:val="20"/>
          <w:szCs w:val="20"/>
          <w:color w:val="auto"/>
        </w:rPr>
      </w:pPr>
    </w:p>
    <w:p>
      <w:pPr>
        <w:spacing w:after="0"/>
        <w:rPr>
          <w:sz w:val="20"/>
          <w:szCs w:val="20"/>
          <w:color w:val="auto"/>
        </w:rPr>
      </w:pPr>
      <w:r>
        <w:rPr>
          <w:rFonts w:ascii="Arial" w:cs="Arial" w:eastAsia="Arial" w:hAnsi="Arial"/>
          <w:sz w:val="15"/>
          <w:szCs w:val="15"/>
          <w:color w:val="auto"/>
        </w:rPr>
        <w:t>Profit/(loss) for the period available to owners of the Group used in EPS calculation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69480" cy="146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9480" cy="146050"/>
                    </a:xfrm>
                    <a:prstGeom prst="rect">
                      <a:avLst/>
                    </a:prstGeom>
                    <a:noFill/>
                  </pic:spPr>
                </pic:pic>
              </a:graphicData>
            </a:graphic>
          </wp:anchor>
        </w:drawing>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Less:</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Non-cash (gain)/loss on derivatives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7269480"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9480" cy="12890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Write-off and accelerated amortization of unamortized loan fees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Foreign exchange (gains)/losses,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7269480"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9480"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40"/>
        <w:spacing w:after="0"/>
        <w:rPr>
          <w:sz w:val="20"/>
          <w:szCs w:val="20"/>
          <w:color w:val="auto"/>
        </w:rPr>
      </w:pPr>
      <w:r>
        <w:rPr>
          <w:rFonts w:ascii="Arial" w:cs="Arial" w:eastAsia="Arial" w:hAnsi="Arial"/>
          <w:sz w:val="16"/>
          <w:szCs w:val="16"/>
          <w:b w:val="1"/>
          <w:bCs w:val="1"/>
          <w:color w:val="auto"/>
        </w:rPr>
        <w:t>For the three months ended</w:t>
      </w:r>
    </w:p>
    <w:p>
      <w:pPr>
        <w:spacing w:after="0" w:line="26" w:lineRule="exact"/>
        <w:rPr>
          <w:sz w:val="20"/>
          <w:szCs w:val="20"/>
          <w:color w:val="auto"/>
        </w:rPr>
      </w:pPr>
    </w:p>
    <w:p>
      <w:pPr>
        <w:ind w:left="200"/>
        <w:spacing w:after="0"/>
        <w:tabs>
          <w:tab w:leader="none" w:pos="1980" w:val="left"/>
        </w:tabs>
        <w:rPr>
          <w:sz w:val="20"/>
          <w:szCs w:val="20"/>
          <w:color w:val="auto"/>
        </w:rPr>
      </w:pPr>
      <w:r>
        <w:rPr>
          <w:rFonts w:ascii="Arial" w:cs="Arial" w:eastAsia="Arial" w:hAnsi="Arial"/>
          <w:sz w:val="16"/>
          <w:szCs w:val="16"/>
          <w:b w:val="1"/>
          <w:bCs w:val="1"/>
          <w:color w:val="auto"/>
        </w:rPr>
        <w:t>March 31, 2018</w:t>
      </w:r>
      <w:r>
        <w:rPr>
          <w:sz w:val="20"/>
          <w:szCs w:val="20"/>
          <w:color w:val="auto"/>
        </w:rPr>
        <w:tab/>
      </w:r>
      <w:r>
        <w:rPr>
          <w:rFonts w:ascii="Arial" w:cs="Arial" w:eastAsia="Arial" w:hAnsi="Arial"/>
          <w:sz w:val="14"/>
          <w:szCs w:val="14"/>
          <w:b w:val="1"/>
          <w:bCs w:val="1"/>
          <w:color w:val="auto"/>
        </w:rPr>
        <w:t>March 31, 2019</w:t>
      </w:r>
    </w:p>
    <w:p>
      <w:pPr>
        <w:spacing w:after="0" w:line="28" w:lineRule="exact"/>
        <w:rPr>
          <w:sz w:val="20"/>
          <w:szCs w:val="20"/>
          <w:color w:val="auto"/>
        </w:rPr>
      </w:pPr>
    </w:p>
    <w:p>
      <w:pPr>
        <w:jc w:val="both"/>
        <w:ind w:left="1040"/>
        <w:spacing w:after="0"/>
        <w:tabs>
          <w:tab w:leader="none" w:pos="2760" w:val="left"/>
        </w:tabs>
        <w:rPr>
          <w:sz w:val="20"/>
          <w:szCs w:val="20"/>
          <w:color w:val="auto"/>
        </w:rPr>
      </w:pPr>
      <w:r>
        <w:rPr>
          <w:rFonts w:ascii="Arial" w:cs="Arial" w:eastAsia="Arial" w:hAnsi="Arial"/>
          <w:sz w:val="16"/>
          <w:szCs w:val="16"/>
          <w:color w:val="auto"/>
        </w:rPr>
        <w:t>19,304</w:t>
      </w:r>
      <w:r>
        <w:rPr>
          <w:sz w:val="20"/>
          <w:szCs w:val="20"/>
          <w:color w:val="auto"/>
        </w:rPr>
        <w:tab/>
      </w:r>
      <w:r>
        <w:rPr>
          <w:rFonts w:ascii="Arial" w:cs="Arial" w:eastAsia="Arial" w:hAnsi="Arial"/>
          <w:sz w:val="16"/>
          <w:szCs w:val="16"/>
          <w:color w:val="auto"/>
        </w:rPr>
        <w:t>(10,947)</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780" w:type="dxa"/>
            <w:vAlign w:val="bottom"/>
            <w:gridSpan w:val="2"/>
          </w:tcPr>
          <w:p>
            <w:pPr>
              <w:jc w:val="right"/>
              <w:ind w:right="240"/>
              <w:spacing w:after="0"/>
              <w:rPr>
                <w:sz w:val="20"/>
                <w:szCs w:val="20"/>
                <w:color w:val="auto"/>
              </w:rPr>
            </w:pPr>
            <w:r>
              <w:rPr>
                <w:rFonts w:ascii="Arial" w:cs="Arial" w:eastAsia="Arial" w:hAnsi="Arial"/>
                <w:sz w:val="16"/>
                <w:szCs w:val="16"/>
                <w:color w:val="auto"/>
              </w:rPr>
              <w:t>(2,516)</w:t>
            </w:r>
          </w:p>
        </w:tc>
        <w:tc>
          <w:tcPr>
            <w:tcW w:w="1560" w:type="dxa"/>
            <w:vAlign w:val="bottom"/>
            <w:gridSpan w:val="3"/>
          </w:tcPr>
          <w:p>
            <w:pPr>
              <w:jc w:val="right"/>
              <w:spacing w:after="0"/>
              <w:rPr>
                <w:sz w:val="20"/>
                <w:szCs w:val="20"/>
                <w:color w:val="auto"/>
              </w:rPr>
            </w:pPr>
            <w:r>
              <w:rPr>
                <w:rFonts w:ascii="Arial" w:cs="Arial" w:eastAsia="Arial" w:hAnsi="Arial"/>
                <w:sz w:val="16"/>
                <w:szCs w:val="16"/>
                <w:color w:val="auto"/>
              </w:rPr>
              <w:t>(2,516)</w:t>
            </w:r>
          </w:p>
        </w:tc>
      </w:tr>
      <w:tr>
        <w:trPr>
          <w:trHeight w:val="199"/>
        </w:trPr>
        <w:tc>
          <w:tcPr>
            <w:tcW w:w="1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16,788</w:t>
            </w:r>
          </w:p>
        </w:tc>
        <w:tc>
          <w:tcPr>
            <w:tcW w:w="280" w:type="dxa"/>
            <w:vAlign w:val="bottom"/>
          </w:tcPr>
          <w:p>
            <w:pPr>
              <w:spacing w:after="0"/>
              <w:rPr>
                <w:sz w:val="17"/>
                <w:szCs w:val="17"/>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(13,463)</w:t>
            </w:r>
          </w:p>
        </w:tc>
        <w:tc>
          <w:tcPr>
            <w:tcW w:w="60" w:type="dxa"/>
            <w:vAlign w:val="bottom"/>
            <w:gridSpan w:val="2"/>
          </w:tcPr>
          <w:p>
            <w:pPr>
              <w:spacing w:after="0"/>
              <w:rPr>
                <w:sz w:val="17"/>
                <w:szCs w:val="17"/>
                <w:color w:val="auto"/>
              </w:rPr>
            </w:pPr>
          </w:p>
        </w:tc>
      </w:tr>
      <w:tr>
        <w:trPr>
          <w:trHeight w:val="196"/>
        </w:trPr>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80,715,130</w:t>
            </w:r>
          </w:p>
        </w:tc>
        <w:tc>
          <w:tcPr>
            <w:tcW w:w="280" w:type="dxa"/>
            <w:vAlign w:val="bottom"/>
          </w:tcPr>
          <w:p>
            <w:pPr>
              <w:spacing w:after="0"/>
              <w:rPr>
                <w:sz w:val="17"/>
                <w:szCs w:val="17"/>
                <w:color w:val="auto"/>
              </w:rPr>
            </w:pPr>
          </w:p>
        </w:tc>
        <w:tc>
          <w:tcPr>
            <w:tcW w:w="15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80,825,637</w:t>
            </w:r>
          </w:p>
        </w:tc>
        <w:tc>
          <w:tcPr>
            <w:tcW w:w="40" w:type="dxa"/>
            <w:vAlign w:val="bottom"/>
          </w:tcPr>
          <w:p>
            <w:pPr>
              <w:spacing w:after="0"/>
              <w:rPr>
                <w:sz w:val="17"/>
                <w:szCs w:val="17"/>
                <w:color w:val="auto"/>
              </w:rPr>
            </w:pPr>
          </w:p>
        </w:tc>
      </w:tr>
      <w:tr>
        <w:trPr>
          <w:trHeight w:val="196"/>
        </w:trPr>
        <w:tc>
          <w:tcPr>
            <w:tcW w:w="1500" w:type="dxa"/>
            <w:vAlign w:val="bottom"/>
          </w:tcPr>
          <w:p>
            <w:pPr>
              <w:jc w:val="right"/>
              <w:spacing w:after="0"/>
              <w:rPr>
                <w:sz w:val="20"/>
                <w:szCs w:val="20"/>
                <w:color w:val="auto"/>
              </w:rPr>
            </w:pPr>
            <w:r>
              <w:rPr>
                <w:rFonts w:ascii="Arial" w:cs="Arial" w:eastAsia="Arial" w:hAnsi="Arial"/>
                <w:sz w:val="16"/>
                <w:szCs w:val="16"/>
                <w:b w:val="1"/>
                <w:bCs w:val="1"/>
                <w:color w:val="auto"/>
              </w:rPr>
              <w:t>0.21</w:t>
            </w:r>
          </w:p>
        </w:tc>
        <w:tc>
          <w:tcPr>
            <w:tcW w:w="280" w:type="dxa"/>
            <w:vAlign w:val="bottom"/>
          </w:tcPr>
          <w:p>
            <w:pPr>
              <w:spacing w:after="0"/>
              <w:rPr>
                <w:sz w:val="17"/>
                <w:szCs w:val="17"/>
                <w:color w:val="auto"/>
              </w:rPr>
            </w:pPr>
          </w:p>
        </w:tc>
        <w:tc>
          <w:tcPr>
            <w:tcW w:w="1560" w:type="dxa"/>
            <w:vAlign w:val="bottom"/>
            <w:gridSpan w:val="3"/>
          </w:tcPr>
          <w:p>
            <w:pPr>
              <w:jc w:val="right"/>
              <w:spacing w:after="0"/>
              <w:rPr>
                <w:sz w:val="20"/>
                <w:szCs w:val="20"/>
                <w:color w:val="auto"/>
              </w:rPr>
            </w:pPr>
            <w:r>
              <w:rPr>
                <w:rFonts w:ascii="Arial" w:cs="Arial" w:eastAsia="Arial" w:hAnsi="Arial"/>
                <w:sz w:val="16"/>
                <w:szCs w:val="16"/>
                <w:b w:val="1"/>
                <w:bCs w:val="1"/>
                <w:color w:val="auto"/>
              </w:rPr>
              <w:t>(0.17)</w:t>
            </w:r>
          </w:p>
        </w:tc>
      </w:tr>
      <w:tr>
        <w:trPr>
          <w:trHeight w:val="20"/>
        </w:trPr>
        <w:tc>
          <w:tcPr>
            <w:tcW w:w="1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7"/>
        </w:trPr>
        <w:tc>
          <w:tcPr>
            <w:tcW w:w="1500" w:type="dxa"/>
            <w:vAlign w:val="bottom"/>
          </w:tcPr>
          <w:p>
            <w:pPr>
              <w:jc w:val="right"/>
              <w:spacing w:after="0"/>
              <w:rPr>
                <w:sz w:val="20"/>
                <w:szCs w:val="20"/>
                <w:color w:val="auto"/>
              </w:rPr>
            </w:pPr>
            <w:r>
              <w:rPr>
                <w:rFonts w:ascii="Arial" w:cs="Arial" w:eastAsia="Arial" w:hAnsi="Arial"/>
                <w:sz w:val="16"/>
                <w:szCs w:val="16"/>
                <w:color w:val="auto"/>
              </w:rPr>
              <w:t>16,788</w:t>
            </w:r>
          </w:p>
        </w:tc>
        <w:tc>
          <w:tcPr>
            <w:tcW w:w="2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(13,463)</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391"/>
        </w:trPr>
        <w:tc>
          <w:tcPr>
            <w:tcW w:w="1780" w:type="dxa"/>
            <w:vAlign w:val="bottom"/>
            <w:gridSpan w:val="2"/>
          </w:tcPr>
          <w:p>
            <w:pPr>
              <w:jc w:val="right"/>
              <w:ind w:right="240"/>
              <w:spacing w:after="0"/>
              <w:rPr>
                <w:sz w:val="20"/>
                <w:szCs w:val="20"/>
                <w:color w:val="auto"/>
              </w:rPr>
            </w:pPr>
            <w:r>
              <w:rPr>
                <w:rFonts w:ascii="Arial" w:cs="Arial" w:eastAsia="Arial" w:hAnsi="Arial"/>
                <w:sz w:val="16"/>
                <w:szCs w:val="16"/>
                <w:color w:val="auto"/>
              </w:rPr>
              <w:t>(16,898)</w:t>
            </w:r>
          </w:p>
        </w:tc>
        <w:tc>
          <w:tcPr>
            <w:tcW w:w="1520" w:type="dxa"/>
            <w:vAlign w:val="bottom"/>
            <w:gridSpan w:val="2"/>
          </w:tcPr>
          <w:p>
            <w:pPr>
              <w:jc w:val="right"/>
              <w:ind w:right="20"/>
              <w:spacing w:after="0"/>
              <w:rPr>
                <w:sz w:val="20"/>
                <w:szCs w:val="20"/>
                <w:color w:val="auto"/>
              </w:rPr>
            </w:pPr>
            <w:r>
              <w:rPr>
                <w:rFonts w:ascii="Arial" w:cs="Arial" w:eastAsia="Arial" w:hAnsi="Arial"/>
                <w:sz w:val="16"/>
                <w:szCs w:val="16"/>
                <w:color w:val="auto"/>
              </w:rPr>
              <w:t>21,103</w:t>
            </w:r>
          </w:p>
        </w:tc>
        <w:tc>
          <w:tcPr>
            <w:tcW w:w="40" w:type="dxa"/>
            <w:vAlign w:val="bottom"/>
          </w:tcPr>
          <w:p>
            <w:pPr>
              <w:spacing w:after="0"/>
              <w:rPr>
                <w:sz w:val="24"/>
                <w:szCs w:val="24"/>
                <w:color w:val="auto"/>
              </w:rPr>
            </w:pPr>
          </w:p>
        </w:tc>
      </w:tr>
      <w:tr>
        <w:trPr>
          <w:trHeight w:val="203"/>
        </w:trPr>
        <w:tc>
          <w:tcPr>
            <w:tcW w:w="17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520" w:type="dxa"/>
            <w:vAlign w:val="bottom"/>
            <w:gridSpan w:val="2"/>
          </w:tcPr>
          <w:p>
            <w:pPr>
              <w:jc w:val="right"/>
              <w:ind w:right="20"/>
              <w:spacing w:after="0"/>
              <w:rPr>
                <w:sz w:val="20"/>
                <w:szCs w:val="20"/>
                <w:color w:val="auto"/>
              </w:rPr>
            </w:pPr>
            <w:r>
              <w:rPr>
                <w:rFonts w:ascii="Arial" w:cs="Arial" w:eastAsia="Arial" w:hAnsi="Arial"/>
                <w:sz w:val="16"/>
                <w:szCs w:val="16"/>
                <w:color w:val="auto"/>
              </w:rPr>
              <w:t>988</w:t>
            </w:r>
          </w:p>
        </w:tc>
        <w:tc>
          <w:tcPr>
            <w:tcW w:w="40" w:type="dxa"/>
            <w:vAlign w:val="bottom"/>
          </w:tcPr>
          <w:p>
            <w:pPr>
              <w:spacing w:after="0"/>
              <w:rPr>
                <w:sz w:val="17"/>
                <w:szCs w:val="17"/>
                <w:color w:val="auto"/>
              </w:rPr>
            </w:pPr>
          </w:p>
        </w:tc>
      </w:tr>
      <w:tr>
        <w:trPr>
          <w:trHeight w:val="206"/>
        </w:trPr>
        <w:tc>
          <w:tcPr>
            <w:tcW w:w="1780" w:type="dxa"/>
            <w:vAlign w:val="bottom"/>
            <w:gridSpan w:val="2"/>
          </w:tcPr>
          <w:p>
            <w:pPr>
              <w:jc w:val="right"/>
              <w:ind w:right="240"/>
              <w:spacing w:after="0"/>
              <w:rPr>
                <w:sz w:val="20"/>
                <w:szCs w:val="20"/>
                <w:color w:val="auto"/>
              </w:rPr>
            </w:pPr>
            <w:r>
              <w:rPr>
                <w:rFonts w:ascii="Arial" w:cs="Arial" w:eastAsia="Arial" w:hAnsi="Arial"/>
                <w:sz w:val="16"/>
                <w:szCs w:val="16"/>
                <w:color w:val="auto"/>
              </w:rPr>
              <w:t>(354)</w:t>
            </w:r>
          </w:p>
        </w:tc>
        <w:tc>
          <w:tcPr>
            <w:tcW w:w="1520" w:type="dxa"/>
            <w:vAlign w:val="bottom"/>
            <w:gridSpan w:val="2"/>
          </w:tcPr>
          <w:p>
            <w:pPr>
              <w:jc w:val="right"/>
              <w:ind w:right="20"/>
              <w:spacing w:after="0"/>
              <w:rPr>
                <w:sz w:val="20"/>
                <w:szCs w:val="20"/>
                <w:color w:val="auto"/>
              </w:rPr>
            </w:pPr>
            <w:r>
              <w:rPr>
                <w:rFonts w:ascii="Arial" w:cs="Arial" w:eastAsia="Arial" w:hAnsi="Arial"/>
                <w:sz w:val="16"/>
                <w:szCs w:val="16"/>
                <w:color w:val="auto"/>
              </w:rPr>
              <w:t>150</w:t>
            </w:r>
          </w:p>
        </w:tc>
        <w:tc>
          <w:tcPr>
            <w:tcW w:w="40" w:type="dxa"/>
            <w:vAlign w:val="bottom"/>
          </w:tcPr>
          <w:p>
            <w:pPr>
              <w:spacing w:after="0"/>
              <w:rPr>
                <w:sz w:val="17"/>
                <w:szCs w:val="17"/>
                <w:color w:val="auto"/>
              </w:rPr>
            </w:pPr>
          </w:p>
        </w:tc>
      </w:tr>
    </w:tbl>
    <w:p>
      <w:pPr>
        <w:spacing w:after="0" w:line="1" w:lineRule="exact"/>
        <w:rPr>
          <w:sz w:val="20"/>
          <w:szCs w:val="20"/>
          <w:color w:val="auto"/>
        </w:rPr>
      </w:pPr>
    </w:p>
    <w:p>
      <w:pPr>
        <w:sectPr>
          <w:pgSz w:w="11900" w:h="16838" w:orient="portrait"/>
          <w:cols w:equalWidth="0" w:num="2">
            <w:col w:w="7460" w:space="720"/>
            <w:col w:w="3420"/>
          </w:cols>
          <w:pgMar w:left="160" w:top="262" w:right="139" w:bottom="1440" w:gutter="0" w:footer="0" w:header="0"/>
        </w:sectPr>
      </w:pPr>
    </w:p>
    <w:tbl>
      <w:tblPr>
        <w:tblLayout w:type="fixed"/>
        <w:tblInd w:w="0" w:type="dxa"/>
        <w:tblCellMar>
          <w:top w:w="0" w:type="dxa"/>
          <w:left w:w="0" w:type="dxa"/>
          <w:bottom w:w="0" w:type="dxa"/>
          <w:right w:w="0" w:type="dxa"/>
        </w:tblCellMar>
      </w:tblPr>
      <w:tr>
        <w:trPr>
          <w:trHeight w:val="202"/>
        </w:trPr>
        <w:tc>
          <w:tcPr>
            <w:tcW w:w="4720" w:type="dxa"/>
            <w:vAlign w:val="bottom"/>
          </w:tcPr>
          <w:p>
            <w:pPr>
              <w:spacing w:after="0"/>
              <w:rPr>
                <w:sz w:val="20"/>
                <w:szCs w:val="20"/>
                <w:color w:val="auto"/>
              </w:rPr>
            </w:pPr>
            <w:r>
              <w:rPr>
                <w:rFonts w:ascii="Arial" w:cs="Arial" w:eastAsia="Arial" w:hAnsi="Arial"/>
                <w:sz w:val="16"/>
                <w:szCs w:val="16"/>
                <w:color w:val="auto"/>
              </w:rPr>
              <w:t>Adjusted (loss)/profit attributable to owners of the Group</w:t>
            </w:r>
          </w:p>
        </w:tc>
        <w:tc>
          <w:tcPr>
            <w:tcW w:w="3460" w:type="dxa"/>
            <w:vAlign w:val="bottom"/>
          </w:tcPr>
          <w:p>
            <w:pPr>
              <w:spacing w:after="0"/>
              <w:rPr>
                <w:sz w:val="17"/>
                <w:szCs w:val="17"/>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(464)</w:t>
            </w:r>
          </w:p>
        </w:tc>
        <w:tc>
          <w:tcPr>
            <w:tcW w:w="280" w:type="dxa"/>
            <w:vAlign w:val="bottom"/>
          </w:tcPr>
          <w:p>
            <w:pPr>
              <w:spacing w:after="0"/>
              <w:rPr>
                <w:sz w:val="17"/>
                <w:szCs w:val="17"/>
                <w:color w:val="auto"/>
              </w:rPr>
            </w:pPr>
          </w:p>
        </w:tc>
        <w:tc>
          <w:tcPr>
            <w:tcW w:w="15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8,778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72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Weighted average number of shares outstanding, basic</w:t>
            </w:r>
          </w:p>
        </w:tc>
        <w:tc>
          <w:tcPr>
            <w:tcW w:w="3460" w:type="dxa"/>
            <w:vAlign w:val="bottom"/>
            <w:tcBorders>
              <w:top w:val="single" w:sz="8" w:color="E5FFFF"/>
            </w:tcBorders>
            <w:shd w:val="clear" w:color="auto" w:fill="E5FFFF"/>
          </w:tcPr>
          <w:p>
            <w:pPr>
              <w:spacing w:after="0"/>
              <w:rPr>
                <w:sz w:val="17"/>
                <w:szCs w:val="17"/>
                <w:color w:val="auto"/>
              </w:rPr>
            </w:pPr>
          </w:p>
        </w:tc>
        <w:tc>
          <w:tcPr>
            <w:tcW w:w="15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80,715,130</w:t>
            </w:r>
          </w:p>
        </w:tc>
        <w:tc>
          <w:tcPr>
            <w:tcW w:w="280" w:type="dxa"/>
            <w:vAlign w:val="bottom"/>
            <w:tcBorders>
              <w:top w:val="single" w:sz="8" w:color="E5FFFF"/>
            </w:tcBorders>
            <w:shd w:val="clear" w:color="auto" w:fill="E5FFFF"/>
          </w:tcPr>
          <w:p>
            <w:pPr>
              <w:spacing w:after="0"/>
              <w:rPr>
                <w:sz w:val="17"/>
                <w:szCs w:val="17"/>
                <w:color w:val="auto"/>
              </w:rPr>
            </w:pPr>
          </w:p>
        </w:tc>
        <w:tc>
          <w:tcPr>
            <w:tcW w:w="15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80,825,637</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720" w:type="dxa"/>
            <w:vAlign w:val="bottom"/>
          </w:tcPr>
          <w:p>
            <w:pPr>
              <w:spacing w:after="0"/>
              <w:rPr>
                <w:sz w:val="20"/>
                <w:szCs w:val="20"/>
                <w:color w:val="auto"/>
              </w:rPr>
            </w:pPr>
            <w:r>
              <w:rPr>
                <w:rFonts w:ascii="Arial" w:cs="Arial" w:eastAsia="Arial" w:hAnsi="Arial"/>
                <w:sz w:val="16"/>
                <w:szCs w:val="16"/>
                <w:b w:val="1"/>
                <w:bCs w:val="1"/>
                <w:color w:val="auto"/>
              </w:rPr>
              <w:t>Adjusted (loss)/earnings per share</w:t>
            </w:r>
          </w:p>
        </w:tc>
        <w:tc>
          <w:tcPr>
            <w:tcW w:w="3460" w:type="dxa"/>
            <w:vAlign w:val="bottom"/>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(0.01</w:t>
            </w:r>
          </w:p>
        </w:tc>
        <w:tc>
          <w:tcPr>
            <w:tcW w:w="280" w:type="dxa"/>
            <w:vAlign w:val="bottom"/>
          </w:tcPr>
          <w:p>
            <w:pPr>
              <w:jc w:val="right"/>
              <w:ind w:right="200"/>
              <w:spacing w:after="0"/>
              <w:rPr>
                <w:sz w:val="20"/>
                <w:szCs w:val="20"/>
                <w:color w:val="auto"/>
              </w:rPr>
            </w:pPr>
            <w:r>
              <w:rPr>
                <w:rFonts w:ascii="Arial" w:cs="Arial" w:eastAsia="Arial" w:hAnsi="Arial"/>
                <w:sz w:val="8"/>
                <w:szCs w:val="8"/>
                <w:color w:val="auto"/>
                <w:w w:val="73"/>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0.11</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3460" w:type="dxa"/>
            <w:vAlign w:val="bottom"/>
            <w:vMerge w:val="restart"/>
          </w:tcPr>
          <w:p>
            <w:pPr>
              <w:jc w:val="right"/>
              <w:ind w:right="2248"/>
              <w:spacing w:after="0"/>
              <w:rPr>
                <w:sz w:val="20"/>
                <w:szCs w:val="20"/>
                <w:color w:val="auto"/>
              </w:rPr>
            </w:pPr>
            <w:r>
              <w:rPr>
                <w:rFonts w:ascii="Arial" w:cs="Arial" w:eastAsia="Arial" w:hAnsi="Arial"/>
                <w:sz w:val="14"/>
                <w:szCs w:val="14"/>
                <w:color w:val="auto"/>
              </w:rPr>
              <w:t>15</w:t>
            </w:r>
          </w:p>
        </w:tc>
        <w:tc>
          <w:tcPr>
            <w:tcW w:w="1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6"/>
        </w:trPr>
        <w:tc>
          <w:tcPr>
            <w:tcW w:w="4720" w:type="dxa"/>
            <w:vAlign w:val="bottom"/>
          </w:tcPr>
          <w:p>
            <w:pPr>
              <w:spacing w:after="0"/>
              <w:rPr>
                <w:sz w:val="24"/>
                <w:szCs w:val="24"/>
                <w:color w:val="auto"/>
              </w:rPr>
            </w:pPr>
          </w:p>
        </w:tc>
        <w:tc>
          <w:tcPr>
            <w:tcW w:w="3460" w:type="dxa"/>
            <w:vAlign w:val="bottom"/>
            <w:vMerge w:val="continue"/>
          </w:tcPr>
          <w:p>
            <w:pPr>
              <w:spacing w:after="0"/>
              <w:rPr>
                <w:sz w:val="24"/>
                <w:szCs w:val="24"/>
                <w:color w:val="auto"/>
              </w:rPr>
            </w:pPr>
          </w:p>
        </w:tc>
        <w:tc>
          <w:tcPr>
            <w:tcW w:w="1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4720" w:type="dxa"/>
            <w:vAlign w:val="bottom"/>
            <w:tcBorders>
              <w:bottom w:val="single" w:sz="8" w:color="808080"/>
            </w:tcBorders>
          </w:tcPr>
          <w:p>
            <w:pPr>
              <w:spacing w:after="0"/>
              <w:rPr>
                <w:sz w:val="10"/>
                <w:szCs w:val="10"/>
                <w:color w:val="auto"/>
              </w:rPr>
            </w:pPr>
          </w:p>
        </w:tc>
        <w:tc>
          <w:tcPr>
            <w:tcW w:w="3460" w:type="dxa"/>
            <w:vAlign w:val="bottom"/>
            <w:tcBorders>
              <w:bottom w:val="single" w:sz="8" w:color="808080"/>
            </w:tcBorders>
          </w:tcPr>
          <w:p>
            <w:pPr>
              <w:spacing w:after="0"/>
              <w:rPr>
                <w:sz w:val="10"/>
                <w:szCs w:val="10"/>
                <w:color w:val="auto"/>
              </w:rPr>
            </w:pPr>
          </w:p>
        </w:tc>
        <w:tc>
          <w:tcPr>
            <w:tcW w:w="150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50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7349490</wp:posOffset>
            </wp:positionH>
            <wp:positionV relativeFrom="paragraph">
              <wp:posOffset>-29210</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600"/>
          </w:cols>
          <w:pgMar w:left="160" w:top="262" w:right="139" w:bottom="1440" w:gutter="0" w:footer="0" w:header="0"/>
          <w:type w:val="continuous"/>
        </w:sectPr>
      </w:pPr>
    </w:p>
    <w:bookmarkStart w:id="15" w:name="page16"/>
    <w:bookmarkEnd w:id="15"/>
    <w:p>
      <w:pPr>
        <w:jc w:val="right"/>
        <w:spacing w:after="0"/>
        <w:rPr>
          <w:sz w:val="20"/>
          <w:szCs w:val="20"/>
          <w:color w:val="auto"/>
        </w:rPr>
      </w:pPr>
      <w:r>
        <w:rPr>
          <w:rFonts w:ascii="Arial" w:cs="Arial" w:eastAsia="Arial" w:hAnsi="Arial"/>
          <w:sz w:val="16"/>
          <w:szCs w:val="16"/>
          <w:b w:val="1"/>
          <w:bCs w:val="1"/>
          <w:color w:val="auto"/>
        </w:rPr>
        <w:t>Exhibit 99.2</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Financial Report for the Three Months Ended March 31, 2019</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Management’s Discussion and Analysis of Financial Condition and Results of Operation</w:t>
      </w:r>
    </w:p>
    <w:p>
      <w:pPr>
        <w:spacing w:after="0" w:line="239" w:lineRule="exact"/>
        <w:rPr>
          <w:sz w:val="20"/>
          <w:szCs w:val="20"/>
          <w:color w:val="auto"/>
        </w:rPr>
      </w:pPr>
    </w:p>
    <w:p>
      <w:pPr>
        <w:ind w:right="60" w:firstLine="356"/>
        <w:spacing w:after="0" w:line="289" w:lineRule="auto"/>
        <w:rPr>
          <w:sz w:val="20"/>
          <w:szCs w:val="20"/>
          <w:color w:val="auto"/>
        </w:rPr>
      </w:pPr>
      <w:r>
        <w:rPr>
          <w:rFonts w:ascii="Arial" w:cs="Arial" w:eastAsia="Arial" w:hAnsi="Arial"/>
          <w:sz w:val="15"/>
          <w:szCs w:val="15"/>
          <w:color w:val="auto"/>
        </w:rPr>
        <w:t>The following is a discussion of our financial condition and results of operations for the three-month periods ended March 31, 2018 and March 31, 2019. Unless otherwise specified herein, references to “GasLog”, the “Company”, the “Group”, “we”, “our” or “us” shall include GasLog Ltd. and its subsidiaries. You should read this section in conjunction with our unaudited condensed consolidated financial statements and related notes included elsewhere in this report. For additional information relating to our management’s discussion and analysis of financial condition and results of operations, please see our Annual Report on Form 20-F filed with the U.S. Securities and Exchange Commission (the “SEC”) on March 5, 2019. This discussion includes forward-looking statements which, although based on assumptions that we consider reasonable, are subject to risks and uncertainties which could cause actual events or conditions to differ materially from those currently anticipated and expressed or implied by such forward-looking statements. See also discussion in the section entitled “Forward-Looking Statements” below.</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Statements</w:t>
      </w:r>
    </w:p>
    <w:p>
      <w:pPr>
        <w:spacing w:after="0" w:line="239" w:lineRule="exact"/>
        <w:rPr>
          <w:sz w:val="20"/>
          <w:szCs w:val="20"/>
          <w:color w:val="auto"/>
        </w:rPr>
      </w:pPr>
    </w:p>
    <w:p>
      <w:pPr>
        <w:ind w:right="100" w:firstLine="383"/>
        <w:spacing w:after="0" w:line="289" w:lineRule="auto"/>
        <w:rPr>
          <w:sz w:val="20"/>
          <w:szCs w:val="20"/>
          <w:color w:val="auto"/>
        </w:rPr>
      </w:pPr>
      <w:r>
        <w:rPr>
          <w:rFonts w:ascii="Arial" w:cs="Arial" w:eastAsia="Arial" w:hAnsi="Arial"/>
          <w:sz w:val="15"/>
          <w:szCs w:val="15"/>
          <w:color w:val="auto"/>
        </w:rPr>
        <w:t>All statements in this report that are not statements of historical fact are “forward-looking statements” within the meaning of the U.S. Private Securities Litigation Reform Act of 1995. Forward-looking statements include statements that address activities, events or developments that the Company expects, projects, believes or anticipates will or may occur in the future, particularly in relation to our operations, cash flows, financial position, liquidity and cash available for dividends or distributions, plans, strategies, business prospects and changes and trends in our business and the markets in which we operate. We caution that these forward-looking statements represent our estimates and assumptions only as of the date of this press release, about factors that are beyond our ability to control or predict, and are not intended to give any assurance as to future results. Any of these factors or a combination of these factors could materially affect future results of operations and the ultimate accuracy of the forward-looking statements. Accordingly, you should not unduly rely on any forward-looking statements.</w:t>
      </w:r>
    </w:p>
    <w:p>
      <w:pPr>
        <w:spacing w:after="0" w:line="180" w:lineRule="exact"/>
        <w:rPr>
          <w:sz w:val="20"/>
          <w:szCs w:val="20"/>
          <w:color w:val="auto"/>
        </w:rPr>
      </w:pPr>
    </w:p>
    <w:p>
      <w:pPr>
        <w:ind w:left="400"/>
        <w:spacing w:after="0"/>
        <w:rPr>
          <w:sz w:val="20"/>
          <w:szCs w:val="20"/>
          <w:color w:val="auto"/>
        </w:rPr>
      </w:pPr>
      <w:r>
        <w:rPr>
          <w:rFonts w:ascii="Arial" w:cs="Arial" w:eastAsia="Arial" w:hAnsi="Arial"/>
          <w:sz w:val="16"/>
          <w:szCs w:val="16"/>
          <w:color w:val="auto"/>
        </w:rPr>
        <w:t>Factors that might cause future results and outcomes to differ include, but are not limited to, the following:</w:t>
      </w:r>
    </w:p>
    <w:p>
      <w:pPr>
        <w:spacing w:after="0" w:line="235" w:lineRule="exact"/>
        <w:rPr>
          <w:sz w:val="20"/>
          <w:szCs w:val="20"/>
          <w:color w:val="auto"/>
        </w:rPr>
      </w:pPr>
    </w:p>
    <w:p>
      <w:pPr>
        <w:ind w:left="520" w:right="40" w:hanging="188"/>
        <w:spacing w:after="0" w:line="266" w:lineRule="auto"/>
        <w:tabs>
          <w:tab w:leader="none" w:pos="475" w:val="left"/>
        </w:tabs>
        <w:numPr>
          <w:ilvl w:val="0"/>
          <w:numId w:val="8"/>
        </w:numPr>
        <w:rPr>
          <w:rFonts w:ascii="Arial" w:cs="Arial" w:eastAsia="Arial" w:hAnsi="Arial"/>
          <w:sz w:val="16"/>
          <w:szCs w:val="16"/>
          <w:color w:val="auto"/>
        </w:rPr>
      </w:pPr>
      <w:r>
        <w:rPr>
          <w:rFonts w:ascii="Arial" w:cs="Arial" w:eastAsia="Arial" w:hAnsi="Arial"/>
          <w:sz w:val="16"/>
          <w:szCs w:val="16"/>
          <w:color w:val="auto"/>
        </w:rPr>
        <w:t>general liquefied natural gas (“LNG”) shipping market conditions and trends, including spot and multi-year charter rates, ship values, factors affecting supply and demand of LNG and LNG shipping, technological advancements and opportunities for the profitable operations of LNG carriers;</w:t>
      </w:r>
    </w:p>
    <w:p>
      <w:pPr>
        <w:spacing w:after="0" w:line="1" w:lineRule="exact"/>
        <w:rPr>
          <w:rFonts w:ascii="Arial" w:cs="Arial" w:eastAsia="Arial" w:hAnsi="Arial"/>
          <w:sz w:val="16"/>
          <w:szCs w:val="16"/>
          <w:color w:val="auto"/>
        </w:rPr>
      </w:pPr>
    </w:p>
    <w:p>
      <w:pPr>
        <w:ind w:left="460" w:hanging="128"/>
        <w:spacing w:after="0"/>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fluctuations in spot and multi-year charter hire rates and vessel values;</w:t>
      </w:r>
    </w:p>
    <w:p>
      <w:pPr>
        <w:spacing w:after="0" w:line="18" w:lineRule="exact"/>
        <w:rPr>
          <w:rFonts w:ascii="Arial" w:cs="Arial" w:eastAsia="Arial" w:hAnsi="Arial"/>
          <w:sz w:val="16"/>
          <w:szCs w:val="16"/>
          <w:color w:val="auto"/>
        </w:rPr>
      </w:pPr>
    </w:p>
    <w:p>
      <w:pPr>
        <w:ind w:left="460" w:hanging="128"/>
        <w:spacing w:after="0"/>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increased exposure to the spot market and fluctuations in spot charter rates;</w:t>
      </w:r>
    </w:p>
    <w:p>
      <w:pPr>
        <w:spacing w:after="0" w:line="18" w:lineRule="exact"/>
        <w:rPr>
          <w:rFonts w:ascii="Arial" w:cs="Arial" w:eastAsia="Arial" w:hAnsi="Arial"/>
          <w:sz w:val="16"/>
          <w:szCs w:val="16"/>
          <w:color w:val="auto"/>
        </w:rPr>
      </w:pPr>
    </w:p>
    <w:p>
      <w:pPr>
        <w:ind w:left="520" w:hanging="196"/>
        <w:spacing w:after="0" w:line="264" w:lineRule="auto"/>
        <w:tabs>
          <w:tab w:leader="none" w:pos="474" w:val="left"/>
        </w:tabs>
        <w:numPr>
          <w:ilvl w:val="0"/>
          <w:numId w:val="8"/>
        </w:numPr>
        <w:rPr>
          <w:rFonts w:ascii="Arial" w:cs="Arial" w:eastAsia="Arial" w:hAnsi="Arial"/>
          <w:sz w:val="16"/>
          <w:szCs w:val="16"/>
          <w:color w:val="auto"/>
        </w:rPr>
      </w:pPr>
      <w:r>
        <w:rPr>
          <w:rFonts w:ascii="Arial" w:cs="Arial" w:eastAsia="Arial" w:hAnsi="Arial"/>
          <w:sz w:val="16"/>
          <w:szCs w:val="16"/>
          <w:color w:val="auto"/>
        </w:rPr>
        <w:t>our ability to maximize the use of our vessels, including the re-deployment or disposition of vessels which are not under multi-year charters, including the risk that certain of our vessels may no longer have the latest technology which may impact the rate at which we can charter such vessels;</w:t>
      </w:r>
    </w:p>
    <w:p>
      <w:pPr>
        <w:ind w:left="480" w:hanging="156"/>
        <w:spacing w:after="0"/>
        <w:tabs>
          <w:tab w:leader="none" w:pos="480" w:val="left"/>
        </w:tabs>
        <w:numPr>
          <w:ilvl w:val="0"/>
          <w:numId w:val="8"/>
        </w:numPr>
        <w:rPr>
          <w:rFonts w:ascii="Arial" w:cs="Arial" w:eastAsia="Arial" w:hAnsi="Arial"/>
          <w:sz w:val="16"/>
          <w:szCs w:val="16"/>
          <w:color w:val="auto"/>
        </w:rPr>
      </w:pPr>
      <w:r>
        <w:rPr>
          <w:rFonts w:ascii="Arial" w:cs="Arial" w:eastAsia="Arial" w:hAnsi="Arial"/>
          <w:sz w:val="16"/>
          <w:szCs w:val="16"/>
          <w:color w:val="auto"/>
        </w:rPr>
        <w:t>changes in our operating expenses, including crew wages, maintenance, dry-docking and insurance costs and bunker prices;</w:t>
      </w:r>
    </w:p>
    <w:p>
      <w:pPr>
        <w:spacing w:after="0" w:line="18" w:lineRule="exact"/>
        <w:rPr>
          <w:rFonts w:ascii="Arial" w:cs="Arial" w:eastAsia="Arial" w:hAnsi="Arial"/>
          <w:sz w:val="16"/>
          <w:szCs w:val="16"/>
          <w:color w:val="auto"/>
        </w:rPr>
      </w:pPr>
    </w:p>
    <w:p>
      <w:pPr>
        <w:ind w:left="480" w:hanging="156"/>
        <w:spacing w:after="0"/>
        <w:tabs>
          <w:tab w:leader="none" w:pos="480" w:val="left"/>
        </w:tabs>
        <w:numPr>
          <w:ilvl w:val="0"/>
          <w:numId w:val="8"/>
        </w:numPr>
        <w:rPr>
          <w:rFonts w:ascii="Arial" w:cs="Arial" w:eastAsia="Arial" w:hAnsi="Arial"/>
          <w:sz w:val="16"/>
          <w:szCs w:val="16"/>
          <w:color w:val="auto"/>
        </w:rPr>
      </w:pPr>
      <w:r>
        <w:rPr>
          <w:rFonts w:ascii="Arial" w:cs="Arial" w:eastAsia="Arial" w:hAnsi="Arial"/>
          <w:sz w:val="16"/>
          <w:szCs w:val="16"/>
          <w:color w:val="auto"/>
        </w:rPr>
        <w:t>number of off-hire days and dry-docking requirements including our ability to complete scheduled dry-dockings on time and within budget;</w:t>
      </w:r>
    </w:p>
    <w:p>
      <w:pPr>
        <w:spacing w:after="0" w:line="18" w:lineRule="exact"/>
        <w:rPr>
          <w:rFonts w:ascii="Arial" w:cs="Arial" w:eastAsia="Arial" w:hAnsi="Arial"/>
          <w:sz w:val="16"/>
          <w:szCs w:val="16"/>
          <w:color w:val="auto"/>
        </w:rPr>
      </w:pPr>
    </w:p>
    <w:p>
      <w:pPr>
        <w:ind w:left="480" w:hanging="156"/>
        <w:spacing w:after="0"/>
        <w:tabs>
          <w:tab w:leader="none" w:pos="480" w:val="left"/>
        </w:tabs>
        <w:numPr>
          <w:ilvl w:val="0"/>
          <w:numId w:val="8"/>
        </w:numPr>
        <w:rPr>
          <w:rFonts w:ascii="Arial" w:cs="Arial" w:eastAsia="Arial" w:hAnsi="Arial"/>
          <w:sz w:val="16"/>
          <w:szCs w:val="16"/>
          <w:color w:val="auto"/>
        </w:rPr>
      </w:pPr>
      <w:r>
        <w:rPr>
          <w:rFonts w:ascii="Arial" w:cs="Arial" w:eastAsia="Arial" w:hAnsi="Arial"/>
          <w:sz w:val="16"/>
          <w:szCs w:val="16"/>
          <w:color w:val="auto"/>
        </w:rPr>
        <w:t>planned capital expenditures and availability of capital resources to fund capital expenditures;</w:t>
      </w:r>
    </w:p>
    <w:p>
      <w:pPr>
        <w:spacing w:after="0" w:line="18" w:lineRule="exact"/>
        <w:rPr>
          <w:rFonts w:ascii="Arial" w:cs="Arial" w:eastAsia="Arial" w:hAnsi="Arial"/>
          <w:sz w:val="16"/>
          <w:szCs w:val="16"/>
          <w:color w:val="auto"/>
        </w:rPr>
      </w:pPr>
    </w:p>
    <w:p>
      <w:pPr>
        <w:ind w:left="480" w:hanging="156"/>
        <w:spacing w:after="0"/>
        <w:tabs>
          <w:tab w:leader="none" w:pos="480" w:val="left"/>
        </w:tabs>
        <w:numPr>
          <w:ilvl w:val="0"/>
          <w:numId w:val="8"/>
        </w:numPr>
        <w:rPr>
          <w:rFonts w:ascii="Arial" w:cs="Arial" w:eastAsia="Arial" w:hAnsi="Arial"/>
          <w:sz w:val="16"/>
          <w:szCs w:val="16"/>
          <w:color w:val="auto"/>
        </w:rPr>
      </w:pPr>
      <w:r>
        <w:rPr>
          <w:rFonts w:ascii="Arial" w:cs="Arial" w:eastAsia="Arial" w:hAnsi="Arial"/>
          <w:sz w:val="16"/>
          <w:szCs w:val="16"/>
          <w:color w:val="auto"/>
        </w:rPr>
        <w:t>our ability to maintain long-term relationships and enter into time charters with new and existing customers;</w:t>
      </w:r>
    </w:p>
    <w:p>
      <w:pPr>
        <w:spacing w:after="0" w:line="18" w:lineRule="exact"/>
        <w:rPr>
          <w:rFonts w:ascii="Arial" w:cs="Arial" w:eastAsia="Arial" w:hAnsi="Arial"/>
          <w:sz w:val="16"/>
          <w:szCs w:val="16"/>
          <w:color w:val="auto"/>
        </w:rPr>
      </w:pPr>
    </w:p>
    <w:p>
      <w:pPr>
        <w:ind w:left="460" w:hanging="128"/>
        <w:spacing w:after="0"/>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fluctuations in prices for crude oil, petroleum products and natural gas, including LNG;</w:t>
      </w:r>
    </w:p>
    <w:p>
      <w:pPr>
        <w:spacing w:after="0" w:line="18" w:lineRule="exact"/>
        <w:rPr>
          <w:rFonts w:ascii="Arial" w:cs="Arial" w:eastAsia="Arial" w:hAnsi="Arial"/>
          <w:sz w:val="16"/>
          <w:szCs w:val="16"/>
          <w:color w:val="auto"/>
        </w:rPr>
      </w:pPr>
    </w:p>
    <w:p>
      <w:pPr>
        <w:ind w:left="460" w:hanging="128"/>
        <w:spacing w:after="0"/>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changes in the ownership of our charterers;</w:t>
      </w:r>
    </w:p>
    <w:p>
      <w:pPr>
        <w:spacing w:after="0" w:line="18" w:lineRule="exact"/>
        <w:rPr>
          <w:rFonts w:ascii="Arial" w:cs="Arial" w:eastAsia="Arial" w:hAnsi="Arial"/>
          <w:sz w:val="16"/>
          <w:szCs w:val="16"/>
          <w:color w:val="auto"/>
        </w:rPr>
      </w:pPr>
    </w:p>
    <w:p>
      <w:pPr>
        <w:ind w:left="460" w:hanging="128"/>
        <w:spacing w:after="0"/>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our customers’ performance of their obligations under our time charters and other contracts;</w:t>
      </w:r>
    </w:p>
    <w:p>
      <w:pPr>
        <w:spacing w:after="0" w:line="18" w:lineRule="exact"/>
        <w:rPr>
          <w:rFonts w:ascii="Arial" w:cs="Arial" w:eastAsia="Arial" w:hAnsi="Arial"/>
          <w:sz w:val="16"/>
          <w:szCs w:val="16"/>
          <w:color w:val="auto"/>
        </w:rPr>
      </w:pPr>
    </w:p>
    <w:p>
      <w:pPr>
        <w:ind w:left="460" w:hanging="128"/>
        <w:spacing w:after="0"/>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our future operating performance and expenses, financial condition, liquidity and cash available for dividends and distributions;</w:t>
      </w:r>
    </w:p>
    <w:p>
      <w:pPr>
        <w:spacing w:after="0" w:line="18" w:lineRule="exact"/>
        <w:rPr>
          <w:rFonts w:ascii="Arial" w:cs="Arial" w:eastAsia="Arial" w:hAnsi="Arial"/>
          <w:sz w:val="16"/>
          <w:szCs w:val="16"/>
          <w:color w:val="auto"/>
        </w:rPr>
      </w:pPr>
    </w:p>
    <w:p>
      <w:pPr>
        <w:ind w:left="520" w:right="100" w:hanging="188"/>
        <w:spacing w:after="0" w:line="264" w:lineRule="auto"/>
        <w:tabs>
          <w:tab w:leader="none" w:pos="475" w:val="left"/>
        </w:tabs>
        <w:numPr>
          <w:ilvl w:val="0"/>
          <w:numId w:val="8"/>
        </w:numPr>
        <w:rPr>
          <w:rFonts w:ascii="Arial" w:cs="Arial" w:eastAsia="Arial" w:hAnsi="Arial"/>
          <w:sz w:val="16"/>
          <w:szCs w:val="16"/>
          <w:color w:val="auto"/>
        </w:rPr>
      </w:pPr>
      <w:r>
        <w:rPr>
          <w:rFonts w:ascii="Arial" w:cs="Arial" w:eastAsia="Arial" w:hAnsi="Arial"/>
          <w:sz w:val="16"/>
          <w:szCs w:val="16"/>
          <w:color w:val="auto"/>
        </w:rPr>
        <w:t>our ability to obtain financing to fund capital expenditures, acquisitions and other corporate activities, funding by banks of their financial commitments, and our ability to meet our restrictive covenants and other obligations under our credit facilities;</w:t>
      </w:r>
    </w:p>
    <w:p>
      <w:pPr>
        <w:ind w:left="460" w:hanging="128"/>
        <w:spacing w:after="0"/>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future, pending or recent acquisitions of or orders for ships or other assets, business strategy, areas of possible expansion and expected capital spending;</w:t>
      </w:r>
    </w:p>
    <w:p>
      <w:pPr>
        <w:spacing w:after="0" w:line="18" w:lineRule="exact"/>
        <w:rPr>
          <w:rFonts w:ascii="Arial" w:cs="Arial" w:eastAsia="Arial" w:hAnsi="Arial"/>
          <w:sz w:val="16"/>
          <w:szCs w:val="16"/>
          <w:color w:val="auto"/>
        </w:rPr>
      </w:pPr>
    </w:p>
    <w:p>
      <w:pPr>
        <w:ind w:left="460" w:hanging="128"/>
        <w:spacing w:after="0"/>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time that it may take to construct and deliver newbuildings and the useful lives of our ships;</w:t>
      </w:r>
    </w:p>
    <w:p>
      <w:pPr>
        <w:spacing w:after="0" w:line="18" w:lineRule="exact"/>
        <w:rPr>
          <w:rFonts w:ascii="Arial" w:cs="Arial" w:eastAsia="Arial" w:hAnsi="Arial"/>
          <w:sz w:val="16"/>
          <w:szCs w:val="16"/>
          <w:color w:val="auto"/>
        </w:rPr>
      </w:pPr>
    </w:p>
    <w:p>
      <w:pPr>
        <w:ind w:left="460" w:hanging="128"/>
        <w:spacing w:after="0"/>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fluctuations in currencies and interest rates;</w:t>
      </w:r>
    </w:p>
    <w:p>
      <w:pPr>
        <w:spacing w:after="0" w:line="18" w:lineRule="exact"/>
        <w:rPr>
          <w:rFonts w:ascii="Arial" w:cs="Arial" w:eastAsia="Arial" w:hAnsi="Arial"/>
          <w:sz w:val="16"/>
          <w:szCs w:val="16"/>
          <w:color w:val="auto"/>
        </w:rPr>
      </w:pPr>
    </w:p>
    <w:p>
      <w:pPr>
        <w:ind w:left="520" w:right="360" w:hanging="188"/>
        <w:spacing w:after="0" w:line="264" w:lineRule="auto"/>
        <w:tabs>
          <w:tab w:leader="none" w:pos="475"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expected cost of and our ability to comply with environmental and regulatory conditions, including changes in laws and regulations or actions taken by regulatory authorities, governmental organizations, classification societies and standards imposed by our charterers applicable to our business;</w:t>
      </w:r>
    </w:p>
    <w:p>
      <w:pPr>
        <w:ind w:left="460" w:hanging="128"/>
        <w:spacing w:after="0"/>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risks inherent in ship operation, including the discharge of pollutants;</w:t>
      </w:r>
    </w:p>
    <w:p>
      <w:pPr>
        <w:spacing w:after="0" w:line="18" w:lineRule="exact"/>
        <w:rPr>
          <w:rFonts w:ascii="Arial" w:cs="Arial" w:eastAsia="Arial" w:hAnsi="Arial"/>
          <w:sz w:val="16"/>
          <w:szCs w:val="16"/>
          <w:color w:val="auto"/>
        </w:rPr>
      </w:pPr>
    </w:p>
    <w:p>
      <w:pPr>
        <w:ind w:left="460" w:hanging="128"/>
        <w:spacing w:after="0"/>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our ability to retain key employees and the availability of skilled labour, ship crews and management;</w:t>
      </w:r>
    </w:p>
    <w:p>
      <w:pPr>
        <w:spacing w:after="0" w:line="18" w:lineRule="exact"/>
        <w:rPr>
          <w:rFonts w:ascii="Arial" w:cs="Arial" w:eastAsia="Arial" w:hAnsi="Arial"/>
          <w:sz w:val="16"/>
          <w:szCs w:val="16"/>
          <w:color w:val="auto"/>
        </w:rPr>
      </w:pPr>
    </w:p>
    <w:p>
      <w:pPr>
        <w:ind w:left="460" w:hanging="128"/>
        <w:spacing w:after="0"/>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potential disruption of shipping routes due to accidents, political events, piracy or acts by terrorists;</w:t>
      </w:r>
    </w:p>
    <w:p>
      <w:pPr>
        <w:spacing w:after="0" w:line="18" w:lineRule="exact"/>
        <w:rPr>
          <w:rFonts w:ascii="Arial" w:cs="Arial" w:eastAsia="Arial" w:hAnsi="Arial"/>
          <w:sz w:val="16"/>
          <w:szCs w:val="16"/>
          <w:color w:val="auto"/>
        </w:rPr>
      </w:pPr>
    </w:p>
    <w:p>
      <w:pPr>
        <w:ind w:left="460" w:hanging="128"/>
        <w:spacing w:after="0"/>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potential liability from future litigation;</w:t>
      </w:r>
    </w:p>
    <w:p>
      <w:pPr>
        <w:spacing w:after="0" w:line="18" w:lineRule="exact"/>
        <w:rPr>
          <w:rFonts w:ascii="Arial" w:cs="Arial" w:eastAsia="Arial" w:hAnsi="Arial"/>
          <w:sz w:val="16"/>
          <w:szCs w:val="16"/>
          <w:color w:val="auto"/>
        </w:rPr>
      </w:pPr>
    </w:p>
    <w:p>
      <w:pPr>
        <w:ind w:left="460" w:hanging="128"/>
        <w:spacing w:after="0"/>
        <w:tabs>
          <w:tab w:leader="none" w:pos="460" w:val="left"/>
        </w:tabs>
        <w:numPr>
          <w:ilvl w:val="0"/>
          <w:numId w:val="8"/>
        </w:numPr>
        <w:rPr>
          <w:rFonts w:ascii="Arial" w:cs="Arial" w:eastAsia="Arial" w:hAnsi="Arial"/>
          <w:sz w:val="15"/>
          <w:szCs w:val="15"/>
          <w:color w:val="auto"/>
        </w:rPr>
      </w:pPr>
      <w:r>
        <w:rPr>
          <w:rFonts w:ascii="Arial" w:cs="Arial" w:eastAsia="Arial" w:hAnsi="Arial"/>
          <w:sz w:val="15"/>
          <w:szCs w:val="15"/>
          <w:color w:val="auto"/>
        </w:rPr>
        <w:t>any malfunction or disruption of information technology systems and networks that our operations rely on or any impact of a possible cybersecurity event; and</w:t>
      </w:r>
    </w:p>
    <w:p>
      <w:pPr>
        <w:spacing w:after="0" w:line="30" w:lineRule="exact"/>
        <w:rPr>
          <w:rFonts w:ascii="Arial" w:cs="Arial" w:eastAsia="Arial" w:hAnsi="Arial"/>
          <w:sz w:val="15"/>
          <w:szCs w:val="15"/>
          <w:color w:val="auto"/>
        </w:rPr>
      </w:pPr>
    </w:p>
    <w:p>
      <w:pPr>
        <w:ind w:left="460" w:hanging="128"/>
        <w:spacing w:after="0"/>
        <w:tabs>
          <w:tab w:leader="none" w:pos="460" w:val="left"/>
        </w:tabs>
        <w:numPr>
          <w:ilvl w:val="0"/>
          <w:numId w:val="8"/>
        </w:numPr>
        <w:rPr>
          <w:rFonts w:ascii="Arial" w:cs="Arial" w:eastAsia="Arial" w:hAnsi="Arial"/>
          <w:sz w:val="15"/>
          <w:szCs w:val="15"/>
          <w:color w:val="auto"/>
        </w:rPr>
      </w:pPr>
      <w:r>
        <w:rPr>
          <w:rFonts w:ascii="Arial" w:cs="Arial" w:eastAsia="Arial" w:hAnsi="Arial"/>
          <w:sz w:val="15"/>
          <w:szCs w:val="15"/>
          <w:color w:val="auto"/>
        </w:rPr>
        <w:t xml:space="preserve">other risks and uncertainties described in the Company’s Annual Report on Form 20-F filed with the SEC on March 5, 2019 and available at </w:t>
      </w:r>
      <w:r>
        <w:rPr>
          <w:rFonts w:ascii="Arial" w:cs="Arial" w:eastAsia="Arial" w:hAnsi="Arial"/>
          <w:sz w:val="15"/>
          <w:szCs w:val="15"/>
          <w:u w:val="single" w:color="auto"/>
          <w:color w:val="0000FF"/>
        </w:rPr>
        <w:t>http://www.sec.gov</w:t>
      </w:r>
      <w:r>
        <w:rPr>
          <w:rFonts w:ascii="Arial" w:cs="Arial" w:eastAsia="Arial" w:hAnsi="Arial"/>
          <w:sz w:val="15"/>
          <w:szCs w:val="15"/>
          <w:color w:val="auto"/>
        </w:rPr>
        <w:t>.</w:t>
      </w:r>
    </w:p>
    <w:p>
      <w:pPr>
        <w:spacing w:after="0" w:line="242" w:lineRule="exact"/>
        <w:rPr>
          <w:sz w:val="20"/>
          <w:szCs w:val="20"/>
          <w:color w:val="auto"/>
        </w:rPr>
      </w:pPr>
    </w:p>
    <w:p>
      <w:pPr>
        <w:jc w:val="both"/>
        <w:ind w:right="240" w:firstLine="324"/>
        <w:spacing w:after="0" w:line="273" w:lineRule="auto"/>
        <w:rPr>
          <w:sz w:val="20"/>
          <w:szCs w:val="20"/>
          <w:color w:val="auto"/>
        </w:rPr>
      </w:pPr>
      <w:r>
        <w:rPr>
          <w:rFonts w:ascii="Arial" w:cs="Arial" w:eastAsia="Arial" w:hAnsi="Arial"/>
          <w:sz w:val="16"/>
          <w:szCs w:val="16"/>
          <w:color w:val="auto"/>
        </w:rPr>
        <w:t>We undertake no obligation to update or revise any forward-looking statements contained in this report, whether as a result of new information, future events, a change in our views or expectations or otherwise, except as required by applicable law. New factors emerge from time to time, and it is not possible for us to predict all of these factors. Further, we cannot assess the impact of each such factor on our business or the extent to which any factor, or combination of factors, may cause actual results to be materially different from those contained in any forward-looking statement.</w:t>
      </w:r>
    </w:p>
    <w:p>
      <w:pPr>
        <w:spacing w:after="0" w:line="189" w:lineRule="exact"/>
        <w:rPr>
          <w:sz w:val="20"/>
          <w:szCs w:val="20"/>
          <w:color w:val="auto"/>
        </w:rPr>
      </w:pPr>
    </w:p>
    <w:p>
      <w:pPr>
        <w:ind w:right="20" w:firstLine="356"/>
        <w:spacing w:after="0" w:line="293" w:lineRule="auto"/>
        <w:rPr>
          <w:sz w:val="20"/>
          <w:szCs w:val="20"/>
          <w:color w:val="auto"/>
        </w:rPr>
      </w:pPr>
      <w:r>
        <w:rPr>
          <w:rFonts w:ascii="Arial" w:cs="Arial" w:eastAsia="Arial" w:hAnsi="Arial"/>
          <w:sz w:val="16"/>
          <w:szCs w:val="16"/>
          <w:color w:val="auto"/>
        </w:rPr>
        <w:t>The declaration and payment of dividends are at all times subject to the discretion of our board of directors and will depend on, amongst other things, risks and uncertainties described above, restrictions in our credit facilities, the provisions of Bermuda law and such other factors as our board</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35901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359015" cy="29845"/>
                    </a:xfrm>
                    <a:prstGeom prst="rect">
                      <a:avLst/>
                    </a:prstGeom>
                    <a:noFill/>
                  </pic:spPr>
                </pic:pic>
              </a:graphicData>
            </a:graphic>
          </wp:anchor>
        </w:drawing>
      </w:r>
    </w:p>
    <w:p>
      <w:pPr>
        <w:sectPr>
          <w:pgSz w:w="11900" w:h="16838" w:orient="portrait"/>
          <w:cols w:equalWidth="0" w:num="1">
            <w:col w:w="11560"/>
          </w:cols>
          <w:pgMar w:left="160" w:top="46" w:right="179" w:bottom="1440" w:gutter="0" w:footer="0" w:header="0"/>
        </w:sectPr>
      </w:pPr>
    </w:p>
    <w:bookmarkStart w:id="16" w:name="page17"/>
    <w:bookmarkEnd w:id="16"/>
    <w:p>
      <w:pPr>
        <w:spacing w:after="0"/>
        <w:rPr>
          <w:sz w:val="20"/>
          <w:szCs w:val="20"/>
          <w:color w:val="auto"/>
        </w:rPr>
      </w:pPr>
      <w:r>
        <w:rPr>
          <w:rFonts w:ascii="Arial" w:cs="Arial" w:eastAsia="Arial" w:hAnsi="Arial"/>
          <w:sz w:val="16"/>
          <w:szCs w:val="16"/>
          <w:color w:val="auto"/>
        </w:rPr>
        <w:t>of directors may deem relevant.</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239" w:lineRule="exact"/>
        <w:rPr>
          <w:sz w:val="20"/>
          <w:szCs w:val="20"/>
          <w:color w:val="auto"/>
        </w:rPr>
      </w:pPr>
    </w:p>
    <w:p>
      <w:pPr>
        <w:ind w:firstLine="356"/>
        <w:spacing w:after="0" w:line="268" w:lineRule="auto"/>
        <w:rPr>
          <w:sz w:val="20"/>
          <w:szCs w:val="20"/>
          <w:color w:val="auto"/>
        </w:rPr>
      </w:pPr>
      <w:r>
        <w:rPr>
          <w:rFonts w:ascii="Arial" w:cs="Arial" w:eastAsia="Arial" w:hAnsi="Arial"/>
          <w:sz w:val="16"/>
          <w:szCs w:val="16"/>
          <w:color w:val="auto"/>
        </w:rPr>
        <w:t>We are an international owner, operator and manager of LNG carriers. Our wholly owned fleet as of May 3, 2019, consists of 19 LNG carriers, including eleven ships in operation and eight LNG carriers on order at Samsung Heavy Industries Co., Ltd. (“Samsung”). GasLog is also the general and controlling partner in GasLog Partners LP (“GasLog Partners” or the “Partnership”), a publicly traded master limited partnership, which owns 15 LNG carriers. In addition, GasLog has leased back under a bareboat charter one vessel sold to Lepta Shipping Co., Ltd. (“Lepta Shipping”), a subsidiary of Mitsui Co., Ltd. (“Mitsui”) in February 2016, for a period of up to 20 years. GasLog has the option to repurchase the vessel on pre-agreed terms no earlier than the end of year ten and no later than the end of year 17 of the bareboat charter. We currently manage and operate 27 LNG carriers including our eleven wholly owned ships in operation, 14 of the 15 ships contributed or sold to the Partnership (the other one is managed by a subsidiary of Royal Dutch Shell plc (“Shell”)), the bareboat vessel and one LNG carrier owned by an entity in which we have a 25% interest. We are also supervising the construction of our newbuildings.</w:t>
      </w:r>
    </w:p>
    <w:p>
      <w:pPr>
        <w:spacing w:after="0" w:line="192" w:lineRule="exact"/>
        <w:rPr>
          <w:sz w:val="20"/>
          <w:szCs w:val="20"/>
          <w:color w:val="auto"/>
        </w:rPr>
      </w:pPr>
    </w:p>
    <w:p>
      <w:pPr>
        <w:ind w:right="40" w:firstLine="324"/>
        <w:spacing w:after="0" w:line="287" w:lineRule="auto"/>
        <w:rPr>
          <w:sz w:val="20"/>
          <w:szCs w:val="20"/>
          <w:color w:val="auto"/>
        </w:rPr>
      </w:pPr>
      <w:r>
        <w:rPr>
          <w:rFonts w:ascii="Arial" w:cs="Arial" w:eastAsia="Arial" w:hAnsi="Arial"/>
          <w:sz w:val="15"/>
          <w:szCs w:val="15"/>
          <w:color w:val="auto"/>
        </w:rPr>
        <w:t>In 2015, GasLog entered into a pool agreement (the “Pool Agreement”) with Dynagas Ltd. (“Dynagas”) and Golar LNG Ltd. (“Golar”) establishing an LNG carrier pooling arrangement (the “Cool Pool”) to market our and their vessels which were operating in the LNG shipping spot market at the time of entering into the Pool Agreement. The Cool Pool allows the participating owners to optimize the operation of the pool vessels through improved scheduling ability, cost efficiencies and common marketing. The objective of the Cool Pool is to serve the transportation requirements of a rapidly growing LNG shipping market by providing customers with reliable, flexible and innovative solutions to meet their increasingly complex shipping requirements. For the operation of the Cool Pool, a Marshall Islands service company named “The Cool Pool Limited” was incorporated in September 2015 to act as an agent. As of March 31, 2019, the Cool Pool consisted of 16 tri-fuel diesel electric (“TFDE”) LNG carriers in the 155,000-177,000 cubic meter (“cbm”) size range owned by GasLog and Golar. The Cool Pool charters the vessels for periods of up to one year in duration as agents for the owners, who each remain responsible for the technical and commercial operation of their vessels and performance of the contracts. In June and July 2018, Dynagas removed its three vessels from the Cool Pool and renounced its 33% ownership in the Cool Pool.</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5"/>
          <w:szCs w:val="15"/>
          <w:color w:val="auto"/>
        </w:rPr>
        <w:t xml:space="preserve">We have a 25% interest in a vessel, the </w:t>
      </w:r>
      <w:r>
        <w:rPr>
          <w:rFonts w:ascii="Arial" w:cs="Arial" w:eastAsia="Arial" w:hAnsi="Arial"/>
          <w:sz w:val="15"/>
          <w:szCs w:val="15"/>
          <w:i w:val="1"/>
          <w:iCs w:val="1"/>
          <w:color w:val="auto"/>
        </w:rPr>
        <w:t>Methane Nile Eagle</w:t>
      </w:r>
      <w:r>
        <w:rPr>
          <w:rFonts w:ascii="Arial" w:cs="Arial" w:eastAsia="Arial" w:hAnsi="Arial"/>
          <w:sz w:val="15"/>
          <w:szCs w:val="15"/>
          <w:color w:val="auto"/>
        </w:rPr>
        <w:t>, a 2007-built LNG carrier owned by Egypt LNG Shipping Ltd. (“Egypt LNG”) and technically managed by us.</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It is currently operating under a 20-year time charter to a subsidiary of Shell.</w:t>
      </w:r>
    </w:p>
    <w:p>
      <w:pPr>
        <w:spacing w:after="0" w:line="231" w:lineRule="exact"/>
        <w:rPr>
          <w:sz w:val="20"/>
          <w:szCs w:val="20"/>
          <w:color w:val="auto"/>
        </w:rPr>
      </w:pPr>
    </w:p>
    <w:p>
      <w:pPr>
        <w:jc w:val="both"/>
        <w:ind w:right="160" w:firstLine="356"/>
        <w:spacing w:after="0" w:line="278" w:lineRule="auto"/>
        <w:rPr>
          <w:sz w:val="20"/>
          <w:szCs w:val="20"/>
          <w:color w:val="auto"/>
        </w:rPr>
      </w:pPr>
      <w:r>
        <w:rPr>
          <w:rFonts w:ascii="Arial" w:cs="Arial" w:eastAsia="Arial" w:hAnsi="Arial"/>
          <w:sz w:val="16"/>
          <w:szCs w:val="16"/>
          <w:color w:val="auto"/>
        </w:rPr>
        <w:t>We generate revenues by chartering our ships to customers on multi-year time charters and spot/short-term charters and by providing technical ship management services, including crewing, training, maintenance, regulatory and classification compliance and health, safety, security and environmental (“HSSE”) management and reporting through our wholly owned subsidiary GasLog LNG Services Ltd.</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Developments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New Charter Agreements</w:t>
      </w:r>
    </w:p>
    <w:p>
      <w:pPr>
        <w:spacing w:after="0" w:line="239" w:lineRule="exact"/>
        <w:rPr>
          <w:sz w:val="20"/>
          <w:szCs w:val="20"/>
          <w:color w:val="auto"/>
        </w:rPr>
      </w:pPr>
    </w:p>
    <w:p>
      <w:pPr>
        <w:jc w:val="both"/>
        <w:ind w:firstLine="324"/>
        <w:spacing w:after="0" w:line="278" w:lineRule="auto"/>
        <w:rPr>
          <w:sz w:val="20"/>
          <w:szCs w:val="20"/>
          <w:color w:val="auto"/>
        </w:rPr>
      </w:pPr>
      <w:r>
        <w:rPr>
          <w:rFonts w:ascii="Arial" w:cs="Arial" w:eastAsia="Arial" w:hAnsi="Arial"/>
          <w:sz w:val="16"/>
          <w:szCs w:val="16"/>
          <w:color w:val="auto"/>
        </w:rPr>
        <w:t>GasLog entered into a 12-year time charter agreement with the principal LNG shipping entity of JERA Co., Inc (“JERA”), for GasLog’s existing newbuild vessel Hull No. 2274. The vessel, a 180,000 cbm Mark III Flex Plus carrier with low pressure dual-fuel two-stroke engine (“X-DF”) propulsion, previously referred to as LP-2S, is expected to deliver from Samsung in April 2020, at which point it will commence its 12-year time charter.</w:t>
      </w:r>
    </w:p>
    <w:p>
      <w:pPr>
        <w:spacing w:after="0" w:line="184" w:lineRule="exact"/>
        <w:rPr>
          <w:sz w:val="20"/>
          <w:szCs w:val="20"/>
          <w:color w:val="auto"/>
        </w:rPr>
      </w:pPr>
    </w:p>
    <w:p>
      <w:pPr>
        <w:jc w:val="both"/>
        <w:ind w:firstLine="324"/>
        <w:spacing w:after="0" w:line="278" w:lineRule="auto"/>
        <w:rPr>
          <w:sz w:val="20"/>
          <w:szCs w:val="20"/>
          <w:color w:val="auto"/>
        </w:rPr>
      </w:pPr>
      <w:r>
        <w:rPr>
          <w:rFonts w:ascii="Arial" w:cs="Arial" w:eastAsia="Arial" w:hAnsi="Arial"/>
          <w:sz w:val="16"/>
          <w:szCs w:val="16"/>
          <w:color w:val="auto"/>
        </w:rPr>
        <w:t xml:space="preserve">GasLog also entered into an eight-year time charter agreement with a wholly owned subsidiary of Endesa, S.A. (“Endesa”) for GasLog’s existing newbuild vessel the </w:t>
      </w:r>
      <w:r>
        <w:rPr>
          <w:rFonts w:ascii="Arial" w:cs="Arial" w:eastAsia="Arial" w:hAnsi="Arial"/>
          <w:sz w:val="16"/>
          <w:szCs w:val="16"/>
          <w:i w:val="1"/>
          <w:iCs w:val="1"/>
          <w:color w:val="auto"/>
        </w:rPr>
        <w:t>GasLog Warsaw</w:t>
      </w:r>
      <w:r>
        <w:rPr>
          <w:rFonts w:ascii="Arial" w:cs="Arial" w:eastAsia="Arial" w:hAnsi="Arial"/>
          <w:sz w:val="16"/>
          <w:szCs w:val="16"/>
          <w:color w:val="auto"/>
        </w:rPr>
        <w:t>. The vessel, a 180,000 cbm Mark III Flex Plus carrier with X-DF propulsion, is expected to deliver from Samsung in the third quarter of 2019 and to commence</w:t>
      </w:r>
      <w:r>
        <w:rPr>
          <w:rFonts w:ascii="Arial" w:cs="Arial" w:eastAsia="Arial" w:hAnsi="Arial"/>
          <w:sz w:val="16"/>
          <w:szCs w:val="16"/>
          <w:i w:val="1"/>
          <w:iCs w:val="1"/>
          <w:color w:val="auto"/>
        </w:rPr>
        <w:t xml:space="preserve"> </w:t>
      </w:r>
      <w:r>
        <w:rPr>
          <w:rFonts w:ascii="Arial" w:cs="Arial" w:eastAsia="Arial" w:hAnsi="Arial"/>
          <w:sz w:val="16"/>
          <w:szCs w:val="16"/>
          <w:color w:val="auto"/>
        </w:rPr>
        <w:t>its charter to Endesa in May 2021.</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 xml:space="preserve">Sale of the </w:t>
      </w:r>
      <w:r>
        <w:rPr>
          <w:rFonts w:ascii="Arial" w:cs="Arial" w:eastAsia="Arial" w:hAnsi="Arial"/>
          <w:sz w:val="16"/>
          <w:szCs w:val="16"/>
          <w:b w:val="1"/>
          <w:bCs w:val="1"/>
          <w:i w:val="1"/>
          <w:iCs w:val="1"/>
          <w:u w:val="single" w:color="auto"/>
          <w:color w:val="auto"/>
        </w:rPr>
        <w:t>GasLog Glasgow</w:t>
      </w:r>
    </w:p>
    <w:p>
      <w:pPr>
        <w:spacing w:after="0" w:line="144" w:lineRule="exact"/>
        <w:rPr>
          <w:sz w:val="20"/>
          <w:szCs w:val="20"/>
          <w:color w:val="auto"/>
        </w:rPr>
      </w:pPr>
    </w:p>
    <w:p>
      <w:pPr>
        <w:ind w:right="60" w:firstLine="324"/>
        <w:spacing w:after="0" w:line="278" w:lineRule="auto"/>
        <w:rPr>
          <w:sz w:val="20"/>
          <w:szCs w:val="20"/>
          <w:color w:val="auto"/>
        </w:rPr>
      </w:pPr>
      <w:r>
        <w:rPr>
          <w:rFonts w:ascii="Arial" w:cs="Arial" w:eastAsia="Arial" w:hAnsi="Arial"/>
          <w:sz w:val="16"/>
          <w:szCs w:val="16"/>
          <w:color w:val="auto"/>
        </w:rPr>
        <w:t xml:space="preserve">On March 13, 2019, GasLog entered into an agreement with GasLog Partners to sell 100% of the ownership interest in GAS-twelve Ltd., the entity that owns the </w:t>
      </w:r>
      <w:r>
        <w:rPr>
          <w:rFonts w:ascii="Arial" w:cs="Arial" w:eastAsia="Arial" w:hAnsi="Arial"/>
          <w:sz w:val="16"/>
          <w:szCs w:val="16"/>
          <w:i w:val="1"/>
          <w:iCs w:val="1"/>
          <w:color w:val="auto"/>
        </w:rPr>
        <w:t>GasLog</w:t>
      </w:r>
      <w:r>
        <w:rPr>
          <w:rFonts w:ascii="Arial" w:cs="Arial" w:eastAsia="Arial" w:hAnsi="Arial"/>
          <w:sz w:val="16"/>
          <w:szCs w:val="16"/>
          <w:color w:val="auto"/>
        </w:rPr>
        <w:t xml:space="preserve"> </w:t>
      </w:r>
      <w:r>
        <w:rPr>
          <w:rFonts w:ascii="Arial" w:cs="Arial" w:eastAsia="Arial" w:hAnsi="Arial"/>
          <w:sz w:val="16"/>
          <w:szCs w:val="16"/>
          <w:i w:val="1"/>
          <w:iCs w:val="1"/>
          <w:color w:val="auto"/>
        </w:rPr>
        <w:t>Glasgow</w:t>
      </w:r>
      <w:r>
        <w:rPr>
          <w:rFonts w:ascii="Arial" w:cs="Arial" w:eastAsia="Arial" w:hAnsi="Arial"/>
          <w:sz w:val="16"/>
          <w:szCs w:val="16"/>
          <w:color w:val="auto"/>
        </w:rPr>
        <w:t>. The vessel is currently on time charter with a subsidiary of Shell through June 2026, and Shell has a unilateral option to extend the term of the time charter for a period</w:t>
      </w:r>
      <w:r>
        <w:rPr>
          <w:rFonts w:ascii="Arial" w:cs="Arial" w:eastAsia="Arial" w:hAnsi="Arial"/>
          <w:sz w:val="16"/>
          <w:szCs w:val="16"/>
          <w:i w:val="1"/>
          <w:iCs w:val="1"/>
          <w:color w:val="auto"/>
        </w:rPr>
        <w:t xml:space="preserve"> </w:t>
      </w:r>
      <w:r>
        <w:rPr>
          <w:rFonts w:ascii="Arial" w:cs="Arial" w:eastAsia="Arial" w:hAnsi="Arial"/>
          <w:sz w:val="16"/>
          <w:szCs w:val="16"/>
          <w:color w:val="auto"/>
        </w:rPr>
        <w:t>of five years.</w:t>
      </w:r>
    </w:p>
    <w:p>
      <w:pPr>
        <w:spacing w:after="0" w:line="90" w:lineRule="exact"/>
        <w:rPr>
          <w:sz w:val="20"/>
          <w:szCs w:val="20"/>
          <w:color w:val="auto"/>
        </w:rPr>
      </w:pPr>
    </w:p>
    <w:p>
      <w:pPr>
        <w:ind w:right="300" w:firstLine="324"/>
        <w:spacing w:after="0" w:line="293" w:lineRule="auto"/>
        <w:rPr>
          <w:sz w:val="20"/>
          <w:szCs w:val="20"/>
          <w:color w:val="auto"/>
        </w:rPr>
      </w:pPr>
      <w:r>
        <w:rPr>
          <w:rFonts w:ascii="Arial" w:cs="Arial" w:eastAsia="Arial" w:hAnsi="Arial"/>
          <w:sz w:val="16"/>
          <w:szCs w:val="16"/>
          <w:color w:val="auto"/>
        </w:rPr>
        <w:t>The aggregate sale price was $214.0 million, which included $1.0 million of positive net working capital balances transferred with the entity. The sale closed on April 1, 2019.</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Debt Refinancing</w:t>
      </w:r>
    </w:p>
    <w:p>
      <w:pPr>
        <w:spacing w:after="0" w:line="144" w:lineRule="exact"/>
        <w:rPr>
          <w:sz w:val="20"/>
          <w:szCs w:val="20"/>
          <w:color w:val="auto"/>
        </w:rPr>
      </w:pPr>
    </w:p>
    <w:p>
      <w:pPr>
        <w:ind w:right="20" w:firstLine="324"/>
        <w:spacing w:after="0" w:line="288" w:lineRule="auto"/>
        <w:rPr>
          <w:sz w:val="20"/>
          <w:szCs w:val="20"/>
          <w:color w:val="auto"/>
        </w:rPr>
      </w:pPr>
      <w:r>
        <w:rPr>
          <w:rFonts w:ascii="Arial" w:cs="Arial" w:eastAsia="Arial" w:hAnsi="Arial"/>
          <w:sz w:val="15"/>
          <w:szCs w:val="15"/>
          <w:color w:val="auto"/>
        </w:rPr>
        <w:t xml:space="preserve">On February 20, 2019, GasLog Partners entered into a credit agreement with Credit Suisse AG, Nordea Bank Abp, filial i Norge (“Nordea”) and Iyo Bank, Ltd., Singapore Branch, each an original lender and Nordea acting as security agent and trustee for and on behalf of the other finance parties mentioned above, of up to $450.0 million (the “2019 Partnership Facility”), in order to refinance the existing indebtedness due in November 2019 on five of its vessels. Subsequently, on the same date, the Development Bank of Japan, Inc., entered the facility as lender via a transfer certificate. The agreement provides for an amortizing revolving credit facility which can be repaid and redrawn at any time for a period of five years. The total available facility amount will be reduced on a quarterly basis, with a final balloon amount payable concurrently with the last quarterly installment, if any, in February 2024. The vessels covered by the 2019 Partnership Facility are the </w:t>
      </w:r>
      <w:r>
        <w:rPr>
          <w:rFonts w:ascii="Arial" w:cs="Arial" w:eastAsia="Arial" w:hAnsi="Arial"/>
          <w:sz w:val="15"/>
          <w:szCs w:val="15"/>
          <w:i w:val="1"/>
          <w:iCs w:val="1"/>
          <w:color w:val="auto"/>
        </w:rPr>
        <w:t>GasLog Shanghai</w:t>
      </w:r>
      <w:r>
        <w:rPr>
          <w:rFonts w:ascii="Arial" w:cs="Arial" w:eastAsia="Arial" w:hAnsi="Arial"/>
          <w:sz w:val="15"/>
          <w:szCs w:val="15"/>
          <w:color w:val="auto"/>
        </w:rPr>
        <w:t xml:space="preserve">, the </w:t>
      </w:r>
      <w:r>
        <w:rPr>
          <w:rFonts w:ascii="Arial" w:cs="Arial" w:eastAsia="Arial" w:hAnsi="Arial"/>
          <w:sz w:val="15"/>
          <w:szCs w:val="15"/>
          <w:i w:val="1"/>
          <w:iCs w:val="1"/>
          <w:color w:val="auto"/>
        </w:rPr>
        <w:t>GasLog Santiago</w:t>
      </w:r>
      <w:r>
        <w:rPr>
          <w:rFonts w:ascii="Arial" w:cs="Arial" w:eastAsia="Arial" w:hAnsi="Arial"/>
          <w:sz w:val="15"/>
          <w:szCs w:val="15"/>
          <w:color w:val="auto"/>
        </w:rPr>
        <w:t xml:space="preserve">, the </w:t>
      </w:r>
      <w:r>
        <w:rPr>
          <w:rFonts w:ascii="Arial" w:cs="Arial" w:eastAsia="Arial" w:hAnsi="Arial"/>
          <w:sz w:val="15"/>
          <w:szCs w:val="15"/>
          <w:i w:val="1"/>
          <w:iCs w:val="1"/>
          <w:color w:val="auto"/>
        </w:rPr>
        <w:t>GasLog Sydney</w:t>
      </w:r>
      <w:r>
        <w:rPr>
          <w:rFonts w:ascii="Arial" w:cs="Arial" w:eastAsia="Arial" w:hAnsi="Arial"/>
          <w:sz w:val="15"/>
          <w:szCs w:val="15"/>
          <w:color w:val="auto"/>
        </w:rPr>
        <w:t xml:space="preserve">, the </w:t>
      </w:r>
      <w:r>
        <w:rPr>
          <w:rFonts w:ascii="Arial" w:cs="Arial" w:eastAsia="Arial" w:hAnsi="Arial"/>
          <w:sz w:val="15"/>
          <w:szCs w:val="15"/>
          <w:i w:val="1"/>
          <w:iCs w:val="1"/>
          <w:color w:val="auto"/>
        </w:rPr>
        <w:t>Methane Rita</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Andrea </w:t>
      </w:r>
      <w:r>
        <w:rPr>
          <w:rFonts w:ascii="Arial" w:cs="Arial" w:eastAsia="Arial" w:hAnsi="Arial"/>
          <w:sz w:val="15"/>
          <w:szCs w:val="15"/>
          <w:color w:val="auto"/>
        </w:rPr>
        <w:t>and the</w:t>
      </w:r>
      <w:r>
        <w:rPr>
          <w:rFonts w:ascii="Arial" w:cs="Arial" w:eastAsia="Arial" w:hAnsi="Arial"/>
          <w:sz w:val="15"/>
          <w:szCs w:val="15"/>
          <w:i w:val="1"/>
          <w:iCs w:val="1"/>
          <w:color w:val="auto"/>
        </w:rPr>
        <w:t xml:space="preserve"> Methane Jane Elizabeth</w:t>
      </w:r>
      <w:r>
        <w:rPr>
          <w:rFonts w:ascii="Arial" w:cs="Arial" w:eastAsia="Arial" w:hAnsi="Arial"/>
          <w:sz w:val="15"/>
          <w:szCs w:val="15"/>
          <w:color w:val="auto"/>
        </w:rPr>
        <w:t>. Interest on the 2019 Partnership Facility is payable at a rate of U.S. dollar (“USD”) London Interbank Offered Rate (“LIBOR”) plus</w:t>
      </w:r>
      <w:r>
        <w:rPr>
          <w:rFonts w:ascii="Arial" w:cs="Arial" w:eastAsia="Arial" w:hAnsi="Arial"/>
          <w:sz w:val="15"/>
          <w:szCs w:val="15"/>
          <w:i w:val="1"/>
          <w:iCs w:val="1"/>
          <w:color w:val="auto"/>
        </w:rPr>
        <w:t xml:space="preserve"> </w:t>
      </w:r>
      <w:r>
        <w:rPr>
          <w:rFonts w:ascii="Arial" w:cs="Arial" w:eastAsia="Arial" w:hAnsi="Arial"/>
          <w:sz w:val="15"/>
          <w:szCs w:val="15"/>
          <w:color w:val="auto"/>
        </w:rPr>
        <w:t>2.0%-2.2%, which represents a reduced margin above LIBOR compared to the previous facility.</w:t>
      </w:r>
    </w:p>
    <w:p>
      <w:pPr>
        <w:spacing w:after="0" w:line="180" w:lineRule="exact"/>
        <w:rPr>
          <w:sz w:val="20"/>
          <w:szCs w:val="20"/>
          <w:color w:val="auto"/>
        </w:rPr>
      </w:pPr>
    </w:p>
    <w:p>
      <w:pPr>
        <w:ind w:right="40" w:firstLine="324"/>
        <w:spacing w:after="0" w:line="278" w:lineRule="auto"/>
        <w:rPr>
          <w:sz w:val="20"/>
          <w:szCs w:val="20"/>
          <w:color w:val="auto"/>
        </w:rPr>
      </w:pPr>
      <w:r>
        <w:rPr>
          <w:rFonts w:ascii="Arial" w:cs="Arial" w:eastAsia="Arial" w:hAnsi="Arial"/>
          <w:sz w:val="16"/>
          <w:szCs w:val="16"/>
          <w:color w:val="auto"/>
        </w:rPr>
        <w:t xml:space="preserve">On March 6, 2019, the Partnership drew down $360.0 million under the 2019 Partnership Facility, out of which $354.4 million was used to refinance the outstanding debt of GAS-three Ltd., GAS-four Ltd., GAS-five Ltd., GAS-sixteen Ltd. and GAS-seventeen Ltd., the respective entities owning the </w:t>
      </w:r>
      <w:r>
        <w:rPr>
          <w:rFonts w:ascii="Arial" w:cs="Arial" w:eastAsia="Arial" w:hAnsi="Arial"/>
          <w:sz w:val="16"/>
          <w:szCs w:val="16"/>
          <w:i w:val="1"/>
          <w:iCs w:val="1"/>
          <w:color w:val="auto"/>
        </w:rPr>
        <w:t>GasLog Shanghai</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Santiago</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Sydney</w:t>
      </w:r>
      <w:r>
        <w:rPr>
          <w:rFonts w:ascii="Arial" w:cs="Arial" w:eastAsia="Arial" w:hAnsi="Arial"/>
          <w:sz w:val="16"/>
          <w:szCs w:val="16"/>
          <w:color w:val="auto"/>
        </w:rPr>
        <w:t>, the</w:t>
      </w:r>
      <w:r>
        <w:rPr>
          <w:rFonts w:ascii="Arial" w:cs="Arial" w:eastAsia="Arial" w:hAnsi="Arial"/>
          <w:sz w:val="16"/>
          <w:szCs w:val="16"/>
          <w:i w:val="1"/>
          <w:iCs w:val="1"/>
          <w:color w:val="auto"/>
        </w:rPr>
        <w:t xml:space="preserve"> Methane Rita Andrea </w:t>
      </w:r>
      <w:r>
        <w:rPr>
          <w:rFonts w:ascii="Arial" w:cs="Arial" w:eastAsia="Arial" w:hAnsi="Arial"/>
          <w:sz w:val="16"/>
          <w:szCs w:val="16"/>
          <w:color w:val="auto"/>
        </w:rPr>
        <w:t>and the</w:t>
      </w:r>
      <w:r>
        <w:rPr>
          <w:rFonts w:ascii="Arial" w:cs="Arial" w:eastAsia="Arial" w:hAnsi="Arial"/>
          <w:sz w:val="16"/>
          <w:szCs w:val="16"/>
          <w:i w:val="1"/>
          <w:iCs w:val="1"/>
          <w:color w:val="auto"/>
        </w:rPr>
        <w:t xml:space="preserve"> Methane Jane Elizabeth.</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35901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359015" cy="29845"/>
                    </a:xfrm>
                    <a:prstGeom prst="rect">
                      <a:avLst/>
                    </a:prstGeom>
                    <a:noFill/>
                  </pic:spPr>
                </pic:pic>
              </a:graphicData>
            </a:graphic>
          </wp:anchor>
        </w:drawing>
      </w:r>
    </w:p>
    <w:p>
      <w:pPr>
        <w:sectPr>
          <w:pgSz w:w="11900" w:h="16838" w:orient="portrait"/>
          <w:cols w:equalWidth="0" w:num="1">
            <w:col w:w="11560"/>
          </w:cols>
          <w:pgMar w:left="160" w:top="266" w:right="179" w:bottom="1440" w:gutter="0" w:footer="0" w:header="0"/>
        </w:sectPr>
      </w:pPr>
    </w:p>
    <w:bookmarkStart w:id="17" w:name="page18"/>
    <w:bookmarkEnd w:id="17"/>
    <w:p>
      <w:pPr>
        <w:spacing w:after="0"/>
        <w:rPr>
          <w:sz w:val="20"/>
          <w:szCs w:val="20"/>
          <w:color w:val="auto"/>
        </w:rPr>
      </w:pPr>
      <w:r>
        <w:rPr>
          <w:rFonts w:ascii="Arial" w:cs="Arial" w:eastAsia="Arial" w:hAnsi="Arial"/>
          <w:sz w:val="16"/>
          <w:szCs w:val="16"/>
          <w:b w:val="1"/>
          <w:bCs w:val="1"/>
          <w:u w:val="single" w:color="auto"/>
          <w:color w:val="auto"/>
        </w:rPr>
        <w:t xml:space="preserve">Delivery of the </w:t>
      </w:r>
      <w:r>
        <w:rPr>
          <w:rFonts w:ascii="Arial" w:cs="Arial" w:eastAsia="Arial" w:hAnsi="Arial"/>
          <w:sz w:val="16"/>
          <w:szCs w:val="16"/>
          <w:b w:val="1"/>
          <w:bCs w:val="1"/>
          <w:i w:val="1"/>
          <w:iCs w:val="1"/>
          <w:u w:val="single" w:color="auto"/>
          <w:color w:val="auto"/>
        </w:rPr>
        <w:t>GasLog Gladstone</w:t>
      </w:r>
    </w:p>
    <w:p>
      <w:pPr>
        <w:spacing w:after="0" w:line="144"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 xml:space="preserve">On March 15, 2019, GasLog took delivery of the </w:t>
      </w:r>
      <w:r>
        <w:rPr>
          <w:rFonts w:ascii="Arial" w:cs="Arial" w:eastAsia="Arial" w:hAnsi="Arial"/>
          <w:sz w:val="16"/>
          <w:szCs w:val="16"/>
          <w:i w:val="1"/>
          <w:iCs w:val="1"/>
          <w:color w:val="auto"/>
        </w:rPr>
        <w:t>GasLog Gladstone</w:t>
      </w:r>
      <w:r>
        <w:rPr>
          <w:rFonts w:ascii="Arial" w:cs="Arial" w:eastAsia="Arial" w:hAnsi="Arial"/>
          <w:sz w:val="16"/>
          <w:szCs w:val="16"/>
          <w:color w:val="auto"/>
        </w:rPr>
        <w:t>, a 174,000 cbm LNG carrier with X-DF propulsion constructed by Samsung. Upon delivery, the vessel commenced a 10-year charter with Shell.</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Alexandroupolis Project Update</w:t>
      </w:r>
    </w:p>
    <w:p>
      <w:pPr>
        <w:spacing w:after="0" w:line="239" w:lineRule="exact"/>
        <w:rPr>
          <w:sz w:val="20"/>
          <w:szCs w:val="20"/>
          <w:color w:val="auto"/>
        </w:rPr>
      </w:pPr>
    </w:p>
    <w:p>
      <w:pPr>
        <w:ind w:right="160" w:firstLine="324"/>
        <w:spacing w:after="0" w:line="289" w:lineRule="auto"/>
        <w:rPr>
          <w:sz w:val="20"/>
          <w:szCs w:val="20"/>
          <w:color w:val="auto"/>
        </w:rPr>
      </w:pPr>
      <w:r>
        <w:rPr>
          <w:rFonts w:ascii="Arial" w:cs="Arial" w:eastAsia="Arial" w:hAnsi="Arial"/>
          <w:sz w:val="15"/>
          <w:szCs w:val="15"/>
          <w:color w:val="auto"/>
        </w:rPr>
        <w:t>During the first quarter, there was continued progress on the Alexandroupolis Floating Storage Regasification Unit (“FSRU”) project workstreams. Preparation for the binding phase of the European-regulated capacity commitment process (the “Market Test”) continued during the period. Expressions of interest (“EOI”) for the procurement of the FSRU and the construction of the pipeline and offshore installation have been received and several EOIs have been shortlisted. Tenders for the two separate infrastructure elements of the terminal project are expected to be launched in May. DEPA, the Greek state natural gas utility, and Bulgartransgaz, the Bulgarian national gas transmission system operator, are both in the process of formalizing their respective shareholdings in Gastrade. The timing of a Final Investment Decision (“FID”), which Gastrade had previously guided to mid-2019, is subject to successful conclusions of the workstreams described above, as well as successful completion of financing and state aid discussions, and decisions by various regulatory bodies. GasLog will provide further updates on project progress and timing of FID as appropriate.</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Share/Unit Repurchase Programme</w:t>
      </w:r>
    </w:p>
    <w:p>
      <w:pPr>
        <w:spacing w:after="0" w:line="239" w:lineRule="exact"/>
        <w:rPr>
          <w:sz w:val="20"/>
          <w:szCs w:val="20"/>
          <w:color w:val="auto"/>
        </w:rPr>
      </w:pPr>
    </w:p>
    <w:p>
      <w:pPr>
        <w:ind w:right="120" w:firstLine="324"/>
        <w:spacing w:after="0" w:line="289" w:lineRule="auto"/>
        <w:rPr>
          <w:sz w:val="20"/>
          <w:szCs w:val="20"/>
          <w:color w:val="auto"/>
        </w:rPr>
      </w:pPr>
      <w:r>
        <w:rPr>
          <w:rFonts w:ascii="Arial" w:cs="Arial" w:eastAsia="Arial" w:hAnsi="Arial"/>
          <w:sz w:val="15"/>
          <w:szCs w:val="15"/>
          <w:color w:val="auto"/>
        </w:rPr>
        <w:t>On November 28, 2018, the Company announced that its board of directors had approved a share repurchase programme of up to $50.0 million of the Company’s common shares, covering the period from January 1, 2019 to December 31, 2021. Under the terms of the repurchase programme, the Company may repurchase common shares from time to time, at the Company’s discretion, on the open market or in privately negotiated transactions. Any repurchases are subject to market conditions, applicable legal requirements and other considerations. The Company is not obligated under the repurchase programme to repurchase any specific dollar amount or number of common shares, and the repurchase programme may be modified, suspended or discontinued at any time or never utilized. Any common shares repurchased by the Company under the programme will be held in treasury. As of March 31, 2019, 212,111 shares have been acquired at a total cost of $3.8 million and are included in treasury shares. The average cost of the repurchase was $17.69 per share inclusive of all fees and commissions.</w:t>
      </w:r>
    </w:p>
    <w:p>
      <w:pPr>
        <w:spacing w:after="0" w:line="180" w:lineRule="exact"/>
        <w:rPr>
          <w:sz w:val="20"/>
          <w:szCs w:val="20"/>
          <w:color w:val="auto"/>
        </w:rPr>
      </w:pPr>
    </w:p>
    <w:p>
      <w:pPr>
        <w:ind w:right="40" w:firstLine="324"/>
        <w:spacing w:after="0" w:line="269" w:lineRule="auto"/>
        <w:rPr>
          <w:sz w:val="20"/>
          <w:szCs w:val="20"/>
          <w:color w:val="auto"/>
        </w:rPr>
      </w:pPr>
      <w:r>
        <w:rPr>
          <w:rFonts w:ascii="Arial" w:cs="Arial" w:eastAsia="Arial" w:hAnsi="Arial"/>
          <w:sz w:val="16"/>
          <w:szCs w:val="16"/>
          <w:color w:val="auto"/>
        </w:rPr>
        <w:t>On January 29, 2019, the board of directors of GasLog Partners authorized a unit repurchase programme of up to $25.0 million covering the period from January 31, 2019 to December 31, 2021. Under the terms of the repurchase programme, the Partnership may repurchase common units from time to time, at its discretion, on the open market or in privately negotiated transactions. Any repurchases are subject to market conditions, applicable legal requirements and other considerations. The Partnership is not obligated under the repurchase programme to repurchase any specific dollar amount or number of common units, and the repurchase programme may be modified, suspended or discontinued at any time or never utilized. As of May 3, 2019, 50,000 units have been repurchased at a total cost of $1.0 million. The average cost of the repurchase was $20.89 per unit inclusive of all fees and commissions.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Dividend Declaration</w:t>
      </w:r>
    </w:p>
    <w:p>
      <w:pPr>
        <w:spacing w:after="0" w:line="239" w:lineRule="exact"/>
        <w:rPr>
          <w:sz w:val="20"/>
          <w:szCs w:val="20"/>
          <w:color w:val="auto"/>
        </w:rPr>
      </w:pPr>
    </w:p>
    <w:p>
      <w:pPr>
        <w:ind w:right="80" w:firstLine="324"/>
        <w:spacing w:after="0" w:line="293" w:lineRule="auto"/>
        <w:rPr>
          <w:sz w:val="20"/>
          <w:szCs w:val="20"/>
          <w:color w:val="auto"/>
        </w:rPr>
      </w:pPr>
      <w:r>
        <w:rPr>
          <w:rFonts w:ascii="Arial" w:cs="Arial" w:eastAsia="Arial" w:hAnsi="Arial"/>
          <w:sz w:val="16"/>
          <w:szCs w:val="16"/>
          <w:color w:val="auto"/>
        </w:rPr>
        <w:t>On March 7, 2019, the board of directors declared a dividend on the Series A Preference Shares of $0.546875 per share, or $2.5 million in the aggregate, payable on April 1, 2019 to holders of record as of March 29, 2019. GasLog paid the declared dividend to the transfer agent on March 29, 2019.</w:t>
      </w:r>
    </w:p>
    <w:p>
      <w:pPr>
        <w:spacing w:after="0" w:line="172" w:lineRule="exact"/>
        <w:rPr>
          <w:sz w:val="20"/>
          <w:szCs w:val="20"/>
          <w:color w:val="auto"/>
        </w:rPr>
      </w:pPr>
    </w:p>
    <w:p>
      <w:pPr>
        <w:ind w:right="560" w:firstLine="324"/>
        <w:spacing w:after="0" w:line="293" w:lineRule="auto"/>
        <w:rPr>
          <w:sz w:val="20"/>
          <w:szCs w:val="20"/>
          <w:color w:val="auto"/>
        </w:rPr>
      </w:pPr>
      <w:r>
        <w:rPr>
          <w:rFonts w:ascii="Arial" w:cs="Arial" w:eastAsia="Arial" w:hAnsi="Arial"/>
          <w:sz w:val="16"/>
          <w:szCs w:val="16"/>
          <w:color w:val="auto"/>
        </w:rPr>
        <w:t>On May 2, 2019, the board of directors declared a quarterly cash dividend of $0.15 per common share, or $12.1 million in the aggregate, payable on May 23, 2019 to shareholders of record as of May 14, 2019.</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Fleet Update</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Owned Fleet</w:t>
      </w:r>
    </w:p>
    <w:p>
      <w:pPr>
        <w:spacing w:after="0" w:line="235" w:lineRule="exact"/>
        <w:rPr>
          <w:sz w:val="20"/>
          <w:szCs w:val="20"/>
          <w:color w:val="auto"/>
        </w:rPr>
      </w:pPr>
    </w:p>
    <w:p>
      <w:pPr>
        <w:ind w:left="400"/>
        <w:spacing w:after="0"/>
        <w:rPr>
          <w:sz w:val="20"/>
          <w:szCs w:val="20"/>
          <w:color w:val="auto"/>
        </w:rPr>
      </w:pPr>
      <w:r>
        <w:rPr>
          <w:rFonts w:ascii="Arial" w:cs="Arial" w:eastAsia="Arial" w:hAnsi="Arial"/>
          <w:sz w:val="16"/>
          <w:szCs w:val="16"/>
          <w:color w:val="auto"/>
        </w:rPr>
        <w:t>As of March 31, 2019, our wholly owned fleet consisted of the following vessels: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2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5"/>
              </w:rPr>
              <w:t>Cargo</w:t>
            </w: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32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ind w:left="160"/>
              <w:spacing w:after="0"/>
              <w:rPr>
                <w:sz w:val="20"/>
                <w:szCs w:val="20"/>
                <w:color w:val="auto"/>
              </w:rPr>
            </w:pPr>
            <w:r>
              <w:rPr>
                <w:rFonts w:ascii="Arial" w:cs="Arial" w:eastAsia="Arial" w:hAnsi="Arial"/>
                <w:sz w:val="16"/>
                <w:szCs w:val="16"/>
                <w:b w:val="1"/>
                <w:bCs w:val="1"/>
                <w:color w:val="auto"/>
              </w:rPr>
              <w:t>Year</w:t>
            </w:r>
          </w:p>
        </w:tc>
        <w:tc>
          <w:tcPr>
            <w:tcW w:w="11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Capacity</w:t>
            </w: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8"/>
              </w:rPr>
              <w:t>Charter</w:t>
            </w:r>
          </w:p>
        </w:tc>
        <w:tc>
          <w:tcPr>
            <w:tcW w:w="1300" w:type="dxa"/>
            <w:vAlign w:val="bottom"/>
          </w:tcPr>
          <w:p>
            <w:pPr>
              <w:ind w:left="360"/>
              <w:spacing w:after="0"/>
              <w:rPr>
                <w:sz w:val="20"/>
                <w:szCs w:val="20"/>
                <w:color w:val="auto"/>
              </w:rPr>
            </w:pPr>
            <w:r>
              <w:rPr>
                <w:rFonts w:ascii="Arial" w:cs="Arial" w:eastAsia="Arial" w:hAnsi="Arial"/>
                <w:sz w:val="16"/>
                <w:szCs w:val="16"/>
                <w:b w:val="1"/>
                <w:bCs w:val="1"/>
                <w:color w:val="auto"/>
              </w:rPr>
              <w:t>Optional</w:t>
            </w:r>
          </w:p>
        </w:tc>
        <w:tc>
          <w:tcPr>
            <w:tcW w:w="40" w:type="dxa"/>
            <w:vAlign w:val="bottom"/>
          </w:tcPr>
          <w:p>
            <w:pPr>
              <w:spacing w:after="0"/>
              <w:rPr>
                <w:sz w:val="17"/>
                <w:szCs w:val="17"/>
                <w:color w:val="auto"/>
              </w:rPr>
            </w:pPr>
          </w:p>
        </w:tc>
      </w:tr>
      <w:tr>
        <w:trPr>
          <w:trHeight w:val="216"/>
        </w:trPr>
        <w:tc>
          <w:tcPr>
            <w:tcW w:w="320" w:type="dxa"/>
            <w:vAlign w:val="bottom"/>
          </w:tcPr>
          <w:p>
            <w:pPr>
              <w:spacing w:after="0"/>
              <w:rPr>
                <w:sz w:val="18"/>
                <w:szCs w:val="18"/>
                <w:color w:val="auto"/>
              </w:rPr>
            </w:pPr>
          </w:p>
        </w:tc>
        <w:tc>
          <w:tcPr>
            <w:tcW w:w="3100" w:type="dxa"/>
            <w:vAlign w:val="bottom"/>
            <w:gridSpan w:val="2"/>
          </w:tcPr>
          <w:p>
            <w:pPr>
              <w:ind w:left="900"/>
              <w:spacing w:after="0"/>
              <w:rPr>
                <w:sz w:val="20"/>
                <w:szCs w:val="20"/>
                <w:color w:val="auto"/>
              </w:rPr>
            </w:pPr>
            <w:r>
              <w:rPr>
                <w:rFonts w:ascii="Arial" w:cs="Arial" w:eastAsia="Arial" w:hAnsi="Arial"/>
                <w:sz w:val="16"/>
                <w:szCs w:val="16"/>
                <w:b w:val="1"/>
                <w:bCs w:val="1"/>
                <w:color w:val="auto"/>
              </w:rPr>
              <w:t>Vessel Name</w:t>
            </w:r>
          </w:p>
        </w:tc>
        <w:tc>
          <w:tcPr>
            <w:tcW w:w="740" w:type="dxa"/>
            <w:vAlign w:val="bottom"/>
            <w:gridSpan w:val="2"/>
          </w:tcPr>
          <w:p>
            <w:pPr>
              <w:ind w:left="140"/>
              <w:spacing w:after="0"/>
              <w:rPr>
                <w:sz w:val="20"/>
                <w:szCs w:val="20"/>
                <w:color w:val="auto"/>
              </w:rPr>
            </w:pPr>
            <w:r>
              <w:rPr>
                <w:rFonts w:ascii="Arial" w:cs="Arial" w:eastAsia="Arial" w:hAnsi="Arial"/>
                <w:sz w:val="16"/>
                <w:szCs w:val="16"/>
                <w:b w:val="1"/>
                <w:bCs w:val="1"/>
                <w:color w:val="auto"/>
              </w:rPr>
              <w:t>Built</w:t>
            </w:r>
          </w:p>
        </w:tc>
        <w:tc>
          <w:tcPr>
            <w:tcW w:w="11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(cbm)</w:t>
            </w:r>
          </w:p>
        </w:tc>
        <w:tc>
          <w:tcPr>
            <w:tcW w:w="16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7"/>
              </w:rPr>
              <w:t>Charterer</w:t>
            </w: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Propulsion</w:t>
            </w:r>
          </w:p>
        </w:tc>
        <w:tc>
          <w:tcPr>
            <w:tcW w:w="2100" w:type="dxa"/>
            <w:vAlign w:val="bottom"/>
            <w:gridSpan w:val="2"/>
          </w:tcPr>
          <w:p>
            <w:pPr>
              <w:jc w:val="center"/>
              <w:ind w:right="100"/>
              <w:spacing w:after="0" w:line="217" w:lineRule="exact"/>
              <w:rPr>
                <w:sz w:val="20"/>
                <w:szCs w:val="20"/>
                <w:color w:val="auto"/>
              </w:rPr>
            </w:pPr>
            <w:r>
              <w:rPr>
                <w:rFonts w:ascii="Arial" w:cs="Arial" w:eastAsia="Arial" w:hAnsi="Arial"/>
                <w:sz w:val="16"/>
                <w:szCs w:val="16"/>
                <w:b w:val="1"/>
                <w:bCs w:val="1"/>
                <w:color w:val="auto"/>
                <w:w w:val="92"/>
              </w:rPr>
              <w:t>Expiration</w:t>
            </w:r>
            <w:r>
              <w:rPr>
                <w:rFonts w:ascii="Arial" w:cs="Arial" w:eastAsia="Arial" w:hAnsi="Arial"/>
                <w:sz w:val="21"/>
                <w:szCs w:val="21"/>
                <w:b w:val="1"/>
                <w:bCs w:val="1"/>
                <w:color w:val="auto"/>
                <w:w w:val="92"/>
                <w:vertAlign w:val="superscript"/>
              </w:rPr>
              <w:t>(1)</w:t>
            </w:r>
          </w:p>
        </w:tc>
        <w:tc>
          <w:tcPr>
            <w:tcW w:w="1300" w:type="dxa"/>
            <w:vAlign w:val="bottom"/>
          </w:tcPr>
          <w:p>
            <w:pPr>
              <w:ind w:left="360"/>
              <w:spacing w:after="0" w:line="217" w:lineRule="exact"/>
              <w:rPr>
                <w:sz w:val="20"/>
                <w:szCs w:val="20"/>
                <w:color w:val="auto"/>
              </w:rPr>
            </w:pPr>
            <w:r>
              <w:rPr>
                <w:rFonts w:ascii="Arial" w:cs="Arial" w:eastAsia="Arial" w:hAnsi="Arial"/>
                <w:sz w:val="16"/>
                <w:szCs w:val="16"/>
                <w:b w:val="1"/>
                <w:bCs w:val="1"/>
                <w:color w:val="auto"/>
              </w:rPr>
              <w:t>Period</w:t>
            </w:r>
            <w:r>
              <w:rPr>
                <w:rFonts w:ascii="Arial" w:cs="Arial" w:eastAsia="Arial" w:hAnsi="Arial"/>
                <w:sz w:val="21"/>
                <w:szCs w:val="21"/>
                <w:b w:val="1"/>
                <w:bCs w:val="1"/>
                <w:color w:val="auto"/>
                <w:vertAlign w:val="superscript"/>
              </w:rPr>
              <w:t>(2)</w:t>
            </w:r>
          </w:p>
        </w:tc>
        <w:tc>
          <w:tcPr>
            <w:tcW w:w="40" w:type="dxa"/>
            <w:vAlign w:val="bottom"/>
          </w:tcPr>
          <w:p>
            <w:pPr>
              <w:spacing w:after="0"/>
              <w:rPr>
                <w:sz w:val="18"/>
                <w:szCs w:val="18"/>
                <w:color w:val="auto"/>
              </w:rPr>
            </w:pPr>
          </w:p>
        </w:tc>
      </w:tr>
      <w:tr>
        <w:trPr>
          <w:trHeight w:val="196"/>
        </w:trPr>
        <w:tc>
          <w:tcPr>
            <w:tcW w:w="320" w:type="dxa"/>
            <w:vAlign w:val="bottom"/>
            <w:tcBorders>
              <w:top w:val="single" w:sz="8" w:color="auto"/>
            </w:tcBorders>
            <w:shd w:val="clear" w:color="auto" w:fill="E5FFFF"/>
          </w:tcPr>
          <w:p>
            <w:pPr>
              <w:spacing w:after="0"/>
              <w:rPr>
                <w:sz w:val="20"/>
                <w:szCs w:val="20"/>
                <w:color w:val="auto"/>
              </w:rPr>
            </w:pPr>
            <w:r>
              <w:rPr>
                <w:rFonts w:ascii="Arial" w:cs="Arial" w:eastAsia="Arial" w:hAnsi="Arial"/>
                <w:sz w:val="16"/>
                <w:szCs w:val="16"/>
                <w:b w:val="1"/>
                <w:bCs w:val="1"/>
                <w:color w:val="auto"/>
              </w:rPr>
              <w:t>1</w:t>
            </w:r>
          </w:p>
        </w:tc>
        <w:tc>
          <w:tcPr>
            <w:tcW w:w="2980" w:type="dxa"/>
            <w:vAlign w:val="bottom"/>
            <w:tcBorders>
              <w:top w:val="single" w:sz="8" w:color="auto"/>
            </w:tcBorders>
            <w:shd w:val="clear" w:color="auto" w:fill="E5FFFF"/>
          </w:tcPr>
          <w:p>
            <w:pPr>
              <w:ind w:left="140"/>
              <w:spacing w:after="0"/>
              <w:rPr>
                <w:sz w:val="20"/>
                <w:szCs w:val="20"/>
                <w:color w:val="auto"/>
              </w:rPr>
            </w:pPr>
            <w:r>
              <w:rPr>
                <w:rFonts w:ascii="Arial" w:cs="Arial" w:eastAsia="Arial" w:hAnsi="Arial"/>
                <w:sz w:val="16"/>
                <w:szCs w:val="16"/>
                <w:i w:val="1"/>
                <w:iCs w:val="1"/>
                <w:color w:val="auto"/>
              </w:rPr>
              <w:t>Methane Lydon Volney</w:t>
            </w:r>
          </w:p>
        </w:tc>
        <w:tc>
          <w:tcPr>
            <w:tcW w:w="120" w:type="dxa"/>
            <w:vAlign w:val="bottom"/>
            <w:tcBorders>
              <w:top w:val="single" w:sz="8" w:color="E5FFFF"/>
            </w:tcBorders>
            <w:shd w:val="clear" w:color="auto" w:fill="E5FFFF"/>
          </w:tcPr>
          <w:p>
            <w:pPr>
              <w:spacing w:after="0"/>
              <w:rPr>
                <w:sz w:val="17"/>
                <w:szCs w:val="17"/>
                <w:color w:val="auto"/>
              </w:rPr>
            </w:pPr>
          </w:p>
        </w:tc>
        <w:tc>
          <w:tcPr>
            <w:tcW w:w="620" w:type="dxa"/>
            <w:vAlign w:val="bottom"/>
            <w:tcBorders>
              <w:top w:val="single" w:sz="8" w:color="auto"/>
            </w:tcBorders>
            <w:shd w:val="clear" w:color="auto" w:fill="E5FFFF"/>
          </w:tcPr>
          <w:p>
            <w:pPr>
              <w:ind w:left="160"/>
              <w:spacing w:after="0"/>
              <w:rPr>
                <w:sz w:val="20"/>
                <w:szCs w:val="20"/>
                <w:color w:val="auto"/>
              </w:rPr>
            </w:pPr>
            <w:r>
              <w:rPr>
                <w:rFonts w:ascii="Arial" w:cs="Arial" w:eastAsia="Arial" w:hAnsi="Arial"/>
                <w:sz w:val="16"/>
                <w:szCs w:val="16"/>
                <w:color w:val="auto"/>
              </w:rPr>
              <w:t>2006</w:t>
            </w:r>
          </w:p>
        </w:tc>
        <w:tc>
          <w:tcPr>
            <w:tcW w:w="120" w:type="dxa"/>
            <w:vAlign w:val="bottom"/>
            <w:tcBorders>
              <w:top w:val="single" w:sz="8" w:color="E5FFFF"/>
            </w:tcBorders>
            <w:shd w:val="clear" w:color="auto" w:fill="E5FFFF"/>
          </w:tcPr>
          <w:p>
            <w:pPr>
              <w:spacing w:after="0"/>
              <w:rPr>
                <w:sz w:val="17"/>
                <w:szCs w:val="17"/>
                <w:color w:val="auto"/>
              </w:rPr>
            </w:pPr>
          </w:p>
        </w:tc>
        <w:tc>
          <w:tcPr>
            <w:tcW w:w="100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89"/>
              </w:rPr>
              <w:t>145,000</w:t>
            </w:r>
          </w:p>
        </w:tc>
        <w:tc>
          <w:tcPr>
            <w:tcW w:w="120" w:type="dxa"/>
            <w:vAlign w:val="bottom"/>
            <w:tcBorders>
              <w:top w:val="single" w:sz="8" w:color="E5FFFF"/>
            </w:tcBorders>
            <w:shd w:val="clear" w:color="auto" w:fill="E5FFFF"/>
          </w:tcPr>
          <w:p>
            <w:pPr>
              <w:spacing w:after="0"/>
              <w:rPr>
                <w:sz w:val="17"/>
                <w:szCs w:val="17"/>
                <w:color w:val="auto"/>
              </w:rPr>
            </w:pPr>
          </w:p>
        </w:tc>
        <w:tc>
          <w:tcPr>
            <w:tcW w:w="154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95"/>
              </w:rPr>
              <w:t>Shell</w:t>
            </w:r>
          </w:p>
        </w:tc>
        <w:tc>
          <w:tcPr>
            <w:tcW w:w="100" w:type="dxa"/>
            <w:vAlign w:val="bottom"/>
            <w:tcBorders>
              <w:top w:val="single" w:sz="8" w:color="E5FFFF"/>
            </w:tcBorders>
            <w:shd w:val="clear" w:color="auto" w:fill="E5FFFF"/>
          </w:tcPr>
          <w:p>
            <w:pPr>
              <w:spacing w:after="0"/>
              <w:rPr>
                <w:sz w:val="17"/>
                <w:szCs w:val="17"/>
                <w:color w:val="auto"/>
              </w:rPr>
            </w:pPr>
          </w:p>
        </w:tc>
        <w:tc>
          <w:tcPr>
            <w:tcW w:w="114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86"/>
              </w:rPr>
              <w:t>Steam</w:t>
            </w:r>
          </w:p>
        </w:tc>
        <w:tc>
          <w:tcPr>
            <w:tcW w:w="100" w:type="dxa"/>
            <w:vAlign w:val="bottom"/>
            <w:tcBorders>
              <w:top w:val="single" w:sz="8" w:color="E5FFFF"/>
            </w:tcBorders>
            <w:shd w:val="clear" w:color="auto" w:fill="E5FFFF"/>
          </w:tcPr>
          <w:p>
            <w:pPr>
              <w:spacing w:after="0"/>
              <w:rPr>
                <w:sz w:val="17"/>
                <w:szCs w:val="17"/>
                <w:color w:val="auto"/>
              </w:rPr>
            </w:pPr>
          </w:p>
        </w:tc>
        <w:tc>
          <w:tcPr>
            <w:tcW w:w="200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90"/>
              </w:rPr>
              <w:t>October 2020</w:t>
            </w:r>
          </w:p>
        </w:tc>
        <w:tc>
          <w:tcPr>
            <w:tcW w:w="100" w:type="dxa"/>
            <w:vAlign w:val="bottom"/>
            <w:tcBorders>
              <w:top w:val="single" w:sz="8" w:color="E5FFFF"/>
            </w:tcBorders>
            <w:shd w:val="clear" w:color="auto" w:fill="E5FFFF"/>
          </w:tcPr>
          <w:p>
            <w:pPr>
              <w:spacing w:after="0"/>
              <w:rPr>
                <w:sz w:val="17"/>
                <w:szCs w:val="17"/>
                <w:color w:val="auto"/>
              </w:rPr>
            </w:pPr>
          </w:p>
        </w:tc>
        <w:tc>
          <w:tcPr>
            <w:tcW w:w="130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99"/>
              </w:rPr>
              <w:t>—</w:t>
            </w:r>
          </w:p>
        </w:tc>
        <w:tc>
          <w:tcPr>
            <w:tcW w:w="40" w:type="dxa"/>
            <w:vAlign w:val="bottom"/>
          </w:tcPr>
          <w:p>
            <w:pPr>
              <w:spacing w:after="0"/>
              <w:rPr>
                <w:sz w:val="17"/>
                <w:szCs w:val="17"/>
                <w:color w:val="auto"/>
              </w:rPr>
            </w:pPr>
          </w:p>
        </w:tc>
      </w:tr>
      <w:tr>
        <w:trPr>
          <w:trHeight w:val="203"/>
        </w:trPr>
        <w:tc>
          <w:tcPr>
            <w:tcW w:w="320" w:type="dxa"/>
            <w:vAlign w:val="bottom"/>
          </w:tcPr>
          <w:p>
            <w:pPr>
              <w:spacing w:after="0"/>
              <w:rPr>
                <w:sz w:val="20"/>
                <w:szCs w:val="20"/>
                <w:color w:val="auto"/>
              </w:rPr>
            </w:pPr>
            <w:r>
              <w:rPr>
                <w:rFonts w:ascii="Arial" w:cs="Arial" w:eastAsia="Arial" w:hAnsi="Arial"/>
                <w:sz w:val="16"/>
                <w:szCs w:val="16"/>
                <w:b w:val="1"/>
                <w:bCs w:val="1"/>
                <w:color w:val="auto"/>
              </w:rPr>
              <w:t>2</w:t>
            </w:r>
          </w:p>
        </w:tc>
        <w:tc>
          <w:tcPr>
            <w:tcW w:w="3100" w:type="dxa"/>
            <w:vAlign w:val="bottom"/>
            <w:gridSpan w:val="2"/>
          </w:tcPr>
          <w:p>
            <w:pPr>
              <w:ind w:left="140"/>
              <w:spacing w:after="0"/>
              <w:rPr>
                <w:sz w:val="20"/>
                <w:szCs w:val="20"/>
                <w:color w:val="auto"/>
              </w:rPr>
            </w:pPr>
            <w:r>
              <w:rPr>
                <w:rFonts w:ascii="Arial" w:cs="Arial" w:eastAsia="Arial" w:hAnsi="Arial"/>
                <w:sz w:val="16"/>
                <w:szCs w:val="16"/>
                <w:i w:val="1"/>
                <w:iCs w:val="1"/>
                <w:color w:val="auto"/>
              </w:rPr>
              <w:t>GasLog Savannah</w:t>
            </w:r>
          </w:p>
        </w:tc>
        <w:tc>
          <w:tcPr>
            <w:tcW w:w="620" w:type="dxa"/>
            <w:vAlign w:val="bottom"/>
          </w:tcPr>
          <w:p>
            <w:pPr>
              <w:ind w:left="160"/>
              <w:spacing w:after="0"/>
              <w:rPr>
                <w:sz w:val="20"/>
                <w:szCs w:val="20"/>
                <w:color w:val="auto"/>
              </w:rPr>
            </w:pPr>
            <w:r>
              <w:rPr>
                <w:rFonts w:ascii="Arial" w:cs="Arial" w:eastAsia="Arial" w:hAnsi="Arial"/>
                <w:sz w:val="16"/>
                <w:szCs w:val="16"/>
                <w:color w:val="auto"/>
              </w:rPr>
              <w:t>2010</w:t>
            </w:r>
          </w:p>
        </w:tc>
        <w:tc>
          <w:tcPr>
            <w:tcW w:w="12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155,000</w:t>
            </w:r>
          </w:p>
        </w:tc>
        <w:tc>
          <w:tcPr>
            <w:tcW w:w="120" w:type="dxa"/>
            <w:vAlign w:val="bottom"/>
          </w:tcPr>
          <w:p>
            <w:pPr>
              <w:spacing w:after="0"/>
              <w:rPr>
                <w:sz w:val="17"/>
                <w:szCs w:val="17"/>
                <w:color w:val="auto"/>
              </w:rPr>
            </w:pPr>
          </w:p>
        </w:tc>
        <w:tc>
          <w:tcPr>
            <w:tcW w:w="1640" w:type="dxa"/>
            <w:vAlign w:val="bottom"/>
            <w:gridSpan w:val="2"/>
          </w:tcPr>
          <w:p>
            <w:pPr>
              <w:jc w:val="center"/>
              <w:ind w:right="100"/>
              <w:spacing w:after="0" w:line="203" w:lineRule="exact"/>
              <w:rPr>
                <w:sz w:val="20"/>
                <w:szCs w:val="20"/>
                <w:color w:val="auto"/>
              </w:rPr>
            </w:pPr>
            <w:r>
              <w:rPr>
                <w:rFonts w:ascii="Arial" w:cs="Arial" w:eastAsia="Arial" w:hAnsi="Arial"/>
                <w:sz w:val="16"/>
                <w:szCs w:val="16"/>
                <w:color w:val="auto"/>
                <w:w w:val="90"/>
              </w:rPr>
              <w:t>Spot Market</w:t>
            </w:r>
            <w:r>
              <w:rPr>
                <w:rFonts w:ascii="Arial" w:cs="Arial" w:eastAsia="Arial" w:hAnsi="Arial"/>
                <w:sz w:val="21"/>
                <w:szCs w:val="21"/>
                <w:color w:val="auto"/>
                <w:w w:val="90"/>
                <w:vertAlign w:val="superscript"/>
              </w:rPr>
              <w:t>(3)</w:t>
            </w:r>
          </w:p>
        </w:tc>
        <w:tc>
          <w:tcPr>
            <w:tcW w:w="1240" w:type="dxa"/>
            <w:vAlign w:val="bottom"/>
            <w:gridSpan w:val="2"/>
          </w:tcPr>
          <w:p>
            <w:pPr>
              <w:jc w:val="center"/>
              <w:ind w:right="120"/>
              <w:spacing w:after="0"/>
              <w:rPr>
                <w:sz w:val="20"/>
                <w:szCs w:val="20"/>
                <w:color w:val="auto"/>
              </w:rPr>
            </w:pPr>
            <w:r>
              <w:rPr>
                <w:rFonts w:ascii="Arial" w:cs="Arial" w:eastAsia="Arial" w:hAnsi="Arial"/>
                <w:sz w:val="16"/>
                <w:szCs w:val="16"/>
                <w:color w:val="auto"/>
                <w:w w:val="95"/>
              </w:rPr>
              <w:t>TFDE</w:t>
            </w:r>
          </w:p>
        </w:tc>
        <w:tc>
          <w:tcPr>
            <w:tcW w:w="210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13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40" w:type="dxa"/>
            <w:vAlign w:val="bottom"/>
          </w:tcPr>
          <w:p>
            <w:pPr>
              <w:spacing w:after="0"/>
              <w:rPr>
                <w:sz w:val="17"/>
                <w:szCs w:val="17"/>
                <w:color w:val="auto"/>
              </w:rPr>
            </w:pPr>
          </w:p>
        </w:tc>
      </w:tr>
      <w:tr>
        <w:trPr>
          <w:trHeight w:val="203"/>
        </w:trPr>
        <w:tc>
          <w:tcPr>
            <w:tcW w:w="32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3</w:t>
            </w:r>
          </w:p>
        </w:tc>
        <w:tc>
          <w:tcPr>
            <w:tcW w:w="3100" w:type="dxa"/>
            <w:vAlign w:val="bottom"/>
            <w:gridSpan w:val="2"/>
            <w:shd w:val="clear" w:color="auto" w:fill="E5FFFF"/>
          </w:tcPr>
          <w:p>
            <w:pPr>
              <w:ind w:left="140"/>
              <w:spacing w:after="0"/>
              <w:rPr>
                <w:sz w:val="20"/>
                <w:szCs w:val="20"/>
                <w:color w:val="auto"/>
              </w:rPr>
            </w:pPr>
            <w:r>
              <w:rPr>
                <w:rFonts w:ascii="Arial" w:cs="Arial" w:eastAsia="Arial" w:hAnsi="Arial"/>
                <w:sz w:val="16"/>
                <w:szCs w:val="16"/>
                <w:i w:val="1"/>
                <w:iCs w:val="1"/>
                <w:color w:val="auto"/>
              </w:rPr>
              <w:t>GasLog Singapore</w:t>
            </w:r>
          </w:p>
        </w:tc>
        <w:tc>
          <w:tcPr>
            <w:tcW w:w="620" w:type="dxa"/>
            <w:vAlign w:val="bottom"/>
            <w:shd w:val="clear" w:color="auto" w:fill="E5FFFF"/>
          </w:tcPr>
          <w:p>
            <w:pPr>
              <w:ind w:left="160"/>
              <w:spacing w:after="0"/>
              <w:rPr>
                <w:sz w:val="20"/>
                <w:szCs w:val="20"/>
                <w:color w:val="auto"/>
              </w:rPr>
            </w:pPr>
            <w:r>
              <w:rPr>
                <w:rFonts w:ascii="Arial" w:cs="Arial" w:eastAsia="Arial" w:hAnsi="Arial"/>
                <w:sz w:val="16"/>
                <w:szCs w:val="16"/>
                <w:color w:val="auto"/>
              </w:rPr>
              <w:t>2010</w:t>
            </w:r>
          </w:p>
        </w:tc>
        <w:tc>
          <w:tcPr>
            <w:tcW w:w="120" w:type="dxa"/>
            <w:vAlign w:val="bottom"/>
            <w:shd w:val="clear" w:color="auto" w:fill="E5FFFF"/>
          </w:tcPr>
          <w:p>
            <w:pPr>
              <w:spacing w:after="0"/>
              <w:rPr>
                <w:sz w:val="17"/>
                <w:szCs w:val="17"/>
                <w:color w:val="auto"/>
              </w:rPr>
            </w:pPr>
          </w:p>
        </w:tc>
        <w:tc>
          <w:tcPr>
            <w:tcW w:w="100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155,000</w:t>
            </w:r>
          </w:p>
        </w:tc>
        <w:tc>
          <w:tcPr>
            <w:tcW w:w="120" w:type="dxa"/>
            <w:vAlign w:val="bottom"/>
            <w:shd w:val="clear" w:color="auto" w:fill="E5FFFF"/>
          </w:tcPr>
          <w:p>
            <w:pPr>
              <w:spacing w:after="0"/>
              <w:rPr>
                <w:sz w:val="17"/>
                <w:szCs w:val="17"/>
                <w:color w:val="auto"/>
              </w:rPr>
            </w:pPr>
          </w:p>
        </w:tc>
        <w:tc>
          <w:tcPr>
            <w:tcW w:w="1640" w:type="dxa"/>
            <w:vAlign w:val="bottom"/>
            <w:gridSpan w:val="2"/>
            <w:shd w:val="clear" w:color="auto" w:fill="E5FFFF"/>
          </w:tcPr>
          <w:p>
            <w:pPr>
              <w:jc w:val="center"/>
              <w:ind w:right="100"/>
              <w:spacing w:after="0" w:line="203" w:lineRule="exact"/>
              <w:rPr>
                <w:sz w:val="20"/>
                <w:szCs w:val="20"/>
                <w:color w:val="auto"/>
              </w:rPr>
            </w:pPr>
            <w:r>
              <w:rPr>
                <w:rFonts w:ascii="Arial" w:cs="Arial" w:eastAsia="Arial" w:hAnsi="Arial"/>
                <w:sz w:val="16"/>
                <w:szCs w:val="16"/>
                <w:color w:val="auto"/>
                <w:w w:val="90"/>
              </w:rPr>
              <w:t>Spot Market</w:t>
            </w:r>
            <w:r>
              <w:rPr>
                <w:rFonts w:ascii="Arial" w:cs="Arial" w:eastAsia="Arial" w:hAnsi="Arial"/>
                <w:sz w:val="21"/>
                <w:szCs w:val="21"/>
                <w:color w:val="auto"/>
                <w:w w:val="90"/>
                <w:vertAlign w:val="superscript"/>
              </w:rPr>
              <w:t>(3)</w:t>
            </w:r>
          </w:p>
        </w:tc>
        <w:tc>
          <w:tcPr>
            <w:tcW w:w="1240" w:type="dxa"/>
            <w:vAlign w:val="bottom"/>
            <w:gridSpan w:val="2"/>
            <w:shd w:val="clear" w:color="auto" w:fill="E5FFFF"/>
          </w:tcPr>
          <w:p>
            <w:pPr>
              <w:jc w:val="center"/>
              <w:ind w:right="120"/>
              <w:spacing w:after="0"/>
              <w:rPr>
                <w:sz w:val="20"/>
                <w:szCs w:val="20"/>
                <w:color w:val="auto"/>
              </w:rPr>
            </w:pPr>
            <w:r>
              <w:rPr>
                <w:rFonts w:ascii="Arial" w:cs="Arial" w:eastAsia="Arial" w:hAnsi="Arial"/>
                <w:sz w:val="16"/>
                <w:szCs w:val="16"/>
                <w:color w:val="auto"/>
                <w:w w:val="95"/>
              </w:rPr>
              <w:t>TFDE</w:t>
            </w:r>
          </w:p>
        </w:tc>
        <w:tc>
          <w:tcPr>
            <w:tcW w:w="2100" w:type="dxa"/>
            <w:vAlign w:val="bottom"/>
            <w:gridSpan w:val="2"/>
            <w:shd w:val="clear" w:color="auto" w:fill="E5FFFF"/>
          </w:tcPr>
          <w:p>
            <w:pPr>
              <w:jc w:val="center"/>
              <w:ind w:right="100"/>
              <w:spacing w:after="0"/>
              <w:rPr>
                <w:sz w:val="20"/>
                <w:szCs w:val="20"/>
                <w:color w:val="auto"/>
              </w:rPr>
            </w:pPr>
            <w:r>
              <w:rPr>
                <w:rFonts w:ascii="Arial" w:cs="Arial" w:eastAsia="Arial" w:hAnsi="Arial"/>
                <w:sz w:val="16"/>
                <w:szCs w:val="16"/>
                <w:color w:val="auto"/>
                <w:w w:val="99"/>
              </w:rPr>
              <w:t>—</w:t>
            </w:r>
          </w:p>
        </w:tc>
        <w:tc>
          <w:tcPr>
            <w:tcW w:w="130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9"/>
              </w:rPr>
              <w:t>—</w:t>
            </w:r>
          </w:p>
        </w:tc>
        <w:tc>
          <w:tcPr>
            <w:tcW w:w="40" w:type="dxa"/>
            <w:vAlign w:val="bottom"/>
          </w:tcPr>
          <w:p>
            <w:pPr>
              <w:spacing w:after="0"/>
              <w:rPr>
                <w:sz w:val="17"/>
                <w:szCs w:val="17"/>
                <w:color w:val="auto"/>
              </w:rPr>
            </w:pPr>
          </w:p>
        </w:tc>
      </w:tr>
      <w:tr>
        <w:trPr>
          <w:trHeight w:val="203"/>
        </w:trPr>
        <w:tc>
          <w:tcPr>
            <w:tcW w:w="320" w:type="dxa"/>
            <w:vAlign w:val="bottom"/>
          </w:tcPr>
          <w:p>
            <w:pPr>
              <w:spacing w:after="0"/>
              <w:rPr>
                <w:sz w:val="20"/>
                <w:szCs w:val="20"/>
                <w:color w:val="auto"/>
              </w:rPr>
            </w:pPr>
            <w:r>
              <w:rPr>
                <w:rFonts w:ascii="Arial" w:cs="Arial" w:eastAsia="Arial" w:hAnsi="Arial"/>
                <w:sz w:val="16"/>
                <w:szCs w:val="16"/>
                <w:b w:val="1"/>
                <w:bCs w:val="1"/>
                <w:color w:val="auto"/>
              </w:rPr>
              <w:t>4</w:t>
            </w:r>
          </w:p>
        </w:tc>
        <w:tc>
          <w:tcPr>
            <w:tcW w:w="3100" w:type="dxa"/>
            <w:vAlign w:val="bottom"/>
            <w:gridSpan w:val="2"/>
          </w:tcPr>
          <w:p>
            <w:pPr>
              <w:ind w:left="140"/>
              <w:spacing w:after="0"/>
              <w:rPr>
                <w:sz w:val="20"/>
                <w:szCs w:val="20"/>
                <w:color w:val="auto"/>
              </w:rPr>
            </w:pPr>
            <w:r>
              <w:rPr>
                <w:rFonts w:ascii="Arial" w:cs="Arial" w:eastAsia="Arial" w:hAnsi="Arial"/>
                <w:sz w:val="16"/>
                <w:szCs w:val="16"/>
                <w:i w:val="1"/>
                <w:iCs w:val="1"/>
                <w:color w:val="auto"/>
              </w:rPr>
              <w:t>GasLog Chelsea</w:t>
            </w:r>
          </w:p>
        </w:tc>
        <w:tc>
          <w:tcPr>
            <w:tcW w:w="620" w:type="dxa"/>
            <w:vAlign w:val="bottom"/>
          </w:tcPr>
          <w:p>
            <w:pPr>
              <w:ind w:left="160"/>
              <w:spacing w:after="0"/>
              <w:rPr>
                <w:sz w:val="20"/>
                <w:szCs w:val="20"/>
                <w:color w:val="auto"/>
              </w:rPr>
            </w:pPr>
            <w:r>
              <w:rPr>
                <w:rFonts w:ascii="Arial" w:cs="Arial" w:eastAsia="Arial" w:hAnsi="Arial"/>
                <w:sz w:val="16"/>
                <w:szCs w:val="16"/>
                <w:color w:val="auto"/>
              </w:rPr>
              <w:t>2010</w:t>
            </w:r>
          </w:p>
        </w:tc>
        <w:tc>
          <w:tcPr>
            <w:tcW w:w="12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153,600</w:t>
            </w:r>
          </w:p>
        </w:tc>
        <w:tc>
          <w:tcPr>
            <w:tcW w:w="120" w:type="dxa"/>
            <w:vAlign w:val="bottom"/>
          </w:tcPr>
          <w:p>
            <w:pPr>
              <w:spacing w:after="0"/>
              <w:rPr>
                <w:sz w:val="17"/>
                <w:szCs w:val="17"/>
                <w:color w:val="auto"/>
              </w:rPr>
            </w:pPr>
          </w:p>
        </w:tc>
        <w:tc>
          <w:tcPr>
            <w:tcW w:w="1640" w:type="dxa"/>
            <w:vAlign w:val="bottom"/>
            <w:gridSpan w:val="2"/>
          </w:tcPr>
          <w:p>
            <w:pPr>
              <w:jc w:val="center"/>
              <w:ind w:right="100"/>
              <w:spacing w:after="0" w:line="203" w:lineRule="exact"/>
              <w:rPr>
                <w:sz w:val="20"/>
                <w:szCs w:val="20"/>
                <w:color w:val="auto"/>
              </w:rPr>
            </w:pPr>
            <w:r>
              <w:rPr>
                <w:rFonts w:ascii="Arial" w:cs="Arial" w:eastAsia="Arial" w:hAnsi="Arial"/>
                <w:sz w:val="16"/>
                <w:szCs w:val="16"/>
                <w:color w:val="auto"/>
                <w:w w:val="90"/>
              </w:rPr>
              <w:t>Spot Market</w:t>
            </w:r>
            <w:r>
              <w:rPr>
                <w:rFonts w:ascii="Arial" w:cs="Arial" w:eastAsia="Arial" w:hAnsi="Arial"/>
                <w:sz w:val="21"/>
                <w:szCs w:val="21"/>
                <w:color w:val="auto"/>
                <w:w w:val="90"/>
                <w:vertAlign w:val="superscript"/>
              </w:rPr>
              <w:t>(3)</w:t>
            </w:r>
          </w:p>
        </w:tc>
        <w:tc>
          <w:tcPr>
            <w:tcW w:w="1240" w:type="dxa"/>
            <w:vAlign w:val="bottom"/>
            <w:gridSpan w:val="2"/>
          </w:tcPr>
          <w:p>
            <w:pPr>
              <w:jc w:val="center"/>
              <w:ind w:right="120"/>
              <w:spacing w:after="0"/>
              <w:rPr>
                <w:sz w:val="20"/>
                <w:szCs w:val="20"/>
                <w:color w:val="auto"/>
              </w:rPr>
            </w:pPr>
            <w:r>
              <w:rPr>
                <w:rFonts w:ascii="Arial" w:cs="Arial" w:eastAsia="Arial" w:hAnsi="Arial"/>
                <w:sz w:val="16"/>
                <w:szCs w:val="16"/>
                <w:color w:val="auto"/>
                <w:w w:val="95"/>
              </w:rPr>
              <w:t>TFDE</w:t>
            </w:r>
          </w:p>
        </w:tc>
        <w:tc>
          <w:tcPr>
            <w:tcW w:w="210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13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40" w:type="dxa"/>
            <w:vAlign w:val="bottom"/>
          </w:tcPr>
          <w:p>
            <w:pPr>
              <w:spacing w:after="0"/>
              <w:rPr>
                <w:sz w:val="17"/>
                <w:szCs w:val="17"/>
                <w:color w:val="auto"/>
              </w:rPr>
            </w:pPr>
          </w:p>
        </w:tc>
      </w:tr>
      <w:tr>
        <w:trPr>
          <w:trHeight w:val="203"/>
        </w:trPr>
        <w:tc>
          <w:tcPr>
            <w:tcW w:w="32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5</w:t>
            </w:r>
          </w:p>
        </w:tc>
        <w:tc>
          <w:tcPr>
            <w:tcW w:w="3100" w:type="dxa"/>
            <w:vAlign w:val="bottom"/>
            <w:gridSpan w:val="2"/>
            <w:shd w:val="clear" w:color="auto" w:fill="E5FFFF"/>
          </w:tcPr>
          <w:p>
            <w:pPr>
              <w:ind w:left="140"/>
              <w:spacing w:after="0"/>
              <w:rPr>
                <w:sz w:val="20"/>
                <w:szCs w:val="20"/>
                <w:color w:val="auto"/>
              </w:rPr>
            </w:pPr>
            <w:r>
              <w:rPr>
                <w:rFonts w:ascii="Arial" w:cs="Arial" w:eastAsia="Arial" w:hAnsi="Arial"/>
                <w:sz w:val="16"/>
                <w:szCs w:val="16"/>
                <w:i w:val="1"/>
                <w:iCs w:val="1"/>
                <w:color w:val="auto"/>
              </w:rPr>
              <w:t>GasLog Skagen</w:t>
            </w:r>
          </w:p>
        </w:tc>
        <w:tc>
          <w:tcPr>
            <w:tcW w:w="620" w:type="dxa"/>
            <w:vAlign w:val="bottom"/>
            <w:shd w:val="clear" w:color="auto" w:fill="E5FFFF"/>
          </w:tcPr>
          <w:p>
            <w:pPr>
              <w:ind w:left="160"/>
              <w:spacing w:after="0"/>
              <w:rPr>
                <w:sz w:val="20"/>
                <w:szCs w:val="20"/>
                <w:color w:val="auto"/>
              </w:rPr>
            </w:pPr>
            <w:r>
              <w:rPr>
                <w:rFonts w:ascii="Arial" w:cs="Arial" w:eastAsia="Arial" w:hAnsi="Arial"/>
                <w:sz w:val="16"/>
                <w:szCs w:val="16"/>
                <w:color w:val="auto"/>
              </w:rPr>
              <w:t>2013</w:t>
            </w:r>
          </w:p>
        </w:tc>
        <w:tc>
          <w:tcPr>
            <w:tcW w:w="120" w:type="dxa"/>
            <w:vAlign w:val="bottom"/>
            <w:shd w:val="clear" w:color="auto" w:fill="E5FFFF"/>
          </w:tcPr>
          <w:p>
            <w:pPr>
              <w:spacing w:after="0"/>
              <w:rPr>
                <w:sz w:val="17"/>
                <w:szCs w:val="17"/>
                <w:color w:val="auto"/>
              </w:rPr>
            </w:pPr>
          </w:p>
        </w:tc>
        <w:tc>
          <w:tcPr>
            <w:tcW w:w="100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155,000</w:t>
            </w:r>
          </w:p>
        </w:tc>
        <w:tc>
          <w:tcPr>
            <w:tcW w:w="120" w:type="dxa"/>
            <w:vAlign w:val="bottom"/>
            <w:shd w:val="clear" w:color="auto" w:fill="E5FFFF"/>
          </w:tcPr>
          <w:p>
            <w:pPr>
              <w:spacing w:after="0"/>
              <w:rPr>
                <w:sz w:val="17"/>
                <w:szCs w:val="17"/>
                <w:color w:val="auto"/>
              </w:rPr>
            </w:pPr>
          </w:p>
        </w:tc>
        <w:tc>
          <w:tcPr>
            <w:tcW w:w="1640" w:type="dxa"/>
            <w:vAlign w:val="bottom"/>
            <w:gridSpan w:val="2"/>
            <w:shd w:val="clear" w:color="auto" w:fill="E5FFFF"/>
          </w:tcPr>
          <w:p>
            <w:pPr>
              <w:jc w:val="center"/>
              <w:ind w:right="100"/>
              <w:spacing w:after="0" w:line="203" w:lineRule="exact"/>
              <w:rPr>
                <w:sz w:val="20"/>
                <w:szCs w:val="20"/>
                <w:color w:val="auto"/>
              </w:rPr>
            </w:pPr>
            <w:r>
              <w:rPr>
                <w:rFonts w:ascii="Arial" w:cs="Arial" w:eastAsia="Arial" w:hAnsi="Arial"/>
                <w:sz w:val="16"/>
                <w:szCs w:val="16"/>
                <w:color w:val="auto"/>
                <w:w w:val="90"/>
              </w:rPr>
              <w:t>Spot Market</w:t>
            </w:r>
            <w:r>
              <w:rPr>
                <w:rFonts w:ascii="Arial" w:cs="Arial" w:eastAsia="Arial" w:hAnsi="Arial"/>
                <w:sz w:val="21"/>
                <w:szCs w:val="21"/>
                <w:color w:val="auto"/>
                <w:w w:val="90"/>
                <w:vertAlign w:val="superscript"/>
              </w:rPr>
              <w:t>(3)</w:t>
            </w:r>
          </w:p>
        </w:tc>
        <w:tc>
          <w:tcPr>
            <w:tcW w:w="1240" w:type="dxa"/>
            <w:vAlign w:val="bottom"/>
            <w:gridSpan w:val="2"/>
            <w:shd w:val="clear" w:color="auto" w:fill="E5FFFF"/>
          </w:tcPr>
          <w:p>
            <w:pPr>
              <w:jc w:val="center"/>
              <w:ind w:right="120"/>
              <w:spacing w:after="0"/>
              <w:rPr>
                <w:sz w:val="20"/>
                <w:szCs w:val="20"/>
                <w:color w:val="auto"/>
              </w:rPr>
            </w:pPr>
            <w:r>
              <w:rPr>
                <w:rFonts w:ascii="Arial" w:cs="Arial" w:eastAsia="Arial" w:hAnsi="Arial"/>
                <w:sz w:val="16"/>
                <w:szCs w:val="16"/>
                <w:color w:val="auto"/>
                <w:w w:val="95"/>
              </w:rPr>
              <w:t>TFDE</w:t>
            </w:r>
          </w:p>
        </w:tc>
        <w:tc>
          <w:tcPr>
            <w:tcW w:w="2100" w:type="dxa"/>
            <w:vAlign w:val="bottom"/>
            <w:gridSpan w:val="2"/>
            <w:shd w:val="clear" w:color="auto" w:fill="E5FFFF"/>
          </w:tcPr>
          <w:p>
            <w:pPr>
              <w:jc w:val="center"/>
              <w:ind w:right="100"/>
              <w:spacing w:after="0"/>
              <w:rPr>
                <w:sz w:val="20"/>
                <w:szCs w:val="20"/>
                <w:color w:val="auto"/>
              </w:rPr>
            </w:pPr>
            <w:r>
              <w:rPr>
                <w:rFonts w:ascii="Arial" w:cs="Arial" w:eastAsia="Arial" w:hAnsi="Arial"/>
                <w:sz w:val="16"/>
                <w:szCs w:val="16"/>
                <w:color w:val="auto"/>
                <w:w w:val="99"/>
              </w:rPr>
              <w:t>—</w:t>
            </w:r>
          </w:p>
        </w:tc>
        <w:tc>
          <w:tcPr>
            <w:tcW w:w="130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9"/>
              </w:rPr>
              <w:t>—</w:t>
            </w:r>
          </w:p>
        </w:tc>
        <w:tc>
          <w:tcPr>
            <w:tcW w:w="40" w:type="dxa"/>
            <w:vAlign w:val="bottom"/>
          </w:tcPr>
          <w:p>
            <w:pPr>
              <w:spacing w:after="0"/>
              <w:rPr>
                <w:sz w:val="17"/>
                <w:szCs w:val="17"/>
                <w:color w:val="auto"/>
              </w:rPr>
            </w:pPr>
          </w:p>
        </w:tc>
      </w:tr>
      <w:tr>
        <w:trPr>
          <w:trHeight w:val="203"/>
        </w:trPr>
        <w:tc>
          <w:tcPr>
            <w:tcW w:w="320" w:type="dxa"/>
            <w:vAlign w:val="bottom"/>
          </w:tcPr>
          <w:p>
            <w:pPr>
              <w:spacing w:after="0"/>
              <w:rPr>
                <w:sz w:val="20"/>
                <w:szCs w:val="20"/>
                <w:color w:val="auto"/>
              </w:rPr>
            </w:pPr>
            <w:r>
              <w:rPr>
                <w:rFonts w:ascii="Arial" w:cs="Arial" w:eastAsia="Arial" w:hAnsi="Arial"/>
                <w:sz w:val="16"/>
                <w:szCs w:val="16"/>
                <w:b w:val="1"/>
                <w:bCs w:val="1"/>
                <w:color w:val="auto"/>
              </w:rPr>
              <w:t>6</w:t>
            </w:r>
          </w:p>
        </w:tc>
        <w:tc>
          <w:tcPr>
            <w:tcW w:w="3100" w:type="dxa"/>
            <w:vAlign w:val="bottom"/>
            <w:gridSpan w:val="2"/>
          </w:tcPr>
          <w:p>
            <w:pPr>
              <w:ind w:left="140"/>
              <w:spacing w:after="0"/>
              <w:rPr>
                <w:sz w:val="20"/>
                <w:szCs w:val="20"/>
                <w:color w:val="auto"/>
              </w:rPr>
            </w:pPr>
            <w:r>
              <w:rPr>
                <w:rFonts w:ascii="Arial" w:cs="Arial" w:eastAsia="Arial" w:hAnsi="Arial"/>
                <w:sz w:val="16"/>
                <w:szCs w:val="16"/>
                <w:i w:val="1"/>
                <w:iCs w:val="1"/>
                <w:color w:val="auto"/>
              </w:rPr>
              <w:t>GasLog Saratoga</w:t>
            </w:r>
          </w:p>
        </w:tc>
        <w:tc>
          <w:tcPr>
            <w:tcW w:w="620" w:type="dxa"/>
            <w:vAlign w:val="bottom"/>
          </w:tcPr>
          <w:p>
            <w:pPr>
              <w:ind w:left="160"/>
              <w:spacing w:after="0"/>
              <w:rPr>
                <w:sz w:val="20"/>
                <w:szCs w:val="20"/>
                <w:color w:val="auto"/>
              </w:rPr>
            </w:pPr>
            <w:r>
              <w:rPr>
                <w:rFonts w:ascii="Arial" w:cs="Arial" w:eastAsia="Arial" w:hAnsi="Arial"/>
                <w:sz w:val="16"/>
                <w:szCs w:val="16"/>
                <w:color w:val="auto"/>
              </w:rPr>
              <w:t>2014</w:t>
            </w:r>
          </w:p>
        </w:tc>
        <w:tc>
          <w:tcPr>
            <w:tcW w:w="12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155,000</w:t>
            </w:r>
          </w:p>
        </w:tc>
        <w:tc>
          <w:tcPr>
            <w:tcW w:w="120" w:type="dxa"/>
            <w:vAlign w:val="bottom"/>
          </w:tcPr>
          <w:p>
            <w:pPr>
              <w:spacing w:after="0"/>
              <w:rPr>
                <w:sz w:val="17"/>
                <w:szCs w:val="17"/>
                <w:color w:val="auto"/>
              </w:rPr>
            </w:pPr>
          </w:p>
        </w:tc>
        <w:tc>
          <w:tcPr>
            <w:tcW w:w="1640" w:type="dxa"/>
            <w:vAlign w:val="bottom"/>
            <w:gridSpan w:val="2"/>
          </w:tcPr>
          <w:p>
            <w:pPr>
              <w:jc w:val="center"/>
              <w:ind w:right="100"/>
              <w:spacing w:after="0"/>
              <w:rPr>
                <w:sz w:val="20"/>
                <w:szCs w:val="20"/>
                <w:color w:val="auto"/>
              </w:rPr>
            </w:pPr>
            <w:r>
              <w:rPr>
                <w:rFonts w:ascii="Arial" w:cs="Arial" w:eastAsia="Arial" w:hAnsi="Arial"/>
                <w:sz w:val="16"/>
                <w:szCs w:val="16"/>
                <w:color w:val="auto"/>
                <w:w w:val="95"/>
              </w:rPr>
              <w:t>Shell</w:t>
            </w:r>
          </w:p>
        </w:tc>
        <w:tc>
          <w:tcPr>
            <w:tcW w:w="1240" w:type="dxa"/>
            <w:vAlign w:val="bottom"/>
            <w:gridSpan w:val="2"/>
          </w:tcPr>
          <w:p>
            <w:pPr>
              <w:jc w:val="center"/>
              <w:ind w:right="120"/>
              <w:spacing w:after="0"/>
              <w:rPr>
                <w:sz w:val="20"/>
                <w:szCs w:val="20"/>
                <w:color w:val="auto"/>
              </w:rPr>
            </w:pPr>
            <w:r>
              <w:rPr>
                <w:rFonts w:ascii="Arial" w:cs="Arial" w:eastAsia="Arial" w:hAnsi="Arial"/>
                <w:sz w:val="16"/>
                <w:szCs w:val="16"/>
                <w:color w:val="auto"/>
                <w:w w:val="95"/>
              </w:rPr>
              <w:t>TFDE</w:t>
            </w:r>
          </w:p>
        </w:tc>
        <w:tc>
          <w:tcPr>
            <w:tcW w:w="2100" w:type="dxa"/>
            <w:vAlign w:val="bottom"/>
            <w:gridSpan w:val="2"/>
          </w:tcPr>
          <w:p>
            <w:pPr>
              <w:jc w:val="center"/>
              <w:ind w:right="100"/>
              <w:spacing w:after="0"/>
              <w:rPr>
                <w:sz w:val="20"/>
                <w:szCs w:val="20"/>
                <w:color w:val="auto"/>
              </w:rPr>
            </w:pPr>
            <w:r>
              <w:rPr>
                <w:rFonts w:ascii="Arial" w:cs="Arial" w:eastAsia="Arial" w:hAnsi="Arial"/>
                <w:sz w:val="16"/>
                <w:szCs w:val="16"/>
                <w:color w:val="auto"/>
                <w:w w:val="87"/>
              </w:rPr>
              <w:t>September 2019</w:t>
            </w:r>
          </w:p>
        </w:tc>
        <w:tc>
          <w:tcPr>
            <w:tcW w:w="13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40" w:type="dxa"/>
            <w:vAlign w:val="bottom"/>
          </w:tcPr>
          <w:p>
            <w:pPr>
              <w:spacing w:after="0"/>
              <w:rPr>
                <w:sz w:val="17"/>
                <w:szCs w:val="17"/>
                <w:color w:val="auto"/>
              </w:rPr>
            </w:pPr>
          </w:p>
        </w:tc>
      </w:tr>
      <w:tr>
        <w:trPr>
          <w:trHeight w:val="203"/>
        </w:trPr>
        <w:tc>
          <w:tcPr>
            <w:tcW w:w="32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7</w:t>
            </w:r>
          </w:p>
        </w:tc>
        <w:tc>
          <w:tcPr>
            <w:tcW w:w="3100" w:type="dxa"/>
            <w:vAlign w:val="bottom"/>
            <w:gridSpan w:val="2"/>
            <w:shd w:val="clear" w:color="auto" w:fill="E5FFFF"/>
          </w:tcPr>
          <w:p>
            <w:pPr>
              <w:ind w:left="140"/>
              <w:spacing w:after="0"/>
              <w:rPr>
                <w:sz w:val="20"/>
                <w:szCs w:val="20"/>
                <w:color w:val="auto"/>
              </w:rPr>
            </w:pPr>
            <w:r>
              <w:rPr>
                <w:rFonts w:ascii="Arial" w:cs="Arial" w:eastAsia="Arial" w:hAnsi="Arial"/>
                <w:sz w:val="16"/>
                <w:szCs w:val="16"/>
                <w:i w:val="1"/>
                <w:iCs w:val="1"/>
                <w:color w:val="auto"/>
              </w:rPr>
              <w:t>GasLog Salem</w:t>
            </w:r>
          </w:p>
        </w:tc>
        <w:tc>
          <w:tcPr>
            <w:tcW w:w="620" w:type="dxa"/>
            <w:vAlign w:val="bottom"/>
            <w:shd w:val="clear" w:color="auto" w:fill="E5FFFF"/>
          </w:tcPr>
          <w:p>
            <w:pPr>
              <w:ind w:left="160"/>
              <w:spacing w:after="0"/>
              <w:rPr>
                <w:sz w:val="20"/>
                <w:szCs w:val="20"/>
                <w:color w:val="auto"/>
              </w:rPr>
            </w:pPr>
            <w:r>
              <w:rPr>
                <w:rFonts w:ascii="Arial" w:cs="Arial" w:eastAsia="Arial" w:hAnsi="Arial"/>
                <w:sz w:val="16"/>
                <w:szCs w:val="16"/>
                <w:color w:val="auto"/>
              </w:rPr>
              <w:t>2015</w:t>
            </w:r>
          </w:p>
        </w:tc>
        <w:tc>
          <w:tcPr>
            <w:tcW w:w="120" w:type="dxa"/>
            <w:vAlign w:val="bottom"/>
            <w:shd w:val="clear" w:color="auto" w:fill="E5FFFF"/>
          </w:tcPr>
          <w:p>
            <w:pPr>
              <w:spacing w:after="0"/>
              <w:rPr>
                <w:sz w:val="17"/>
                <w:szCs w:val="17"/>
                <w:color w:val="auto"/>
              </w:rPr>
            </w:pPr>
          </w:p>
        </w:tc>
        <w:tc>
          <w:tcPr>
            <w:tcW w:w="100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155,000</w:t>
            </w:r>
          </w:p>
        </w:tc>
        <w:tc>
          <w:tcPr>
            <w:tcW w:w="120" w:type="dxa"/>
            <w:vAlign w:val="bottom"/>
            <w:shd w:val="clear" w:color="auto" w:fill="E5FFFF"/>
          </w:tcPr>
          <w:p>
            <w:pPr>
              <w:spacing w:after="0"/>
              <w:rPr>
                <w:sz w:val="17"/>
                <w:szCs w:val="17"/>
                <w:color w:val="auto"/>
              </w:rPr>
            </w:pPr>
          </w:p>
        </w:tc>
        <w:tc>
          <w:tcPr>
            <w:tcW w:w="1640" w:type="dxa"/>
            <w:vAlign w:val="bottom"/>
            <w:gridSpan w:val="2"/>
            <w:shd w:val="clear" w:color="auto" w:fill="E5FFFF"/>
          </w:tcPr>
          <w:p>
            <w:pPr>
              <w:jc w:val="center"/>
              <w:ind w:right="100"/>
              <w:spacing w:after="0" w:line="203" w:lineRule="exact"/>
              <w:rPr>
                <w:sz w:val="20"/>
                <w:szCs w:val="20"/>
                <w:color w:val="auto"/>
              </w:rPr>
            </w:pPr>
            <w:r>
              <w:rPr>
                <w:rFonts w:ascii="Arial" w:cs="Arial" w:eastAsia="Arial" w:hAnsi="Arial"/>
                <w:sz w:val="16"/>
                <w:szCs w:val="16"/>
                <w:color w:val="auto"/>
                <w:w w:val="90"/>
              </w:rPr>
              <w:t>Spot Market</w:t>
            </w:r>
            <w:r>
              <w:rPr>
                <w:rFonts w:ascii="Arial" w:cs="Arial" w:eastAsia="Arial" w:hAnsi="Arial"/>
                <w:sz w:val="21"/>
                <w:szCs w:val="21"/>
                <w:color w:val="auto"/>
                <w:w w:val="90"/>
                <w:vertAlign w:val="superscript"/>
              </w:rPr>
              <w:t>(3)</w:t>
            </w:r>
          </w:p>
        </w:tc>
        <w:tc>
          <w:tcPr>
            <w:tcW w:w="1240" w:type="dxa"/>
            <w:vAlign w:val="bottom"/>
            <w:gridSpan w:val="2"/>
            <w:shd w:val="clear" w:color="auto" w:fill="E5FFFF"/>
          </w:tcPr>
          <w:p>
            <w:pPr>
              <w:jc w:val="center"/>
              <w:ind w:right="120"/>
              <w:spacing w:after="0"/>
              <w:rPr>
                <w:sz w:val="20"/>
                <w:szCs w:val="20"/>
                <w:color w:val="auto"/>
              </w:rPr>
            </w:pPr>
            <w:r>
              <w:rPr>
                <w:rFonts w:ascii="Arial" w:cs="Arial" w:eastAsia="Arial" w:hAnsi="Arial"/>
                <w:sz w:val="16"/>
                <w:szCs w:val="16"/>
                <w:color w:val="auto"/>
                <w:w w:val="95"/>
              </w:rPr>
              <w:t>TFDE</w:t>
            </w:r>
          </w:p>
        </w:tc>
        <w:tc>
          <w:tcPr>
            <w:tcW w:w="2100" w:type="dxa"/>
            <w:vAlign w:val="bottom"/>
            <w:gridSpan w:val="2"/>
            <w:shd w:val="clear" w:color="auto" w:fill="E5FFFF"/>
          </w:tcPr>
          <w:p>
            <w:pPr>
              <w:jc w:val="center"/>
              <w:ind w:right="100"/>
              <w:spacing w:after="0"/>
              <w:rPr>
                <w:sz w:val="20"/>
                <w:szCs w:val="20"/>
                <w:color w:val="auto"/>
              </w:rPr>
            </w:pPr>
            <w:r>
              <w:rPr>
                <w:rFonts w:ascii="Arial" w:cs="Arial" w:eastAsia="Arial" w:hAnsi="Arial"/>
                <w:sz w:val="16"/>
                <w:szCs w:val="16"/>
                <w:color w:val="auto"/>
                <w:w w:val="99"/>
              </w:rPr>
              <w:t>—</w:t>
            </w:r>
          </w:p>
        </w:tc>
        <w:tc>
          <w:tcPr>
            <w:tcW w:w="130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9"/>
              </w:rPr>
              <w:t>—</w:t>
            </w:r>
          </w:p>
        </w:tc>
        <w:tc>
          <w:tcPr>
            <w:tcW w:w="40" w:type="dxa"/>
            <w:vAlign w:val="bottom"/>
          </w:tcPr>
          <w:p>
            <w:pPr>
              <w:spacing w:after="0"/>
              <w:rPr>
                <w:sz w:val="17"/>
                <w:szCs w:val="17"/>
                <w:color w:val="auto"/>
              </w:rPr>
            </w:pPr>
          </w:p>
        </w:tc>
      </w:tr>
      <w:tr>
        <w:trPr>
          <w:trHeight w:val="202"/>
        </w:trPr>
        <w:tc>
          <w:tcPr>
            <w:tcW w:w="320" w:type="dxa"/>
            <w:vAlign w:val="bottom"/>
          </w:tcPr>
          <w:p>
            <w:pPr>
              <w:spacing w:after="0"/>
              <w:rPr>
                <w:sz w:val="20"/>
                <w:szCs w:val="20"/>
                <w:color w:val="auto"/>
              </w:rPr>
            </w:pPr>
            <w:r>
              <w:rPr>
                <w:rFonts w:ascii="Arial" w:cs="Arial" w:eastAsia="Arial" w:hAnsi="Arial"/>
                <w:sz w:val="16"/>
                <w:szCs w:val="16"/>
                <w:b w:val="1"/>
                <w:bCs w:val="1"/>
                <w:color w:val="auto"/>
              </w:rPr>
              <w:t>8</w:t>
            </w:r>
          </w:p>
        </w:tc>
        <w:tc>
          <w:tcPr>
            <w:tcW w:w="3100" w:type="dxa"/>
            <w:vAlign w:val="bottom"/>
            <w:gridSpan w:val="2"/>
          </w:tcPr>
          <w:p>
            <w:pPr>
              <w:ind w:left="140"/>
              <w:spacing w:after="0" w:line="203" w:lineRule="exact"/>
              <w:rPr>
                <w:sz w:val="20"/>
                <w:szCs w:val="20"/>
                <w:color w:val="auto"/>
              </w:rPr>
            </w:pPr>
            <w:r>
              <w:rPr>
                <w:rFonts w:ascii="Arial" w:cs="Arial" w:eastAsia="Arial" w:hAnsi="Arial"/>
                <w:sz w:val="16"/>
                <w:szCs w:val="16"/>
                <w:i w:val="1"/>
                <w:iCs w:val="1"/>
                <w:color w:val="auto"/>
              </w:rPr>
              <w:t>GasLog Glasgow</w:t>
            </w:r>
            <w:r>
              <w:rPr>
                <w:rFonts w:ascii="Arial" w:cs="Arial" w:eastAsia="Arial" w:hAnsi="Arial"/>
                <w:sz w:val="21"/>
                <w:szCs w:val="21"/>
                <w:color w:val="auto"/>
                <w:vertAlign w:val="superscript"/>
              </w:rPr>
              <w:t>(4)</w:t>
            </w:r>
          </w:p>
        </w:tc>
        <w:tc>
          <w:tcPr>
            <w:tcW w:w="620" w:type="dxa"/>
            <w:vAlign w:val="bottom"/>
          </w:tcPr>
          <w:p>
            <w:pPr>
              <w:ind w:left="160"/>
              <w:spacing w:after="0"/>
              <w:rPr>
                <w:sz w:val="20"/>
                <w:szCs w:val="20"/>
                <w:color w:val="auto"/>
              </w:rPr>
            </w:pPr>
            <w:r>
              <w:rPr>
                <w:rFonts w:ascii="Arial" w:cs="Arial" w:eastAsia="Arial" w:hAnsi="Arial"/>
                <w:sz w:val="16"/>
                <w:szCs w:val="16"/>
                <w:color w:val="auto"/>
              </w:rPr>
              <w:t>2016</w:t>
            </w:r>
          </w:p>
        </w:tc>
        <w:tc>
          <w:tcPr>
            <w:tcW w:w="12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174,000</w:t>
            </w:r>
          </w:p>
        </w:tc>
        <w:tc>
          <w:tcPr>
            <w:tcW w:w="120" w:type="dxa"/>
            <w:vAlign w:val="bottom"/>
          </w:tcPr>
          <w:p>
            <w:pPr>
              <w:spacing w:after="0"/>
              <w:rPr>
                <w:sz w:val="17"/>
                <w:szCs w:val="17"/>
                <w:color w:val="auto"/>
              </w:rPr>
            </w:pPr>
          </w:p>
        </w:tc>
        <w:tc>
          <w:tcPr>
            <w:tcW w:w="1640" w:type="dxa"/>
            <w:vAlign w:val="bottom"/>
            <w:gridSpan w:val="2"/>
          </w:tcPr>
          <w:p>
            <w:pPr>
              <w:jc w:val="center"/>
              <w:ind w:right="100"/>
              <w:spacing w:after="0"/>
              <w:rPr>
                <w:sz w:val="20"/>
                <w:szCs w:val="20"/>
                <w:color w:val="auto"/>
              </w:rPr>
            </w:pPr>
            <w:r>
              <w:rPr>
                <w:rFonts w:ascii="Arial" w:cs="Arial" w:eastAsia="Arial" w:hAnsi="Arial"/>
                <w:sz w:val="16"/>
                <w:szCs w:val="16"/>
                <w:color w:val="auto"/>
                <w:w w:val="95"/>
              </w:rPr>
              <w:t>Shell</w:t>
            </w:r>
          </w:p>
        </w:tc>
        <w:tc>
          <w:tcPr>
            <w:tcW w:w="1240" w:type="dxa"/>
            <w:vAlign w:val="bottom"/>
            <w:gridSpan w:val="2"/>
          </w:tcPr>
          <w:p>
            <w:pPr>
              <w:jc w:val="center"/>
              <w:ind w:right="120"/>
              <w:spacing w:after="0"/>
              <w:rPr>
                <w:sz w:val="20"/>
                <w:szCs w:val="20"/>
                <w:color w:val="auto"/>
              </w:rPr>
            </w:pPr>
            <w:r>
              <w:rPr>
                <w:rFonts w:ascii="Arial" w:cs="Arial" w:eastAsia="Arial" w:hAnsi="Arial"/>
                <w:sz w:val="16"/>
                <w:szCs w:val="16"/>
                <w:color w:val="auto"/>
                <w:w w:val="95"/>
              </w:rPr>
              <w:t>TFDE</w:t>
            </w:r>
          </w:p>
        </w:tc>
        <w:tc>
          <w:tcPr>
            <w:tcW w:w="2100" w:type="dxa"/>
            <w:vAlign w:val="bottom"/>
            <w:gridSpan w:val="2"/>
          </w:tcPr>
          <w:p>
            <w:pPr>
              <w:jc w:val="center"/>
              <w:ind w:right="80"/>
              <w:spacing w:after="0"/>
              <w:rPr>
                <w:sz w:val="20"/>
                <w:szCs w:val="20"/>
                <w:color w:val="auto"/>
              </w:rPr>
            </w:pPr>
            <w:r>
              <w:rPr>
                <w:rFonts w:ascii="Arial" w:cs="Arial" w:eastAsia="Arial" w:hAnsi="Arial"/>
                <w:sz w:val="16"/>
                <w:szCs w:val="16"/>
                <w:color w:val="auto"/>
                <w:w w:val="88"/>
              </w:rPr>
              <w:t>June 2026</w:t>
            </w:r>
          </w:p>
        </w:tc>
        <w:tc>
          <w:tcPr>
            <w:tcW w:w="1300" w:type="dxa"/>
            <w:vAlign w:val="bottom"/>
          </w:tcPr>
          <w:p>
            <w:pPr>
              <w:jc w:val="center"/>
              <w:spacing w:after="0"/>
              <w:rPr>
                <w:sz w:val="20"/>
                <w:szCs w:val="20"/>
                <w:color w:val="auto"/>
              </w:rPr>
            </w:pPr>
            <w:r>
              <w:rPr>
                <w:rFonts w:ascii="Arial" w:cs="Arial" w:eastAsia="Arial" w:hAnsi="Arial"/>
                <w:sz w:val="16"/>
                <w:szCs w:val="16"/>
                <w:color w:val="auto"/>
                <w:w w:val="89"/>
              </w:rPr>
              <w:t>2031</w:t>
            </w:r>
          </w:p>
        </w:tc>
        <w:tc>
          <w:tcPr>
            <w:tcW w:w="40" w:type="dxa"/>
            <w:vAlign w:val="bottom"/>
          </w:tcPr>
          <w:p>
            <w:pPr>
              <w:spacing w:after="0"/>
              <w:rPr>
                <w:sz w:val="17"/>
                <w:szCs w:val="17"/>
                <w:color w:val="auto"/>
              </w:rPr>
            </w:pPr>
          </w:p>
        </w:tc>
      </w:tr>
      <w:tr>
        <w:trPr>
          <w:trHeight w:val="203"/>
        </w:trPr>
        <w:tc>
          <w:tcPr>
            <w:tcW w:w="32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9</w:t>
            </w:r>
          </w:p>
        </w:tc>
        <w:tc>
          <w:tcPr>
            <w:tcW w:w="3100" w:type="dxa"/>
            <w:vAlign w:val="bottom"/>
            <w:gridSpan w:val="2"/>
            <w:shd w:val="clear" w:color="auto" w:fill="E5FFFF"/>
          </w:tcPr>
          <w:p>
            <w:pPr>
              <w:ind w:left="140"/>
              <w:spacing w:after="0"/>
              <w:rPr>
                <w:sz w:val="20"/>
                <w:szCs w:val="20"/>
                <w:color w:val="auto"/>
              </w:rPr>
            </w:pPr>
            <w:r>
              <w:rPr>
                <w:rFonts w:ascii="Arial" w:cs="Arial" w:eastAsia="Arial" w:hAnsi="Arial"/>
                <w:sz w:val="16"/>
                <w:szCs w:val="16"/>
                <w:i w:val="1"/>
                <w:iCs w:val="1"/>
                <w:color w:val="auto"/>
              </w:rPr>
              <w:t>GasLog Houston</w:t>
            </w:r>
          </w:p>
        </w:tc>
        <w:tc>
          <w:tcPr>
            <w:tcW w:w="620" w:type="dxa"/>
            <w:vAlign w:val="bottom"/>
            <w:shd w:val="clear" w:color="auto" w:fill="E5FFFF"/>
          </w:tcPr>
          <w:p>
            <w:pPr>
              <w:ind w:left="160"/>
              <w:spacing w:after="0"/>
              <w:rPr>
                <w:sz w:val="20"/>
                <w:szCs w:val="20"/>
                <w:color w:val="auto"/>
              </w:rPr>
            </w:pPr>
            <w:r>
              <w:rPr>
                <w:rFonts w:ascii="Arial" w:cs="Arial" w:eastAsia="Arial" w:hAnsi="Arial"/>
                <w:sz w:val="16"/>
                <w:szCs w:val="16"/>
                <w:color w:val="auto"/>
              </w:rPr>
              <w:t>2018</w:t>
            </w:r>
          </w:p>
        </w:tc>
        <w:tc>
          <w:tcPr>
            <w:tcW w:w="120" w:type="dxa"/>
            <w:vAlign w:val="bottom"/>
            <w:shd w:val="clear" w:color="auto" w:fill="E5FFFF"/>
          </w:tcPr>
          <w:p>
            <w:pPr>
              <w:spacing w:after="0"/>
              <w:rPr>
                <w:sz w:val="17"/>
                <w:szCs w:val="17"/>
                <w:color w:val="auto"/>
              </w:rPr>
            </w:pPr>
          </w:p>
        </w:tc>
        <w:tc>
          <w:tcPr>
            <w:tcW w:w="100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174,000</w:t>
            </w:r>
          </w:p>
        </w:tc>
        <w:tc>
          <w:tcPr>
            <w:tcW w:w="120" w:type="dxa"/>
            <w:vAlign w:val="bottom"/>
            <w:shd w:val="clear" w:color="auto" w:fill="E5FFFF"/>
          </w:tcPr>
          <w:p>
            <w:pPr>
              <w:spacing w:after="0"/>
              <w:rPr>
                <w:sz w:val="17"/>
                <w:szCs w:val="17"/>
                <w:color w:val="auto"/>
              </w:rPr>
            </w:pPr>
          </w:p>
        </w:tc>
        <w:tc>
          <w:tcPr>
            <w:tcW w:w="1640" w:type="dxa"/>
            <w:vAlign w:val="bottom"/>
            <w:gridSpan w:val="2"/>
            <w:shd w:val="clear" w:color="auto" w:fill="E5FFFF"/>
          </w:tcPr>
          <w:p>
            <w:pPr>
              <w:jc w:val="center"/>
              <w:ind w:right="100"/>
              <w:spacing w:after="0"/>
              <w:rPr>
                <w:sz w:val="20"/>
                <w:szCs w:val="20"/>
                <w:color w:val="auto"/>
              </w:rPr>
            </w:pPr>
            <w:r>
              <w:rPr>
                <w:rFonts w:ascii="Arial" w:cs="Arial" w:eastAsia="Arial" w:hAnsi="Arial"/>
                <w:sz w:val="16"/>
                <w:szCs w:val="16"/>
                <w:color w:val="auto"/>
                <w:w w:val="95"/>
              </w:rPr>
              <w:t>Shell</w:t>
            </w:r>
          </w:p>
        </w:tc>
        <w:tc>
          <w:tcPr>
            <w:tcW w:w="1240" w:type="dxa"/>
            <w:vAlign w:val="bottom"/>
            <w:gridSpan w:val="2"/>
            <w:shd w:val="clear" w:color="auto" w:fill="E5FFFF"/>
          </w:tcPr>
          <w:p>
            <w:pPr>
              <w:jc w:val="center"/>
              <w:ind w:right="100"/>
              <w:spacing w:after="0"/>
              <w:rPr>
                <w:sz w:val="20"/>
                <w:szCs w:val="20"/>
                <w:color w:val="auto"/>
              </w:rPr>
            </w:pPr>
            <w:r>
              <w:rPr>
                <w:rFonts w:ascii="Arial" w:cs="Arial" w:eastAsia="Arial" w:hAnsi="Arial"/>
                <w:sz w:val="16"/>
                <w:szCs w:val="16"/>
                <w:color w:val="auto"/>
              </w:rPr>
              <w:t>X-DF</w:t>
            </w:r>
          </w:p>
        </w:tc>
        <w:tc>
          <w:tcPr>
            <w:tcW w:w="2100" w:type="dxa"/>
            <w:vAlign w:val="bottom"/>
            <w:gridSpan w:val="2"/>
            <w:shd w:val="clear" w:color="auto" w:fill="E5FFFF"/>
          </w:tcPr>
          <w:p>
            <w:pPr>
              <w:jc w:val="center"/>
              <w:ind w:right="80"/>
              <w:spacing w:after="0"/>
              <w:rPr>
                <w:sz w:val="20"/>
                <w:szCs w:val="20"/>
                <w:color w:val="auto"/>
              </w:rPr>
            </w:pPr>
            <w:r>
              <w:rPr>
                <w:rFonts w:ascii="Arial" w:cs="Arial" w:eastAsia="Arial" w:hAnsi="Arial"/>
                <w:sz w:val="16"/>
                <w:szCs w:val="16"/>
                <w:color w:val="auto"/>
                <w:w w:val="93"/>
              </w:rPr>
              <w:t>May 2028</w:t>
            </w:r>
          </w:p>
        </w:tc>
        <w:tc>
          <w:tcPr>
            <w:tcW w:w="130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1"/>
              </w:rPr>
              <w:t>2031-2034</w:t>
            </w:r>
          </w:p>
        </w:tc>
        <w:tc>
          <w:tcPr>
            <w:tcW w:w="40" w:type="dxa"/>
            <w:vAlign w:val="bottom"/>
          </w:tcPr>
          <w:p>
            <w:pPr>
              <w:spacing w:after="0"/>
              <w:rPr>
                <w:sz w:val="17"/>
                <w:szCs w:val="17"/>
                <w:color w:val="auto"/>
              </w:rPr>
            </w:pPr>
          </w:p>
        </w:tc>
      </w:tr>
      <w:tr>
        <w:trPr>
          <w:trHeight w:val="203"/>
        </w:trPr>
        <w:tc>
          <w:tcPr>
            <w:tcW w:w="320" w:type="dxa"/>
            <w:vAlign w:val="bottom"/>
          </w:tcPr>
          <w:p>
            <w:pPr>
              <w:spacing w:after="0"/>
              <w:rPr>
                <w:sz w:val="20"/>
                <w:szCs w:val="20"/>
                <w:color w:val="auto"/>
              </w:rPr>
            </w:pPr>
            <w:r>
              <w:rPr>
                <w:rFonts w:ascii="Arial" w:cs="Arial" w:eastAsia="Arial" w:hAnsi="Arial"/>
                <w:sz w:val="16"/>
                <w:szCs w:val="16"/>
                <w:b w:val="1"/>
                <w:bCs w:val="1"/>
                <w:color w:val="auto"/>
              </w:rPr>
              <w:t>10</w:t>
            </w:r>
          </w:p>
        </w:tc>
        <w:tc>
          <w:tcPr>
            <w:tcW w:w="3100" w:type="dxa"/>
            <w:vAlign w:val="bottom"/>
            <w:gridSpan w:val="2"/>
          </w:tcPr>
          <w:p>
            <w:pPr>
              <w:ind w:left="140"/>
              <w:spacing w:after="0"/>
              <w:rPr>
                <w:sz w:val="20"/>
                <w:szCs w:val="20"/>
                <w:color w:val="auto"/>
              </w:rPr>
            </w:pPr>
            <w:r>
              <w:rPr>
                <w:rFonts w:ascii="Arial" w:cs="Arial" w:eastAsia="Arial" w:hAnsi="Arial"/>
                <w:sz w:val="16"/>
                <w:szCs w:val="16"/>
                <w:i w:val="1"/>
                <w:iCs w:val="1"/>
                <w:color w:val="auto"/>
              </w:rPr>
              <w:t>GasLog Hong Kong</w:t>
            </w:r>
          </w:p>
        </w:tc>
        <w:tc>
          <w:tcPr>
            <w:tcW w:w="620" w:type="dxa"/>
            <w:vAlign w:val="bottom"/>
          </w:tcPr>
          <w:p>
            <w:pPr>
              <w:ind w:left="160"/>
              <w:spacing w:after="0"/>
              <w:rPr>
                <w:sz w:val="20"/>
                <w:szCs w:val="20"/>
                <w:color w:val="auto"/>
              </w:rPr>
            </w:pPr>
            <w:r>
              <w:rPr>
                <w:rFonts w:ascii="Arial" w:cs="Arial" w:eastAsia="Arial" w:hAnsi="Arial"/>
                <w:sz w:val="16"/>
                <w:szCs w:val="16"/>
                <w:color w:val="auto"/>
              </w:rPr>
              <w:t>2018</w:t>
            </w:r>
          </w:p>
        </w:tc>
        <w:tc>
          <w:tcPr>
            <w:tcW w:w="12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174,000</w:t>
            </w:r>
          </w:p>
        </w:tc>
        <w:tc>
          <w:tcPr>
            <w:tcW w:w="120" w:type="dxa"/>
            <w:vAlign w:val="bottom"/>
          </w:tcPr>
          <w:p>
            <w:pPr>
              <w:spacing w:after="0"/>
              <w:rPr>
                <w:sz w:val="17"/>
                <w:szCs w:val="17"/>
                <w:color w:val="auto"/>
              </w:rPr>
            </w:pPr>
          </w:p>
        </w:tc>
        <w:tc>
          <w:tcPr>
            <w:tcW w:w="1640" w:type="dxa"/>
            <w:vAlign w:val="bottom"/>
            <w:gridSpan w:val="2"/>
          </w:tcPr>
          <w:p>
            <w:pPr>
              <w:jc w:val="center"/>
              <w:ind w:right="140"/>
              <w:spacing w:after="0" w:line="203" w:lineRule="exact"/>
              <w:rPr>
                <w:sz w:val="20"/>
                <w:szCs w:val="20"/>
                <w:color w:val="auto"/>
              </w:rPr>
            </w:pPr>
            <w:r>
              <w:rPr>
                <w:rFonts w:ascii="Arial" w:cs="Arial" w:eastAsia="Arial" w:hAnsi="Arial"/>
                <w:sz w:val="16"/>
                <w:szCs w:val="16"/>
                <w:color w:val="auto"/>
                <w:w w:val="87"/>
              </w:rPr>
              <w:t>Total</w:t>
            </w:r>
            <w:r>
              <w:rPr>
                <w:rFonts w:ascii="Arial" w:cs="Arial" w:eastAsia="Arial" w:hAnsi="Arial"/>
                <w:sz w:val="21"/>
                <w:szCs w:val="21"/>
                <w:color w:val="auto"/>
                <w:w w:val="87"/>
                <w:vertAlign w:val="superscript"/>
              </w:rPr>
              <w:t>(5)</w:t>
            </w: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color w:val="auto"/>
              </w:rPr>
              <w:t>X-DF</w:t>
            </w:r>
          </w:p>
        </w:tc>
        <w:tc>
          <w:tcPr>
            <w:tcW w:w="2100" w:type="dxa"/>
            <w:vAlign w:val="bottom"/>
            <w:gridSpan w:val="2"/>
          </w:tcPr>
          <w:p>
            <w:pPr>
              <w:jc w:val="center"/>
              <w:ind w:right="100"/>
              <w:spacing w:after="0"/>
              <w:rPr>
                <w:sz w:val="20"/>
                <w:szCs w:val="20"/>
                <w:color w:val="auto"/>
              </w:rPr>
            </w:pPr>
            <w:r>
              <w:rPr>
                <w:rFonts w:ascii="Arial" w:cs="Arial" w:eastAsia="Arial" w:hAnsi="Arial"/>
                <w:sz w:val="16"/>
                <w:szCs w:val="16"/>
                <w:color w:val="auto"/>
                <w:w w:val="91"/>
              </w:rPr>
              <w:t>December 2025</w:t>
            </w:r>
          </w:p>
        </w:tc>
        <w:tc>
          <w:tcPr>
            <w:tcW w:w="1300" w:type="dxa"/>
            <w:vAlign w:val="bottom"/>
          </w:tcPr>
          <w:p>
            <w:pPr>
              <w:jc w:val="center"/>
              <w:spacing w:after="0"/>
              <w:rPr>
                <w:sz w:val="20"/>
                <w:szCs w:val="20"/>
                <w:color w:val="auto"/>
              </w:rPr>
            </w:pPr>
            <w:r>
              <w:rPr>
                <w:rFonts w:ascii="Arial" w:cs="Arial" w:eastAsia="Arial" w:hAnsi="Arial"/>
                <w:sz w:val="16"/>
                <w:szCs w:val="16"/>
                <w:color w:val="auto"/>
                <w:w w:val="89"/>
              </w:rPr>
              <w:t>2028</w:t>
            </w:r>
          </w:p>
        </w:tc>
        <w:tc>
          <w:tcPr>
            <w:tcW w:w="40" w:type="dxa"/>
            <w:vAlign w:val="bottom"/>
          </w:tcPr>
          <w:p>
            <w:pPr>
              <w:spacing w:after="0"/>
              <w:rPr>
                <w:sz w:val="17"/>
                <w:szCs w:val="17"/>
                <w:color w:val="auto"/>
              </w:rPr>
            </w:pPr>
          </w:p>
        </w:tc>
      </w:tr>
      <w:tr>
        <w:trPr>
          <w:trHeight w:val="203"/>
        </w:trPr>
        <w:tc>
          <w:tcPr>
            <w:tcW w:w="32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11</w:t>
            </w:r>
          </w:p>
        </w:tc>
        <w:tc>
          <w:tcPr>
            <w:tcW w:w="3100" w:type="dxa"/>
            <w:vAlign w:val="bottom"/>
            <w:gridSpan w:val="2"/>
            <w:shd w:val="clear" w:color="auto" w:fill="E5FFFF"/>
          </w:tcPr>
          <w:p>
            <w:pPr>
              <w:ind w:left="140"/>
              <w:spacing w:after="0"/>
              <w:rPr>
                <w:sz w:val="20"/>
                <w:szCs w:val="20"/>
                <w:color w:val="auto"/>
              </w:rPr>
            </w:pPr>
            <w:r>
              <w:rPr>
                <w:rFonts w:ascii="Arial" w:cs="Arial" w:eastAsia="Arial" w:hAnsi="Arial"/>
                <w:sz w:val="16"/>
                <w:szCs w:val="16"/>
                <w:i w:val="1"/>
                <w:iCs w:val="1"/>
                <w:color w:val="auto"/>
              </w:rPr>
              <w:t>GasLog Genoa</w:t>
            </w:r>
          </w:p>
        </w:tc>
        <w:tc>
          <w:tcPr>
            <w:tcW w:w="620" w:type="dxa"/>
            <w:vAlign w:val="bottom"/>
            <w:shd w:val="clear" w:color="auto" w:fill="E5FFFF"/>
          </w:tcPr>
          <w:p>
            <w:pPr>
              <w:ind w:left="160"/>
              <w:spacing w:after="0"/>
              <w:rPr>
                <w:sz w:val="20"/>
                <w:szCs w:val="20"/>
                <w:color w:val="auto"/>
              </w:rPr>
            </w:pPr>
            <w:r>
              <w:rPr>
                <w:rFonts w:ascii="Arial" w:cs="Arial" w:eastAsia="Arial" w:hAnsi="Arial"/>
                <w:sz w:val="16"/>
                <w:szCs w:val="16"/>
                <w:color w:val="auto"/>
              </w:rPr>
              <w:t>2018</w:t>
            </w:r>
          </w:p>
        </w:tc>
        <w:tc>
          <w:tcPr>
            <w:tcW w:w="120" w:type="dxa"/>
            <w:vAlign w:val="bottom"/>
            <w:shd w:val="clear" w:color="auto" w:fill="E5FFFF"/>
          </w:tcPr>
          <w:p>
            <w:pPr>
              <w:spacing w:after="0"/>
              <w:rPr>
                <w:sz w:val="17"/>
                <w:szCs w:val="17"/>
                <w:color w:val="auto"/>
              </w:rPr>
            </w:pPr>
          </w:p>
        </w:tc>
        <w:tc>
          <w:tcPr>
            <w:tcW w:w="100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174,000</w:t>
            </w:r>
          </w:p>
        </w:tc>
        <w:tc>
          <w:tcPr>
            <w:tcW w:w="120" w:type="dxa"/>
            <w:vAlign w:val="bottom"/>
            <w:shd w:val="clear" w:color="auto" w:fill="E5FFFF"/>
          </w:tcPr>
          <w:p>
            <w:pPr>
              <w:spacing w:after="0"/>
              <w:rPr>
                <w:sz w:val="17"/>
                <w:szCs w:val="17"/>
                <w:color w:val="auto"/>
              </w:rPr>
            </w:pPr>
          </w:p>
        </w:tc>
        <w:tc>
          <w:tcPr>
            <w:tcW w:w="1640" w:type="dxa"/>
            <w:vAlign w:val="bottom"/>
            <w:gridSpan w:val="2"/>
            <w:shd w:val="clear" w:color="auto" w:fill="E5FFFF"/>
          </w:tcPr>
          <w:p>
            <w:pPr>
              <w:jc w:val="center"/>
              <w:ind w:right="100"/>
              <w:spacing w:after="0"/>
              <w:rPr>
                <w:sz w:val="20"/>
                <w:szCs w:val="20"/>
                <w:color w:val="auto"/>
              </w:rPr>
            </w:pPr>
            <w:r>
              <w:rPr>
                <w:rFonts w:ascii="Arial" w:cs="Arial" w:eastAsia="Arial" w:hAnsi="Arial"/>
                <w:sz w:val="16"/>
                <w:szCs w:val="16"/>
                <w:color w:val="auto"/>
                <w:w w:val="95"/>
              </w:rPr>
              <w:t>Shell</w:t>
            </w:r>
          </w:p>
        </w:tc>
        <w:tc>
          <w:tcPr>
            <w:tcW w:w="1240" w:type="dxa"/>
            <w:vAlign w:val="bottom"/>
            <w:gridSpan w:val="2"/>
            <w:shd w:val="clear" w:color="auto" w:fill="E5FFFF"/>
          </w:tcPr>
          <w:p>
            <w:pPr>
              <w:jc w:val="center"/>
              <w:ind w:right="100"/>
              <w:spacing w:after="0"/>
              <w:rPr>
                <w:sz w:val="20"/>
                <w:szCs w:val="20"/>
                <w:color w:val="auto"/>
              </w:rPr>
            </w:pPr>
            <w:r>
              <w:rPr>
                <w:rFonts w:ascii="Arial" w:cs="Arial" w:eastAsia="Arial" w:hAnsi="Arial"/>
                <w:sz w:val="16"/>
                <w:szCs w:val="16"/>
                <w:color w:val="auto"/>
              </w:rPr>
              <w:t>X-DF</w:t>
            </w:r>
          </w:p>
        </w:tc>
        <w:tc>
          <w:tcPr>
            <w:tcW w:w="2100" w:type="dxa"/>
            <w:vAlign w:val="bottom"/>
            <w:gridSpan w:val="2"/>
            <w:shd w:val="clear" w:color="auto" w:fill="E5FFFF"/>
          </w:tcPr>
          <w:p>
            <w:pPr>
              <w:jc w:val="center"/>
              <w:ind w:right="100"/>
              <w:spacing w:after="0"/>
              <w:rPr>
                <w:sz w:val="20"/>
                <w:szCs w:val="20"/>
                <w:color w:val="auto"/>
              </w:rPr>
            </w:pPr>
            <w:r>
              <w:rPr>
                <w:rFonts w:ascii="Arial" w:cs="Arial" w:eastAsia="Arial" w:hAnsi="Arial"/>
                <w:sz w:val="16"/>
                <w:szCs w:val="16"/>
                <w:color w:val="auto"/>
                <w:w w:val="94"/>
              </w:rPr>
              <w:t>March 2027</w:t>
            </w:r>
          </w:p>
        </w:tc>
        <w:tc>
          <w:tcPr>
            <w:tcW w:w="130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1"/>
              </w:rPr>
              <w:t>2030-2033</w:t>
            </w:r>
          </w:p>
        </w:tc>
        <w:tc>
          <w:tcPr>
            <w:tcW w:w="40" w:type="dxa"/>
            <w:vAlign w:val="bottom"/>
          </w:tcPr>
          <w:p>
            <w:pPr>
              <w:spacing w:after="0"/>
              <w:rPr>
                <w:sz w:val="17"/>
                <w:szCs w:val="17"/>
                <w:color w:val="auto"/>
              </w:rPr>
            </w:pPr>
          </w:p>
        </w:tc>
      </w:tr>
      <w:tr>
        <w:trPr>
          <w:trHeight w:val="210"/>
        </w:trPr>
        <w:tc>
          <w:tcPr>
            <w:tcW w:w="320" w:type="dxa"/>
            <w:vAlign w:val="bottom"/>
          </w:tcPr>
          <w:p>
            <w:pPr>
              <w:spacing w:after="0"/>
              <w:rPr>
                <w:sz w:val="20"/>
                <w:szCs w:val="20"/>
                <w:color w:val="auto"/>
              </w:rPr>
            </w:pPr>
            <w:r>
              <w:rPr>
                <w:rFonts w:ascii="Arial" w:cs="Arial" w:eastAsia="Arial" w:hAnsi="Arial"/>
                <w:sz w:val="16"/>
                <w:szCs w:val="16"/>
                <w:b w:val="1"/>
                <w:bCs w:val="1"/>
                <w:color w:val="auto"/>
              </w:rPr>
              <w:t>12</w:t>
            </w:r>
          </w:p>
        </w:tc>
        <w:tc>
          <w:tcPr>
            <w:tcW w:w="3100" w:type="dxa"/>
            <w:vAlign w:val="bottom"/>
            <w:gridSpan w:val="2"/>
          </w:tcPr>
          <w:p>
            <w:pPr>
              <w:ind w:left="140"/>
              <w:spacing w:after="0"/>
              <w:rPr>
                <w:sz w:val="20"/>
                <w:szCs w:val="20"/>
                <w:color w:val="auto"/>
              </w:rPr>
            </w:pPr>
            <w:r>
              <w:rPr>
                <w:rFonts w:ascii="Arial" w:cs="Arial" w:eastAsia="Arial" w:hAnsi="Arial"/>
                <w:sz w:val="16"/>
                <w:szCs w:val="16"/>
                <w:i w:val="1"/>
                <w:iCs w:val="1"/>
                <w:color w:val="auto"/>
              </w:rPr>
              <w:t>GasLog Gladstone</w:t>
            </w:r>
          </w:p>
        </w:tc>
        <w:tc>
          <w:tcPr>
            <w:tcW w:w="620" w:type="dxa"/>
            <w:vAlign w:val="bottom"/>
          </w:tcPr>
          <w:p>
            <w:pPr>
              <w:ind w:left="160"/>
              <w:spacing w:after="0"/>
              <w:rPr>
                <w:sz w:val="20"/>
                <w:szCs w:val="20"/>
                <w:color w:val="auto"/>
              </w:rPr>
            </w:pPr>
            <w:r>
              <w:rPr>
                <w:rFonts w:ascii="Arial" w:cs="Arial" w:eastAsia="Arial" w:hAnsi="Arial"/>
                <w:sz w:val="16"/>
                <w:szCs w:val="16"/>
                <w:color w:val="auto"/>
              </w:rPr>
              <w:t>2019</w:t>
            </w:r>
          </w:p>
        </w:tc>
        <w:tc>
          <w:tcPr>
            <w:tcW w:w="1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174,000</w:t>
            </w:r>
          </w:p>
        </w:tc>
        <w:tc>
          <w:tcPr>
            <w:tcW w:w="120" w:type="dxa"/>
            <w:vAlign w:val="bottom"/>
          </w:tcPr>
          <w:p>
            <w:pPr>
              <w:spacing w:after="0"/>
              <w:rPr>
                <w:sz w:val="18"/>
                <w:szCs w:val="18"/>
                <w:color w:val="auto"/>
              </w:rPr>
            </w:pPr>
          </w:p>
        </w:tc>
        <w:tc>
          <w:tcPr>
            <w:tcW w:w="1640" w:type="dxa"/>
            <w:vAlign w:val="bottom"/>
            <w:gridSpan w:val="2"/>
          </w:tcPr>
          <w:p>
            <w:pPr>
              <w:jc w:val="center"/>
              <w:ind w:right="100"/>
              <w:spacing w:after="0"/>
              <w:rPr>
                <w:sz w:val="20"/>
                <w:szCs w:val="20"/>
                <w:color w:val="auto"/>
              </w:rPr>
            </w:pPr>
            <w:r>
              <w:rPr>
                <w:rFonts w:ascii="Arial" w:cs="Arial" w:eastAsia="Arial" w:hAnsi="Arial"/>
                <w:sz w:val="16"/>
                <w:szCs w:val="16"/>
                <w:color w:val="auto"/>
                <w:w w:val="95"/>
              </w:rPr>
              <w:t>Shell</w:t>
            </w: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color w:val="auto"/>
              </w:rPr>
              <w:t>X-DF</w:t>
            </w:r>
          </w:p>
        </w:tc>
        <w:tc>
          <w:tcPr>
            <w:tcW w:w="2100" w:type="dxa"/>
            <w:vAlign w:val="bottom"/>
            <w:gridSpan w:val="2"/>
          </w:tcPr>
          <w:p>
            <w:pPr>
              <w:jc w:val="center"/>
              <w:ind w:right="60"/>
              <w:spacing w:after="0"/>
              <w:rPr>
                <w:sz w:val="20"/>
                <w:szCs w:val="20"/>
                <w:color w:val="auto"/>
              </w:rPr>
            </w:pPr>
            <w:r>
              <w:rPr>
                <w:rFonts w:ascii="Arial" w:cs="Arial" w:eastAsia="Arial" w:hAnsi="Arial"/>
                <w:sz w:val="16"/>
                <w:szCs w:val="16"/>
                <w:color w:val="auto"/>
                <w:w w:val="90"/>
              </w:rPr>
              <w:t>January 2029</w:t>
            </w:r>
          </w:p>
        </w:tc>
        <w:tc>
          <w:tcPr>
            <w:tcW w:w="1300" w:type="dxa"/>
            <w:vAlign w:val="bottom"/>
          </w:tcPr>
          <w:p>
            <w:pPr>
              <w:jc w:val="center"/>
              <w:spacing w:after="0"/>
              <w:rPr>
                <w:sz w:val="20"/>
                <w:szCs w:val="20"/>
                <w:color w:val="auto"/>
              </w:rPr>
            </w:pPr>
            <w:r>
              <w:rPr>
                <w:rFonts w:ascii="Arial" w:cs="Arial" w:eastAsia="Arial" w:hAnsi="Arial"/>
                <w:sz w:val="16"/>
                <w:szCs w:val="16"/>
                <w:color w:val="auto"/>
                <w:w w:val="91"/>
              </w:rPr>
              <w:t>2032-2035</w:t>
            </w:r>
          </w:p>
        </w:tc>
        <w:tc>
          <w:tcPr>
            <w:tcW w:w="40" w:type="dxa"/>
            <w:vAlign w:val="bottom"/>
          </w:tcPr>
          <w:p>
            <w:pPr>
              <w:spacing w:after="0"/>
              <w:rPr>
                <w:sz w:val="18"/>
                <w:szCs w:val="18"/>
                <w:color w:val="auto"/>
              </w:rPr>
            </w:pPr>
          </w:p>
        </w:tc>
      </w:tr>
      <w:tr>
        <w:trPr>
          <w:trHeight w:val="372"/>
        </w:trPr>
        <w:tc>
          <w:tcPr>
            <w:tcW w:w="3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jc w:val="right"/>
              <w:ind w:right="880"/>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7"/>
        </w:trPr>
        <w:tc>
          <w:tcPr>
            <w:tcW w:w="320" w:type="dxa"/>
            <w:vAlign w:val="bottom"/>
            <w:tcBorders>
              <w:bottom w:val="single" w:sz="8" w:color="808080"/>
            </w:tcBorders>
          </w:tcPr>
          <w:p>
            <w:pPr>
              <w:spacing w:after="0"/>
              <w:rPr>
                <w:sz w:val="10"/>
                <w:szCs w:val="10"/>
                <w:color w:val="auto"/>
              </w:rPr>
            </w:pPr>
          </w:p>
        </w:tc>
        <w:tc>
          <w:tcPr>
            <w:tcW w:w="29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5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0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7349490</wp:posOffset>
            </wp:positionH>
            <wp:positionV relativeFrom="paragraph">
              <wp:posOffset>-29210</wp:posOffset>
            </wp:positionV>
            <wp:extent cx="1270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600"/>
          </w:cols>
          <w:pgMar w:left="160" w:top="262" w:right="139" w:bottom="1440" w:gutter="0" w:footer="0" w:header="0"/>
        </w:sectPr>
      </w:pPr>
    </w:p>
    <w:bookmarkStart w:id="18" w:name="page19"/>
    <w:bookmarkEnd w:id="18"/>
    <w:p>
      <w:pPr>
        <w:ind w:left="360"/>
        <w:spacing w:after="0"/>
        <w:rPr>
          <w:sz w:val="20"/>
          <w:szCs w:val="20"/>
          <w:color w:val="auto"/>
        </w:rPr>
      </w:pPr>
      <w:r>
        <w:rPr>
          <w:rFonts w:ascii="Arial" w:cs="Arial" w:eastAsia="Arial" w:hAnsi="Arial"/>
          <w:sz w:val="16"/>
          <w:szCs w:val="16"/>
          <w:color w:val="auto"/>
        </w:rPr>
        <w:t>As of March 31, 2019, the Partnership’s fleet consisted of the following vessels: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5"/>
              </w:rPr>
              <w:t>Cargo</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gridSpan w:val="4"/>
          </w:tcPr>
          <w:p>
            <w:pPr>
              <w:ind w:left="20"/>
              <w:spacing w:after="0"/>
              <w:rPr>
                <w:sz w:val="20"/>
                <w:szCs w:val="20"/>
                <w:color w:val="auto"/>
              </w:rPr>
            </w:pPr>
            <w:r>
              <w:rPr>
                <w:rFonts w:ascii="Arial" w:cs="Arial" w:eastAsia="Arial" w:hAnsi="Arial"/>
                <w:sz w:val="16"/>
                <w:szCs w:val="16"/>
                <w:b w:val="1"/>
                <w:bCs w:val="1"/>
                <w:color w:val="auto"/>
              </w:rPr>
              <w:t>Year</w:t>
            </w:r>
          </w:p>
        </w:tc>
        <w:tc>
          <w:tcPr>
            <w:tcW w:w="80" w:type="dxa"/>
            <w:vAlign w:val="bottom"/>
          </w:tcPr>
          <w:p>
            <w:pPr>
              <w:spacing w:after="0"/>
              <w:rPr>
                <w:sz w:val="17"/>
                <w:szCs w:val="17"/>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2"/>
              </w:rPr>
              <w:t>Capacity</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20" w:type="dxa"/>
            <w:vAlign w:val="bottom"/>
            <w:gridSpan w:val="3"/>
          </w:tcPr>
          <w:p>
            <w:pPr>
              <w:jc w:val="center"/>
              <w:ind w:right="280"/>
              <w:spacing w:after="0"/>
              <w:rPr>
                <w:sz w:val="20"/>
                <w:szCs w:val="20"/>
                <w:color w:val="auto"/>
              </w:rPr>
            </w:pPr>
            <w:r>
              <w:rPr>
                <w:rFonts w:ascii="Arial" w:cs="Arial" w:eastAsia="Arial" w:hAnsi="Arial"/>
                <w:sz w:val="16"/>
                <w:szCs w:val="16"/>
                <w:b w:val="1"/>
                <w:bCs w:val="1"/>
                <w:color w:val="auto"/>
                <w:w w:val="98"/>
              </w:rPr>
              <w:t>Charter</w:t>
            </w:r>
          </w:p>
        </w:tc>
        <w:tc>
          <w:tcPr>
            <w:tcW w:w="1280" w:type="dxa"/>
            <w:vAlign w:val="bottom"/>
          </w:tcPr>
          <w:p>
            <w:pPr>
              <w:ind w:left="340"/>
              <w:spacing w:after="0"/>
              <w:rPr>
                <w:sz w:val="20"/>
                <w:szCs w:val="20"/>
                <w:color w:val="auto"/>
              </w:rPr>
            </w:pPr>
            <w:r>
              <w:rPr>
                <w:rFonts w:ascii="Arial" w:cs="Arial" w:eastAsia="Arial" w:hAnsi="Arial"/>
                <w:sz w:val="16"/>
                <w:szCs w:val="16"/>
                <w:b w:val="1"/>
                <w:bCs w:val="1"/>
                <w:color w:val="auto"/>
              </w:rPr>
              <w:t>Optional</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720" w:type="dxa"/>
            <w:vAlign w:val="bottom"/>
            <w:gridSpan w:val="2"/>
          </w:tcPr>
          <w:p>
            <w:pPr>
              <w:ind w:left="640"/>
              <w:spacing w:after="0"/>
              <w:rPr>
                <w:sz w:val="20"/>
                <w:szCs w:val="20"/>
                <w:color w:val="auto"/>
              </w:rPr>
            </w:pPr>
            <w:r>
              <w:rPr>
                <w:rFonts w:ascii="Arial" w:cs="Arial" w:eastAsia="Arial" w:hAnsi="Arial"/>
                <w:sz w:val="16"/>
                <w:szCs w:val="16"/>
                <w:b w:val="1"/>
                <w:bCs w:val="1"/>
                <w:color w:val="auto"/>
              </w:rPr>
              <w:t>Vessel Name</w:t>
            </w:r>
          </w:p>
        </w:tc>
        <w:tc>
          <w:tcPr>
            <w:tcW w:w="260" w:type="dxa"/>
            <w:vAlign w:val="bottom"/>
          </w:tcPr>
          <w:p>
            <w:pPr>
              <w:spacing w:after="0"/>
              <w:rPr>
                <w:sz w:val="18"/>
                <w:szCs w:val="18"/>
                <w:color w:val="auto"/>
              </w:rPr>
            </w:pPr>
          </w:p>
        </w:tc>
        <w:tc>
          <w:tcPr>
            <w:tcW w:w="780" w:type="dxa"/>
            <w:vAlign w:val="bottom"/>
            <w:gridSpan w:val="4"/>
          </w:tcPr>
          <w:p>
            <w:pPr>
              <w:ind w:left="20"/>
              <w:spacing w:after="0"/>
              <w:rPr>
                <w:sz w:val="20"/>
                <w:szCs w:val="20"/>
                <w:color w:val="auto"/>
              </w:rPr>
            </w:pPr>
            <w:r>
              <w:rPr>
                <w:rFonts w:ascii="Arial" w:cs="Arial" w:eastAsia="Arial" w:hAnsi="Arial"/>
                <w:sz w:val="16"/>
                <w:szCs w:val="16"/>
                <w:b w:val="1"/>
                <w:bCs w:val="1"/>
                <w:color w:val="auto"/>
              </w:rPr>
              <w:t>Built</w:t>
            </w:r>
          </w:p>
        </w:tc>
        <w:tc>
          <w:tcPr>
            <w:tcW w:w="80" w:type="dxa"/>
            <w:vAlign w:val="bottom"/>
          </w:tcPr>
          <w:p>
            <w:pPr>
              <w:spacing w:after="0"/>
              <w:rPr>
                <w:sz w:val="18"/>
                <w:szCs w:val="18"/>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(cbm)</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4"/>
              </w:rPr>
              <w:t>Charterer</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w w:val="88"/>
              </w:rPr>
              <w:t>Propulsion</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20" w:type="dxa"/>
            <w:vAlign w:val="bottom"/>
            <w:gridSpan w:val="3"/>
          </w:tcPr>
          <w:p>
            <w:pPr>
              <w:jc w:val="center"/>
              <w:ind w:right="280"/>
              <w:spacing w:after="0" w:line="217" w:lineRule="exact"/>
              <w:rPr>
                <w:sz w:val="20"/>
                <w:szCs w:val="20"/>
                <w:color w:val="auto"/>
              </w:rPr>
            </w:pPr>
            <w:r>
              <w:rPr>
                <w:rFonts w:ascii="Arial" w:cs="Arial" w:eastAsia="Arial" w:hAnsi="Arial"/>
                <w:sz w:val="16"/>
                <w:szCs w:val="16"/>
                <w:b w:val="1"/>
                <w:bCs w:val="1"/>
                <w:color w:val="auto"/>
                <w:w w:val="92"/>
              </w:rPr>
              <w:t>Expiration</w:t>
            </w:r>
            <w:r>
              <w:rPr>
                <w:rFonts w:ascii="Arial" w:cs="Arial" w:eastAsia="Arial" w:hAnsi="Arial"/>
                <w:sz w:val="21"/>
                <w:szCs w:val="21"/>
                <w:b w:val="1"/>
                <w:bCs w:val="1"/>
                <w:color w:val="auto"/>
                <w:w w:val="92"/>
                <w:vertAlign w:val="superscript"/>
              </w:rPr>
              <w:t>(1)</w:t>
            </w:r>
          </w:p>
        </w:tc>
        <w:tc>
          <w:tcPr>
            <w:tcW w:w="1280" w:type="dxa"/>
            <w:vAlign w:val="bottom"/>
          </w:tcPr>
          <w:p>
            <w:pPr>
              <w:ind w:left="360"/>
              <w:spacing w:after="0" w:line="217" w:lineRule="exact"/>
              <w:rPr>
                <w:sz w:val="20"/>
                <w:szCs w:val="20"/>
                <w:color w:val="auto"/>
              </w:rPr>
            </w:pPr>
            <w:r>
              <w:rPr>
                <w:rFonts w:ascii="Arial" w:cs="Arial" w:eastAsia="Arial" w:hAnsi="Arial"/>
                <w:sz w:val="16"/>
                <w:szCs w:val="16"/>
                <w:b w:val="1"/>
                <w:bCs w:val="1"/>
                <w:color w:val="auto"/>
              </w:rPr>
              <w:t>Period</w:t>
            </w:r>
            <w:r>
              <w:rPr>
                <w:rFonts w:ascii="Arial" w:cs="Arial" w:eastAsia="Arial" w:hAnsi="Arial"/>
                <w:sz w:val="21"/>
                <w:szCs w:val="21"/>
                <w:b w:val="1"/>
                <w:bCs w:val="1"/>
                <w:color w:val="auto"/>
                <w:vertAlign w:val="superscript"/>
              </w:rPr>
              <w:t>(2)</w:t>
            </w:r>
          </w:p>
        </w:tc>
        <w:tc>
          <w:tcPr>
            <w:tcW w:w="0" w:type="dxa"/>
            <w:vAlign w:val="bottom"/>
          </w:tcPr>
          <w:p>
            <w:pPr>
              <w:spacing w:after="0"/>
              <w:rPr>
                <w:sz w:val="1"/>
                <w:szCs w:val="1"/>
                <w:color w:val="auto"/>
              </w:rPr>
            </w:pPr>
          </w:p>
        </w:tc>
      </w:tr>
      <w:tr>
        <w:trPr>
          <w:trHeight w:val="196"/>
        </w:trPr>
        <w:tc>
          <w:tcPr>
            <w:tcW w:w="32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1</w:t>
            </w:r>
          </w:p>
        </w:tc>
        <w:tc>
          <w:tcPr>
            <w:tcW w:w="2460" w:type="dxa"/>
            <w:vAlign w:val="bottom"/>
            <w:tcBorders>
              <w:top w:val="single" w:sz="8" w:color="auto"/>
            </w:tcBorders>
          </w:tcPr>
          <w:p>
            <w:pPr>
              <w:ind w:left="140"/>
              <w:spacing w:after="0"/>
              <w:rPr>
                <w:sz w:val="20"/>
                <w:szCs w:val="20"/>
                <w:color w:val="auto"/>
              </w:rPr>
            </w:pPr>
            <w:r>
              <w:rPr>
                <w:rFonts w:ascii="Arial" w:cs="Arial" w:eastAsia="Arial" w:hAnsi="Arial"/>
                <w:sz w:val="16"/>
                <w:szCs w:val="16"/>
                <w:i w:val="1"/>
                <w:iCs w:val="1"/>
                <w:color w:val="auto"/>
              </w:rPr>
              <w:t>Methane Rita Andrea</w:t>
            </w:r>
          </w:p>
        </w:tc>
        <w:tc>
          <w:tcPr>
            <w:tcW w:w="260" w:type="dxa"/>
            <w:vAlign w:val="bottom"/>
          </w:tcPr>
          <w:p>
            <w:pPr>
              <w:spacing w:after="0"/>
              <w:rPr>
                <w:sz w:val="17"/>
                <w:szCs w:val="17"/>
                <w:color w:val="auto"/>
              </w:rPr>
            </w:pPr>
          </w:p>
        </w:tc>
        <w:tc>
          <w:tcPr>
            <w:tcW w:w="900" w:type="dxa"/>
            <w:vAlign w:val="bottom"/>
            <w:tcBorders>
              <w:top w:val="single" w:sz="8" w:color="auto"/>
            </w:tcBorders>
            <w:gridSpan w:val="3"/>
          </w:tcPr>
          <w:p>
            <w:pPr>
              <w:jc w:val="center"/>
              <w:spacing w:after="0"/>
              <w:rPr>
                <w:sz w:val="20"/>
                <w:szCs w:val="20"/>
                <w:color w:val="auto"/>
              </w:rPr>
            </w:pPr>
            <w:r>
              <w:rPr>
                <w:rFonts w:ascii="Arial" w:cs="Arial" w:eastAsia="Arial" w:hAnsi="Arial"/>
                <w:sz w:val="16"/>
                <w:szCs w:val="16"/>
                <w:color w:val="auto"/>
                <w:w w:val="95"/>
              </w:rPr>
              <w:t>2006</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tcBorders>
              <w:top w:val="single" w:sz="8" w:color="auto"/>
            </w:tcBorders>
            <w:gridSpan w:val="2"/>
          </w:tcPr>
          <w:p>
            <w:pPr>
              <w:jc w:val="center"/>
              <w:spacing w:after="0"/>
              <w:rPr>
                <w:sz w:val="20"/>
                <w:szCs w:val="20"/>
                <w:color w:val="auto"/>
              </w:rPr>
            </w:pPr>
            <w:r>
              <w:rPr>
                <w:rFonts w:ascii="Arial" w:cs="Arial" w:eastAsia="Arial" w:hAnsi="Arial"/>
                <w:sz w:val="16"/>
                <w:szCs w:val="16"/>
                <w:color w:val="auto"/>
                <w:w w:val="89"/>
              </w:rPr>
              <w:t>145,000</w:t>
            </w:r>
          </w:p>
        </w:tc>
        <w:tc>
          <w:tcPr>
            <w:tcW w:w="14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center"/>
              <w:ind w:right="59"/>
              <w:spacing w:after="0"/>
              <w:rPr>
                <w:sz w:val="20"/>
                <w:szCs w:val="20"/>
                <w:color w:val="auto"/>
              </w:rPr>
            </w:pPr>
            <w:r>
              <w:rPr>
                <w:rFonts w:ascii="Arial" w:cs="Arial" w:eastAsia="Arial" w:hAnsi="Arial"/>
                <w:sz w:val="16"/>
                <w:szCs w:val="16"/>
                <w:color w:val="auto"/>
                <w:w w:val="89"/>
              </w:rPr>
              <w:t>Shell</w:t>
            </w:r>
          </w:p>
        </w:tc>
        <w:tc>
          <w:tcPr>
            <w:tcW w:w="18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ind w:left="180"/>
              <w:spacing w:after="0"/>
              <w:rPr>
                <w:sz w:val="20"/>
                <w:szCs w:val="20"/>
                <w:color w:val="auto"/>
              </w:rPr>
            </w:pPr>
            <w:r>
              <w:rPr>
                <w:rFonts w:ascii="Arial" w:cs="Arial" w:eastAsia="Arial" w:hAnsi="Arial"/>
                <w:sz w:val="16"/>
                <w:szCs w:val="16"/>
                <w:color w:val="auto"/>
              </w:rPr>
              <w:t>Steam</w:t>
            </w:r>
          </w:p>
        </w:tc>
        <w:tc>
          <w:tcPr>
            <w:tcW w:w="14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000" w:type="dxa"/>
            <w:vAlign w:val="bottom"/>
            <w:tcBorders>
              <w:top w:val="single" w:sz="8" w:color="auto"/>
            </w:tcBorders>
          </w:tcPr>
          <w:p>
            <w:pPr>
              <w:jc w:val="center"/>
              <w:ind w:right="79"/>
              <w:spacing w:after="0"/>
              <w:rPr>
                <w:sz w:val="20"/>
                <w:szCs w:val="20"/>
                <w:color w:val="auto"/>
              </w:rPr>
            </w:pPr>
            <w:r>
              <w:rPr>
                <w:rFonts w:ascii="Arial" w:cs="Arial" w:eastAsia="Arial" w:hAnsi="Arial"/>
                <w:sz w:val="16"/>
                <w:szCs w:val="16"/>
                <w:color w:val="auto"/>
                <w:w w:val="99"/>
              </w:rPr>
              <w:t>April 2020</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03"/>
        </w:trPr>
        <w:tc>
          <w:tcPr>
            <w:tcW w:w="32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2</w:t>
            </w:r>
          </w:p>
        </w:tc>
        <w:tc>
          <w:tcPr>
            <w:tcW w:w="2720" w:type="dxa"/>
            <w:vAlign w:val="bottom"/>
            <w:gridSpan w:val="2"/>
            <w:shd w:val="clear" w:color="auto" w:fill="E5FFFF"/>
          </w:tcPr>
          <w:p>
            <w:pPr>
              <w:ind w:left="140"/>
              <w:spacing w:after="0"/>
              <w:rPr>
                <w:sz w:val="20"/>
                <w:szCs w:val="20"/>
                <w:color w:val="auto"/>
              </w:rPr>
            </w:pPr>
            <w:r>
              <w:rPr>
                <w:rFonts w:ascii="Arial" w:cs="Arial" w:eastAsia="Arial" w:hAnsi="Arial"/>
                <w:sz w:val="16"/>
                <w:szCs w:val="16"/>
                <w:i w:val="1"/>
                <w:iCs w:val="1"/>
                <w:color w:val="auto"/>
              </w:rPr>
              <w:t>Methane Jane Elizabeth</w:t>
            </w:r>
          </w:p>
        </w:tc>
        <w:tc>
          <w:tcPr>
            <w:tcW w:w="900" w:type="dxa"/>
            <w:vAlign w:val="bottom"/>
            <w:gridSpan w:val="3"/>
            <w:shd w:val="clear" w:color="auto" w:fill="E5FFFF"/>
          </w:tcPr>
          <w:p>
            <w:pPr>
              <w:jc w:val="center"/>
              <w:spacing w:after="0"/>
              <w:rPr>
                <w:sz w:val="20"/>
                <w:szCs w:val="20"/>
                <w:color w:val="auto"/>
              </w:rPr>
            </w:pPr>
            <w:r>
              <w:rPr>
                <w:rFonts w:ascii="Arial" w:cs="Arial" w:eastAsia="Arial" w:hAnsi="Arial"/>
                <w:sz w:val="16"/>
                <w:szCs w:val="16"/>
                <w:color w:val="auto"/>
                <w:w w:val="95"/>
              </w:rPr>
              <w:t>2006</w:t>
            </w:r>
          </w:p>
        </w:tc>
        <w:tc>
          <w:tcPr>
            <w:tcW w:w="100" w:type="dxa"/>
            <w:vAlign w:val="bottom"/>
            <w:shd w:val="clear" w:color="auto" w:fill="E5FFFF"/>
          </w:tcPr>
          <w:p>
            <w:pPr>
              <w:spacing w:after="0"/>
              <w:rPr>
                <w:sz w:val="17"/>
                <w:szCs w:val="17"/>
                <w:color w:val="auto"/>
              </w:rPr>
            </w:pPr>
          </w:p>
        </w:tc>
        <w:tc>
          <w:tcPr>
            <w:tcW w:w="40" w:type="dxa"/>
            <w:vAlign w:val="bottom"/>
            <w:shd w:val="clear" w:color="auto" w:fill="E5FFFF"/>
          </w:tcPr>
          <w:p>
            <w:pPr>
              <w:spacing w:after="0"/>
              <w:rPr>
                <w:sz w:val="17"/>
                <w:szCs w:val="17"/>
                <w:color w:val="auto"/>
              </w:rPr>
            </w:pPr>
          </w:p>
        </w:tc>
        <w:tc>
          <w:tcPr>
            <w:tcW w:w="920" w:type="dxa"/>
            <w:vAlign w:val="bottom"/>
            <w:gridSpan w:val="2"/>
            <w:shd w:val="clear" w:color="auto" w:fill="E5FFFF"/>
          </w:tcPr>
          <w:p>
            <w:pPr>
              <w:jc w:val="center"/>
              <w:spacing w:after="0"/>
              <w:rPr>
                <w:sz w:val="20"/>
                <w:szCs w:val="20"/>
                <w:color w:val="auto"/>
              </w:rPr>
            </w:pPr>
            <w:r>
              <w:rPr>
                <w:rFonts w:ascii="Arial" w:cs="Arial" w:eastAsia="Arial" w:hAnsi="Arial"/>
                <w:sz w:val="16"/>
                <w:szCs w:val="16"/>
                <w:color w:val="auto"/>
                <w:w w:val="89"/>
              </w:rPr>
              <w:t>145,000</w:t>
            </w:r>
          </w:p>
        </w:tc>
        <w:tc>
          <w:tcPr>
            <w:tcW w:w="14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480" w:type="dxa"/>
            <w:vAlign w:val="bottom"/>
            <w:gridSpan w:val="2"/>
            <w:shd w:val="clear" w:color="auto" w:fill="E5FFFF"/>
          </w:tcPr>
          <w:p>
            <w:pPr>
              <w:jc w:val="center"/>
              <w:ind w:right="320"/>
              <w:spacing w:after="0"/>
              <w:rPr>
                <w:sz w:val="20"/>
                <w:szCs w:val="20"/>
                <w:color w:val="auto"/>
              </w:rPr>
            </w:pPr>
            <w:r>
              <w:rPr>
                <w:rFonts w:ascii="Arial" w:cs="Arial" w:eastAsia="Arial" w:hAnsi="Arial"/>
                <w:sz w:val="16"/>
                <w:szCs w:val="16"/>
                <w:color w:val="auto"/>
                <w:w w:val="89"/>
              </w:rPr>
              <w:t>Shell</w:t>
            </w:r>
          </w:p>
        </w:tc>
        <w:tc>
          <w:tcPr>
            <w:tcW w:w="6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080" w:type="dxa"/>
            <w:vAlign w:val="bottom"/>
            <w:gridSpan w:val="2"/>
            <w:shd w:val="clear" w:color="auto" w:fill="E5FFFF"/>
          </w:tcPr>
          <w:p>
            <w:pPr>
              <w:ind w:left="180"/>
              <w:spacing w:after="0"/>
              <w:rPr>
                <w:sz w:val="20"/>
                <w:szCs w:val="20"/>
                <w:color w:val="auto"/>
              </w:rPr>
            </w:pPr>
            <w:r>
              <w:rPr>
                <w:rFonts w:ascii="Arial" w:cs="Arial" w:eastAsia="Arial" w:hAnsi="Arial"/>
                <w:sz w:val="16"/>
                <w:szCs w:val="16"/>
                <w:color w:val="auto"/>
              </w:rPr>
              <w:t>Steam</w:t>
            </w:r>
          </w:p>
        </w:tc>
        <w:tc>
          <w:tcPr>
            <w:tcW w:w="6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2120" w:type="dxa"/>
            <w:vAlign w:val="bottom"/>
            <w:gridSpan w:val="3"/>
            <w:shd w:val="clear" w:color="auto" w:fill="E5FFFF"/>
          </w:tcPr>
          <w:p>
            <w:pPr>
              <w:jc w:val="center"/>
              <w:ind w:right="280"/>
              <w:spacing w:after="0"/>
              <w:rPr>
                <w:sz w:val="20"/>
                <w:szCs w:val="20"/>
                <w:color w:val="auto"/>
              </w:rPr>
            </w:pPr>
            <w:r>
              <w:rPr>
                <w:rFonts w:ascii="Arial" w:cs="Arial" w:eastAsia="Arial" w:hAnsi="Arial"/>
                <w:sz w:val="16"/>
                <w:szCs w:val="16"/>
                <w:color w:val="auto"/>
                <w:w w:val="90"/>
              </w:rPr>
              <w:t>October 2019</w:t>
            </w:r>
          </w:p>
        </w:tc>
        <w:tc>
          <w:tcPr>
            <w:tcW w:w="128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06"/>
        </w:trPr>
        <w:tc>
          <w:tcPr>
            <w:tcW w:w="320" w:type="dxa"/>
            <w:vAlign w:val="bottom"/>
          </w:tcPr>
          <w:p>
            <w:pPr>
              <w:spacing w:after="0"/>
              <w:rPr>
                <w:sz w:val="20"/>
                <w:szCs w:val="20"/>
                <w:color w:val="auto"/>
              </w:rPr>
            </w:pPr>
            <w:r>
              <w:rPr>
                <w:rFonts w:ascii="Arial" w:cs="Arial" w:eastAsia="Arial" w:hAnsi="Arial"/>
                <w:sz w:val="16"/>
                <w:szCs w:val="16"/>
                <w:b w:val="1"/>
                <w:bCs w:val="1"/>
                <w:color w:val="auto"/>
              </w:rPr>
              <w:t>3</w:t>
            </w:r>
          </w:p>
        </w:tc>
        <w:tc>
          <w:tcPr>
            <w:tcW w:w="2720" w:type="dxa"/>
            <w:vAlign w:val="bottom"/>
            <w:gridSpan w:val="2"/>
          </w:tcPr>
          <w:p>
            <w:pPr>
              <w:ind w:left="140"/>
              <w:spacing w:after="0"/>
              <w:rPr>
                <w:sz w:val="20"/>
                <w:szCs w:val="20"/>
                <w:color w:val="auto"/>
              </w:rPr>
            </w:pPr>
            <w:r>
              <w:rPr>
                <w:rFonts w:ascii="Arial" w:cs="Arial" w:eastAsia="Arial" w:hAnsi="Arial"/>
                <w:sz w:val="16"/>
                <w:szCs w:val="16"/>
                <w:i w:val="1"/>
                <w:iCs w:val="1"/>
                <w:color w:val="auto"/>
              </w:rPr>
              <w:t>Methane Alison Victoria</w:t>
            </w:r>
          </w:p>
        </w:tc>
        <w:tc>
          <w:tcPr>
            <w:tcW w:w="900" w:type="dxa"/>
            <w:vAlign w:val="bottom"/>
            <w:gridSpan w:val="3"/>
          </w:tcPr>
          <w:p>
            <w:pPr>
              <w:jc w:val="center"/>
              <w:spacing w:after="0"/>
              <w:rPr>
                <w:sz w:val="20"/>
                <w:szCs w:val="20"/>
                <w:color w:val="auto"/>
              </w:rPr>
            </w:pPr>
            <w:r>
              <w:rPr>
                <w:rFonts w:ascii="Arial" w:cs="Arial" w:eastAsia="Arial" w:hAnsi="Arial"/>
                <w:sz w:val="16"/>
                <w:szCs w:val="16"/>
                <w:color w:val="auto"/>
                <w:w w:val="95"/>
              </w:rPr>
              <w:t>2007</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gridSpan w:val="2"/>
          </w:tcPr>
          <w:p>
            <w:pPr>
              <w:jc w:val="center"/>
              <w:spacing w:after="0"/>
              <w:rPr>
                <w:sz w:val="20"/>
                <w:szCs w:val="20"/>
                <w:color w:val="auto"/>
              </w:rPr>
            </w:pPr>
            <w:r>
              <w:rPr>
                <w:rFonts w:ascii="Arial" w:cs="Arial" w:eastAsia="Arial" w:hAnsi="Arial"/>
                <w:sz w:val="16"/>
                <w:szCs w:val="16"/>
                <w:color w:val="auto"/>
                <w:w w:val="89"/>
              </w:rPr>
              <w:t>145,000</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6"/>
                <w:szCs w:val="16"/>
                <w:color w:val="auto"/>
                <w:w w:val="89"/>
              </w:rPr>
              <w:t>Shell</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ind w:left="180"/>
              <w:spacing w:after="0"/>
              <w:rPr>
                <w:sz w:val="20"/>
                <w:szCs w:val="20"/>
                <w:color w:val="auto"/>
              </w:rPr>
            </w:pPr>
            <w:r>
              <w:rPr>
                <w:rFonts w:ascii="Arial" w:cs="Arial" w:eastAsia="Arial" w:hAnsi="Arial"/>
                <w:sz w:val="16"/>
                <w:szCs w:val="16"/>
                <w:color w:val="auto"/>
              </w:rPr>
              <w:t>Steam</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20" w:type="dxa"/>
            <w:vAlign w:val="bottom"/>
            <w:gridSpan w:val="3"/>
          </w:tcPr>
          <w:p>
            <w:pPr>
              <w:jc w:val="center"/>
              <w:ind w:right="280"/>
              <w:spacing w:after="0"/>
              <w:rPr>
                <w:sz w:val="20"/>
                <w:szCs w:val="20"/>
                <w:color w:val="auto"/>
              </w:rPr>
            </w:pPr>
            <w:r>
              <w:rPr>
                <w:rFonts w:ascii="Arial" w:cs="Arial" w:eastAsia="Arial" w:hAnsi="Arial"/>
                <w:sz w:val="16"/>
                <w:szCs w:val="16"/>
                <w:color w:val="auto"/>
                <w:w w:val="91"/>
              </w:rPr>
              <w:t>December 2019</w:t>
            </w:r>
          </w:p>
        </w:tc>
        <w:tc>
          <w:tcPr>
            <w:tcW w:w="12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03"/>
        </w:trPr>
        <w:tc>
          <w:tcPr>
            <w:tcW w:w="320" w:type="dxa"/>
            <w:vAlign w:val="bottom"/>
          </w:tcPr>
          <w:p>
            <w:pPr>
              <w:spacing w:after="0"/>
              <w:rPr>
                <w:sz w:val="17"/>
                <w:szCs w:val="17"/>
                <w:color w:val="auto"/>
              </w:rPr>
            </w:pPr>
          </w:p>
        </w:tc>
        <w:tc>
          <w:tcPr>
            <w:tcW w:w="2720" w:type="dxa"/>
            <w:vAlign w:val="bottom"/>
            <w:gridSpan w:val="2"/>
          </w:tcPr>
          <w:p>
            <w:pPr>
              <w:ind w:left="140"/>
              <w:spacing w:after="0"/>
              <w:rPr>
                <w:sz w:val="20"/>
                <w:szCs w:val="20"/>
                <w:color w:val="auto"/>
              </w:rPr>
            </w:pPr>
            <w:r>
              <w:rPr>
                <w:rFonts w:ascii="Arial" w:cs="Arial" w:eastAsia="Arial" w:hAnsi="Arial"/>
                <w:sz w:val="16"/>
                <w:szCs w:val="16"/>
                <w:i w:val="1"/>
                <w:iCs w:val="1"/>
                <w:color w:val="auto"/>
              </w:rPr>
              <w:t>Methane Jane Elizabeth/</w:t>
            </w:r>
          </w:p>
        </w:tc>
        <w:tc>
          <w:tcPr>
            <w:tcW w:w="900" w:type="dxa"/>
            <w:vAlign w:val="bottom"/>
            <w:gridSpan w:val="3"/>
          </w:tcPr>
          <w:p>
            <w:pPr>
              <w:jc w:val="center"/>
              <w:spacing w:after="0"/>
              <w:rPr>
                <w:sz w:val="20"/>
                <w:szCs w:val="20"/>
                <w:color w:val="auto"/>
              </w:rPr>
            </w:pPr>
            <w:r>
              <w:rPr>
                <w:rFonts w:ascii="Arial" w:cs="Arial" w:eastAsia="Arial" w:hAnsi="Arial"/>
                <w:sz w:val="16"/>
                <w:szCs w:val="16"/>
                <w:color w:val="auto"/>
                <w:w w:val="94"/>
              </w:rPr>
              <w:t>2006/</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gridSpan w:val="2"/>
            <w:vMerge w:val="restart"/>
          </w:tcPr>
          <w:p>
            <w:pPr>
              <w:jc w:val="center"/>
              <w:spacing w:after="0"/>
              <w:rPr>
                <w:sz w:val="20"/>
                <w:szCs w:val="20"/>
                <w:color w:val="auto"/>
              </w:rPr>
            </w:pPr>
            <w:r>
              <w:rPr>
                <w:rFonts w:ascii="Arial" w:cs="Arial" w:eastAsia="Arial" w:hAnsi="Arial"/>
                <w:sz w:val="16"/>
                <w:szCs w:val="16"/>
                <w:color w:val="auto"/>
                <w:w w:val="89"/>
              </w:rPr>
              <w:t>145,000</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gridSpan w:val="2"/>
            <w:vMerge w:val="restart"/>
          </w:tcPr>
          <w:p>
            <w:pPr>
              <w:jc w:val="center"/>
              <w:ind w:right="320"/>
              <w:spacing w:after="0"/>
              <w:rPr>
                <w:sz w:val="20"/>
                <w:szCs w:val="20"/>
                <w:color w:val="auto"/>
              </w:rPr>
            </w:pPr>
            <w:r>
              <w:rPr>
                <w:rFonts w:ascii="Arial" w:cs="Arial" w:eastAsia="Arial" w:hAnsi="Arial"/>
                <w:sz w:val="16"/>
                <w:szCs w:val="16"/>
                <w:color w:val="auto"/>
                <w:w w:val="88"/>
              </w:rPr>
              <w:t>Trafigura</w:t>
            </w:r>
            <w:r>
              <w:rPr>
                <w:rFonts w:ascii="Arial" w:cs="Arial" w:eastAsia="Arial" w:hAnsi="Arial"/>
                <w:sz w:val="21"/>
                <w:szCs w:val="21"/>
                <w:color w:val="auto"/>
                <w:w w:val="88"/>
                <w:vertAlign w:val="superscript"/>
              </w:rPr>
              <w:t>(6)</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vMerge w:val="restart"/>
          </w:tcPr>
          <w:p>
            <w:pPr>
              <w:ind w:left="180"/>
              <w:spacing w:after="0"/>
              <w:rPr>
                <w:sz w:val="20"/>
                <w:szCs w:val="20"/>
                <w:color w:val="auto"/>
              </w:rPr>
            </w:pPr>
            <w:r>
              <w:rPr>
                <w:rFonts w:ascii="Arial" w:cs="Arial" w:eastAsia="Arial" w:hAnsi="Arial"/>
                <w:sz w:val="16"/>
                <w:szCs w:val="16"/>
                <w:color w:val="auto"/>
              </w:rPr>
              <w:t>Steam</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20" w:type="dxa"/>
            <w:vAlign w:val="bottom"/>
            <w:gridSpan w:val="3"/>
            <w:vMerge w:val="restart"/>
          </w:tcPr>
          <w:p>
            <w:pPr>
              <w:jc w:val="center"/>
              <w:ind w:right="280"/>
              <w:spacing w:after="0"/>
              <w:rPr>
                <w:sz w:val="20"/>
                <w:szCs w:val="20"/>
                <w:color w:val="auto"/>
              </w:rPr>
            </w:pPr>
            <w:r>
              <w:rPr>
                <w:rFonts w:ascii="Arial" w:cs="Arial" w:eastAsia="Arial" w:hAnsi="Arial"/>
                <w:sz w:val="16"/>
                <w:szCs w:val="16"/>
                <w:color w:val="auto"/>
                <w:w w:val="91"/>
              </w:rPr>
              <w:t>November/December 2020</w:t>
            </w:r>
          </w:p>
        </w:tc>
        <w:tc>
          <w:tcPr>
            <w:tcW w:w="1280" w:type="dxa"/>
            <w:vAlign w:val="bottom"/>
            <w:vMerge w:val="restart"/>
          </w:tcPr>
          <w:p>
            <w:pPr>
              <w:jc w:val="center"/>
              <w:spacing w:after="0"/>
              <w:rPr>
                <w:sz w:val="20"/>
                <w:szCs w:val="20"/>
                <w:color w:val="auto"/>
              </w:rPr>
            </w:pPr>
            <w:r>
              <w:rPr>
                <w:rFonts w:ascii="Arial" w:cs="Arial" w:eastAsia="Arial" w:hAnsi="Arial"/>
                <w:sz w:val="16"/>
                <w:szCs w:val="16"/>
                <w:color w:val="auto"/>
                <w:w w:val="89"/>
              </w:rPr>
              <w:t>2021–2024</w:t>
            </w:r>
          </w:p>
        </w:tc>
        <w:tc>
          <w:tcPr>
            <w:tcW w:w="0" w:type="dxa"/>
            <w:vAlign w:val="bottom"/>
          </w:tcPr>
          <w:p>
            <w:pPr>
              <w:spacing w:after="0"/>
              <w:rPr>
                <w:sz w:val="1"/>
                <w:szCs w:val="1"/>
                <w:color w:val="auto"/>
              </w:rPr>
            </w:pPr>
          </w:p>
        </w:tc>
      </w:tr>
      <w:tr>
        <w:trPr>
          <w:trHeight w:val="158"/>
        </w:trPr>
        <w:tc>
          <w:tcPr>
            <w:tcW w:w="320" w:type="dxa"/>
            <w:vAlign w:val="bottom"/>
          </w:tcPr>
          <w:p>
            <w:pPr>
              <w:spacing w:after="0"/>
              <w:rPr>
                <w:sz w:val="13"/>
                <w:szCs w:val="13"/>
                <w:color w:val="auto"/>
              </w:rPr>
            </w:pPr>
          </w:p>
        </w:tc>
        <w:tc>
          <w:tcPr>
            <w:tcW w:w="2720" w:type="dxa"/>
            <w:vAlign w:val="bottom"/>
            <w:gridSpan w:val="2"/>
            <w:vMerge w:val="restart"/>
          </w:tcPr>
          <w:p>
            <w:pPr>
              <w:ind w:left="140"/>
              <w:spacing w:after="0"/>
              <w:rPr>
                <w:sz w:val="20"/>
                <w:szCs w:val="20"/>
                <w:color w:val="auto"/>
              </w:rPr>
            </w:pPr>
            <w:r>
              <w:rPr>
                <w:rFonts w:ascii="Arial" w:cs="Arial" w:eastAsia="Arial" w:hAnsi="Arial"/>
                <w:sz w:val="16"/>
                <w:szCs w:val="16"/>
                <w:i w:val="1"/>
                <w:iCs w:val="1"/>
                <w:color w:val="auto"/>
              </w:rPr>
              <w:t>Methane Alison Victoria</w:t>
            </w:r>
          </w:p>
        </w:tc>
        <w:tc>
          <w:tcPr>
            <w:tcW w:w="900" w:type="dxa"/>
            <w:vAlign w:val="bottom"/>
            <w:gridSpan w:val="3"/>
            <w:vMerge w:val="restart"/>
          </w:tcPr>
          <w:p>
            <w:pPr>
              <w:jc w:val="center"/>
              <w:spacing w:after="0"/>
              <w:rPr>
                <w:sz w:val="20"/>
                <w:szCs w:val="20"/>
                <w:color w:val="auto"/>
              </w:rPr>
            </w:pPr>
            <w:r>
              <w:rPr>
                <w:rFonts w:ascii="Arial" w:cs="Arial" w:eastAsia="Arial" w:hAnsi="Arial"/>
                <w:sz w:val="16"/>
                <w:szCs w:val="16"/>
                <w:color w:val="auto"/>
                <w:w w:val="95"/>
              </w:rPr>
              <w:t>2007</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20" w:type="dxa"/>
            <w:vAlign w:val="bottom"/>
            <w:gridSpan w:val="3"/>
            <w:vMerge w:val="continue"/>
          </w:tcPr>
          <w:p>
            <w:pPr>
              <w:spacing w:after="0"/>
              <w:rPr>
                <w:sz w:val="13"/>
                <w:szCs w:val="13"/>
                <w:color w:val="auto"/>
              </w:rPr>
            </w:pPr>
          </w:p>
        </w:tc>
        <w:tc>
          <w:tcPr>
            <w:tcW w:w="12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320" w:type="dxa"/>
            <w:vAlign w:val="bottom"/>
          </w:tcPr>
          <w:p>
            <w:pPr>
              <w:spacing w:after="0"/>
              <w:rPr>
                <w:sz w:val="4"/>
                <w:szCs w:val="4"/>
                <w:color w:val="auto"/>
              </w:rPr>
            </w:pPr>
          </w:p>
        </w:tc>
        <w:tc>
          <w:tcPr>
            <w:tcW w:w="2720" w:type="dxa"/>
            <w:vAlign w:val="bottom"/>
            <w:gridSpan w:val="2"/>
            <w:vMerge w:val="continue"/>
          </w:tcPr>
          <w:p>
            <w:pPr>
              <w:spacing w:after="0"/>
              <w:rPr>
                <w:sz w:val="4"/>
                <w:szCs w:val="4"/>
                <w:color w:val="auto"/>
              </w:rPr>
            </w:pPr>
          </w:p>
        </w:tc>
        <w:tc>
          <w:tcPr>
            <w:tcW w:w="900" w:type="dxa"/>
            <w:vAlign w:val="bottom"/>
            <w:gridSpan w:val="3"/>
            <w:vMerge w:val="continue"/>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
        </w:trPr>
        <w:tc>
          <w:tcPr>
            <w:tcW w:w="32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2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4</w:t>
            </w:r>
          </w:p>
        </w:tc>
        <w:tc>
          <w:tcPr>
            <w:tcW w:w="2720" w:type="dxa"/>
            <w:vAlign w:val="bottom"/>
            <w:gridSpan w:val="2"/>
            <w:shd w:val="clear" w:color="auto" w:fill="E5FFFF"/>
          </w:tcPr>
          <w:p>
            <w:pPr>
              <w:ind w:left="140"/>
              <w:spacing w:after="0"/>
              <w:rPr>
                <w:sz w:val="20"/>
                <w:szCs w:val="20"/>
                <w:color w:val="auto"/>
              </w:rPr>
            </w:pPr>
            <w:r>
              <w:rPr>
                <w:rFonts w:ascii="Arial" w:cs="Arial" w:eastAsia="Arial" w:hAnsi="Arial"/>
                <w:sz w:val="16"/>
                <w:szCs w:val="16"/>
                <w:i w:val="1"/>
                <w:iCs w:val="1"/>
                <w:color w:val="auto"/>
              </w:rPr>
              <w:t>Methane Shirley Elisabeth</w:t>
            </w:r>
          </w:p>
        </w:tc>
        <w:tc>
          <w:tcPr>
            <w:tcW w:w="900" w:type="dxa"/>
            <w:vAlign w:val="bottom"/>
            <w:gridSpan w:val="3"/>
            <w:shd w:val="clear" w:color="auto" w:fill="E5FFFF"/>
          </w:tcPr>
          <w:p>
            <w:pPr>
              <w:jc w:val="center"/>
              <w:spacing w:after="0"/>
              <w:rPr>
                <w:sz w:val="20"/>
                <w:szCs w:val="20"/>
                <w:color w:val="auto"/>
              </w:rPr>
            </w:pPr>
            <w:r>
              <w:rPr>
                <w:rFonts w:ascii="Arial" w:cs="Arial" w:eastAsia="Arial" w:hAnsi="Arial"/>
                <w:sz w:val="16"/>
                <w:szCs w:val="16"/>
                <w:color w:val="auto"/>
                <w:w w:val="95"/>
              </w:rPr>
              <w:t>2007</w:t>
            </w:r>
          </w:p>
        </w:tc>
        <w:tc>
          <w:tcPr>
            <w:tcW w:w="100" w:type="dxa"/>
            <w:vAlign w:val="bottom"/>
            <w:shd w:val="clear" w:color="auto" w:fill="E5FFFF"/>
          </w:tcPr>
          <w:p>
            <w:pPr>
              <w:spacing w:after="0"/>
              <w:rPr>
                <w:sz w:val="17"/>
                <w:szCs w:val="17"/>
                <w:color w:val="auto"/>
              </w:rPr>
            </w:pPr>
          </w:p>
        </w:tc>
        <w:tc>
          <w:tcPr>
            <w:tcW w:w="40" w:type="dxa"/>
            <w:vAlign w:val="bottom"/>
            <w:shd w:val="clear" w:color="auto" w:fill="E5FFFF"/>
          </w:tcPr>
          <w:p>
            <w:pPr>
              <w:spacing w:after="0"/>
              <w:rPr>
                <w:sz w:val="17"/>
                <w:szCs w:val="17"/>
                <w:color w:val="auto"/>
              </w:rPr>
            </w:pPr>
          </w:p>
        </w:tc>
        <w:tc>
          <w:tcPr>
            <w:tcW w:w="920" w:type="dxa"/>
            <w:vAlign w:val="bottom"/>
            <w:gridSpan w:val="2"/>
            <w:shd w:val="clear" w:color="auto" w:fill="E5FFFF"/>
          </w:tcPr>
          <w:p>
            <w:pPr>
              <w:jc w:val="center"/>
              <w:spacing w:after="0"/>
              <w:rPr>
                <w:sz w:val="20"/>
                <w:szCs w:val="20"/>
                <w:color w:val="auto"/>
              </w:rPr>
            </w:pPr>
            <w:r>
              <w:rPr>
                <w:rFonts w:ascii="Arial" w:cs="Arial" w:eastAsia="Arial" w:hAnsi="Arial"/>
                <w:sz w:val="16"/>
                <w:szCs w:val="16"/>
                <w:color w:val="auto"/>
                <w:w w:val="89"/>
              </w:rPr>
              <w:t>145,000</w:t>
            </w:r>
          </w:p>
        </w:tc>
        <w:tc>
          <w:tcPr>
            <w:tcW w:w="14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480" w:type="dxa"/>
            <w:vAlign w:val="bottom"/>
            <w:gridSpan w:val="2"/>
            <w:shd w:val="clear" w:color="auto" w:fill="E5FFFF"/>
          </w:tcPr>
          <w:p>
            <w:pPr>
              <w:jc w:val="center"/>
              <w:ind w:right="320"/>
              <w:spacing w:after="0"/>
              <w:rPr>
                <w:sz w:val="20"/>
                <w:szCs w:val="20"/>
                <w:color w:val="auto"/>
              </w:rPr>
            </w:pPr>
            <w:r>
              <w:rPr>
                <w:rFonts w:ascii="Arial" w:cs="Arial" w:eastAsia="Arial" w:hAnsi="Arial"/>
                <w:sz w:val="16"/>
                <w:szCs w:val="16"/>
                <w:color w:val="auto"/>
                <w:w w:val="89"/>
              </w:rPr>
              <w:t>Shell</w:t>
            </w:r>
          </w:p>
        </w:tc>
        <w:tc>
          <w:tcPr>
            <w:tcW w:w="6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080" w:type="dxa"/>
            <w:vAlign w:val="bottom"/>
            <w:gridSpan w:val="2"/>
            <w:shd w:val="clear" w:color="auto" w:fill="E5FFFF"/>
          </w:tcPr>
          <w:p>
            <w:pPr>
              <w:ind w:left="180"/>
              <w:spacing w:after="0"/>
              <w:rPr>
                <w:sz w:val="20"/>
                <w:szCs w:val="20"/>
                <w:color w:val="auto"/>
              </w:rPr>
            </w:pPr>
            <w:r>
              <w:rPr>
                <w:rFonts w:ascii="Arial" w:cs="Arial" w:eastAsia="Arial" w:hAnsi="Arial"/>
                <w:sz w:val="16"/>
                <w:szCs w:val="16"/>
                <w:color w:val="auto"/>
              </w:rPr>
              <w:t>Steam</w:t>
            </w:r>
          </w:p>
        </w:tc>
        <w:tc>
          <w:tcPr>
            <w:tcW w:w="6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2120" w:type="dxa"/>
            <w:vAlign w:val="bottom"/>
            <w:gridSpan w:val="3"/>
            <w:shd w:val="clear" w:color="auto" w:fill="E5FFFF"/>
          </w:tcPr>
          <w:p>
            <w:pPr>
              <w:jc w:val="center"/>
              <w:ind w:right="280"/>
              <w:spacing w:after="0"/>
              <w:rPr>
                <w:sz w:val="20"/>
                <w:szCs w:val="20"/>
                <w:color w:val="auto"/>
              </w:rPr>
            </w:pPr>
            <w:r>
              <w:rPr>
                <w:rFonts w:ascii="Arial" w:cs="Arial" w:eastAsia="Arial" w:hAnsi="Arial"/>
                <w:sz w:val="16"/>
                <w:szCs w:val="16"/>
                <w:color w:val="auto"/>
                <w:w w:val="90"/>
              </w:rPr>
              <w:t>June 2020</w:t>
            </w:r>
          </w:p>
        </w:tc>
        <w:tc>
          <w:tcPr>
            <w:tcW w:w="128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03"/>
        </w:trPr>
        <w:tc>
          <w:tcPr>
            <w:tcW w:w="320" w:type="dxa"/>
            <w:vAlign w:val="bottom"/>
          </w:tcPr>
          <w:p>
            <w:pPr>
              <w:spacing w:after="0"/>
              <w:rPr>
                <w:sz w:val="20"/>
                <w:szCs w:val="20"/>
                <w:color w:val="auto"/>
              </w:rPr>
            </w:pPr>
            <w:r>
              <w:rPr>
                <w:rFonts w:ascii="Arial" w:cs="Arial" w:eastAsia="Arial" w:hAnsi="Arial"/>
                <w:sz w:val="16"/>
                <w:szCs w:val="16"/>
                <w:b w:val="1"/>
                <w:bCs w:val="1"/>
                <w:color w:val="auto"/>
              </w:rPr>
              <w:t>5</w:t>
            </w:r>
          </w:p>
        </w:tc>
        <w:tc>
          <w:tcPr>
            <w:tcW w:w="2720" w:type="dxa"/>
            <w:vAlign w:val="bottom"/>
            <w:gridSpan w:val="2"/>
          </w:tcPr>
          <w:p>
            <w:pPr>
              <w:ind w:left="140"/>
              <w:spacing w:after="0"/>
              <w:rPr>
                <w:sz w:val="20"/>
                <w:szCs w:val="20"/>
                <w:color w:val="auto"/>
              </w:rPr>
            </w:pPr>
            <w:r>
              <w:rPr>
                <w:rFonts w:ascii="Arial" w:cs="Arial" w:eastAsia="Arial" w:hAnsi="Arial"/>
                <w:sz w:val="16"/>
                <w:szCs w:val="16"/>
                <w:i w:val="1"/>
                <w:iCs w:val="1"/>
                <w:color w:val="auto"/>
              </w:rPr>
              <w:t>Methane Heather Sally</w:t>
            </w:r>
          </w:p>
        </w:tc>
        <w:tc>
          <w:tcPr>
            <w:tcW w:w="900" w:type="dxa"/>
            <w:vAlign w:val="bottom"/>
            <w:gridSpan w:val="3"/>
          </w:tcPr>
          <w:p>
            <w:pPr>
              <w:jc w:val="center"/>
              <w:spacing w:after="0"/>
              <w:rPr>
                <w:sz w:val="20"/>
                <w:szCs w:val="20"/>
                <w:color w:val="auto"/>
              </w:rPr>
            </w:pPr>
            <w:r>
              <w:rPr>
                <w:rFonts w:ascii="Arial" w:cs="Arial" w:eastAsia="Arial" w:hAnsi="Arial"/>
                <w:sz w:val="16"/>
                <w:szCs w:val="16"/>
                <w:color w:val="auto"/>
                <w:w w:val="95"/>
              </w:rPr>
              <w:t>2007</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gridSpan w:val="2"/>
          </w:tcPr>
          <w:p>
            <w:pPr>
              <w:jc w:val="center"/>
              <w:spacing w:after="0"/>
              <w:rPr>
                <w:sz w:val="20"/>
                <w:szCs w:val="20"/>
                <w:color w:val="auto"/>
              </w:rPr>
            </w:pPr>
            <w:r>
              <w:rPr>
                <w:rFonts w:ascii="Arial" w:cs="Arial" w:eastAsia="Arial" w:hAnsi="Arial"/>
                <w:sz w:val="16"/>
                <w:szCs w:val="16"/>
                <w:color w:val="auto"/>
                <w:w w:val="89"/>
              </w:rPr>
              <w:t>145,000</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6"/>
                <w:szCs w:val="16"/>
                <w:color w:val="auto"/>
                <w:w w:val="89"/>
              </w:rPr>
              <w:t>Shell</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ind w:left="180"/>
              <w:spacing w:after="0"/>
              <w:rPr>
                <w:sz w:val="20"/>
                <w:szCs w:val="20"/>
                <w:color w:val="auto"/>
              </w:rPr>
            </w:pPr>
            <w:r>
              <w:rPr>
                <w:rFonts w:ascii="Arial" w:cs="Arial" w:eastAsia="Arial" w:hAnsi="Arial"/>
                <w:sz w:val="16"/>
                <w:szCs w:val="16"/>
                <w:color w:val="auto"/>
              </w:rPr>
              <w:t>Steam</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20" w:type="dxa"/>
            <w:vAlign w:val="bottom"/>
            <w:gridSpan w:val="3"/>
          </w:tcPr>
          <w:p>
            <w:pPr>
              <w:jc w:val="center"/>
              <w:ind w:right="280"/>
              <w:spacing w:after="0"/>
              <w:rPr>
                <w:sz w:val="20"/>
                <w:szCs w:val="20"/>
                <w:color w:val="auto"/>
              </w:rPr>
            </w:pPr>
            <w:r>
              <w:rPr>
                <w:rFonts w:ascii="Arial" w:cs="Arial" w:eastAsia="Arial" w:hAnsi="Arial"/>
                <w:sz w:val="16"/>
                <w:szCs w:val="16"/>
                <w:color w:val="auto"/>
                <w:w w:val="91"/>
              </w:rPr>
              <w:t>December 2020</w:t>
            </w:r>
          </w:p>
        </w:tc>
        <w:tc>
          <w:tcPr>
            <w:tcW w:w="12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03"/>
        </w:trPr>
        <w:tc>
          <w:tcPr>
            <w:tcW w:w="32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6</w:t>
            </w:r>
          </w:p>
        </w:tc>
        <w:tc>
          <w:tcPr>
            <w:tcW w:w="2720" w:type="dxa"/>
            <w:vAlign w:val="bottom"/>
            <w:gridSpan w:val="2"/>
            <w:shd w:val="clear" w:color="auto" w:fill="E5FFFF"/>
          </w:tcPr>
          <w:p>
            <w:pPr>
              <w:ind w:left="140"/>
              <w:spacing w:after="0"/>
              <w:rPr>
                <w:sz w:val="20"/>
                <w:szCs w:val="20"/>
                <w:color w:val="auto"/>
              </w:rPr>
            </w:pPr>
            <w:r>
              <w:rPr>
                <w:rFonts w:ascii="Arial" w:cs="Arial" w:eastAsia="Arial" w:hAnsi="Arial"/>
                <w:sz w:val="16"/>
                <w:szCs w:val="16"/>
                <w:i w:val="1"/>
                <w:iCs w:val="1"/>
                <w:color w:val="auto"/>
              </w:rPr>
              <w:t>Methane Becki Anne</w:t>
            </w:r>
          </w:p>
        </w:tc>
        <w:tc>
          <w:tcPr>
            <w:tcW w:w="900" w:type="dxa"/>
            <w:vAlign w:val="bottom"/>
            <w:gridSpan w:val="3"/>
            <w:shd w:val="clear" w:color="auto" w:fill="E5FFFF"/>
          </w:tcPr>
          <w:p>
            <w:pPr>
              <w:jc w:val="center"/>
              <w:spacing w:after="0"/>
              <w:rPr>
                <w:sz w:val="20"/>
                <w:szCs w:val="20"/>
                <w:color w:val="auto"/>
              </w:rPr>
            </w:pPr>
            <w:r>
              <w:rPr>
                <w:rFonts w:ascii="Arial" w:cs="Arial" w:eastAsia="Arial" w:hAnsi="Arial"/>
                <w:sz w:val="16"/>
                <w:szCs w:val="16"/>
                <w:color w:val="auto"/>
                <w:w w:val="95"/>
              </w:rPr>
              <w:t>2010</w:t>
            </w:r>
          </w:p>
        </w:tc>
        <w:tc>
          <w:tcPr>
            <w:tcW w:w="100" w:type="dxa"/>
            <w:vAlign w:val="bottom"/>
            <w:shd w:val="clear" w:color="auto" w:fill="E5FFFF"/>
          </w:tcPr>
          <w:p>
            <w:pPr>
              <w:spacing w:after="0"/>
              <w:rPr>
                <w:sz w:val="17"/>
                <w:szCs w:val="17"/>
                <w:color w:val="auto"/>
              </w:rPr>
            </w:pPr>
          </w:p>
        </w:tc>
        <w:tc>
          <w:tcPr>
            <w:tcW w:w="40" w:type="dxa"/>
            <w:vAlign w:val="bottom"/>
            <w:shd w:val="clear" w:color="auto" w:fill="E5FFFF"/>
          </w:tcPr>
          <w:p>
            <w:pPr>
              <w:spacing w:after="0"/>
              <w:rPr>
                <w:sz w:val="17"/>
                <w:szCs w:val="17"/>
                <w:color w:val="auto"/>
              </w:rPr>
            </w:pPr>
          </w:p>
        </w:tc>
        <w:tc>
          <w:tcPr>
            <w:tcW w:w="920" w:type="dxa"/>
            <w:vAlign w:val="bottom"/>
            <w:gridSpan w:val="2"/>
            <w:shd w:val="clear" w:color="auto" w:fill="E5FFFF"/>
          </w:tcPr>
          <w:p>
            <w:pPr>
              <w:jc w:val="center"/>
              <w:spacing w:after="0"/>
              <w:rPr>
                <w:sz w:val="20"/>
                <w:szCs w:val="20"/>
                <w:color w:val="auto"/>
              </w:rPr>
            </w:pPr>
            <w:r>
              <w:rPr>
                <w:rFonts w:ascii="Arial" w:cs="Arial" w:eastAsia="Arial" w:hAnsi="Arial"/>
                <w:sz w:val="16"/>
                <w:szCs w:val="16"/>
                <w:color w:val="auto"/>
                <w:w w:val="89"/>
              </w:rPr>
              <w:t>170,000</w:t>
            </w:r>
          </w:p>
        </w:tc>
        <w:tc>
          <w:tcPr>
            <w:tcW w:w="14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480" w:type="dxa"/>
            <w:vAlign w:val="bottom"/>
            <w:gridSpan w:val="2"/>
            <w:shd w:val="clear" w:color="auto" w:fill="E5FFFF"/>
          </w:tcPr>
          <w:p>
            <w:pPr>
              <w:jc w:val="center"/>
              <w:ind w:right="320"/>
              <w:spacing w:after="0"/>
              <w:rPr>
                <w:sz w:val="20"/>
                <w:szCs w:val="20"/>
                <w:color w:val="auto"/>
              </w:rPr>
            </w:pPr>
            <w:r>
              <w:rPr>
                <w:rFonts w:ascii="Arial" w:cs="Arial" w:eastAsia="Arial" w:hAnsi="Arial"/>
                <w:sz w:val="16"/>
                <w:szCs w:val="16"/>
                <w:color w:val="auto"/>
                <w:w w:val="89"/>
              </w:rPr>
              <w:t>Shell</w:t>
            </w:r>
          </w:p>
        </w:tc>
        <w:tc>
          <w:tcPr>
            <w:tcW w:w="6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080" w:type="dxa"/>
            <w:vAlign w:val="bottom"/>
            <w:gridSpan w:val="2"/>
            <w:shd w:val="clear" w:color="auto" w:fill="E5FFFF"/>
          </w:tcPr>
          <w:p>
            <w:pPr>
              <w:ind w:left="180"/>
              <w:spacing w:after="0"/>
              <w:rPr>
                <w:sz w:val="20"/>
                <w:szCs w:val="20"/>
                <w:color w:val="auto"/>
              </w:rPr>
            </w:pPr>
            <w:r>
              <w:rPr>
                <w:rFonts w:ascii="Arial" w:cs="Arial" w:eastAsia="Arial" w:hAnsi="Arial"/>
                <w:sz w:val="16"/>
                <w:szCs w:val="16"/>
                <w:color w:val="auto"/>
              </w:rPr>
              <w:t>TFDE</w:t>
            </w:r>
          </w:p>
        </w:tc>
        <w:tc>
          <w:tcPr>
            <w:tcW w:w="6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2120" w:type="dxa"/>
            <w:vAlign w:val="bottom"/>
            <w:gridSpan w:val="3"/>
            <w:shd w:val="clear" w:color="auto" w:fill="E5FFFF"/>
          </w:tcPr>
          <w:p>
            <w:pPr>
              <w:jc w:val="center"/>
              <w:ind w:right="280"/>
              <w:spacing w:after="0"/>
              <w:rPr>
                <w:sz w:val="20"/>
                <w:szCs w:val="20"/>
                <w:color w:val="auto"/>
              </w:rPr>
            </w:pPr>
            <w:r>
              <w:rPr>
                <w:rFonts w:ascii="Arial" w:cs="Arial" w:eastAsia="Arial" w:hAnsi="Arial"/>
                <w:sz w:val="16"/>
                <w:szCs w:val="16"/>
                <w:color w:val="auto"/>
                <w:w w:val="94"/>
              </w:rPr>
              <w:t>March 2024</w:t>
            </w:r>
          </w:p>
        </w:tc>
        <w:tc>
          <w:tcPr>
            <w:tcW w:w="128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1"/>
              </w:rPr>
              <w:t>2027-2029</w:t>
            </w:r>
          </w:p>
        </w:tc>
        <w:tc>
          <w:tcPr>
            <w:tcW w:w="0" w:type="dxa"/>
            <w:vAlign w:val="bottom"/>
          </w:tcPr>
          <w:p>
            <w:pPr>
              <w:spacing w:after="0"/>
              <w:rPr>
                <w:sz w:val="1"/>
                <w:szCs w:val="1"/>
                <w:color w:val="auto"/>
              </w:rPr>
            </w:pPr>
          </w:p>
        </w:tc>
      </w:tr>
      <w:tr>
        <w:trPr>
          <w:trHeight w:val="203"/>
        </w:trPr>
        <w:tc>
          <w:tcPr>
            <w:tcW w:w="320" w:type="dxa"/>
            <w:vAlign w:val="bottom"/>
          </w:tcPr>
          <w:p>
            <w:pPr>
              <w:spacing w:after="0"/>
              <w:rPr>
                <w:sz w:val="20"/>
                <w:szCs w:val="20"/>
                <w:color w:val="auto"/>
              </w:rPr>
            </w:pPr>
            <w:r>
              <w:rPr>
                <w:rFonts w:ascii="Arial" w:cs="Arial" w:eastAsia="Arial" w:hAnsi="Arial"/>
                <w:sz w:val="16"/>
                <w:szCs w:val="16"/>
                <w:b w:val="1"/>
                <w:bCs w:val="1"/>
                <w:color w:val="auto"/>
              </w:rPr>
              <w:t>7</w:t>
            </w:r>
          </w:p>
        </w:tc>
        <w:tc>
          <w:tcPr>
            <w:tcW w:w="2720" w:type="dxa"/>
            <w:vAlign w:val="bottom"/>
            <w:gridSpan w:val="2"/>
          </w:tcPr>
          <w:p>
            <w:pPr>
              <w:ind w:left="140"/>
              <w:spacing w:after="0"/>
              <w:rPr>
                <w:sz w:val="20"/>
                <w:szCs w:val="20"/>
                <w:color w:val="auto"/>
              </w:rPr>
            </w:pPr>
            <w:r>
              <w:rPr>
                <w:rFonts w:ascii="Arial" w:cs="Arial" w:eastAsia="Arial" w:hAnsi="Arial"/>
                <w:sz w:val="16"/>
                <w:szCs w:val="16"/>
                <w:i w:val="1"/>
                <w:iCs w:val="1"/>
                <w:color w:val="auto"/>
              </w:rPr>
              <w:t>GasLog Shanghai</w:t>
            </w:r>
          </w:p>
        </w:tc>
        <w:tc>
          <w:tcPr>
            <w:tcW w:w="900" w:type="dxa"/>
            <w:vAlign w:val="bottom"/>
            <w:gridSpan w:val="3"/>
          </w:tcPr>
          <w:p>
            <w:pPr>
              <w:jc w:val="center"/>
              <w:spacing w:after="0"/>
              <w:rPr>
                <w:sz w:val="20"/>
                <w:szCs w:val="20"/>
                <w:color w:val="auto"/>
              </w:rPr>
            </w:pPr>
            <w:r>
              <w:rPr>
                <w:rFonts w:ascii="Arial" w:cs="Arial" w:eastAsia="Arial" w:hAnsi="Arial"/>
                <w:sz w:val="16"/>
                <w:szCs w:val="16"/>
                <w:color w:val="auto"/>
                <w:w w:val="95"/>
              </w:rPr>
              <w:t>2013</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gridSpan w:val="2"/>
          </w:tcPr>
          <w:p>
            <w:pPr>
              <w:jc w:val="center"/>
              <w:spacing w:after="0"/>
              <w:rPr>
                <w:sz w:val="20"/>
                <w:szCs w:val="20"/>
                <w:color w:val="auto"/>
              </w:rPr>
            </w:pPr>
            <w:r>
              <w:rPr>
                <w:rFonts w:ascii="Arial" w:cs="Arial" w:eastAsia="Arial" w:hAnsi="Arial"/>
                <w:sz w:val="16"/>
                <w:szCs w:val="16"/>
                <w:color w:val="auto"/>
                <w:w w:val="89"/>
              </w:rPr>
              <w:t>155,000</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gridSpan w:val="2"/>
          </w:tcPr>
          <w:p>
            <w:pPr>
              <w:jc w:val="center"/>
              <w:ind w:right="320"/>
              <w:spacing w:after="0" w:line="203" w:lineRule="exact"/>
              <w:rPr>
                <w:sz w:val="20"/>
                <w:szCs w:val="20"/>
                <w:color w:val="auto"/>
              </w:rPr>
            </w:pPr>
            <w:r>
              <w:rPr>
                <w:rFonts w:ascii="Arial" w:cs="Arial" w:eastAsia="Arial" w:hAnsi="Arial"/>
                <w:sz w:val="16"/>
                <w:szCs w:val="16"/>
                <w:color w:val="auto"/>
                <w:w w:val="88"/>
              </w:rPr>
              <w:t xml:space="preserve">Spot Market </w:t>
            </w:r>
            <w:r>
              <w:rPr>
                <w:rFonts w:ascii="Arial" w:cs="Arial" w:eastAsia="Arial" w:hAnsi="Arial"/>
                <w:sz w:val="21"/>
                <w:szCs w:val="21"/>
                <w:color w:val="auto"/>
                <w:w w:val="88"/>
                <w:vertAlign w:val="superscript"/>
              </w:rPr>
              <w:t>(3)</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ind w:left="180"/>
              <w:spacing w:after="0"/>
              <w:rPr>
                <w:sz w:val="20"/>
                <w:szCs w:val="20"/>
                <w:color w:val="auto"/>
              </w:rPr>
            </w:pPr>
            <w:r>
              <w:rPr>
                <w:rFonts w:ascii="Arial" w:cs="Arial" w:eastAsia="Arial" w:hAnsi="Arial"/>
                <w:sz w:val="16"/>
                <w:szCs w:val="16"/>
                <w:color w:val="auto"/>
              </w:rPr>
              <w:t>TFDE</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20" w:type="dxa"/>
            <w:vAlign w:val="bottom"/>
            <w:gridSpan w:val="3"/>
          </w:tcPr>
          <w:p>
            <w:pPr>
              <w:jc w:val="center"/>
              <w:ind w:right="280"/>
              <w:spacing w:after="0"/>
              <w:rPr>
                <w:sz w:val="20"/>
                <w:szCs w:val="20"/>
                <w:color w:val="auto"/>
              </w:rPr>
            </w:pPr>
            <w:r>
              <w:rPr>
                <w:rFonts w:ascii="Arial" w:cs="Arial" w:eastAsia="Arial" w:hAnsi="Arial"/>
                <w:sz w:val="16"/>
                <w:szCs w:val="16"/>
                <w:color w:val="auto"/>
                <w:w w:val="99"/>
              </w:rPr>
              <w:t>—</w:t>
            </w:r>
          </w:p>
        </w:tc>
        <w:tc>
          <w:tcPr>
            <w:tcW w:w="12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03"/>
        </w:trPr>
        <w:tc>
          <w:tcPr>
            <w:tcW w:w="32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8</w:t>
            </w:r>
          </w:p>
        </w:tc>
        <w:tc>
          <w:tcPr>
            <w:tcW w:w="2720" w:type="dxa"/>
            <w:vAlign w:val="bottom"/>
            <w:gridSpan w:val="2"/>
            <w:shd w:val="clear" w:color="auto" w:fill="E5FFFF"/>
          </w:tcPr>
          <w:p>
            <w:pPr>
              <w:ind w:left="140"/>
              <w:spacing w:after="0"/>
              <w:rPr>
                <w:sz w:val="20"/>
                <w:szCs w:val="20"/>
                <w:color w:val="auto"/>
              </w:rPr>
            </w:pPr>
            <w:r>
              <w:rPr>
                <w:rFonts w:ascii="Arial" w:cs="Arial" w:eastAsia="Arial" w:hAnsi="Arial"/>
                <w:sz w:val="16"/>
                <w:szCs w:val="16"/>
                <w:i w:val="1"/>
                <w:iCs w:val="1"/>
                <w:color w:val="auto"/>
              </w:rPr>
              <w:t>GasLog Santiago</w:t>
            </w:r>
          </w:p>
        </w:tc>
        <w:tc>
          <w:tcPr>
            <w:tcW w:w="900" w:type="dxa"/>
            <w:vAlign w:val="bottom"/>
            <w:gridSpan w:val="3"/>
            <w:shd w:val="clear" w:color="auto" w:fill="E5FFFF"/>
          </w:tcPr>
          <w:p>
            <w:pPr>
              <w:jc w:val="center"/>
              <w:spacing w:after="0"/>
              <w:rPr>
                <w:sz w:val="20"/>
                <w:szCs w:val="20"/>
                <w:color w:val="auto"/>
              </w:rPr>
            </w:pPr>
            <w:r>
              <w:rPr>
                <w:rFonts w:ascii="Arial" w:cs="Arial" w:eastAsia="Arial" w:hAnsi="Arial"/>
                <w:sz w:val="16"/>
                <w:szCs w:val="16"/>
                <w:color w:val="auto"/>
                <w:w w:val="95"/>
              </w:rPr>
              <w:t>2013</w:t>
            </w:r>
          </w:p>
        </w:tc>
        <w:tc>
          <w:tcPr>
            <w:tcW w:w="100" w:type="dxa"/>
            <w:vAlign w:val="bottom"/>
            <w:shd w:val="clear" w:color="auto" w:fill="E5FFFF"/>
          </w:tcPr>
          <w:p>
            <w:pPr>
              <w:spacing w:after="0"/>
              <w:rPr>
                <w:sz w:val="17"/>
                <w:szCs w:val="17"/>
                <w:color w:val="auto"/>
              </w:rPr>
            </w:pPr>
          </w:p>
        </w:tc>
        <w:tc>
          <w:tcPr>
            <w:tcW w:w="40" w:type="dxa"/>
            <w:vAlign w:val="bottom"/>
            <w:shd w:val="clear" w:color="auto" w:fill="E5FFFF"/>
          </w:tcPr>
          <w:p>
            <w:pPr>
              <w:spacing w:after="0"/>
              <w:rPr>
                <w:sz w:val="17"/>
                <w:szCs w:val="17"/>
                <w:color w:val="auto"/>
              </w:rPr>
            </w:pPr>
          </w:p>
        </w:tc>
        <w:tc>
          <w:tcPr>
            <w:tcW w:w="920" w:type="dxa"/>
            <w:vAlign w:val="bottom"/>
            <w:gridSpan w:val="2"/>
            <w:shd w:val="clear" w:color="auto" w:fill="E5FFFF"/>
          </w:tcPr>
          <w:p>
            <w:pPr>
              <w:jc w:val="center"/>
              <w:spacing w:after="0"/>
              <w:rPr>
                <w:sz w:val="20"/>
                <w:szCs w:val="20"/>
                <w:color w:val="auto"/>
              </w:rPr>
            </w:pPr>
            <w:r>
              <w:rPr>
                <w:rFonts w:ascii="Arial" w:cs="Arial" w:eastAsia="Arial" w:hAnsi="Arial"/>
                <w:sz w:val="16"/>
                <w:szCs w:val="16"/>
                <w:color w:val="auto"/>
                <w:w w:val="89"/>
              </w:rPr>
              <w:t>155,000</w:t>
            </w:r>
          </w:p>
        </w:tc>
        <w:tc>
          <w:tcPr>
            <w:tcW w:w="14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480" w:type="dxa"/>
            <w:vAlign w:val="bottom"/>
            <w:gridSpan w:val="2"/>
            <w:shd w:val="clear" w:color="auto" w:fill="E5FFFF"/>
          </w:tcPr>
          <w:p>
            <w:pPr>
              <w:jc w:val="center"/>
              <w:ind w:right="320"/>
              <w:spacing w:after="0"/>
              <w:rPr>
                <w:sz w:val="20"/>
                <w:szCs w:val="20"/>
                <w:color w:val="auto"/>
              </w:rPr>
            </w:pPr>
            <w:r>
              <w:rPr>
                <w:rFonts w:ascii="Arial" w:cs="Arial" w:eastAsia="Arial" w:hAnsi="Arial"/>
                <w:sz w:val="16"/>
                <w:szCs w:val="16"/>
                <w:color w:val="auto"/>
                <w:w w:val="93"/>
              </w:rPr>
              <w:t>Trafigura</w:t>
            </w:r>
          </w:p>
        </w:tc>
        <w:tc>
          <w:tcPr>
            <w:tcW w:w="6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080" w:type="dxa"/>
            <w:vAlign w:val="bottom"/>
            <w:gridSpan w:val="2"/>
            <w:shd w:val="clear" w:color="auto" w:fill="E5FFFF"/>
          </w:tcPr>
          <w:p>
            <w:pPr>
              <w:ind w:left="180"/>
              <w:spacing w:after="0"/>
              <w:rPr>
                <w:sz w:val="20"/>
                <w:szCs w:val="20"/>
                <w:color w:val="auto"/>
              </w:rPr>
            </w:pPr>
            <w:r>
              <w:rPr>
                <w:rFonts w:ascii="Arial" w:cs="Arial" w:eastAsia="Arial" w:hAnsi="Arial"/>
                <w:sz w:val="16"/>
                <w:szCs w:val="16"/>
                <w:color w:val="auto"/>
              </w:rPr>
              <w:t>TFDE</w:t>
            </w:r>
          </w:p>
        </w:tc>
        <w:tc>
          <w:tcPr>
            <w:tcW w:w="6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2120" w:type="dxa"/>
            <w:vAlign w:val="bottom"/>
            <w:gridSpan w:val="3"/>
            <w:shd w:val="clear" w:color="auto" w:fill="E5FFFF"/>
          </w:tcPr>
          <w:p>
            <w:pPr>
              <w:jc w:val="center"/>
              <w:ind w:right="280"/>
              <w:spacing w:after="0"/>
              <w:rPr>
                <w:sz w:val="20"/>
                <w:szCs w:val="20"/>
                <w:color w:val="auto"/>
              </w:rPr>
            </w:pPr>
            <w:r>
              <w:rPr>
                <w:rFonts w:ascii="Arial" w:cs="Arial" w:eastAsia="Arial" w:hAnsi="Arial"/>
                <w:sz w:val="16"/>
                <w:szCs w:val="16"/>
                <w:color w:val="auto"/>
                <w:w w:val="91"/>
              </w:rPr>
              <w:t>December 2021</w:t>
            </w:r>
          </w:p>
        </w:tc>
        <w:tc>
          <w:tcPr>
            <w:tcW w:w="128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1"/>
              </w:rPr>
              <w:t>2022-2028</w:t>
            </w:r>
          </w:p>
        </w:tc>
        <w:tc>
          <w:tcPr>
            <w:tcW w:w="0" w:type="dxa"/>
            <w:vAlign w:val="bottom"/>
          </w:tcPr>
          <w:p>
            <w:pPr>
              <w:spacing w:after="0"/>
              <w:rPr>
                <w:sz w:val="1"/>
                <w:szCs w:val="1"/>
                <w:color w:val="auto"/>
              </w:rPr>
            </w:pPr>
          </w:p>
        </w:tc>
      </w:tr>
      <w:tr>
        <w:trPr>
          <w:trHeight w:val="203"/>
        </w:trPr>
        <w:tc>
          <w:tcPr>
            <w:tcW w:w="320" w:type="dxa"/>
            <w:vAlign w:val="bottom"/>
          </w:tcPr>
          <w:p>
            <w:pPr>
              <w:spacing w:after="0"/>
              <w:rPr>
                <w:sz w:val="20"/>
                <w:szCs w:val="20"/>
                <w:color w:val="auto"/>
              </w:rPr>
            </w:pPr>
            <w:r>
              <w:rPr>
                <w:rFonts w:ascii="Arial" w:cs="Arial" w:eastAsia="Arial" w:hAnsi="Arial"/>
                <w:sz w:val="16"/>
                <w:szCs w:val="16"/>
                <w:b w:val="1"/>
                <w:bCs w:val="1"/>
                <w:color w:val="auto"/>
              </w:rPr>
              <w:t>9</w:t>
            </w:r>
          </w:p>
        </w:tc>
        <w:tc>
          <w:tcPr>
            <w:tcW w:w="2720" w:type="dxa"/>
            <w:vAlign w:val="bottom"/>
            <w:gridSpan w:val="2"/>
          </w:tcPr>
          <w:p>
            <w:pPr>
              <w:ind w:left="140"/>
              <w:spacing w:after="0"/>
              <w:rPr>
                <w:sz w:val="20"/>
                <w:szCs w:val="20"/>
                <w:color w:val="auto"/>
              </w:rPr>
            </w:pPr>
            <w:r>
              <w:rPr>
                <w:rFonts w:ascii="Arial" w:cs="Arial" w:eastAsia="Arial" w:hAnsi="Arial"/>
                <w:sz w:val="16"/>
                <w:szCs w:val="16"/>
                <w:i w:val="1"/>
                <w:iCs w:val="1"/>
                <w:color w:val="auto"/>
              </w:rPr>
              <w:t>GasLog Sydney</w:t>
            </w:r>
          </w:p>
        </w:tc>
        <w:tc>
          <w:tcPr>
            <w:tcW w:w="900" w:type="dxa"/>
            <w:vAlign w:val="bottom"/>
            <w:gridSpan w:val="3"/>
          </w:tcPr>
          <w:p>
            <w:pPr>
              <w:jc w:val="center"/>
              <w:spacing w:after="0"/>
              <w:rPr>
                <w:sz w:val="20"/>
                <w:szCs w:val="20"/>
                <w:color w:val="auto"/>
              </w:rPr>
            </w:pPr>
            <w:r>
              <w:rPr>
                <w:rFonts w:ascii="Arial" w:cs="Arial" w:eastAsia="Arial" w:hAnsi="Arial"/>
                <w:sz w:val="16"/>
                <w:szCs w:val="16"/>
                <w:color w:val="auto"/>
                <w:w w:val="95"/>
              </w:rPr>
              <w:t>2013</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gridSpan w:val="2"/>
          </w:tcPr>
          <w:p>
            <w:pPr>
              <w:jc w:val="center"/>
              <w:spacing w:after="0"/>
              <w:rPr>
                <w:sz w:val="20"/>
                <w:szCs w:val="20"/>
                <w:color w:val="auto"/>
              </w:rPr>
            </w:pPr>
            <w:r>
              <w:rPr>
                <w:rFonts w:ascii="Arial" w:cs="Arial" w:eastAsia="Arial" w:hAnsi="Arial"/>
                <w:sz w:val="16"/>
                <w:szCs w:val="16"/>
                <w:color w:val="auto"/>
                <w:w w:val="89"/>
              </w:rPr>
              <w:t>155,000</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gridSpan w:val="2"/>
          </w:tcPr>
          <w:p>
            <w:pPr>
              <w:jc w:val="center"/>
              <w:ind w:right="320"/>
              <w:spacing w:after="0" w:line="203" w:lineRule="exact"/>
              <w:rPr>
                <w:sz w:val="20"/>
                <w:szCs w:val="20"/>
                <w:color w:val="auto"/>
              </w:rPr>
            </w:pPr>
            <w:r>
              <w:rPr>
                <w:rFonts w:ascii="Arial" w:cs="Arial" w:eastAsia="Arial" w:hAnsi="Arial"/>
                <w:sz w:val="16"/>
                <w:szCs w:val="16"/>
                <w:color w:val="auto"/>
                <w:w w:val="87"/>
              </w:rPr>
              <w:t>Cheniere</w:t>
            </w:r>
            <w:r>
              <w:rPr>
                <w:rFonts w:ascii="Arial" w:cs="Arial" w:eastAsia="Arial" w:hAnsi="Arial"/>
                <w:sz w:val="21"/>
                <w:szCs w:val="21"/>
                <w:color w:val="auto"/>
                <w:w w:val="87"/>
                <w:vertAlign w:val="superscript"/>
              </w:rPr>
              <w:t>(7)</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ind w:left="180"/>
              <w:spacing w:after="0"/>
              <w:rPr>
                <w:sz w:val="20"/>
                <w:szCs w:val="20"/>
                <w:color w:val="auto"/>
              </w:rPr>
            </w:pPr>
            <w:r>
              <w:rPr>
                <w:rFonts w:ascii="Arial" w:cs="Arial" w:eastAsia="Arial" w:hAnsi="Arial"/>
                <w:sz w:val="16"/>
                <w:szCs w:val="16"/>
                <w:color w:val="auto"/>
              </w:rPr>
              <w:t>TFDE</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20" w:type="dxa"/>
            <w:vAlign w:val="bottom"/>
            <w:gridSpan w:val="3"/>
          </w:tcPr>
          <w:p>
            <w:pPr>
              <w:jc w:val="center"/>
              <w:ind w:right="280"/>
              <w:spacing w:after="0"/>
              <w:rPr>
                <w:sz w:val="20"/>
                <w:szCs w:val="20"/>
                <w:color w:val="auto"/>
              </w:rPr>
            </w:pPr>
            <w:r>
              <w:rPr>
                <w:rFonts w:ascii="Arial" w:cs="Arial" w:eastAsia="Arial" w:hAnsi="Arial"/>
                <w:sz w:val="16"/>
                <w:szCs w:val="16"/>
                <w:color w:val="auto"/>
                <w:w w:val="90"/>
              </w:rPr>
              <w:t>June 2020</w:t>
            </w:r>
          </w:p>
        </w:tc>
        <w:tc>
          <w:tcPr>
            <w:tcW w:w="1280" w:type="dxa"/>
            <w:vAlign w:val="bottom"/>
          </w:tcPr>
          <w:p>
            <w:pPr>
              <w:jc w:val="center"/>
              <w:spacing w:after="0"/>
              <w:rPr>
                <w:sz w:val="20"/>
                <w:szCs w:val="20"/>
                <w:color w:val="auto"/>
              </w:rPr>
            </w:pPr>
            <w:r>
              <w:rPr>
                <w:rFonts w:ascii="Arial" w:cs="Arial" w:eastAsia="Arial" w:hAnsi="Arial"/>
                <w:sz w:val="16"/>
                <w:szCs w:val="16"/>
                <w:color w:val="auto"/>
                <w:w w:val="91"/>
              </w:rPr>
              <w:t>2020-2021</w:t>
            </w:r>
          </w:p>
        </w:tc>
        <w:tc>
          <w:tcPr>
            <w:tcW w:w="0" w:type="dxa"/>
            <w:vAlign w:val="bottom"/>
          </w:tcPr>
          <w:p>
            <w:pPr>
              <w:spacing w:after="0"/>
              <w:rPr>
                <w:sz w:val="1"/>
                <w:szCs w:val="1"/>
                <w:color w:val="auto"/>
              </w:rPr>
            </w:pPr>
          </w:p>
        </w:tc>
      </w:tr>
      <w:tr>
        <w:trPr>
          <w:trHeight w:val="203"/>
        </w:trPr>
        <w:tc>
          <w:tcPr>
            <w:tcW w:w="32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10</w:t>
            </w:r>
          </w:p>
        </w:tc>
        <w:tc>
          <w:tcPr>
            <w:tcW w:w="2720" w:type="dxa"/>
            <w:vAlign w:val="bottom"/>
            <w:gridSpan w:val="2"/>
            <w:shd w:val="clear" w:color="auto" w:fill="E5FFFF"/>
          </w:tcPr>
          <w:p>
            <w:pPr>
              <w:ind w:left="140"/>
              <w:spacing w:after="0"/>
              <w:rPr>
                <w:sz w:val="20"/>
                <w:szCs w:val="20"/>
                <w:color w:val="auto"/>
              </w:rPr>
            </w:pPr>
            <w:r>
              <w:rPr>
                <w:rFonts w:ascii="Arial" w:cs="Arial" w:eastAsia="Arial" w:hAnsi="Arial"/>
                <w:sz w:val="16"/>
                <w:szCs w:val="16"/>
                <w:i w:val="1"/>
                <w:iCs w:val="1"/>
                <w:color w:val="auto"/>
              </w:rPr>
              <w:t>GasLog Seattle</w:t>
            </w:r>
          </w:p>
        </w:tc>
        <w:tc>
          <w:tcPr>
            <w:tcW w:w="900" w:type="dxa"/>
            <w:vAlign w:val="bottom"/>
            <w:gridSpan w:val="3"/>
            <w:shd w:val="clear" w:color="auto" w:fill="E5FFFF"/>
          </w:tcPr>
          <w:p>
            <w:pPr>
              <w:jc w:val="center"/>
              <w:spacing w:after="0"/>
              <w:rPr>
                <w:sz w:val="20"/>
                <w:szCs w:val="20"/>
                <w:color w:val="auto"/>
              </w:rPr>
            </w:pPr>
            <w:r>
              <w:rPr>
                <w:rFonts w:ascii="Arial" w:cs="Arial" w:eastAsia="Arial" w:hAnsi="Arial"/>
                <w:sz w:val="16"/>
                <w:szCs w:val="16"/>
                <w:color w:val="auto"/>
                <w:w w:val="95"/>
              </w:rPr>
              <w:t>2013</w:t>
            </w:r>
          </w:p>
        </w:tc>
        <w:tc>
          <w:tcPr>
            <w:tcW w:w="100" w:type="dxa"/>
            <w:vAlign w:val="bottom"/>
            <w:shd w:val="clear" w:color="auto" w:fill="E5FFFF"/>
          </w:tcPr>
          <w:p>
            <w:pPr>
              <w:spacing w:after="0"/>
              <w:rPr>
                <w:sz w:val="17"/>
                <w:szCs w:val="17"/>
                <w:color w:val="auto"/>
              </w:rPr>
            </w:pPr>
          </w:p>
        </w:tc>
        <w:tc>
          <w:tcPr>
            <w:tcW w:w="40" w:type="dxa"/>
            <w:vAlign w:val="bottom"/>
            <w:shd w:val="clear" w:color="auto" w:fill="E5FFFF"/>
          </w:tcPr>
          <w:p>
            <w:pPr>
              <w:spacing w:after="0"/>
              <w:rPr>
                <w:sz w:val="17"/>
                <w:szCs w:val="17"/>
                <w:color w:val="auto"/>
              </w:rPr>
            </w:pPr>
          </w:p>
        </w:tc>
        <w:tc>
          <w:tcPr>
            <w:tcW w:w="920" w:type="dxa"/>
            <w:vAlign w:val="bottom"/>
            <w:gridSpan w:val="2"/>
            <w:shd w:val="clear" w:color="auto" w:fill="E5FFFF"/>
          </w:tcPr>
          <w:p>
            <w:pPr>
              <w:jc w:val="center"/>
              <w:spacing w:after="0"/>
              <w:rPr>
                <w:sz w:val="20"/>
                <w:szCs w:val="20"/>
                <w:color w:val="auto"/>
              </w:rPr>
            </w:pPr>
            <w:r>
              <w:rPr>
                <w:rFonts w:ascii="Arial" w:cs="Arial" w:eastAsia="Arial" w:hAnsi="Arial"/>
                <w:sz w:val="16"/>
                <w:szCs w:val="16"/>
                <w:color w:val="auto"/>
                <w:w w:val="89"/>
              </w:rPr>
              <w:t>155,000</w:t>
            </w:r>
          </w:p>
        </w:tc>
        <w:tc>
          <w:tcPr>
            <w:tcW w:w="14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480" w:type="dxa"/>
            <w:vAlign w:val="bottom"/>
            <w:gridSpan w:val="2"/>
            <w:shd w:val="clear" w:color="auto" w:fill="E5FFFF"/>
          </w:tcPr>
          <w:p>
            <w:pPr>
              <w:jc w:val="center"/>
              <w:ind w:right="320"/>
              <w:spacing w:after="0"/>
              <w:rPr>
                <w:sz w:val="20"/>
                <w:szCs w:val="20"/>
                <w:color w:val="auto"/>
              </w:rPr>
            </w:pPr>
            <w:r>
              <w:rPr>
                <w:rFonts w:ascii="Arial" w:cs="Arial" w:eastAsia="Arial" w:hAnsi="Arial"/>
                <w:sz w:val="16"/>
                <w:szCs w:val="16"/>
                <w:color w:val="auto"/>
                <w:w w:val="89"/>
              </w:rPr>
              <w:t>Shell</w:t>
            </w:r>
          </w:p>
        </w:tc>
        <w:tc>
          <w:tcPr>
            <w:tcW w:w="6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080" w:type="dxa"/>
            <w:vAlign w:val="bottom"/>
            <w:gridSpan w:val="2"/>
            <w:shd w:val="clear" w:color="auto" w:fill="E5FFFF"/>
          </w:tcPr>
          <w:p>
            <w:pPr>
              <w:ind w:left="180"/>
              <w:spacing w:after="0"/>
              <w:rPr>
                <w:sz w:val="20"/>
                <w:szCs w:val="20"/>
                <w:color w:val="auto"/>
              </w:rPr>
            </w:pPr>
            <w:r>
              <w:rPr>
                <w:rFonts w:ascii="Arial" w:cs="Arial" w:eastAsia="Arial" w:hAnsi="Arial"/>
                <w:sz w:val="16"/>
                <w:szCs w:val="16"/>
                <w:color w:val="auto"/>
              </w:rPr>
              <w:t>TFDE</w:t>
            </w:r>
          </w:p>
        </w:tc>
        <w:tc>
          <w:tcPr>
            <w:tcW w:w="6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2120" w:type="dxa"/>
            <w:vAlign w:val="bottom"/>
            <w:gridSpan w:val="3"/>
            <w:shd w:val="clear" w:color="auto" w:fill="E5FFFF"/>
          </w:tcPr>
          <w:p>
            <w:pPr>
              <w:jc w:val="center"/>
              <w:ind w:right="280"/>
              <w:spacing w:after="0"/>
              <w:rPr>
                <w:sz w:val="20"/>
                <w:szCs w:val="20"/>
                <w:color w:val="auto"/>
              </w:rPr>
            </w:pPr>
            <w:r>
              <w:rPr>
                <w:rFonts w:ascii="Arial" w:cs="Arial" w:eastAsia="Arial" w:hAnsi="Arial"/>
                <w:sz w:val="16"/>
                <w:szCs w:val="16"/>
                <w:color w:val="auto"/>
                <w:w w:val="90"/>
              </w:rPr>
              <w:t>June 2021</w:t>
            </w:r>
          </w:p>
        </w:tc>
        <w:tc>
          <w:tcPr>
            <w:tcW w:w="128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03"/>
        </w:trPr>
        <w:tc>
          <w:tcPr>
            <w:tcW w:w="320" w:type="dxa"/>
            <w:vAlign w:val="bottom"/>
          </w:tcPr>
          <w:p>
            <w:pPr>
              <w:spacing w:after="0"/>
              <w:rPr>
                <w:sz w:val="20"/>
                <w:szCs w:val="20"/>
                <w:color w:val="auto"/>
              </w:rPr>
            </w:pPr>
            <w:r>
              <w:rPr>
                <w:rFonts w:ascii="Arial" w:cs="Arial" w:eastAsia="Arial" w:hAnsi="Arial"/>
                <w:sz w:val="16"/>
                <w:szCs w:val="16"/>
                <w:b w:val="1"/>
                <w:bCs w:val="1"/>
                <w:color w:val="auto"/>
              </w:rPr>
              <w:t>11</w:t>
            </w:r>
          </w:p>
        </w:tc>
        <w:tc>
          <w:tcPr>
            <w:tcW w:w="2720" w:type="dxa"/>
            <w:vAlign w:val="bottom"/>
            <w:gridSpan w:val="2"/>
          </w:tcPr>
          <w:p>
            <w:pPr>
              <w:ind w:left="140"/>
              <w:spacing w:after="0"/>
              <w:rPr>
                <w:sz w:val="20"/>
                <w:szCs w:val="20"/>
                <w:color w:val="auto"/>
              </w:rPr>
            </w:pPr>
            <w:r>
              <w:rPr>
                <w:rFonts w:ascii="Arial" w:cs="Arial" w:eastAsia="Arial" w:hAnsi="Arial"/>
                <w:sz w:val="16"/>
                <w:szCs w:val="16"/>
                <w:i w:val="1"/>
                <w:iCs w:val="1"/>
                <w:color w:val="auto"/>
              </w:rPr>
              <w:t>Solaris</w:t>
            </w:r>
          </w:p>
        </w:tc>
        <w:tc>
          <w:tcPr>
            <w:tcW w:w="900" w:type="dxa"/>
            <w:vAlign w:val="bottom"/>
            <w:gridSpan w:val="3"/>
          </w:tcPr>
          <w:p>
            <w:pPr>
              <w:jc w:val="center"/>
              <w:spacing w:after="0"/>
              <w:rPr>
                <w:sz w:val="20"/>
                <w:szCs w:val="20"/>
                <w:color w:val="auto"/>
              </w:rPr>
            </w:pPr>
            <w:r>
              <w:rPr>
                <w:rFonts w:ascii="Arial" w:cs="Arial" w:eastAsia="Arial" w:hAnsi="Arial"/>
                <w:sz w:val="16"/>
                <w:szCs w:val="16"/>
                <w:color w:val="auto"/>
                <w:w w:val="95"/>
              </w:rPr>
              <w:t>2014</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gridSpan w:val="2"/>
          </w:tcPr>
          <w:p>
            <w:pPr>
              <w:jc w:val="center"/>
              <w:spacing w:after="0"/>
              <w:rPr>
                <w:sz w:val="20"/>
                <w:szCs w:val="20"/>
                <w:color w:val="auto"/>
              </w:rPr>
            </w:pPr>
            <w:r>
              <w:rPr>
                <w:rFonts w:ascii="Arial" w:cs="Arial" w:eastAsia="Arial" w:hAnsi="Arial"/>
                <w:sz w:val="16"/>
                <w:szCs w:val="16"/>
                <w:color w:val="auto"/>
                <w:w w:val="89"/>
              </w:rPr>
              <w:t>155,000</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6"/>
                <w:szCs w:val="16"/>
                <w:color w:val="auto"/>
                <w:w w:val="89"/>
              </w:rPr>
              <w:t>Shell</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ind w:left="180"/>
              <w:spacing w:after="0"/>
              <w:rPr>
                <w:sz w:val="20"/>
                <w:szCs w:val="20"/>
                <w:color w:val="auto"/>
              </w:rPr>
            </w:pPr>
            <w:r>
              <w:rPr>
                <w:rFonts w:ascii="Arial" w:cs="Arial" w:eastAsia="Arial" w:hAnsi="Arial"/>
                <w:sz w:val="16"/>
                <w:szCs w:val="16"/>
                <w:color w:val="auto"/>
              </w:rPr>
              <w:t>TFDE</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20" w:type="dxa"/>
            <w:vAlign w:val="bottom"/>
            <w:gridSpan w:val="3"/>
          </w:tcPr>
          <w:p>
            <w:pPr>
              <w:jc w:val="center"/>
              <w:ind w:right="280"/>
              <w:spacing w:after="0"/>
              <w:rPr>
                <w:sz w:val="20"/>
                <w:szCs w:val="20"/>
                <w:color w:val="auto"/>
              </w:rPr>
            </w:pPr>
            <w:r>
              <w:rPr>
                <w:rFonts w:ascii="Arial" w:cs="Arial" w:eastAsia="Arial" w:hAnsi="Arial"/>
                <w:sz w:val="16"/>
                <w:szCs w:val="16"/>
                <w:color w:val="auto"/>
                <w:w w:val="90"/>
              </w:rPr>
              <w:t>June 2021</w:t>
            </w:r>
          </w:p>
        </w:tc>
        <w:tc>
          <w:tcPr>
            <w:tcW w:w="12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03"/>
        </w:trPr>
        <w:tc>
          <w:tcPr>
            <w:tcW w:w="32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12</w:t>
            </w:r>
          </w:p>
        </w:tc>
        <w:tc>
          <w:tcPr>
            <w:tcW w:w="2720" w:type="dxa"/>
            <w:vAlign w:val="bottom"/>
            <w:gridSpan w:val="2"/>
            <w:shd w:val="clear" w:color="auto" w:fill="E5FFFF"/>
          </w:tcPr>
          <w:p>
            <w:pPr>
              <w:ind w:left="140"/>
              <w:spacing w:after="0"/>
              <w:rPr>
                <w:sz w:val="20"/>
                <w:szCs w:val="20"/>
                <w:color w:val="auto"/>
              </w:rPr>
            </w:pPr>
            <w:r>
              <w:rPr>
                <w:rFonts w:ascii="Arial" w:cs="Arial" w:eastAsia="Arial" w:hAnsi="Arial"/>
                <w:sz w:val="16"/>
                <w:szCs w:val="16"/>
                <w:i w:val="1"/>
                <w:iCs w:val="1"/>
                <w:color w:val="auto"/>
              </w:rPr>
              <w:t>GasLog Greece</w:t>
            </w:r>
          </w:p>
        </w:tc>
        <w:tc>
          <w:tcPr>
            <w:tcW w:w="900" w:type="dxa"/>
            <w:vAlign w:val="bottom"/>
            <w:gridSpan w:val="3"/>
            <w:shd w:val="clear" w:color="auto" w:fill="E5FFFF"/>
          </w:tcPr>
          <w:p>
            <w:pPr>
              <w:jc w:val="center"/>
              <w:spacing w:after="0"/>
              <w:rPr>
                <w:sz w:val="20"/>
                <w:szCs w:val="20"/>
                <w:color w:val="auto"/>
              </w:rPr>
            </w:pPr>
            <w:r>
              <w:rPr>
                <w:rFonts w:ascii="Arial" w:cs="Arial" w:eastAsia="Arial" w:hAnsi="Arial"/>
                <w:sz w:val="16"/>
                <w:szCs w:val="16"/>
                <w:color w:val="auto"/>
                <w:w w:val="95"/>
              </w:rPr>
              <w:t>2016</w:t>
            </w:r>
          </w:p>
        </w:tc>
        <w:tc>
          <w:tcPr>
            <w:tcW w:w="100" w:type="dxa"/>
            <w:vAlign w:val="bottom"/>
            <w:shd w:val="clear" w:color="auto" w:fill="E5FFFF"/>
          </w:tcPr>
          <w:p>
            <w:pPr>
              <w:spacing w:after="0"/>
              <w:rPr>
                <w:sz w:val="17"/>
                <w:szCs w:val="17"/>
                <w:color w:val="auto"/>
              </w:rPr>
            </w:pPr>
          </w:p>
        </w:tc>
        <w:tc>
          <w:tcPr>
            <w:tcW w:w="40" w:type="dxa"/>
            <w:vAlign w:val="bottom"/>
            <w:shd w:val="clear" w:color="auto" w:fill="E5FFFF"/>
          </w:tcPr>
          <w:p>
            <w:pPr>
              <w:spacing w:after="0"/>
              <w:rPr>
                <w:sz w:val="17"/>
                <w:szCs w:val="17"/>
                <w:color w:val="auto"/>
              </w:rPr>
            </w:pPr>
          </w:p>
        </w:tc>
        <w:tc>
          <w:tcPr>
            <w:tcW w:w="920" w:type="dxa"/>
            <w:vAlign w:val="bottom"/>
            <w:gridSpan w:val="2"/>
            <w:shd w:val="clear" w:color="auto" w:fill="E5FFFF"/>
          </w:tcPr>
          <w:p>
            <w:pPr>
              <w:jc w:val="center"/>
              <w:spacing w:after="0"/>
              <w:rPr>
                <w:sz w:val="20"/>
                <w:szCs w:val="20"/>
                <w:color w:val="auto"/>
              </w:rPr>
            </w:pPr>
            <w:r>
              <w:rPr>
                <w:rFonts w:ascii="Arial" w:cs="Arial" w:eastAsia="Arial" w:hAnsi="Arial"/>
                <w:sz w:val="16"/>
                <w:szCs w:val="16"/>
                <w:color w:val="auto"/>
                <w:w w:val="89"/>
              </w:rPr>
              <w:t>174,000</w:t>
            </w:r>
          </w:p>
        </w:tc>
        <w:tc>
          <w:tcPr>
            <w:tcW w:w="14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480" w:type="dxa"/>
            <w:vAlign w:val="bottom"/>
            <w:gridSpan w:val="2"/>
            <w:shd w:val="clear" w:color="auto" w:fill="E5FFFF"/>
          </w:tcPr>
          <w:p>
            <w:pPr>
              <w:jc w:val="center"/>
              <w:ind w:right="320"/>
              <w:spacing w:after="0"/>
              <w:rPr>
                <w:sz w:val="20"/>
                <w:szCs w:val="20"/>
                <w:color w:val="auto"/>
              </w:rPr>
            </w:pPr>
            <w:r>
              <w:rPr>
                <w:rFonts w:ascii="Arial" w:cs="Arial" w:eastAsia="Arial" w:hAnsi="Arial"/>
                <w:sz w:val="16"/>
                <w:szCs w:val="16"/>
                <w:color w:val="auto"/>
                <w:w w:val="89"/>
              </w:rPr>
              <w:t>Shell</w:t>
            </w:r>
          </w:p>
        </w:tc>
        <w:tc>
          <w:tcPr>
            <w:tcW w:w="6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080" w:type="dxa"/>
            <w:vAlign w:val="bottom"/>
            <w:gridSpan w:val="2"/>
            <w:shd w:val="clear" w:color="auto" w:fill="E5FFFF"/>
          </w:tcPr>
          <w:p>
            <w:pPr>
              <w:ind w:left="180"/>
              <w:spacing w:after="0"/>
              <w:rPr>
                <w:sz w:val="20"/>
                <w:szCs w:val="20"/>
                <w:color w:val="auto"/>
              </w:rPr>
            </w:pPr>
            <w:r>
              <w:rPr>
                <w:rFonts w:ascii="Arial" w:cs="Arial" w:eastAsia="Arial" w:hAnsi="Arial"/>
                <w:sz w:val="16"/>
                <w:szCs w:val="16"/>
                <w:color w:val="auto"/>
              </w:rPr>
              <w:t>TFDE</w:t>
            </w:r>
          </w:p>
        </w:tc>
        <w:tc>
          <w:tcPr>
            <w:tcW w:w="6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2120" w:type="dxa"/>
            <w:vAlign w:val="bottom"/>
            <w:gridSpan w:val="3"/>
            <w:shd w:val="clear" w:color="auto" w:fill="E5FFFF"/>
          </w:tcPr>
          <w:p>
            <w:pPr>
              <w:jc w:val="center"/>
              <w:ind w:right="280"/>
              <w:spacing w:after="0"/>
              <w:rPr>
                <w:sz w:val="20"/>
                <w:szCs w:val="20"/>
                <w:color w:val="auto"/>
              </w:rPr>
            </w:pPr>
            <w:r>
              <w:rPr>
                <w:rFonts w:ascii="Arial" w:cs="Arial" w:eastAsia="Arial" w:hAnsi="Arial"/>
                <w:sz w:val="16"/>
                <w:szCs w:val="16"/>
                <w:color w:val="auto"/>
                <w:w w:val="94"/>
              </w:rPr>
              <w:t>March 2026</w:t>
            </w:r>
          </w:p>
        </w:tc>
        <w:tc>
          <w:tcPr>
            <w:tcW w:w="128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2031</w:t>
            </w:r>
          </w:p>
        </w:tc>
        <w:tc>
          <w:tcPr>
            <w:tcW w:w="0" w:type="dxa"/>
            <w:vAlign w:val="bottom"/>
          </w:tcPr>
          <w:p>
            <w:pPr>
              <w:spacing w:after="0"/>
              <w:rPr>
                <w:sz w:val="1"/>
                <w:szCs w:val="1"/>
                <w:color w:val="auto"/>
              </w:rPr>
            </w:pPr>
          </w:p>
        </w:tc>
      </w:tr>
      <w:tr>
        <w:trPr>
          <w:trHeight w:val="203"/>
        </w:trPr>
        <w:tc>
          <w:tcPr>
            <w:tcW w:w="320" w:type="dxa"/>
            <w:vAlign w:val="bottom"/>
          </w:tcPr>
          <w:p>
            <w:pPr>
              <w:spacing w:after="0"/>
              <w:rPr>
                <w:sz w:val="20"/>
                <w:szCs w:val="20"/>
                <w:color w:val="auto"/>
              </w:rPr>
            </w:pPr>
            <w:r>
              <w:rPr>
                <w:rFonts w:ascii="Arial" w:cs="Arial" w:eastAsia="Arial" w:hAnsi="Arial"/>
                <w:sz w:val="16"/>
                <w:szCs w:val="16"/>
                <w:b w:val="1"/>
                <w:bCs w:val="1"/>
                <w:color w:val="auto"/>
              </w:rPr>
              <w:t>13</w:t>
            </w:r>
          </w:p>
        </w:tc>
        <w:tc>
          <w:tcPr>
            <w:tcW w:w="2720" w:type="dxa"/>
            <w:vAlign w:val="bottom"/>
            <w:gridSpan w:val="2"/>
          </w:tcPr>
          <w:p>
            <w:pPr>
              <w:ind w:left="140"/>
              <w:spacing w:after="0"/>
              <w:rPr>
                <w:sz w:val="20"/>
                <w:szCs w:val="20"/>
                <w:color w:val="auto"/>
              </w:rPr>
            </w:pPr>
            <w:r>
              <w:rPr>
                <w:rFonts w:ascii="Arial" w:cs="Arial" w:eastAsia="Arial" w:hAnsi="Arial"/>
                <w:sz w:val="16"/>
                <w:szCs w:val="16"/>
                <w:i w:val="1"/>
                <w:iCs w:val="1"/>
                <w:color w:val="auto"/>
              </w:rPr>
              <w:t>GasLog Geneva</w:t>
            </w:r>
          </w:p>
        </w:tc>
        <w:tc>
          <w:tcPr>
            <w:tcW w:w="900" w:type="dxa"/>
            <w:vAlign w:val="bottom"/>
            <w:gridSpan w:val="3"/>
          </w:tcPr>
          <w:p>
            <w:pPr>
              <w:jc w:val="center"/>
              <w:spacing w:after="0"/>
              <w:rPr>
                <w:sz w:val="20"/>
                <w:szCs w:val="20"/>
                <w:color w:val="auto"/>
              </w:rPr>
            </w:pPr>
            <w:r>
              <w:rPr>
                <w:rFonts w:ascii="Arial" w:cs="Arial" w:eastAsia="Arial" w:hAnsi="Arial"/>
                <w:sz w:val="16"/>
                <w:szCs w:val="16"/>
                <w:color w:val="auto"/>
                <w:w w:val="95"/>
              </w:rPr>
              <w:t>2016</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gridSpan w:val="2"/>
          </w:tcPr>
          <w:p>
            <w:pPr>
              <w:jc w:val="center"/>
              <w:spacing w:after="0"/>
              <w:rPr>
                <w:sz w:val="20"/>
                <w:szCs w:val="20"/>
                <w:color w:val="auto"/>
              </w:rPr>
            </w:pPr>
            <w:r>
              <w:rPr>
                <w:rFonts w:ascii="Arial" w:cs="Arial" w:eastAsia="Arial" w:hAnsi="Arial"/>
                <w:sz w:val="16"/>
                <w:szCs w:val="16"/>
                <w:color w:val="auto"/>
                <w:w w:val="89"/>
              </w:rPr>
              <w:t>174,000</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6"/>
                <w:szCs w:val="16"/>
                <w:color w:val="auto"/>
                <w:w w:val="89"/>
              </w:rPr>
              <w:t>Shell</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ind w:left="180"/>
              <w:spacing w:after="0"/>
              <w:rPr>
                <w:sz w:val="20"/>
                <w:szCs w:val="20"/>
                <w:color w:val="auto"/>
              </w:rPr>
            </w:pPr>
            <w:r>
              <w:rPr>
                <w:rFonts w:ascii="Arial" w:cs="Arial" w:eastAsia="Arial" w:hAnsi="Arial"/>
                <w:sz w:val="16"/>
                <w:szCs w:val="16"/>
                <w:color w:val="auto"/>
              </w:rPr>
              <w:t>TFDE</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20" w:type="dxa"/>
            <w:vAlign w:val="bottom"/>
            <w:gridSpan w:val="3"/>
          </w:tcPr>
          <w:p>
            <w:pPr>
              <w:jc w:val="center"/>
              <w:ind w:right="280"/>
              <w:spacing w:after="0"/>
              <w:rPr>
                <w:sz w:val="20"/>
                <w:szCs w:val="20"/>
                <w:color w:val="auto"/>
              </w:rPr>
            </w:pPr>
            <w:r>
              <w:rPr>
                <w:rFonts w:ascii="Arial" w:cs="Arial" w:eastAsia="Arial" w:hAnsi="Arial"/>
                <w:sz w:val="16"/>
                <w:szCs w:val="16"/>
                <w:color w:val="auto"/>
                <w:w w:val="87"/>
              </w:rPr>
              <w:t>September 2023</w:t>
            </w:r>
          </w:p>
        </w:tc>
        <w:tc>
          <w:tcPr>
            <w:tcW w:w="1280" w:type="dxa"/>
            <w:vAlign w:val="bottom"/>
          </w:tcPr>
          <w:p>
            <w:pPr>
              <w:jc w:val="center"/>
              <w:spacing w:after="0"/>
              <w:rPr>
                <w:sz w:val="20"/>
                <w:szCs w:val="20"/>
                <w:color w:val="auto"/>
              </w:rPr>
            </w:pPr>
            <w:r>
              <w:rPr>
                <w:rFonts w:ascii="Arial" w:cs="Arial" w:eastAsia="Arial" w:hAnsi="Arial"/>
                <w:sz w:val="16"/>
                <w:szCs w:val="16"/>
                <w:color w:val="auto"/>
                <w:w w:val="91"/>
              </w:rPr>
              <w:t>2028-2031</w:t>
            </w:r>
          </w:p>
        </w:tc>
        <w:tc>
          <w:tcPr>
            <w:tcW w:w="0" w:type="dxa"/>
            <w:vAlign w:val="bottom"/>
          </w:tcPr>
          <w:p>
            <w:pPr>
              <w:spacing w:after="0"/>
              <w:rPr>
                <w:sz w:val="1"/>
                <w:szCs w:val="1"/>
                <w:color w:val="auto"/>
              </w:rPr>
            </w:pPr>
          </w:p>
        </w:tc>
      </w:tr>
      <w:tr>
        <w:trPr>
          <w:trHeight w:val="203"/>
        </w:trPr>
        <w:tc>
          <w:tcPr>
            <w:tcW w:w="32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14</w:t>
            </w:r>
          </w:p>
        </w:tc>
        <w:tc>
          <w:tcPr>
            <w:tcW w:w="2720" w:type="dxa"/>
            <w:vAlign w:val="bottom"/>
            <w:gridSpan w:val="2"/>
            <w:shd w:val="clear" w:color="auto" w:fill="E5FFFF"/>
          </w:tcPr>
          <w:p>
            <w:pPr>
              <w:ind w:left="140"/>
              <w:spacing w:after="0"/>
              <w:rPr>
                <w:sz w:val="20"/>
                <w:szCs w:val="20"/>
                <w:color w:val="auto"/>
              </w:rPr>
            </w:pPr>
            <w:r>
              <w:rPr>
                <w:rFonts w:ascii="Arial" w:cs="Arial" w:eastAsia="Arial" w:hAnsi="Arial"/>
                <w:sz w:val="16"/>
                <w:szCs w:val="16"/>
                <w:i w:val="1"/>
                <w:iCs w:val="1"/>
                <w:color w:val="auto"/>
              </w:rPr>
              <w:t>GasLog Gibraltar</w:t>
            </w:r>
          </w:p>
        </w:tc>
        <w:tc>
          <w:tcPr>
            <w:tcW w:w="900" w:type="dxa"/>
            <w:vAlign w:val="bottom"/>
            <w:gridSpan w:val="3"/>
            <w:shd w:val="clear" w:color="auto" w:fill="E5FFFF"/>
          </w:tcPr>
          <w:p>
            <w:pPr>
              <w:jc w:val="center"/>
              <w:spacing w:after="0"/>
              <w:rPr>
                <w:sz w:val="20"/>
                <w:szCs w:val="20"/>
                <w:color w:val="auto"/>
              </w:rPr>
            </w:pPr>
            <w:r>
              <w:rPr>
                <w:rFonts w:ascii="Arial" w:cs="Arial" w:eastAsia="Arial" w:hAnsi="Arial"/>
                <w:sz w:val="16"/>
                <w:szCs w:val="16"/>
                <w:color w:val="auto"/>
                <w:w w:val="95"/>
              </w:rPr>
              <w:t>2016</w:t>
            </w:r>
          </w:p>
        </w:tc>
        <w:tc>
          <w:tcPr>
            <w:tcW w:w="100" w:type="dxa"/>
            <w:vAlign w:val="bottom"/>
            <w:shd w:val="clear" w:color="auto" w:fill="E5FFFF"/>
          </w:tcPr>
          <w:p>
            <w:pPr>
              <w:spacing w:after="0"/>
              <w:rPr>
                <w:sz w:val="17"/>
                <w:szCs w:val="17"/>
                <w:color w:val="auto"/>
              </w:rPr>
            </w:pPr>
          </w:p>
        </w:tc>
        <w:tc>
          <w:tcPr>
            <w:tcW w:w="40" w:type="dxa"/>
            <w:vAlign w:val="bottom"/>
            <w:shd w:val="clear" w:color="auto" w:fill="E5FFFF"/>
          </w:tcPr>
          <w:p>
            <w:pPr>
              <w:spacing w:after="0"/>
              <w:rPr>
                <w:sz w:val="17"/>
                <w:szCs w:val="17"/>
                <w:color w:val="auto"/>
              </w:rPr>
            </w:pPr>
          </w:p>
        </w:tc>
        <w:tc>
          <w:tcPr>
            <w:tcW w:w="920" w:type="dxa"/>
            <w:vAlign w:val="bottom"/>
            <w:gridSpan w:val="2"/>
            <w:shd w:val="clear" w:color="auto" w:fill="E5FFFF"/>
          </w:tcPr>
          <w:p>
            <w:pPr>
              <w:jc w:val="center"/>
              <w:spacing w:after="0"/>
              <w:rPr>
                <w:sz w:val="20"/>
                <w:szCs w:val="20"/>
                <w:color w:val="auto"/>
              </w:rPr>
            </w:pPr>
            <w:r>
              <w:rPr>
                <w:rFonts w:ascii="Arial" w:cs="Arial" w:eastAsia="Arial" w:hAnsi="Arial"/>
                <w:sz w:val="16"/>
                <w:szCs w:val="16"/>
                <w:color w:val="auto"/>
                <w:w w:val="89"/>
              </w:rPr>
              <w:t>174,000</w:t>
            </w:r>
          </w:p>
        </w:tc>
        <w:tc>
          <w:tcPr>
            <w:tcW w:w="14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480" w:type="dxa"/>
            <w:vAlign w:val="bottom"/>
            <w:gridSpan w:val="2"/>
            <w:shd w:val="clear" w:color="auto" w:fill="E5FFFF"/>
          </w:tcPr>
          <w:p>
            <w:pPr>
              <w:jc w:val="center"/>
              <w:ind w:right="320"/>
              <w:spacing w:after="0"/>
              <w:rPr>
                <w:sz w:val="20"/>
                <w:szCs w:val="20"/>
                <w:color w:val="auto"/>
              </w:rPr>
            </w:pPr>
            <w:r>
              <w:rPr>
                <w:rFonts w:ascii="Arial" w:cs="Arial" w:eastAsia="Arial" w:hAnsi="Arial"/>
                <w:sz w:val="16"/>
                <w:szCs w:val="16"/>
                <w:color w:val="auto"/>
                <w:w w:val="89"/>
              </w:rPr>
              <w:t>Shell</w:t>
            </w:r>
          </w:p>
        </w:tc>
        <w:tc>
          <w:tcPr>
            <w:tcW w:w="6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080" w:type="dxa"/>
            <w:vAlign w:val="bottom"/>
            <w:gridSpan w:val="2"/>
            <w:shd w:val="clear" w:color="auto" w:fill="E5FFFF"/>
          </w:tcPr>
          <w:p>
            <w:pPr>
              <w:ind w:left="180"/>
              <w:spacing w:after="0"/>
              <w:rPr>
                <w:sz w:val="20"/>
                <w:szCs w:val="20"/>
                <w:color w:val="auto"/>
              </w:rPr>
            </w:pPr>
            <w:r>
              <w:rPr>
                <w:rFonts w:ascii="Arial" w:cs="Arial" w:eastAsia="Arial" w:hAnsi="Arial"/>
                <w:sz w:val="16"/>
                <w:szCs w:val="16"/>
                <w:color w:val="auto"/>
              </w:rPr>
              <w:t>TFDE</w:t>
            </w:r>
          </w:p>
        </w:tc>
        <w:tc>
          <w:tcPr>
            <w:tcW w:w="6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2120" w:type="dxa"/>
            <w:vAlign w:val="bottom"/>
            <w:gridSpan w:val="3"/>
            <w:shd w:val="clear" w:color="auto" w:fill="E5FFFF"/>
          </w:tcPr>
          <w:p>
            <w:pPr>
              <w:jc w:val="center"/>
              <w:ind w:right="280"/>
              <w:spacing w:after="0"/>
              <w:rPr>
                <w:sz w:val="20"/>
                <w:szCs w:val="20"/>
                <w:color w:val="auto"/>
              </w:rPr>
            </w:pPr>
            <w:r>
              <w:rPr>
                <w:rFonts w:ascii="Arial" w:cs="Arial" w:eastAsia="Arial" w:hAnsi="Arial"/>
                <w:sz w:val="16"/>
                <w:szCs w:val="16"/>
                <w:color w:val="auto"/>
                <w:w w:val="90"/>
              </w:rPr>
              <w:t>October 2023</w:t>
            </w:r>
          </w:p>
        </w:tc>
        <w:tc>
          <w:tcPr>
            <w:tcW w:w="128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1"/>
              </w:rPr>
              <w:t>2028-2031</w:t>
            </w:r>
          </w:p>
        </w:tc>
        <w:tc>
          <w:tcPr>
            <w:tcW w:w="0" w:type="dxa"/>
            <w:vAlign w:val="bottom"/>
          </w:tcPr>
          <w:p>
            <w:pPr>
              <w:spacing w:after="0"/>
              <w:rPr>
                <w:sz w:val="1"/>
                <w:szCs w:val="1"/>
                <w:color w:val="auto"/>
              </w:rPr>
            </w:pPr>
          </w:p>
        </w:tc>
      </w:tr>
      <w:tr>
        <w:trPr>
          <w:trHeight w:val="413"/>
        </w:trPr>
        <w:tc>
          <w:tcPr>
            <w:tcW w:w="3040" w:type="dxa"/>
            <w:vAlign w:val="bottom"/>
            <w:gridSpan w:val="3"/>
          </w:tcPr>
          <w:p>
            <w:pPr>
              <w:spacing w:after="0"/>
              <w:rPr>
                <w:sz w:val="20"/>
                <w:szCs w:val="20"/>
                <w:color w:val="auto"/>
              </w:rPr>
            </w:pPr>
            <w:r>
              <w:rPr>
                <w:rFonts w:ascii="Arial" w:cs="Arial" w:eastAsia="Arial" w:hAnsi="Arial"/>
                <w:sz w:val="16"/>
                <w:szCs w:val="16"/>
                <w:b w:val="1"/>
                <w:bCs w:val="1"/>
                <w:i w:val="1"/>
                <w:iCs w:val="1"/>
                <w:color w:val="auto"/>
              </w:rPr>
              <w:t>Bareboat Vessel</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3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gridSpan w:val="2"/>
          </w:tcPr>
          <w:p>
            <w:pPr>
              <w:jc w:val="center"/>
              <w:spacing w:after="0"/>
              <w:rPr>
                <w:sz w:val="20"/>
                <w:szCs w:val="20"/>
                <w:color w:val="auto"/>
              </w:rPr>
            </w:pPr>
            <w:r>
              <w:rPr>
                <w:rFonts w:ascii="Arial" w:cs="Arial" w:eastAsia="Arial" w:hAnsi="Arial"/>
                <w:sz w:val="16"/>
                <w:szCs w:val="16"/>
                <w:b w:val="1"/>
                <w:bCs w:val="1"/>
                <w:color w:val="auto"/>
                <w:w w:val="95"/>
              </w:rPr>
              <w:t>Cargo</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3"/>
          </w:tcPr>
          <w:p>
            <w:pPr>
              <w:ind w:left="160"/>
              <w:spacing w:after="0"/>
              <w:rPr>
                <w:sz w:val="20"/>
                <w:szCs w:val="20"/>
                <w:color w:val="auto"/>
              </w:rPr>
            </w:pPr>
            <w:r>
              <w:rPr>
                <w:rFonts w:ascii="Arial" w:cs="Arial" w:eastAsia="Arial" w:hAnsi="Arial"/>
                <w:sz w:val="16"/>
                <w:szCs w:val="16"/>
                <w:b w:val="1"/>
                <w:bCs w:val="1"/>
                <w:color w:val="auto"/>
              </w:rPr>
              <w:t>Year</w:t>
            </w:r>
          </w:p>
        </w:tc>
        <w:tc>
          <w:tcPr>
            <w:tcW w:w="80" w:type="dxa"/>
            <w:vAlign w:val="bottom"/>
          </w:tcPr>
          <w:p>
            <w:pPr>
              <w:spacing w:after="0"/>
              <w:rPr>
                <w:sz w:val="17"/>
                <w:szCs w:val="17"/>
                <w:color w:val="auto"/>
              </w:rPr>
            </w:pPr>
          </w:p>
        </w:tc>
        <w:tc>
          <w:tcPr>
            <w:tcW w:w="98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Capacity</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8"/>
              </w:rPr>
              <w:t>Charter</w:t>
            </w:r>
          </w:p>
        </w:tc>
        <w:tc>
          <w:tcPr>
            <w:tcW w:w="1280" w:type="dxa"/>
            <w:vAlign w:val="bottom"/>
          </w:tcPr>
          <w:p>
            <w:pPr>
              <w:ind w:left="340"/>
              <w:spacing w:after="0"/>
              <w:rPr>
                <w:sz w:val="20"/>
                <w:szCs w:val="20"/>
                <w:color w:val="auto"/>
              </w:rPr>
            </w:pPr>
            <w:r>
              <w:rPr>
                <w:rFonts w:ascii="Arial" w:cs="Arial" w:eastAsia="Arial" w:hAnsi="Arial"/>
                <w:sz w:val="16"/>
                <w:szCs w:val="16"/>
                <w:b w:val="1"/>
                <w:bCs w:val="1"/>
                <w:color w:val="auto"/>
              </w:rPr>
              <w:t>Optional</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720" w:type="dxa"/>
            <w:vAlign w:val="bottom"/>
            <w:gridSpan w:val="2"/>
          </w:tcPr>
          <w:p>
            <w:pPr>
              <w:ind w:left="900"/>
              <w:spacing w:after="0"/>
              <w:rPr>
                <w:sz w:val="20"/>
                <w:szCs w:val="20"/>
                <w:color w:val="auto"/>
              </w:rPr>
            </w:pPr>
            <w:r>
              <w:rPr>
                <w:rFonts w:ascii="Arial" w:cs="Arial" w:eastAsia="Arial" w:hAnsi="Arial"/>
                <w:sz w:val="16"/>
                <w:szCs w:val="16"/>
                <w:b w:val="1"/>
                <w:bCs w:val="1"/>
                <w:color w:val="auto"/>
              </w:rPr>
              <w:t>Vessel Name</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3"/>
          </w:tcPr>
          <w:p>
            <w:pPr>
              <w:ind w:left="140"/>
              <w:spacing w:after="0"/>
              <w:rPr>
                <w:sz w:val="20"/>
                <w:szCs w:val="20"/>
                <w:color w:val="auto"/>
              </w:rPr>
            </w:pPr>
            <w:r>
              <w:rPr>
                <w:rFonts w:ascii="Arial" w:cs="Arial" w:eastAsia="Arial" w:hAnsi="Arial"/>
                <w:sz w:val="16"/>
                <w:szCs w:val="16"/>
                <w:b w:val="1"/>
                <w:bCs w:val="1"/>
                <w:color w:val="auto"/>
              </w:rPr>
              <w:t>Built</w:t>
            </w:r>
          </w:p>
        </w:tc>
        <w:tc>
          <w:tcPr>
            <w:tcW w:w="80" w:type="dxa"/>
            <w:vAlign w:val="bottom"/>
          </w:tcPr>
          <w:p>
            <w:pPr>
              <w:spacing w:after="0"/>
              <w:rPr>
                <w:sz w:val="18"/>
                <w:szCs w:val="18"/>
                <w:color w:val="auto"/>
              </w:rPr>
            </w:pPr>
          </w:p>
        </w:tc>
        <w:tc>
          <w:tcPr>
            <w:tcW w:w="98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(cbm)</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spacing w:after="0"/>
              <w:rPr>
                <w:sz w:val="20"/>
                <w:szCs w:val="20"/>
                <w:color w:val="auto"/>
              </w:rPr>
            </w:pPr>
            <w:r>
              <w:rPr>
                <w:rFonts w:ascii="Arial" w:cs="Arial" w:eastAsia="Arial" w:hAnsi="Arial"/>
                <w:sz w:val="16"/>
                <w:szCs w:val="16"/>
                <w:b w:val="1"/>
                <w:bCs w:val="1"/>
                <w:color w:val="auto"/>
                <w:w w:val="97"/>
              </w:rPr>
              <w:t>Charterer</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ind w:left="200"/>
              <w:spacing w:after="0"/>
              <w:rPr>
                <w:sz w:val="20"/>
                <w:szCs w:val="20"/>
                <w:color w:val="auto"/>
              </w:rPr>
            </w:pPr>
            <w:r>
              <w:rPr>
                <w:rFonts w:ascii="Arial" w:cs="Arial" w:eastAsia="Arial" w:hAnsi="Arial"/>
                <w:sz w:val="16"/>
                <w:szCs w:val="16"/>
                <w:b w:val="1"/>
                <w:bCs w:val="1"/>
                <w:color w:val="auto"/>
              </w:rPr>
              <w:t>Propulsion</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20" w:type="dxa"/>
            <w:vAlign w:val="bottom"/>
            <w:gridSpan w:val="3"/>
          </w:tcPr>
          <w:p>
            <w:pPr>
              <w:jc w:val="center"/>
              <w:ind w:right="120"/>
              <w:spacing w:after="0" w:line="217" w:lineRule="exact"/>
              <w:rPr>
                <w:sz w:val="20"/>
                <w:szCs w:val="20"/>
                <w:color w:val="auto"/>
              </w:rPr>
            </w:pPr>
            <w:r>
              <w:rPr>
                <w:rFonts w:ascii="Arial" w:cs="Arial" w:eastAsia="Arial" w:hAnsi="Arial"/>
                <w:sz w:val="16"/>
                <w:szCs w:val="16"/>
                <w:b w:val="1"/>
                <w:bCs w:val="1"/>
                <w:color w:val="auto"/>
                <w:w w:val="92"/>
              </w:rPr>
              <w:t>Expiration</w:t>
            </w:r>
            <w:r>
              <w:rPr>
                <w:rFonts w:ascii="Arial" w:cs="Arial" w:eastAsia="Arial" w:hAnsi="Arial"/>
                <w:sz w:val="21"/>
                <w:szCs w:val="21"/>
                <w:b w:val="1"/>
                <w:bCs w:val="1"/>
                <w:color w:val="auto"/>
                <w:w w:val="92"/>
                <w:vertAlign w:val="superscript"/>
              </w:rPr>
              <w:t>(1)</w:t>
            </w:r>
          </w:p>
        </w:tc>
        <w:tc>
          <w:tcPr>
            <w:tcW w:w="1280" w:type="dxa"/>
            <w:vAlign w:val="bottom"/>
          </w:tcPr>
          <w:p>
            <w:pPr>
              <w:ind w:left="340"/>
              <w:spacing w:after="0" w:line="217" w:lineRule="exact"/>
              <w:rPr>
                <w:sz w:val="20"/>
                <w:szCs w:val="20"/>
                <w:color w:val="auto"/>
              </w:rPr>
            </w:pPr>
            <w:r>
              <w:rPr>
                <w:rFonts w:ascii="Arial" w:cs="Arial" w:eastAsia="Arial" w:hAnsi="Arial"/>
                <w:sz w:val="16"/>
                <w:szCs w:val="16"/>
                <w:b w:val="1"/>
                <w:bCs w:val="1"/>
                <w:color w:val="auto"/>
              </w:rPr>
              <w:t>Period</w:t>
            </w:r>
            <w:r>
              <w:rPr>
                <w:rFonts w:ascii="Arial" w:cs="Arial" w:eastAsia="Arial" w:hAnsi="Arial"/>
                <w:sz w:val="21"/>
                <w:szCs w:val="21"/>
                <w:b w:val="1"/>
                <w:bCs w:val="1"/>
                <w:color w:val="auto"/>
                <w:vertAlign w:val="superscript"/>
              </w:rPr>
              <w:t>(2)</w:t>
            </w:r>
          </w:p>
        </w:tc>
        <w:tc>
          <w:tcPr>
            <w:tcW w:w="0" w:type="dxa"/>
            <w:vAlign w:val="bottom"/>
          </w:tcPr>
          <w:p>
            <w:pPr>
              <w:spacing w:after="0"/>
              <w:rPr>
                <w:sz w:val="1"/>
                <w:szCs w:val="1"/>
                <w:color w:val="auto"/>
              </w:rPr>
            </w:pPr>
          </w:p>
        </w:tc>
      </w:tr>
      <w:tr>
        <w:trPr>
          <w:trHeight w:val="196"/>
        </w:trPr>
        <w:tc>
          <w:tcPr>
            <w:tcW w:w="320" w:type="dxa"/>
            <w:vAlign w:val="bottom"/>
            <w:tcBorders>
              <w:top w:val="single" w:sz="8" w:color="auto"/>
            </w:tcBorders>
            <w:shd w:val="clear" w:color="auto" w:fill="E5FFFF"/>
          </w:tcPr>
          <w:p>
            <w:pPr>
              <w:spacing w:after="0"/>
              <w:rPr>
                <w:sz w:val="20"/>
                <w:szCs w:val="20"/>
                <w:color w:val="auto"/>
              </w:rPr>
            </w:pPr>
            <w:r>
              <w:rPr>
                <w:rFonts w:ascii="Arial" w:cs="Arial" w:eastAsia="Arial" w:hAnsi="Arial"/>
                <w:sz w:val="16"/>
                <w:szCs w:val="16"/>
                <w:b w:val="1"/>
                <w:bCs w:val="1"/>
                <w:color w:val="auto"/>
              </w:rPr>
              <w:t>1</w:t>
            </w:r>
          </w:p>
        </w:tc>
        <w:tc>
          <w:tcPr>
            <w:tcW w:w="2720" w:type="dxa"/>
            <w:vAlign w:val="bottom"/>
            <w:tcBorders>
              <w:top w:val="single" w:sz="8" w:color="auto"/>
            </w:tcBorders>
            <w:gridSpan w:val="2"/>
            <w:shd w:val="clear" w:color="auto" w:fill="E5FFFF"/>
          </w:tcPr>
          <w:p>
            <w:pPr>
              <w:ind w:left="140"/>
              <w:spacing w:after="0" w:line="196" w:lineRule="exact"/>
              <w:rPr>
                <w:sz w:val="20"/>
                <w:szCs w:val="20"/>
                <w:color w:val="auto"/>
              </w:rPr>
            </w:pPr>
            <w:r>
              <w:rPr>
                <w:rFonts w:ascii="Arial" w:cs="Arial" w:eastAsia="Arial" w:hAnsi="Arial"/>
                <w:sz w:val="16"/>
                <w:szCs w:val="16"/>
                <w:i w:val="1"/>
                <w:iCs w:val="1"/>
                <w:color w:val="auto"/>
              </w:rPr>
              <w:t xml:space="preserve">Methane Julia Louise </w:t>
            </w:r>
            <w:r>
              <w:rPr>
                <w:rFonts w:ascii="Arial" w:cs="Arial" w:eastAsia="Arial" w:hAnsi="Arial"/>
                <w:sz w:val="21"/>
                <w:szCs w:val="21"/>
                <w:color w:val="auto"/>
                <w:vertAlign w:val="superscript"/>
              </w:rPr>
              <w:t>(8)</w:t>
            </w:r>
          </w:p>
        </w:tc>
        <w:tc>
          <w:tcPr>
            <w:tcW w:w="260" w:type="dxa"/>
            <w:vAlign w:val="bottom"/>
            <w:tcBorders>
              <w:top w:val="single" w:sz="8" w:color="auto"/>
            </w:tcBorders>
            <w:shd w:val="clear" w:color="auto" w:fill="E5FFFF"/>
          </w:tcPr>
          <w:p>
            <w:pPr>
              <w:spacing w:after="0"/>
              <w:rPr>
                <w:sz w:val="17"/>
                <w:szCs w:val="17"/>
                <w:color w:val="auto"/>
              </w:rPr>
            </w:pPr>
          </w:p>
        </w:tc>
        <w:tc>
          <w:tcPr>
            <w:tcW w:w="120" w:type="dxa"/>
            <w:vAlign w:val="bottom"/>
            <w:tcBorders>
              <w:top w:val="single" w:sz="8" w:color="E5FFFF"/>
            </w:tcBorders>
            <w:shd w:val="clear" w:color="auto" w:fill="E5FFFF"/>
          </w:tcPr>
          <w:p>
            <w:pPr>
              <w:spacing w:after="0"/>
              <w:rPr>
                <w:sz w:val="17"/>
                <w:szCs w:val="17"/>
                <w:color w:val="auto"/>
              </w:rPr>
            </w:pPr>
          </w:p>
        </w:tc>
        <w:tc>
          <w:tcPr>
            <w:tcW w:w="520" w:type="dxa"/>
            <w:vAlign w:val="bottom"/>
            <w:tcBorders>
              <w:top w:val="single" w:sz="8" w:color="auto"/>
            </w:tcBorders>
            <w:shd w:val="clear" w:color="auto" w:fill="E5FFFF"/>
          </w:tcPr>
          <w:p>
            <w:pPr>
              <w:ind w:left="160"/>
              <w:spacing w:after="0"/>
              <w:rPr>
                <w:sz w:val="20"/>
                <w:szCs w:val="20"/>
                <w:color w:val="auto"/>
              </w:rPr>
            </w:pPr>
            <w:r>
              <w:rPr>
                <w:rFonts w:ascii="Arial" w:cs="Arial" w:eastAsia="Arial" w:hAnsi="Arial"/>
                <w:sz w:val="16"/>
                <w:szCs w:val="16"/>
                <w:color w:val="auto"/>
                <w:w w:val="95"/>
              </w:rPr>
              <w:t>2010</w:t>
            </w:r>
          </w:p>
        </w:tc>
        <w:tc>
          <w:tcPr>
            <w:tcW w:w="100" w:type="dxa"/>
            <w:vAlign w:val="bottom"/>
            <w:tcBorders>
              <w:top w:val="single" w:sz="8" w:color="auto"/>
            </w:tcBorders>
            <w:shd w:val="clear" w:color="auto" w:fill="E5FFFF"/>
          </w:tcPr>
          <w:p>
            <w:pPr>
              <w:spacing w:after="0"/>
              <w:rPr>
                <w:sz w:val="17"/>
                <w:szCs w:val="17"/>
                <w:color w:val="auto"/>
              </w:rPr>
            </w:pPr>
          </w:p>
        </w:tc>
        <w:tc>
          <w:tcPr>
            <w:tcW w:w="40" w:type="dxa"/>
            <w:vAlign w:val="bottom"/>
            <w:tcBorders>
              <w:top w:val="single" w:sz="8" w:color="E5FFFF"/>
            </w:tcBorders>
            <w:shd w:val="clear" w:color="auto" w:fill="E5FFFF"/>
          </w:tcPr>
          <w:p>
            <w:pPr>
              <w:spacing w:after="0"/>
              <w:rPr>
                <w:sz w:val="17"/>
                <w:szCs w:val="17"/>
                <w:color w:val="auto"/>
              </w:rPr>
            </w:pPr>
          </w:p>
        </w:tc>
        <w:tc>
          <w:tcPr>
            <w:tcW w:w="80" w:type="dxa"/>
            <w:vAlign w:val="bottom"/>
            <w:tcBorders>
              <w:top w:val="single" w:sz="8" w:color="E5FFFF"/>
            </w:tcBorders>
            <w:shd w:val="clear" w:color="auto" w:fill="E5FFFF"/>
          </w:tcPr>
          <w:p>
            <w:pPr>
              <w:spacing w:after="0"/>
              <w:rPr>
                <w:sz w:val="17"/>
                <w:szCs w:val="17"/>
                <w:color w:val="auto"/>
              </w:rPr>
            </w:pPr>
          </w:p>
        </w:tc>
        <w:tc>
          <w:tcPr>
            <w:tcW w:w="840" w:type="dxa"/>
            <w:vAlign w:val="bottom"/>
            <w:tcBorders>
              <w:top w:val="single" w:sz="8" w:color="auto"/>
            </w:tcBorders>
            <w:shd w:val="clear" w:color="auto" w:fill="E5FFFF"/>
          </w:tcPr>
          <w:p>
            <w:pPr>
              <w:jc w:val="center"/>
              <w:ind w:left="79"/>
              <w:spacing w:after="0"/>
              <w:rPr>
                <w:sz w:val="20"/>
                <w:szCs w:val="20"/>
                <w:color w:val="auto"/>
              </w:rPr>
            </w:pPr>
            <w:r>
              <w:rPr>
                <w:rFonts w:ascii="Arial" w:cs="Arial" w:eastAsia="Arial" w:hAnsi="Arial"/>
                <w:sz w:val="16"/>
                <w:szCs w:val="16"/>
                <w:color w:val="auto"/>
                <w:w w:val="89"/>
              </w:rPr>
              <w:t>170,000</w:t>
            </w:r>
          </w:p>
        </w:tc>
        <w:tc>
          <w:tcPr>
            <w:tcW w:w="140" w:type="dxa"/>
            <w:vAlign w:val="bottom"/>
            <w:tcBorders>
              <w:top w:val="single" w:sz="8" w:color="auto"/>
            </w:tcBorders>
            <w:shd w:val="clear" w:color="auto" w:fill="E5FFFF"/>
          </w:tcPr>
          <w:p>
            <w:pPr>
              <w:spacing w:after="0"/>
              <w:rPr>
                <w:sz w:val="17"/>
                <w:szCs w:val="17"/>
                <w:color w:val="auto"/>
              </w:rPr>
            </w:pPr>
          </w:p>
        </w:tc>
        <w:tc>
          <w:tcPr>
            <w:tcW w:w="20" w:type="dxa"/>
            <w:vAlign w:val="bottom"/>
            <w:tcBorders>
              <w:top w:val="single" w:sz="8" w:color="auto"/>
            </w:tcBorders>
            <w:shd w:val="clear" w:color="auto" w:fill="E5FFFF"/>
          </w:tcPr>
          <w:p>
            <w:pPr>
              <w:spacing w:after="0"/>
              <w:rPr>
                <w:sz w:val="17"/>
                <w:szCs w:val="17"/>
                <w:color w:val="auto"/>
              </w:rPr>
            </w:pPr>
          </w:p>
        </w:tc>
        <w:tc>
          <w:tcPr>
            <w:tcW w:w="120" w:type="dxa"/>
            <w:vAlign w:val="bottom"/>
            <w:tcBorders>
              <w:top w:val="single" w:sz="8" w:color="E5FFFF"/>
            </w:tcBorders>
            <w:shd w:val="clear" w:color="auto" w:fill="E5FFFF"/>
          </w:tcPr>
          <w:p>
            <w:pPr>
              <w:spacing w:after="0"/>
              <w:rPr>
                <w:sz w:val="17"/>
                <w:szCs w:val="17"/>
                <w:color w:val="auto"/>
              </w:rPr>
            </w:pPr>
          </w:p>
        </w:tc>
        <w:tc>
          <w:tcPr>
            <w:tcW w:w="1480" w:type="dxa"/>
            <w:vAlign w:val="bottom"/>
            <w:tcBorders>
              <w:top w:val="single" w:sz="8" w:color="auto"/>
            </w:tcBorders>
            <w:gridSpan w:val="2"/>
            <w:shd w:val="clear" w:color="auto" w:fill="E5FFFF"/>
          </w:tcPr>
          <w:p>
            <w:pPr>
              <w:jc w:val="center"/>
              <w:spacing w:after="0"/>
              <w:rPr>
                <w:sz w:val="20"/>
                <w:szCs w:val="20"/>
                <w:color w:val="auto"/>
              </w:rPr>
            </w:pPr>
            <w:r>
              <w:rPr>
                <w:rFonts w:ascii="Arial" w:cs="Arial" w:eastAsia="Arial" w:hAnsi="Arial"/>
                <w:sz w:val="16"/>
                <w:szCs w:val="16"/>
                <w:color w:val="auto"/>
                <w:w w:val="95"/>
              </w:rPr>
              <w:t>Shell</w:t>
            </w:r>
          </w:p>
        </w:tc>
        <w:tc>
          <w:tcPr>
            <w:tcW w:w="60" w:type="dxa"/>
            <w:vAlign w:val="bottom"/>
            <w:tcBorders>
              <w:top w:val="single" w:sz="8" w:color="auto"/>
            </w:tcBorders>
            <w:shd w:val="clear" w:color="auto" w:fill="E5FFFF"/>
          </w:tcPr>
          <w:p>
            <w:pPr>
              <w:spacing w:after="0"/>
              <w:rPr>
                <w:sz w:val="17"/>
                <w:szCs w:val="17"/>
                <w:color w:val="auto"/>
              </w:rPr>
            </w:pPr>
          </w:p>
        </w:tc>
        <w:tc>
          <w:tcPr>
            <w:tcW w:w="100" w:type="dxa"/>
            <w:vAlign w:val="bottom"/>
            <w:tcBorders>
              <w:top w:val="single" w:sz="8" w:color="E5FFFF"/>
            </w:tcBorders>
            <w:shd w:val="clear" w:color="auto" w:fill="E5FFFF"/>
          </w:tcPr>
          <w:p>
            <w:pPr>
              <w:spacing w:after="0"/>
              <w:rPr>
                <w:sz w:val="17"/>
                <w:szCs w:val="17"/>
                <w:color w:val="auto"/>
              </w:rPr>
            </w:pPr>
          </w:p>
        </w:tc>
        <w:tc>
          <w:tcPr>
            <w:tcW w:w="1080" w:type="dxa"/>
            <w:vAlign w:val="bottom"/>
            <w:tcBorders>
              <w:top w:val="single" w:sz="8" w:color="auto"/>
            </w:tcBorders>
            <w:gridSpan w:val="2"/>
            <w:shd w:val="clear" w:color="auto" w:fill="E5FFFF"/>
          </w:tcPr>
          <w:p>
            <w:pPr>
              <w:jc w:val="right"/>
              <w:ind w:right="320"/>
              <w:spacing w:after="0"/>
              <w:rPr>
                <w:sz w:val="20"/>
                <w:szCs w:val="20"/>
                <w:color w:val="auto"/>
              </w:rPr>
            </w:pPr>
            <w:r>
              <w:rPr>
                <w:rFonts w:ascii="Arial" w:cs="Arial" w:eastAsia="Arial" w:hAnsi="Arial"/>
                <w:sz w:val="16"/>
                <w:szCs w:val="16"/>
                <w:color w:val="auto"/>
              </w:rPr>
              <w:t>TFDE</w:t>
            </w:r>
          </w:p>
        </w:tc>
        <w:tc>
          <w:tcPr>
            <w:tcW w:w="60" w:type="dxa"/>
            <w:vAlign w:val="bottom"/>
            <w:tcBorders>
              <w:top w:val="single" w:sz="8" w:color="auto"/>
            </w:tcBorders>
            <w:shd w:val="clear" w:color="auto" w:fill="E5FFFF"/>
          </w:tcPr>
          <w:p>
            <w:pPr>
              <w:spacing w:after="0"/>
              <w:rPr>
                <w:sz w:val="17"/>
                <w:szCs w:val="17"/>
                <w:color w:val="auto"/>
              </w:rPr>
            </w:pPr>
          </w:p>
        </w:tc>
        <w:tc>
          <w:tcPr>
            <w:tcW w:w="100" w:type="dxa"/>
            <w:vAlign w:val="bottom"/>
            <w:tcBorders>
              <w:top w:val="single" w:sz="8" w:color="E5FFFF"/>
            </w:tcBorders>
            <w:shd w:val="clear" w:color="auto" w:fill="E5FFFF"/>
          </w:tcPr>
          <w:p>
            <w:pPr>
              <w:spacing w:after="0"/>
              <w:rPr>
                <w:sz w:val="17"/>
                <w:szCs w:val="17"/>
                <w:color w:val="auto"/>
              </w:rPr>
            </w:pPr>
          </w:p>
        </w:tc>
        <w:tc>
          <w:tcPr>
            <w:tcW w:w="200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94"/>
              </w:rPr>
              <w:t>March 2026</w:t>
            </w:r>
          </w:p>
        </w:tc>
        <w:tc>
          <w:tcPr>
            <w:tcW w:w="100" w:type="dxa"/>
            <w:vAlign w:val="bottom"/>
            <w:tcBorders>
              <w:top w:val="single" w:sz="8" w:color="E5FFFF"/>
            </w:tcBorders>
            <w:shd w:val="clear" w:color="auto" w:fill="E5FFFF"/>
          </w:tcPr>
          <w:p>
            <w:pPr>
              <w:spacing w:after="0"/>
              <w:rPr>
                <w:sz w:val="17"/>
                <w:szCs w:val="17"/>
                <w:color w:val="auto"/>
              </w:rPr>
            </w:pPr>
          </w:p>
        </w:tc>
        <w:tc>
          <w:tcPr>
            <w:tcW w:w="20" w:type="dxa"/>
            <w:vAlign w:val="bottom"/>
            <w:tcBorders>
              <w:top w:val="single" w:sz="8" w:color="auto"/>
            </w:tcBorders>
            <w:shd w:val="clear" w:color="auto" w:fill="E5FFFF"/>
          </w:tcPr>
          <w:p>
            <w:pPr>
              <w:spacing w:after="0"/>
              <w:rPr>
                <w:sz w:val="17"/>
                <w:szCs w:val="17"/>
                <w:color w:val="auto"/>
              </w:rPr>
            </w:pPr>
          </w:p>
        </w:tc>
        <w:tc>
          <w:tcPr>
            <w:tcW w:w="128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91"/>
              </w:rPr>
              <w:t>2029-2031</w:t>
            </w:r>
          </w:p>
        </w:tc>
        <w:tc>
          <w:tcPr>
            <w:tcW w:w="0" w:type="dxa"/>
            <w:vAlign w:val="bottom"/>
          </w:tcPr>
          <w:p>
            <w:pPr>
              <w:spacing w:after="0"/>
              <w:rPr>
                <w:sz w:val="1"/>
                <w:szCs w:val="1"/>
                <w:color w:val="auto"/>
              </w:rPr>
            </w:pPr>
          </w:p>
        </w:tc>
      </w:tr>
    </w:tbl>
    <w:p>
      <w:pPr>
        <w:spacing w:after="0" w:line="151" w:lineRule="exact"/>
        <w:rPr>
          <w:sz w:val="20"/>
          <w:szCs w:val="20"/>
          <w:color w:val="auto"/>
        </w:rPr>
      </w:pPr>
    </w:p>
    <w:p>
      <w:pPr>
        <w:ind w:left="200" w:hanging="192"/>
        <w:spacing w:after="0"/>
        <w:tabs>
          <w:tab w:leader="none" w:pos="200" w:val="left"/>
        </w:tabs>
        <w:numPr>
          <w:ilvl w:val="0"/>
          <w:numId w:val="9"/>
        </w:numPr>
        <w:rPr>
          <w:rFonts w:ascii="Arial" w:cs="Arial" w:eastAsia="Arial" w:hAnsi="Arial"/>
          <w:sz w:val="18"/>
          <w:szCs w:val="18"/>
          <w:color w:val="auto"/>
          <w:vertAlign w:val="superscript"/>
        </w:rPr>
      </w:pPr>
      <w:r>
        <w:rPr>
          <w:rFonts w:ascii="Arial" w:cs="Arial" w:eastAsia="Arial" w:hAnsi="Arial"/>
          <w:sz w:val="14"/>
          <w:szCs w:val="14"/>
          <w:color w:val="auto"/>
        </w:rPr>
        <w:t>Indicates the expiration of the initial term.</w:t>
      </w:r>
    </w:p>
    <w:p>
      <w:pPr>
        <w:ind w:left="200" w:hanging="192"/>
        <w:spacing w:after="0" w:line="230" w:lineRule="auto"/>
        <w:tabs>
          <w:tab w:leader="none" w:pos="191" w:val="left"/>
        </w:tabs>
        <w:numPr>
          <w:ilvl w:val="0"/>
          <w:numId w:val="9"/>
        </w:numPr>
        <w:rPr>
          <w:rFonts w:ascii="Arial" w:cs="Arial" w:eastAsia="Arial" w:hAnsi="Arial"/>
          <w:sz w:val="17"/>
          <w:szCs w:val="17"/>
          <w:color w:val="auto"/>
          <w:vertAlign w:val="superscript"/>
        </w:rPr>
      </w:pPr>
      <w:r>
        <w:rPr>
          <w:rFonts w:ascii="Arial" w:cs="Arial" w:eastAsia="Arial" w:hAnsi="Arial"/>
          <w:sz w:val="13"/>
          <w:szCs w:val="13"/>
          <w:color w:val="auto"/>
        </w:rPr>
        <w:t xml:space="preserve">The period shown reflects the expiration of the minimum optional period and the maximum optional period. The charterer of the </w:t>
      </w:r>
      <w:r>
        <w:rPr>
          <w:rFonts w:ascii="Arial" w:cs="Arial" w:eastAsia="Arial" w:hAnsi="Arial"/>
          <w:sz w:val="13"/>
          <w:szCs w:val="13"/>
          <w:i w:val="1"/>
          <w:iCs w:val="1"/>
          <w:color w:val="auto"/>
        </w:rPr>
        <w:t>GasLog Santiago</w:t>
      </w:r>
      <w:r>
        <w:rPr>
          <w:rFonts w:ascii="Arial" w:cs="Arial" w:eastAsia="Arial" w:hAnsi="Arial"/>
          <w:sz w:val="13"/>
          <w:szCs w:val="13"/>
          <w:color w:val="auto"/>
        </w:rPr>
        <w:t xml:space="preserve"> may extend the term of this time charter for a period ranging from one to seven years, provided that the charterer provides us with advance notice of declaration. The charterer of the </w:t>
      </w:r>
      <w:r>
        <w:rPr>
          <w:rFonts w:ascii="Arial" w:cs="Arial" w:eastAsia="Arial" w:hAnsi="Arial"/>
          <w:sz w:val="13"/>
          <w:szCs w:val="13"/>
          <w:i w:val="1"/>
          <w:iCs w:val="1"/>
          <w:color w:val="auto"/>
        </w:rPr>
        <w:t>GasLog Sydney</w:t>
      </w:r>
      <w:r>
        <w:rPr>
          <w:rFonts w:ascii="Arial" w:cs="Arial" w:eastAsia="Arial" w:hAnsi="Arial"/>
          <w:sz w:val="13"/>
          <w:szCs w:val="13"/>
          <w:color w:val="auto"/>
        </w:rPr>
        <w:t xml:space="preserve"> may extend the term of this time charter for a period ranging from six to twelve months, provided that the charterer provides us with advance notice of declaration. The charterer of the </w:t>
      </w:r>
      <w:r>
        <w:rPr>
          <w:rFonts w:ascii="Arial" w:cs="Arial" w:eastAsia="Arial" w:hAnsi="Arial"/>
          <w:sz w:val="13"/>
          <w:szCs w:val="13"/>
          <w:i w:val="1"/>
          <w:iCs w:val="1"/>
          <w:color w:val="auto"/>
        </w:rPr>
        <w:t>Methane Becki Anne</w:t>
      </w:r>
      <w:r>
        <w:rPr>
          <w:rFonts w:ascii="Arial" w:cs="Arial" w:eastAsia="Arial" w:hAnsi="Arial"/>
          <w:sz w:val="13"/>
          <w:szCs w:val="13"/>
          <w:color w:val="auto"/>
        </w:rPr>
        <w:t xml:space="preserve"> and the </w:t>
      </w:r>
      <w:r>
        <w:rPr>
          <w:rFonts w:ascii="Arial" w:cs="Arial" w:eastAsia="Arial" w:hAnsi="Arial"/>
          <w:sz w:val="13"/>
          <w:szCs w:val="13"/>
          <w:i w:val="1"/>
          <w:iCs w:val="1"/>
          <w:color w:val="auto"/>
        </w:rPr>
        <w:t>Methane Julia Louise</w:t>
      </w:r>
      <w:r>
        <w:rPr>
          <w:rFonts w:ascii="Arial" w:cs="Arial" w:eastAsia="Arial" w:hAnsi="Arial"/>
          <w:sz w:val="13"/>
          <w:szCs w:val="13"/>
          <w:color w:val="auto"/>
        </w:rPr>
        <w:t xml:space="preserve"> has unilateral options to extend the term of the related time charters for a period of either three or five years at their election, provided that the charterer provides us with advance notice of declaration of any option in accordance with the terms of the applicable charter. The charterer of the </w:t>
      </w:r>
      <w:r>
        <w:rPr>
          <w:rFonts w:ascii="Arial" w:cs="Arial" w:eastAsia="Arial" w:hAnsi="Arial"/>
          <w:sz w:val="13"/>
          <w:szCs w:val="13"/>
          <w:i w:val="1"/>
          <w:iCs w:val="1"/>
          <w:color w:val="auto"/>
        </w:rPr>
        <w:t>GasLog Greece</w:t>
      </w:r>
      <w:r>
        <w:rPr>
          <w:rFonts w:ascii="Arial" w:cs="Arial" w:eastAsia="Arial" w:hAnsi="Arial"/>
          <w:sz w:val="13"/>
          <w:szCs w:val="13"/>
          <w:color w:val="auto"/>
        </w:rPr>
        <w:t xml:space="preserve"> and the </w:t>
      </w:r>
      <w:r>
        <w:rPr>
          <w:rFonts w:ascii="Arial" w:cs="Arial" w:eastAsia="Arial" w:hAnsi="Arial"/>
          <w:sz w:val="13"/>
          <w:szCs w:val="13"/>
          <w:i w:val="1"/>
          <w:iCs w:val="1"/>
          <w:color w:val="auto"/>
        </w:rPr>
        <w:t>GasLog Glasgow</w:t>
      </w:r>
      <w:r>
        <w:rPr>
          <w:rFonts w:ascii="Arial" w:cs="Arial" w:eastAsia="Arial" w:hAnsi="Arial"/>
          <w:sz w:val="13"/>
          <w:szCs w:val="13"/>
          <w:color w:val="auto"/>
        </w:rPr>
        <w:t xml:space="preserve"> has the right to extend the charters for a period of five years at the charterer’s option. The charterer of the </w:t>
      </w:r>
      <w:r>
        <w:rPr>
          <w:rFonts w:ascii="Arial" w:cs="Arial" w:eastAsia="Arial" w:hAnsi="Arial"/>
          <w:sz w:val="13"/>
          <w:szCs w:val="13"/>
          <w:i w:val="1"/>
          <w:iCs w:val="1"/>
          <w:color w:val="auto"/>
        </w:rPr>
        <w:t>GasLog Geneva</w:t>
      </w:r>
      <w:r>
        <w:rPr>
          <w:rFonts w:ascii="Arial" w:cs="Arial" w:eastAsia="Arial" w:hAnsi="Arial"/>
          <w:sz w:val="13"/>
          <w:szCs w:val="13"/>
          <w:color w:val="auto"/>
        </w:rPr>
        <w:t xml:space="preserve"> and the </w:t>
      </w:r>
      <w:r>
        <w:rPr>
          <w:rFonts w:ascii="Arial" w:cs="Arial" w:eastAsia="Arial" w:hAnsi="Arial"/>
          <w:sz w:val="13"/>
          <w:szCs w:val="13"/>
          <w:i w:val="1"/>
          <w:iCs w:val="1"/>
          <w:color w:val="auto"/>
        </w:rPr>
        <w:t>GasLog Gibraltar</w:t>
      </w:r>
      <w:r>
        <w:rPr>
          <w:rFonts w:ascii="Arial" w:cs="Arial" w:eastAsia="Arial" w:hAnsi="Arial"/>
          <w:sz w:val="13"/>
          <w:szCs w:val="13"/>
          <w:color w:val="auto"/>
        </w:rPr>
        <w:t xml:space="preserve"> has the right to extend the charter by two additional periods of five and three years, respectively, provided that the charterer provides us with advance notice of declaration. The charterer of the </w:t>
      </w:r>
      <w:r>
        <w:rPr>
          <w:rFonts w:ascii="Arial" w:cs="Arial" w:eastAsia="Arial" w:hAnsi="Arial"/>
          <w:sz w:val="13"/>
          <w:szCs w:val="13"/>
          <w:i w:val="1"/>
          <w:iCs w:val="1"/>
          <w:color w:val="auto"/>
        </w:rPr>
        <w:t>GasLog Houston,</w:t>
      </w:r>
      <w:r>
        <w:rPr>
          <w:rFonts w:ascii="Arial" w:cs="Arial" w:eastAsia="Arial" w:hAnsi="Arial"/>
          <w:sz w:val="13"/>
          <w:szCs w:val="13"/>
          <w:color w:val="auto"/>
        </w:rPr>
        <w:t xml:space="preserve"> the </w:t>
      </w:r>
      <w:r>
        <w:rPr>
          <w:rFonts w:ascii="Arial" w:cs="Arial" w:eastAsia="Arial" w:hAnsi="Arial"/>
          <w:sz w:val="13"/>
          <w:szCs w:val="13"/>
          <w:i w:val="1"/>
          <w:iCs w:val="1"/>
          <w:color w:val="auto"/>
        </w:rPr>
        <w:t>GasLog Genoa</w:t>
      </w:r>
      <w:r>
        <w:rPr>
          <w:rFonts w:ascii="Arial" w:cs="Arial" w:eastAsia="Arial" w:hAnsi="Arial"/>
          <w:sz w:val="13"/>
          <w:szCs w:val="13"/>
          <w:color w:val="auto"/>
        </w:rPr>
        <w:t xml:space="preserve"> and the </w:t>
      </w:r>
      <w:r>
        <w:rPr>
          <w:rFonts w:ascii="Arial" w:cs="Arial" w:eastAsia="Arial" w:hAnsi="Arial"/>
          <w:sz w:val="13"/>
          <w:szCs w:val="13"/>
          <w:i w:val="1"/>
          <w:iCs w:val="1"/>
          <w:color w:val="auto"/>
        </w:rPr>
        <w:t>GasLog Gladstone</w:t>
      </w:r>
      <w:r>
        <w:rPr>
          <w:rFonts w:ascii="Arial" w:cs="Arial" w:eastAsia="Arial" w:hAnsi="Arial"/>
          <w:sz w:val="13"/>
          <w:szCs w:val="13"/>
          <w:color w:val="auto"/>
        </w:rPr>
        <w:t xml:space="preserve"> has the right to extend the charters by two additional periods of three years, provided that the charterer provides us with advance notice of declaration. The charterer of the </w:t>
      </w:r>
      <w:r>
        <w:rPr>
          <w:rFonts w:ascii="Arial" w:cs="Arial" w:eastAsia="Arial" w:hAnsi="Arial"/>
          <w:sz w:val="13"/>
          <w:szCs w:val="13"/>
          <w:i w:val="1"/>
          <w:iCs w:val="1"/>
          <w:color w:val="auto"/>
        </w:rPr>
        <w:t>GasLog Hong Kong</w:t>
      </w:r>
      <w:r>
        <w:rPr>
          <w:rFonts w:ascii="Arial" w:cs="Arial" w:eastAsia="Arial" w:hAnsi="Arial"/>
          <w:sz w:val="13"/>
          <w:szCs w:val="13"/>
          <w:color w:val="auto"/>
        </w:rPr>
        <w:t xml:space="preserve"> has the right to extend the charter for a period of three years, provided that the charterer provides us with advance notice of declaration.</w:t>
      </w:r>
    </w:p>
    <w:p>
      <w:pPr>
        <w:spacing w:after="0" w:line="3" w:lineRule="exact"/>
        <w:rPr>
          <w:rFonts w:ascii="Arial" w:cs="Arial" w:eastAsia="Arial" w:hAnsi="Arial"/>
          <w:sz w:val="17"/>
          <w:szCs w:val="17"/>
          <w:color w:val="auto"/>
          <w:vertAlign w:val="superscript"/>
        </w:rPr>
      </w:pPr>
    </w:p>
    <w:p>
      <w:pPr>
        <w:ind w:left="200" w:hanging="192"/>
        <w:spacing w:after="0" w:line="182" w:lineRule="auto"/>
        <w:tabs>
          <w:tab w:leader="none" w:pos="200" w:val="left"/>
        </w:tabs>
        <w:numPr>
          <w:ilvl w:val="0"/>
          <w:numId w:val="9"/>
        </w:numPr>
        <w:rPr>
          <w:rFonts w:ascii="Arial" w:cs="Arial" w:eastAsia="Arial" w:hAnsi="Arial"/>
          <w:sz w:val="17"/>
          <w:szCs w:val="17"/>
          <w:color w:val="auto"/>
          <w:vertAlign w:val="superscript"/>
        </w:rPr>
      </w:pPr>
      <w:r>
        <w:rPr>
          <w:rFonts w:ascii="Arial" w:cs="Arial" w:eastAsia="Arial" w:hAnsi="Arial"/>
          <w:sz w:val="13"/>
          <w:szCs w:val="13"/>
          <w:color w:val="auto"/>
        </w:rPr>
        <w:t>Vessels currently operating in the spot market under the Cool Pool.</w:t>
      </w:r>
    </w:p>
    <w:p>
      <w:pPr>
        <w:ind w:left="200" w:hanging="192"/>
        <w:spacing w:after="0" w:line="182" w:lineRule="auto"/>
        <w:tabs>
          <w:tab w:leader="none" w:pos="200" w:val="left"/>
        </w:tabs>
        <w:numPr>
          <w:ilvl w:val="0"/>
          <w:numId w:val="9"/>
        </w:numPr>
        <w:rPr>
          <w:rFonts w:ascii="Arial" w:cs="Arial" w:eastAsia="Arial" w:hAnsi="Arial"/>
          <w:sz w:val="17"/>
          <w:szCs w:val="17"/>
          <w:color w:val="auto"/>
          <w:vertAlign w:val="superscript"/>
        </w:rPr>
      </w:pPr>
      <w:r>
        <w:rPr>
          <w:rFonts w:ascii="Arial" w:cs="Arial" w:eastAsia="Arial" w:hAnsi="Arial"/>
          <w:sz w:val="13"/>
          <w:szCs w:val="13"/>
          <w:color w:val="auto"/>
        </w:rPr>
        <w:t xml:space="preserve">On March 13, 2019, GasLog entered into an agreement with GasLog Partners to sell 100% of the shares in the entity that owns and charters the </w:t>
      </w:r>
      <w:r>
        <w:rPr>
          <w:rFonts w:ascii="Arial" w:cs="Arial" w:eastAsia="Arial" w:hAnsi="Arial"/>
          <w:sz w:val="13"/>
          <w:szCs w:val="13"/>
          <w:i w:val="1"/>
          <w:iCs w:val="1"/>
          <w:color w:val="auto"/>
        </w:rPr>
        <w:t>GasLog Glasgow</w:t>
      </w:r>
      <w:r>
        <w:rPr>
          <w:rFonts w:ascii="Arial" w:cs="Arial" w:eastAsia="Arial" w:hAnsi="Arial"/>
          <w:sz w:val="13"/>
          <w:szCs w:val="13"/>
          <w:color w:val="auto"/>
        </w:rPr>
        <w:t>. The sale closed on April 1, 2019.</w:t>
      </w:r>
    </w:p>
    <w:p>
      <w:pPr>
        <w:ind w:left="200" w:hanging="192"/>
        <w:spacing w:after="0" w:line="182" w:lineRule="auto"/>
        <w:tabs>
          <w:tab w:leader="none" w:pos="200" w:val="left"/>
        </w:tabs>
        <w:numPr>
          <w:ilvl w:val="0"/>
          <w:numId w:val="9"/>
        </w:numPr>
        <w:rPr>
          <w:rFonts w:ascii="Arial" w:cs="Arial" w:eastAsia="Arial" w:hAnsi="Arial"/>
          <w:sz w:val="17"/>
          <w:szCs w:val="17"/>
          <w:color w:val="auto"/>
          <w:vertAlign w:val="superscript"/>
        </w:rPr>
      </w:pPr>
      <w:r>
        <w:rPr>
          <w:rFonts w:ascii="Arial" w:cs="Arial" w:eastAsia="Arial" w:hAnsi="Arial"/>
          <w:sz w:val="13"/>
          <w:szCs w:val="13"/>
          <w:color w:val="auto"/>
        </w:rPr>
        <w:t>“Total” refers to Total Gas &amp; Power Chartering Limited, a wholly owned subsidiary of Total S.A.</w:t>
      </w:r>
    </w:p>
    <w:p>
      <w:pPr>
        <w:ind w:left="200" w:hanging="192"/>
        <w:spacing w:after="0" w:line="202" w:lineRule="auto"/>
        <w:tabs>
          <w:tab w:leader="none" w:pos="191" w:val="left"/>
        </w:tabs>
        <w:numPr>
          <w:ilvl w:val="0"/>
          <w:numId w:val="9"/>
        </w:numPr>
        <w:rPr>
          <w:rFonts w:ascii="Arial" w:cs="Arial" w:eastAsia="Arial" w:hAnsi="Arial"/>
          <w:sz w:val="18"/>
          <w:szCs w:val="18"/>
          <w:color w:val="auto"/>
          <w:vertAlign w:val="superscript"/>
        </w:rPr>
      </w:pPr>
      <w:r>
        <w:rPr>
          <w:rFonts w:ascii="Arial" w:cs="Arial" w:eastAsia="Arial" w:hAnsi="Arial"/>
          <w:sz w:val="14"/>
          <w:szCs w:val="14"/>
          <w:color w:val="auto"/>
        </w:rPr>
        <w:t xml:space="preserve">On March 22, 2018, a new charter party agreement was signed with Trafigura Maritime Logistics PTE Ltd. (“Trafigura”) for either the </w:t>
      </w:r>
      <w:r>
        <w:rPr>
          <w:rFonts w:ascii="Arial" w:cs="Arial" w:eastAsia="Arial" w:hAnsi="Arial"/>
          <w:sz w:val="14"/>
          <w:szCs w:val="14"/>
          <w:i w:val="1"/>
          <w:iCs w:val="1"/>
          <w:color w:val="auto"/>
        </w:rPr>
        <w:t>Methane Jane Elizabeth</w:t>
      </w:r>
      <w:r>
        <w:rPr>
          <w:rFonts w:ascii="Arial" w:cs="Arial" w:eastAsia="Arial" w:hAnsi="Arial"/>
          <w:sz w:val="14"/>
          <w:szCs w:val="14"/>
          <w:color w:val="auto"/>
        </w:rPr>
        <w:t xml:space="preserve"> or the </w:t>
      </w:r>
      <w:r>
        <w:rPr>
          <w:rFonts w:ascii="Arial" w:cs="Arial" w:eastAsia="Arial" w:hAnsi="Arial"/>
          <w:sz w:val="14"/>
          <w:szCs w:val="14"/>
          <w:i w:val="1"/>
          <w:iCs w:val="1"/>
          <w:color w:val="auto"/>
        </w:rPr>
        <w:t>Methane Alison Victoria</w:t>
      </w:r>
      <w:r>
        <w:rPr>
          <w:rFonts w:ascii="Arial" w:cs="Arial" w:eastAsia="Arial" w:hAnsi="Arial"/>
          <w:sz w:val="14"/>
          <w:szCs w:val="14"/>
          <w:color w:val="auto"/>
        </w:rPr>
        <w:t xml:space="preserve"> (as nominated by the Partnership) commencing in either November or December 2019, at the Partnership’s option, until November or December 2020, with the charterer having the option to extend the charter from one to four years.</w:t>
      </w:r>
    </w:p>
    <w:p>
      <w:pPr>
        <w:ind w:left="200" w:hanging="192"/>
        <w:spacing w:after="0" w:line="182" w:lineRule="auto"/>
        <w:tabs>
          <w:tab w:leader="none" w:pos="200" w:val="left"/>
        </w:tabs>
        <w:numPr>
          <w:ilvl w:val="0"/>
          <w:numId w:val="9"/>
        </w:numPr>
        <w:rPr>
          <w:rFonts w:ascii="Arial" w:cs="Arial" w:eastAsia="Arial" w:hAnsi="Arial"/>
          <w:sz w:val="17"/>
          <w:szCs w:val="17"/>
          <w:color w:val="auto"/>
          <w:vertAlign w:val="superscript"/>
        </w:rPr>
      </w:pPr>
      <w:r>
        <w:rPr>
          <w:rFonts w:ascii="Arial" w:cs="Arial" w:eastAsia="Arial" w:hAnsi="Arial"/>
          <w:sz w:val="13"/>
          <w:szCs w:val="13"/>
          <w:color w:val="auto"/>
        </w:rPr>
        <w:t>The vessel is chartered to a wholly owned subsidiary of Cheniere Energy, Inc. (“Cheniere”).</w:t>
      </w:r>
    </w:p>
    <w:p>
      <w:pPr>
        <w:ind w:left="200" w:right="40" w:hanging="192"/>
        <w:spacing w:after="0" w:line="229" w:lineRule="auto"/>
        <w:tabs>
          <w:tab w:leader="none" w:pos="191" w:val="left"/>
        </w:tabs>
        <w:numPr>
          <w:ilvl w:val="0"/>
          <w:numId w:val="9"/>
        </w:numPr>
        <w:rPr>
          <w:rFonts w:ascii="Arial" w:cs="Arial" w:eastAsia="Arial" w:hAnsi="Arial"/>
          <w:sz w:val="17"/>
          <w:szCs w:val="17"/>
          <w:color w:val="auto"/>
          <w:vertAlign w:val="superscript"/>
        </w:rPr>
      </w:pPr>
      <w:r>
        <w:rPr>
          <w:rFonts w:ascii="Arial" w:cs="Arial" w:eastAsia="Arial" w:hAnsi="Arial"/>
          <w:sz w:val="13"/>
          <w:szCs w:val="13"/>
          <w:color w:val="auto"/>
        </w:rPr>
        <w:t xml:space="preserve">On February 24, 2016, GasLog’s subsidiary, GAS-twenty six Ltd., completed the sale and leaseback of the </w:t>
      </w:r>
      <w:r>
        <w:rPr>
          <w:rFonts w:ascii="Arial" w:cs="Arial" w:eastAsia="Arial" w:hAnsi="Arial"/>
          <w:sz w:val="13"/>
          <w:szCs w:val="13"/>
          <w:i w:val="1"/>
          <w:iCs w:val="1"/>
          <w:color w:val="auto"/>
        </w:rPr>
        <w:t>Methane Julia Louise</w:t>
      </w:r>
      <w:r>
        <w:rPr>
          <w:rFonts w:ascii="Arial" w:cs="Arial" w:eastAsia="Arial" w:hAnsi="Arial"/>
          <w:sz w:val="13"/>
          <w:szCs w:val="13"/>
          <w:color w:val="auto"/>
        </w:rPr>
        <w:t xml:space="preserve"> with Lepta Shipping. Lepta Shipping has the right to on-sell and lease back the vessel. The vessel was sold to Lepta Shipping for a total consideration approximately equivalent to its book value at the time of the sale. GasLog has leased back the vessel under a bareboat charter from Lepta Shipping for a period of up to 20 years. GasLog has the option to re-purchase the vessel on pre-agreed terms no earlier than the end of year ten and no later than the end of year 17 of the bareboat charter. The vessel remains on its eleven-year-charter with Methane Services Limited, a subsidiary of Shell.</w:t>
      </w:r>
    </w:p>
    <w:p>
      <w:pPr>
        <w:spacing w:after="0" w:line="192" w:lineRule="exact"/>
        <w:rPr>
          <w:sz w:val="20"/>
          <w:szCs w:val="20"/>
          <w:color w:val="auto"/>
        </w:rPr>
      </w:pPr>
    </w:p>
    <w:p>
      <w:pPr>
        <w:ind w:right="40" w:firstLine="383"/>
        <w:spacing w:after="0" w:line="273" w:lineRule="auto"/>
        <w:rPr>
          <w:sz w:val="20"/>
          <w:szCs w:val="20"/>
          <w:color w:val="auto"/>
        </w:rPr>
      </w:pPr>
      <w:r>
        <w:rPr>
          <w:rFonts w:ascii="Arial" w:cs="Arial" w:eastAsia="Arial" w:hAnsi="Arial"/>
          <w:sz w:val="16"/>
          <w:szCs w:val="16"/>
          <w:color w:val="auto"/>
        </w:rPr>
        <w:t xml:space="preserve">Under the omnibus agreement entered into with GasLog Partners and certain of its subsidiaries in connection with the Partnership’s initial public offering, as amended, GasLog Partners has the option to purchase from us the </w:t>
      </w:r>
      <w:r>
        <w:rPr>
          <w:rFonts w:ascii="Arial" w:cs="Arial" w:eastAsia="Arial" w:hAnsi="Arial"/>
          <w:sz w:val="16"/>
          <w:szCs w:val="16"/>
          <w:i w:val="1"/>
          <w:iCs w:val="1"/>
          <w:color w:val="auto"/>
        </w:rPr>
        <w:t>GasLog Houston</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GasLog Gladstone</w:t>
      </w:r>
      <w:r>
        <w:rPr>
          <w:rFonts w:ascii="Arial" w:cs="Arial" w:eastAsia="Arial" w:hAnsi="Arial"/>
          <w:sz w:val="16"/>
          <w:szCs w:val="16"/>
          <w:color w:val="auto"/>
        </w:rPr>
        <w:t>, each within 30 days following receipt of notice from GasLog that the vessel has commenced its multi-year charter (being at least five years in length). GasLog Partners’ option to purchase is at fair market value as determined pursuant to the omnibus agreement.</w:t>
      </w:r>
    </w:p>
    <w:p>
      <w:pPr>
        <w:spacing w:after="0" w:line="189" w:lineRule="exact"/>
        <w:rPr>
          <w:sz w:val="20"/>
          <w:szCs w:val="20"/>
          <w:color w:val="auto"/>
        </w:rPr>
      </w:pPr>
    </w:p>
    <w:p>
      <w:pPr>
        <w:ind w:firstLine="356"/>
        <w:spacing w:after="0" w:line="315" w:lineRule="auto"/>
        <w:rPr>
          <w:sz w:val="20"/>
          <w:szCs w:val="20"/>
          <w:color w:val="auto"/>
        </w:rPr>
      </w:pPr>
      <w:r>
        <w:rPr>
          <w:rFonts w:ascii="Arial" w:cs="Arial" w:eastAsia="Arial" w:hAnsi="Arial"/>
          <w:sz w:val="14"/>
          <w:szCs w:val="14"/>
          <w:color w:val="auto"/>
        </w:rPr>
        <w:t xml:space="preserve">GasLog Partners also has a right of first offer from us to purchase any other LNG carriers with cargo capacities greater than 75,000 cbm engaged in ongoing LNG transportation under charters of five full years or more that we own or acquire (the “Five-Year Vessels”) either at their acquisition cost plus certain break up costs (in the case of a newly acquired Five-Year Vessel) or at their fair market value (in the case of a previously owned vessel that becomes a Five-Year Vessel). In addition, our eight newbuildings (the </w:t>
      </w:r>
      <w:r>
        <w:rPr>
          <w:rFonts w:ascii="Arial" w:cs="Arial" w:eastAsia="Arial" w:hAnsi="Arial"/>
          <w:sz w:val="14"/>
          <w:szCs w:val="14"/>
          <w:i w:val="1"/>
          <w:iCs w:val="1"/>
          <w:color w:val="auto"/>
        </w:rPr>
        <w:t xml:space="preserve">GasLog Warsaw </w:t>
      </w:r>
      <w:r>
        <w:rPr>
          <w:rFonts w:ascii="Arial" w:cs="Arial" w:eastAsia="Arial" w:hAnsi="Arial"/>
          <w:sz w:val="14"/>
          <w:szCs w:val="14"/>
          <w:color w:val="auto"/>
        </w:rPr>
        <w:t>and Hull Nos. 2213, 2274, 2262, 2300, 2301, 2311 and 2312) will each qualify as a Five-Year Vessel upon commencement of their charters and we will be</w:t>
      </w:r>
      <w:r>
        <w:rPr>
          <w:rFonts w:ascii="Arial" w:cs="Arial" w:eastAsia="Arial" w:hAnsi="Arial"/>
          <w:sz w:val="14"/>
          <w:szCs w:val="14"/>
          <w:i w:val="1"/>
          <w:iCs w:val="1"/>
          <w:color w:val="auto"/>
        </w:rPr>
        <w:t xml:space="preserve"> </w:t>
      </w:r>
      <w:r>
        <w:rPr>
          <w:rFonts w:ascii="Arial" w:cs="Arial" w:eastAsia="Arial" w:hAnsi="Arial"/>
          <w:sz w:val="14"/>
          <w:szCs w:val="14"/>
          <w:color w:val="auto"/>
        </w:rPr>
        <w:t>required to offer to GasLog Partners an opportunity to purchase each vessel at fair market value within 30 days of the commencement of her charter. Generally, GasLog Partners must exercise this right of first offer within 30 days following the notice from us that the vessel has been acquired or has become a Five-Year Vessel.</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Charter Expirations</w:t>
      </w:r>
    </w:p>
    <w:p>
      <w:pPr>
        <w:spacing w:after="0" w:line="23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GasLog Saratoga</w:t>
      </w:r>
      <w:r>
        <w:rPr>
          <w:rFonts w:ascii="Arial" w:cs="Arial" w:eastAsia="Arial" w:hAnsi="Arial"/>
          <w:sz w:val="16"/>
          <w:szCs w:val="16"/>
          <w:color w:val="auto"/>
        </w:rPr>
        <w:t xml:space="preserve">, the </w:t>
      </w:r>
      <w:r>
        <w:rPr>
          <w:rFonts w:ascii="Arial" w:cs="Arial" w:eastAsia="Arial" w:hAnsi="Arial"/>
          <w:sz w:val="16"/>
          <w:szCs w:val="16"/>
          <w:i w:val="1"/>
          <w:iCs w:val="1"/>
          <w:color w:val="auto"/>
        </w:rPr>
        <w:t>Methane Jane Elizabeth</w:t>
      </w:r>
      <w:r>
        <w:rPr>
          <w:rFonts w:ascii="Arial" w:cs="Arial" w:eastAsia="Arial" w:hAnsi="Arial"/>
          <w:sz w:val="16"/>
          <w:szCs w:val="16"/>
          <w:color w:val="auto"/>
        </w:rPr>
        <w:t xml:space="preserve">, the </w:t>
      </w:r>
      <w:r>
        <w:rPr>
          <w:rFonts w:ascii="Arial" w:cs="Arial" w:eastAsia="Arial" w:hAnsi="Arial"/>
          <w:sz w:val="16"/>
          <w:szCs w:val="16"/>
          <w:i w:val="1"/>
          <w:iCs w:val="1"/>
          <w:color w:val="auto"/>
        </w:rPr>
        <w:t>Methane Alison Victoria</w:t>
      </w:r>
      <w:r>
        <w:rPr>
          <w:rFonts w:ascii="Arial" w:cs="Arial" w:eastAsia="Arial" w:hAnsi="Arial"/>
          <w:sz w:val="16"/>
          <w:szCs w:val="16"/>
          <w:color w:val="auto"/>
        </w:rPr>
        <w:t xml:space="preserve">, the </w:t>
      </w:r>
      <w:r>
        <w:rPr>
          <w:rFonts w:ascii="Arial" w:cs="Arial" w:eastAsia="Arial" w:hAnsi="Arial"/>
          <w:sz w:val="16"/>
          <w:szCs w:val="16"/>
          <w:i w:val="1"/>
          <w:iCs w:val="1"/>
          <w:color w:val="auto"/>
        </w:rPr>
        <w:t>Methane Rita Andrea</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Sydney</w:t>
      </w:r>
      <w:r>
        <w:rPr>
          <w:rFonts w:ascii="Arial" w:cs="Arial" w:eastAsia="Arial" w:hAnsi="Arial"/>
          <w:sz w:val="16"/>
          <w:szCs w:val="16"/>
          <w:color w:val="auto"/>
        </w:rPr>
        <w:t xml:space="preserve">, the </w:t>
      </w:r>
      <w:r>
        <w:rPr>
          <w:rFonts w:ascii="Arial" w:cs="Arial" w:eastAsia="Arial" w:hAnsi="Arial"/>
          <w:sz w:val="16"/>
          <w:szCs w:val="16"/>
          <w:i w:val="1"/>
          <w:iCs w:val="1"/>
          <w:color w:val="auto"/>
        </w:rPr>
        <w:t>Methane Shirley Elisabeth</w:t>
      </w:r>
      <w:r>
        <w:rPr>
          <w:rFonts w:ascii="Arial" w:cs="Arial" w:eastAsia="Arial" w:hAnsi="Arial"/>
          <w:sz w:val="16"/>
          <w:szCs w:val="16"/>
          <w:color w:val="auto"/>
        </w:rPr>
        <w:t xml:space="preserve">, the </w:t>
      </w:r>
      <w:r>
        <w:rPr>
          <w:rFonts w:ascii="Arial" w:cs="Arial" w:eastAsia="Arial" w:hAnsi="Arial"/>
          <w:sz w:val="16"/>
          <w:szCs w:val="16"/>
          <w:i w:val="1"/>
          <w:iCs w:val="1"/>
          <w:color w:val="auto"/>
        </w:rPr>
        <w:t>Methane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Lydon Volney </w:t>
      </w:r>
      <w:r>
        <w:rPr>
          <w:rFonts w:ascii="Arial" w:cs="Arial" w:eastAsia="Arial" w:hAnsi="Arial"/>
          <w:sz w:val="16"/>
          <w:szCs w:val="16"/>
          <w:color w:val="auto"/>
        </w:rPr>
        <w:t>and the</w:t>
      </w:r>
      <w:r>
        <w:rPr>
          <w:rFonts w:ascii="Arial" w:cs="Arial" w:eastAsia="Arial" w:hAnsi="Arial"/>
          <w:sz w:val="16"/>
          <w:szCs w:val="16"/>
          <w:i w:val="1"/>
          <w:iCs w:val="1"/>
          <w:color w:val="auto"/>
        </w:rPr>
        <w:t xml:space="preserve"> Methane Heather Sally </w:t>
      </w:r>
      <w:r>
        <w:rPr>
          <w:rFonts w:ascii="Arial" w:cs="Arial" w:eastAsia="Arial" w:hAnsi="Arial"/>
          <w:sz w:val="16"/>
          <w:szCs w:val="16"/>
          <w:color w:val="auto"/>
        </w:rPr>
        <w:t>are due to come off charter in September 2019, October 2019,</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35901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359015" cy="29845"/>
                    </a:xfrm>
                    <a:prstGeom prst="rect">
                      <a:avLst/>
                    </a:prstGeom>
                    <a:noFill/>
                  </pic:spPr>
                </pic:pic>
              </a:graphicData>
            </a:graphic>
          </wp:anchor>
        </w:drawing>
      </w:r>
    </w:p>
    <w:p>
      <w:pPr>
        <w:sectPr>
          <w:pgSz w:w="11900" w:h="16838" w:orient="portrait"/>
          <w:cols w:equalWidth="0" w:num="1">
            <w:col w:w="11560"/>
          </w:cols>
          <w:pgMar w:left="160" w:top="266" w:right="179" w:bottom="1440" w:gutter="0" w:footer="0" w:header="0"/>
        </w:sectPr>
      </w:pPr>
    </w:p>
    <w:bookmarkStart w:id="19" w:name="page20"/>
    <w:bookmarkEnd w:id="19"/>
    <w:p>
      <w:pPr>
        <w:jc w:val="both"/>
        <w:ind w:right="40"/>
        <w:spacing w:after="0" w:line="271" w:lineRule="auto"/>
        <w:rPr>
          <w:sz w:val="20"/>
          <w:szCs w:val="20"/>
          <w:color w:val="auto"/>
        </w:rPr>
      </w:pPr>
      <w:r>
        <w:rPr>
          <w:rFonts w:ascii="Arial" w:cs="Arial" w:eastAsia="Arial" w:hAnsi="Arial"/>
          <w:sz w:val="16"/>
          <w:szCs w:val="16"/>
          <w:color w:val="auto"/>
        </w:rPr>
        <w:t xml:space="preserve">December 2019, April 2020, June 2020, June 2020, October 2020 and December 2020, respectively, each plus or minus 30 days. GasLog Partners has already secured a one-year charter for either the </w:t>
      </w:r>
      <w:r>
        <w:rPr>
          <w:rFonts w:ascii="Arial" w:cs="Arial" w:eastAsia="Arial" w:hAnsi="Arial"/>
          <w:sz w:val="16"/>
          <w:szCs w:val="16"/>
          <w:i w:val="1"/>
          <w:iCs w:val="1"/>
          <w:color w:val="auto"/>
        </w:rPr>
        <w:t>Methane Jane Elizabeth</w:t>
      </w:r>
      <w:r>
        <w:rPr>
          <w:rFonts w:ascii="Arial" w:cs="Arial" w:eastAsia="Arial" w:hAnsi="Arial"/>
          <w:sz w:val="16"/>
          <w:szCs w:val="16"/>
          <w:color w:val="auto"/>
        </w:rPr>
        <w:t xml:space="preserve"> or </w:t>
      </w:r>
      <w:r>
        <w:rPr>
          <w:rFonts w:ascii="Arial" w:cs="Arial" w:eastAsia="Arial" w:hAnsi="Arial"/>
          <w:sz w:val="16"/>
          <w:szCs w:val="16"/>
          <w:i w:val="1"/>
          <w:iCs w:val="1"/>
          <w:color w:val="auto"/>
        </w:rPr>
        <w:t>Methane Alison Victoria</w:t>
      </w:r>
      <w:r>
        <w:rPr>
          <w:rFonts w:ascii="Arial" w:cs="Arial" w:eastAsia="Arial" w:hAnsi="Arial"/>
          <w:sz w:val="16"/>
          <w:szCs w:val="16"/>
          <w:color w:val="auto"/>
        </w:rPr>
        <w:t xml:space="preserve"> (as nominated by the Partnership), commencing in either November or December 2019 at the Partnership’s option. The charter rate for this one-year charter is lower than the current charter rates of either the </w:t>
      </w:r>
      <w:r>
        <w:rPr>
          <w:rFonts w:ascii="Arial" w:cs="Arial" w:eastAsia="Arial" w:hAnsi="Arial"/>
          <w:sz w:val="16"/>
          <w:szCs w:val="16"/>
          <w:i w:val="1"/>
          <w:iCs w:val="1"/>
          <w:color w:val="auto"/>
        </w:rPr>
        <w:t>Methane Jane Elizabeth</w:t>
      </w:r>
      <w:r>
        <w:rPr>
          <w:rFonts w:ascii="Arial" w:cs="Arial" w:eastAsia="Arial" w:hAnsi="Arial"/>
          <w:sz w:val="16"/>
          <w:szCs w:val="16"/>
          <w:color w:val="auto"/>
        </w:rPr>
        <w:t xml:space="preserve"> or the </w:t>
      </w:r>
      <w:r>
        <w:rPr>
          <w:rFonts w:ascii="Arial" w:cs="Arial" w:eastAsia="Arial" w:hAnsi="Arial"/>
          <w:sz w:val="16"/>
          <w:szCs w:val="16"/>
          <w:i w:val="1"/>
          <w:iCs w:val="1"/>
          <w:color w:val="auto"/>
        </w:rPr>
        <w:t>Methane Alison Victoria</w:t>
      </w:r>
      <w:r>
        <w:rPr>
          <w:rFonts w:ascii="Arial" w:cs="Arial" w:eastAsia="Arial" w:hAnsi="Arial"/>
          <w:sz w:val="16"/>
          <w:szCs w:val="16"/>
          <w:color w:val="auto"/>
        </w:rPr>
        <w:t>. In addition, GasLog and GasLog Partners continue to pursue opportunities for new multi-year charters with third parties and, on an interim basis, may consider trading the vessels in the spot market, pursuing the most advantageous redeployment depending on evolving market conditions.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60" w:type="dxa"/>
            <w:vAlign w:val="bottom"/>
          </w:tcPr>
          <w:p>
            <w:pPr>
              <w:spacing w:after="0"/>
              <w:rPr>
                <w:sz w:val="20"/>
                <w:szCs w:val="20"/>
                <w:color w:val="auto"/>
              </w:rPr>
            </w:pPr>
            <w:r>
              <w:rPr>
                <w:rFonts w:ascii="Arial" w:cs="Arial" w:eastAsia="Arial" w:hAnsi="Arial"/>
                <w:sz w:val="16"/>
                <w:szCs w:val="16"/>
                <w:b w:val="1"/>
                <w:bCs w:val="1"/>
                <w:color w:val="auto"/>
              </w:rPr>
              <w:t>Results of Operations</w:t>
            </w: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7960" w:type="dxa"/>
            <w:vAlign w:val="bottom"/>
          </w:tcPr>
          <w:p>
            <w:pPr>
              <w:spacing w:after="0"/>
              <w:rPr>
                <w:sz w:val="20"/>
                <w:szCs w:val="20"/>
                <w:color w:val="auto"/>
              </w:rPr>
            </w:pPr>
            <w:r>
              <w:rPr>
                <w:rFonts w:ascii="Arial" w:cs="Arial" w:eastAsia="Arial" w:hAnsi="Arial"/>
                <w:sz w:val="16"/>
                <w:szCs w:val="16"/>
                <w:b w:val="1"/>
                <w:bCs w:val="1"/>
                <w:i w:val="1"/>
                <w:iCs w:val="1"/>
                <w:color w:val="auto"/>
              </w:rPr>
              <w:t>Three-month period ended March 31, 2018 compared to the three-month period ended March 31, 2019</w:t>
            </w: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7960" w:type="dxa"/>
            <w:vAlign w:val="bottom"/>
          </w:tcPr>
          <w:p>
            <w:pPr>
              <w:spacing w:after="0"/>
              <w:rPr>
                <w:sz w:val="24"/>
                <w:szCs w:val="24"/>
                <w:color w:val="auto"/>
              </w:rPr>
            </w:pPr>
          </w:p>
        </w:tc>
        <w:tc>
          <w:tcPr>
            <w:tcW w:w="3140" w:type="dxa"/>
            <w:vAlign w:val="bottom"/>
            <w:gridSpan w:val="4"/>
          </w:tcPr>
          <w:p>
            <w:pPr>
              <w:jc w:val="right"/>
              <w:ind w:right="599"/>
              <w:spacing w:after="0"/>
              <w:rPr>
                <w:sz w:val="20"/>
                <w:szCs w:val="20"/>
                <w:color w:val="auto"/>
              </w:rPr>
            </w:pPr>
            <w:r>
              <w:rPr>
                <w:rFonts w:ascii="Arial" w:cs="Arial" w:eastAsia="Arial" w:hAnsi="Arial"/>
                <w:sz w:val="16"/>
                <w:szCs w:val="16"/>
                <w:b w:val="1"/>
                <w:bCs w:val="1"/>
                <w:color w:val="auto"/>
              </w:rPr>
              <w:t>For the three months ended</w:t>
            </w:r>
          </w:p>
        </w:tc>
        <w:tc>
          <w:tcPr>
            <w:tcW w:w="0" w:type="dxa"/>
            <w:vAlign w:val="bottom"/>
          </w:tcPr>
          <w:p>
            <w:pPr>
              <w:spacing w:after="0"/>
              <w:rPr>
                <w:sz w:val="1"/>
                <w:szCs w:val="1"/>
                <w:color w:val="auto"/>
              </w:rPr>
            </w:pPr>
          </w:p>
        </w:tc>
      </w:tr>
      <w:tr>
        <w:trPr>
          <w:trHeight w:val="203"/>
        </w:trPr>
        <w:tc>
          <w:tcPr>
            <w:tcW w:w="7960" w:type="dxa"/>
            <w:vAlign w:val="bottom"/>
          </w:tcPr>
          <w:p>
            <w:pPr>
              <w:spacing w:after="0"/>
              <w:rPr>
                <w:sz w:val="17"/>
                <w:szCs w:val="17"/>
                <w:color w:val="auto"/>
              </w:rPr>
            </w:pPr>
          </w:p>
        </w:tc>
        <w:tc>
          <w:tcPr>
            <w:tcW w:w="1660" w:type="dxa"/>
            <w:vAlign w:val="bottom"/>
            <w:gridSpan w:val="2"/>
          </w:tcPr>
          <w:p>
            <w:pPr>
              <w:jc w:val="right"/>
              <w:ind w:right="620"/>
              <w:spacing w:after="0"/>
              <w:rPr>
                <w:sz w:val="20"/>
                <w:szCs w:val="20"/>
                <w:color w:val="auto"/>
              </w:rPr>
            </w:pPr>
            <w:r>
              <w:rPr>
                <w:rFonts w:ascii="Arial" w:cs="Arial" w:eastAsia="Arial" w:hAnsi="Arial"/>
                <w:sz w:val="16"/>
                <w:szCs w:val="16"/>
                <w:b w:val="1"/>
                <w:bCs w:val="1"/>
                <w:color w:val="auto"/>
              </w:rPr>
              <w:t>March 31,</w:t>
            </w:r>
          </w:p>
        </w:tc>
        <w:tc>
          <w:tcPr>
            <w:tcW w:w="1480" w:type="dxa"/>
            <w:vAlign w:val="bottom"/>
            <w:gridSpan w:val="2"/>
          </w:tcPr>
          <w:p>
            <w:pPr>
              <w:jc w:val="right"/>
              <w:ind w:right="359"/>
              <w:spacing w:after="0"/>
              <w:rPr>
                <w:sz w:val="20"/>
                <w:szCs w:val="20"/>
                <w:color w:val="auto"/>
              </w:rPr>
            </w:pPr>
            <w:r>
              <w:rPr>
                <w:rFonts w:ascii="Arial" w:cs="Arial" w:eastAsia="Arial" w:hAnsi="Arial"/>
                <w:sz w:val="16"/>
                <w:szCs w:val="16"/>
                <w:b w:val="1"/>
                <w:bCs w:val="1"/>
                <w:color w:val="auto"/>
              </w:rPr>
              <w:t>March 31,</w:t>
            </w:r>
          </w:p>
        </w:tc>
        <w:tc>
          <w:tcPr>
            <w:tcW w:w="0" w:type="dxa"/>
            <w:vAlign w:val="bottom"/>
          </w:tcPr>
          <w:p>
            <w:pPr>
              <w:spacing w:after="0"/>
              <w:rPr>
                <w:sz w:val="1"/>
                <w:szCs w:val="1"/>
                <w:color w:val="auto"/>
              </w:rPr>
            </w:pPr>
          </w:p>
        </w:tc>
      </w:tr>
      <w:tr>
        <w:trPr>
          <w:trHeight w:val="213"/>
        </w:trPr>
        <w:tc>
          <w:tcPr>
            <w:tcW w:w="7960" w:type="dxa"/>
            <w:vAlign w:val="bottom"/>
            <w:vMerge w:val="restart"/>
          </w:tcPr>
          <w:p>
            <w:pPr>
              <w:spacing w:after="0"/>
              <w:rPr>
                <w:sz w:val="20"/>
                <w:szCs w:val="20"/>
                <w:color w:val="auto"/>
              </w:rPr>
            </w:pPr>
            <w:r>
              <w:rPr>
                <w:rFonts w:ascii="Arial" w:cs="Arial" w:eastAsia="Arial" w:hAnsi="Arial"/>
                <w:sz w:val="16"/>
                <w:szCs w:val="16"/>
                <w:b w:val="1"/>
                <w:bCs w:val="1"/>
                <w:i w:val="1"/>
                <w:iCs w:val="1"/>
                <w:color w:val="auto"/>
              </w:rPr>
              <w:t>Amounts in thousands of U.S. Dollars</w:t>
            </w:r>
          </w:p>
        </w:tc>
        <w:tc>
          <w:tcPr>
            <w:tcW w:w="13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2018</w:t>
            </w:r>
          </w:p>
        </w:tc>
        <w:tc>
          <w:tcPr>
            <w:tcW w:w="280" w:type="dxa"/>
            <w:vAlign w:val="bottom"/>
          </w:tcPr>
          <w:p>
            <w:pPr>
              <w:spacing w:after="0"/>
              <w:rPr>
                <w:sz w:val="18"/>
                <w:szCs w:val="18"/>
                <w:color w:val="auto"/>
              </w:rPr>
            </w:pPr>
          </w:p>
        </w:tc>
        <w:tc>
          <w:tcPr>
            <w:tcW w:w="13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7960" w:type="dxa"/>
            <w:vAlign w:val="bottom"/>
            <w:vMerge w:val="continue"/>
          </w:tcPr>
          <w:p>
            <w:pPr>
              <w:spacing w:after="0"/>
              <w:rPr>
                <w:sz w:val="15"/>
                <w:szCs w:val="15"/>
                <w:color w:val="auto"/>
              </w:rPr>
            </w:pPr>
          </w:p>
        </w:tc>
        <w:tc>
          <w:tcPr>
            <w:tcW w:w="1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7960" w:type="dxa"/>
            <w:vAlign w:val="bottom"/>
            <w:shd w:val="clear" w:color="auto" w:fill="E5FFFF"/>
          </w:tcPr>
          <w:p>
            <w:pPr>
              <w:spacing w:after="0"/>
              <w:rPr>
                <w:sz w:val="20"/>
                <w:szCs w:val="20"/>
                <w:color w:val="auto"/>
              </w:rPr>
            </w:pPr>
            <w:r>
              <w:rPr>
                <w:rFonts w:ascii="Arial" w:cs="Arial" w:eastAsia="Arial" w:hAnsi="Arial"/>
                <w:sz w:val="16"/>
                <w:szCs w:val="16"/>
                <w:color w:val="auto"/>
              </w:rPr>
              <w:t>Revenues</w:t>
            </w: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138,478</w:t>
            </w:r>
          </w:p>
        </w:tc>
        <w:tc>
          <w:tcPr>
            <w:tcW w:w="280" w:type="dxa"/>
            <w:vAlign w:val="bottom"/>
            <w:shd w:val="clear" w:color="auto" w:fill="E5FFFF"/>
          </w:tcPr>
          <w:p>
            <w:pPr>
              <w:spacing w:after="0"/>
              <w:rPr>
                <w:sz w:val="17"/>
                <w:szCs w:val="17"/>
                <w:color w:val="auto"/>
              </w:rPr>
            </w:pP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166,547</w:t>
            </w:r>
          </w:p>
        </w:tc>
        <w:tc>
          <w:tcPr>
            <w:tcW w:w="12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60" w:type="dxa"/>
            <w:vAlign w:val="bottom"/>
          </w:tcPr>
          <w:p>
            <w:pPr>
              <w:spacing w:after="0"/>
              <w:rPr>
                <w:sz w:val="20"/>
                <w:szCs w:val="20"/>
                <w:color w:val="auto"/>
              </w:rPr>
            </w:pPr>
            <w:r>
              <w:rPr>
                <w:rFonts w:ascii="Arial" w:cs="Arial" w:eastAsia="Arial" w:hAnsi="Arial"/>
                <w:sz w:val="16"/>
                <w:szCs w:val="16"/>
                <w:color w:val="auto"/>
              </w:rPr>
              <w:t>Net pool allocation</w:t>
            </w:r>
          </w:p>
        </w:tc>
        <w:tc>
          <w:tcPr>
            <w:tcW w:w="1380" w:type="dxa"/>
            <w:vAlign w:val="bottom"/>
          </w:tcPr>
          <w:p>
            <w:pPr>
              <w:jc w:val="right"/>
              <w:spacing w:after="0"/>
              <w:rPr>
                <w:sz w:val="20"/>
                <w:szCs w:val="20"/>
                <w:color w:val="auto"/>
              </w:rPr>
            </w:pPr>
            <w:r>
              <w:rPr>
                <w:rFonts w:ascii="Arial" w:cs="Arial" w:eastAsia="Arial" w:hAnsi="Arial"/>
                <w:sz w:val="16"/>
                <w:szCs w:val="16"/>
                <w:color w:val="auto"/>
              </w:rPr>
              <w:t>8,653</w:t>
            </w:r>
          </w:p>
        </w:tc>
        <w:tc>
          <w:tcPr>
            <w:tcW w:w="280" w:type="dxa"/>
            <w:vAlign w:val="bottom"/>
          </w:tcPr>
          <w:p>
            <w:pPr>
              <w:spacing w:after="0"/>
              <w:rPr>
                <w:sz w:val="17"/>
                <w:szCs w:val="17"/>
                <w:color w:val="auto"/>
              </w:rPr>
            </w:pP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(6,738)</w:t>
            </w:r>
          </w:p>
        </w:tc>
        <w:tc>
          <w:tcPr>
            <w:tcW w:w="0" w:type="dxa"/>
            <w:vAlign w:val="bottom"/>
          </w:tcPr>
          <w:p>
            <w:pPr>
              <w:spacing w:after="0"/>
              <w:rPr>
                <w:sz w:val="1"/>
                <w:szCs w:val="1"/>
                <w:color w:val="auto"/>
              </w:rPr>
            </w:pPr>
          </w:p>
        </w:tc>
      </w:tr>
      <w:tr>
        <w:trPr>
          <w:trHeight w:val="203"/>
        </w:trPr>
        <w:tc>
          <w:tcPr>
            <w:tcW w:w="7960" w:type="dxa"/>
            <w:vAlign w:val="bottom"/>
            <w:shd w:val="clear" w:color="auto" w:fill="E5FFFF"/>
          </w:tcPr>
          <w:p>
            <w:pPr>
              <w:spacing w:after="0"/>
              <w:rPr>
                <w:sz w:val="20"/>
                <w:szCs w:val="20"/>
                <w:color w:val="auto"/>
              </w:rPr>
            </w:pPr>
            <w:r>
              <w:rPr>
                <w:rFonts w:ascii="Arial" w:cs="Arial" w:eastAsia="Arial" w:hAnsi="Arial"/>
                <w:sz w:val="16"/>
                <w:szCs w:val="16"/>
                <w:color w:val="auto"/>
              </w:rPr>
              <w:t>Voyage expenses and commissions</w:t>
            </w:r>
          </w:p>
        </w:tc>
        <w:tc>
          <w:tcPr>
            <w:tcW w:w="166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(5,281)</w:t>
            </w:r>
          </w:p>
        </w:tc>
        <w:tc>
          <w:tcPr>
            <w:tcW w:w="148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(6,917)</w:t>
            </w:r>
          </w:p>
        </w:tc>
        <w:tc>
          <w:tcPr>
            <w:tcW w:w="0" w:type="dxa"/>
            <w:vAlign w:val="bottom"/>
          </w:tcPr>
          <w:p>
            <w:pPr>
              <w:spacing w:after="0"/>
              <w:rPr>
                <w:sz w:val="1"/>
                <w:szCs w:val="1"/>
                <w:color w:val="auto"/>
              </w:rPr>
            </w:pPr>
          </w:p>
        </w:tc>
      </w:tr>
      <w:tr>
        <w:trPr>
          <w:trHeight w:val="202"/>
        </w:trPr>
        <w:tc>
          <w:tcPr>
            <w:tcW w:w="7960" w:type="dxa"/>
            <w:vAlign w:val="bottom"/>
          </w:tcPr>
          <w:p>
            <w:pPr>
              <w:spacing w:after="0"/>
              <w:rPr>
                <w:sz w:val="20"/>
                <w:szCs w:val="20"/>
                <w:color w:val="auto"/>
              </w:rPr>
            </w:pPr>
            <w:r>
              <w:rPr>
                <w:rFonts w:ascii="Arial" w:cs="Arial" w:eastAsia="Arial" w:hAnsi="Arial"/>
                <w:sz w:val="16"/>
                <w:szCs w:val="16"/>
                <w:color w:val="auto"/>
              </w:rPr>
              <w:t>Vessel operating and supervision costs</w:t>
            </w:r>
          </w:p>
        </w:tc>
        <w:tc>
          <w:tcPr>
            <w:tcW w:w="1660" w:type="dxa"/>
            <w:vAlign w:val="bottom"/>
            <w:gridSpan w:val="2"/>
          </w:tcPr>
          <w:p>
            <w:pPr>
              <w:jc w:val="right"/>
              <w:ind w:right="220"/>
              <w:spacing w:after="0"/>
              <w:rPr>
                <w:sz w:val="20"/>
                <w:szCs w:val="20"/>
                <w:color w:val="auto"/>
              </w:rPr>
            </w:pPr>
            <w:r>
              <w:rPr>
                <w:rFonts w:ascii="Arial" w:cs="Arial" w:eastAsia="Arial" w:hAnsi="Arial"/>
                <w:sz w:val="16"/>
                <w:szCs w:val="16"/>
                <w:color w:val="auto"/>
              </w:rPr>
              <w:t>(34,313)</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(32,970)</w:t>
            </w:r>
          </w:p>
        </w:tc>
        <w:tc>
          <w:tcPr>
            <w:tcW w:w="0" w:type="dxa"/>
            <w:vAlign w:val="bottom"/>
          </w:tcPr>
          <w:p>
            <w:pPr>
              <w:spacing w:after="0"/>
              <w:rPr>
                <w:sz w:val="1"/>
                <w:szCs w:val="1"/>
                <w:color w:val="auto"/>
              </w:rPr>
            </w:pPr>
          </w:p>
        </w:tc>
      </w:tr>
      <w:tr>
        <w:trPr>
          <w:trHeight w:val="203"/>
        </w:trPr>
        <w:tc>
          <w:tcPr>
            <w:tcW w:w="7960" w:type="dxa"/>
            <w:vAlign w:val="bottom"/>
            <w:shd w:val="clear" w:color="auto" w:fill="E5FFFF"/>
          </w:tcPr>
          <w:p>
            <w:pPr>
              <w:spacing w:after="0"/>
              <w:rPr>
                <w:sz w:val="20"/>
                <w:szCs w:val="20"/>
                <w:color w:val="auto"/>
              </w:rPr>
            </w:pPr>
            <w:r>
              <w:rPr>
                <w:rFonts w:ascii="Arial" w:cs="Arial" w:eastAsia="Arial" w:hAnsi="Arial"/>
                <w:sz w:val="16"/>
                <w:szCs w:val="16"/>
                <w:color w:val="auto"/>
              </w:rPr>
              <w:t>Depreciation</w:t>
            </w:r>
          </w:p>
        </w:tc>
        <w:tc>
          <w:tcPr>
            <w:tcW w:w="166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(35,529)</w:t>
            </w:r>
          </w:p>
        </w:tc>
        <w:tc>
          <w:tcPr>
            <w:tcW w:w="148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(39,599)</w:t>
            </w:r>
          </w:p>
        </w:tc>
        <w:tc>
          <w:tcPr>
            <w:tcW w:w="0" w:type="dxa"/>
            <w:vAlign w:val="bottom"/>
          </w:tcPr>
          <w:p>
            <w:pPr>
              <w:spacing w:after="0"/>
              <w:rPr>
                <w:sz w:val="1"/>
                <w:szCs w:val="1"/>
                <w:color w:val="auto"/>
              </w:rPr>
            </w:pPr>
          </w:p>
        </w:tc>
      </w:tr>
      <w:tr>
        <w:trPr>
          <w:trHeight w:val="203"/>
        </w:trPr>
        <w:tc>
          <w:tcPr>
            <w:tcW w:w="7960" w:type="dxa"/>
            <w:vAlign w:val="bottom"/>
          </w:tcPr>
          <w:p>
            <w:pPr>
              <w:spacing w:after="0"/>
              <w:rPr>
                <w:sz w:val="20"/>
                <w:szCs w:val="20"/>
                <w:color w:val="auto"/>
              </w:rPr>
            </w:pPr>
            <w:r>
              <w:rPr>
                <w:rFonts w:ascii="Arial" w:cs="Arial" w:eastAsia="Arial" w:hAnsi="Arial"/>
                <w:sz w:val="16"/>
                <w:szCs w:val="16"/>
                <w:color w:val="auto"/>
              </w:rPr>
              <w:t>General and administrative expenses</w:t>
            </w:r>
          </w:p>
        </w:tc>
        <w:tc>
          <w:tcPr>
            <w:tcW w:w="1660" w:type="dxa"/>
            <w:vAlign w:val="bottom"/>
            <w:gridSpan w:val="2"/>
          </w:tcPr>
          <w:p>
            <w:pPr>
              <w:jc w:val="right"/>
              <w:ind w:right="220"/>
              <w:spacing w:after="0"/>
              <w:rPr>
                <w:sz w:val="20"/>
                <w:szCs w:val="20"/>
                <w:color w:val="auto"/>
              </w:rPr>
            </w:pPr>
            <w:r>
              <w:rPr>
                <w:rFonts w:ascii="Arial" w:cs="Arial" w:eastAsia="Arial" w:hAnsi="Arial"/>
                <w:sz w:val="16"/>
                <w:szCs w:val="16"/>
                <w:color w:val="auto"/>
              </w:rPr>
              <w:t>(12,013)</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(10,377)</w:t>
            </w:r>
          </w:p>
        </w:tc>
        <w:tc>
          <w:tcPr>
            <w:tcW w:w="0" w:type="dxa"/>
            <w:vAlign w:val="bottom"/>
          </w:tcPr>
          <w:p>
            <w:pPr>
              <w:spacing w:after="0"/>
              <w:rPr>
                <w:sz w:val="1"/>
                <w:szCs w:val="1"/>
                <w:color w:val="auto"/>
              </w:rPr>
            </w:pPr>
          </w:p>
        </w:tc>
      </w:tr>
      <w:tr>
        <w:trPr>
          <w:trHeight w:val="196"/>
        </w:trPr>
        <w:tc>
          <w:tcPr>
            <w:tcW w:w="796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Profit from operations</w:t>
            </w:r>
          </w:p>
        </w:tc>
        <w:tc>
          <w:tcPr>
            <w:tcW w:w="13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59,995</w:t>
            </w:r>
          </w:p>
        </w:tc>
        <w:tc>
          <w:tcPr>
            <w:tcW w:w="280" w:type="dxa"/>
            <w:vAlign w:val="bottom"/>
            <w:tcBorders>
              <w:top w:val="single" w:sz="8" w:color="E5FFFF"/>
            </w:tcBorders>
            <w:shd w:val="clear" w:color="auto" w:fill="E5FFFF"/>
          </w:tcPr>
          <w:p>
            <w:pPr>
              <w:spacing w:after="0"/>
              <w:rPr>
                <w:sz w:val="17"/>
                <w:szCs w:val="17"/>
                <w:color w:val="auto"/>
              </w:rPr>
            </w:pPr>
          </w:p>
        </w:tc>
        <w:tc>
          <w:tcPr>
            <w:tcW w:w="13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69,946</w:t>
            </w:r>
          </w:p>
        </w:tc>
        <w:tc>
          <w:tcPr>
            <w:tcW w:w="120" w:type="dxa"/>
            <w:vAlign w:val="bottom"/>
            <w:tcBorders>
              <w:top w:val="single" w:sz="8" w:color="E5FFFF"/>
            </w:tcBorders>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960" w:type="dxa"/>
            <w:vAlign w:val="bottom"/>
          </w:tcPr>
          <w:p>
            <w:pPr>
              <w:spacing w:after="0"/>
              <w:rPr>
                <w:sz w:val="20"/>
                <w:szCs w:val="20"/>
                <w:color w:val="auto"/>
              </w:rPr>
            </w:pPr>
            <w:r>
              <w:rPr>
                <w:rFonts w:ascii="Arial" w:cs="Arial" w:eastAsia="Arial" w:hAnsi="Arial"/>
                <w:sz w:val="16"/>
                <w:szCs w:val="16"/>
                <w:color w:val="auto"/>
              </w:rPr>
              <w:t>Financial costs</w:t>
            </w:r>
          </w:p>
        </w:tc>
        <w:tc>
          <w:tcPr>
            <w:tcW w:w="1380" w:type="dxa"/>
            <w:vAlign w:val="bottom"/>
          </w:tcPr>
          <w:p>
            <w:pPr>
              <w:jc w:val="right"/>
              <w:spacing w:after="0"/>
              <w:rPr>
                <w:sz w:val="20"/>
                <w:szCs w:val="20"/>
                <w:color w:val="auto"/>
              </w:rPr>
            </w:pPr>
            <w:r>
              <w:rPr>
                <w:rFonts w:ascii="Arial" w:cs="Arial" w:eastAsia="Arial" w:hAnsi="Arial"/>
                <w:sz w:val="16"/>
                <w:szCs w:val="16"/>
                <w:color w:val="auto"/>
              </w:rPr>
              <w:t>(36,597)</w:t>
            </w:r>
          </w:p>
        </w:tc>
        <w:tc>
          <w:tcPr>
            <w:tcW w:w="2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(45,507)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60" w:type="dxa"/>
            <w:vAlign w:val="bottom"/>
            <w:shd w:val="clear" w:color="auto" w:fill="E5FFFF"/>
          </w:tcPr>
          <w:p>
            <w:pPr>
              <w:spacing w:after="0"/>
              <w:rPr>
                <w:sz w:val="20"/>
                <w:szCs w:val="20"/>
                <w:color w:val="auto"/>
              </w:rPr>
            </w:pPr>
            <w:r>
              <w:rPr>
                <w:rFonts w:ascii="Arial" w:cs="Arial" w:eastAsia="Arial" w:hAnsi="Arial"/>
                <w:sz w:val="16"/>
                <w:szCs w:val="16"/>
                <w:color w:val="auto"/>
              </w:rPr>
              <w:t>Financial income</w:t>
            </w: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1,016</w:t>
            </w:r>
          </w:p>
        </w:tc>
        <w:tc>
          <w:tcPr>
            <w:tcW w:w="280" w:type="dxa"/>
            <w:vAlign w:val="bottom"/>
            <w:shd w:val="clear" w:color="auto" w:fill="E5FFFF"/>
          </w:tcPr>
          <w:p>
            <w:pPr>
              <w:spacing w:after="0"/>
              <w:rPr>
                <w:sz w:val="17"/>
                <w:szCs w:val="17"/>
                <w:color w:val="auto"/>
              </w:rPr>
            </w:pP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1,459</w:t>
            </w:r>
          </w:p>
        </w:tc>
        <w:tc>
          <w:tcPr>
            <w:tcW w:w="12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60" w:type="dxa"/>
            <w:vAlign w:val="bottom"/>
          </w:tcPr>
          <w:p>
            <w:pPr>
              <w:spacing w:after="0"/>
              <w:rPr>
                <w:sz w:val="20"/>
                <w:szCs w:val="20"/>
                <w:color w:val="auto"/>
              </w:rPr>
            </w:pPr>
            <w:r>
              <w:rPr>
                <w:rFonts w:ascii="Arial" w:cs="Arial" w:eastAsia="Arial" w:hAnsi="Arial"/>
                <w:sz w:val="16"/>
                <w:szCs w:val="16"/>
                <w:color w:val="auto"/>
              </w:rPr>
              <w:t>Gain/(loss) on derivatives</w:t>
            </w:r>
          </w:p>
        </w:tc>
        <w:tc>
          <w:tcPr>
            <w:tcW w:w="1380" w:type="dxa"/>
            <w:vAlign w:val="bottom"/>
          </w:tcPr>
          <w:p>
            <w:pPr>
              <w:jc w:val="right"/>
              <w:spacing w:after="0"/>
              <w:rPr>
                <w:sz w:val="20"/>
                <w:szCs w:val="20"/>
                <w:color w:val="auto"/>
              </w:rPr>
            </w:pPr>
            <w:r>
              <w:rPr>
                <w:rFonts w:ascii="Arial" w:cs="Arial" w:eastAsia="Arial" w:hAnsi="Arial"/>
                <w:sz w:val="16"/>
                <w:szCs w:val="16"/>
                <w:color w:val="auto"/>
              </w:rPr>
              <w:t>17,771</w:t>
            </w:r>
          </w:p>
        </w:tc>
        <w:tc>
          <w:tcPr>
            <w:tcW w:w="280" w:type="dxa"/>
            <w:vAlign w:val="bottom"/>
          </w:tcPr>
          <w:p>
            <w:pPr>
              <w:spacing w:after="0"/>
              <w:rPr>
                <w:sz w:val="17"/>
                <w:szCs w:val="17"/>
                <w:color w:val="auto"/>
              </w:rPr>
            </w:pP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(20,244)</w:t>
            </w:r>
          </w:p>
        </w:tc>
        <w:tc>
          <w:tcPr>
            <w:tcW w:w="0" w:type="dxa"/>
            <w:vAlign w:val="bottom"/>
          </w:tcPr>
          <w:p>
            <w:pPr>
              <w:spacing w:after="0"/>
              <w:rPr>
                <w:sz w:val="1"/>
                <w:szCs w:val="1"/>
                <w:color w:val="auto"/>
              </w:rPr>
            </w:pPr>
          </w:p>
        </w:tc>
      </w:tr>
      <w:tr>
        <w:trPr>
          <w:trHeight w:val="203"/>
        </w:trPr>
        <w:tc>
          <w:tcPr>
            <w:tcW w:w="7960" w:type="dxa"/>
            <w:vAlign w:val="bottom"/>
            <w:shd w:val="clear" w:color="auto" w:fill="E5FFFF"/>
          </w:tcPr>
          <w:p>
            <w:pPr>
              <w:spacing w:after="0"/>
              <w:rPr>
                <w:sz w:val="20"/>
                <w:szCs w:val="20"/>
                <w:color w:val="auto"/>
              </w:rPr>
            </w:pPr>
            <w:r>
              <w:rPr>
                <w:rFonts w:ascii="Arial" w:cs="Arial" w:eastAsia="Arial" w:hAnsi="Arial"/>
                <w:sz w:val="16"/>
                <w:szCs w:val="16"/>
                <w:color w:val="auto"/>
              </w:rPr>
              <w:t>Share of profit of associates</w:t>
            </w:r>
          </w:p>
        </w:tc>
        <w:tc>
          <w:tcPr>
            <w:tcW w:w="13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356</w:t>
            </w:r>
          </w:p>
        </w:tc>
        <w:tc>
          <w:tcPr>
            <w:tcW w:w="280" w:type="dxa"/>
            <w:vAlign w:val="bottom"/>
            <w:shd w:val="clear" w:color="auto" w:fill="E5FFFF"/>
          </w:tcPr>
          <w:p>
            <w:pPr>
              <w:spacing w:after="0"/>
              <w:rPr>
                <w:sz w:val="17"/>
                <w:szCs w:val="17"/>
                <w:color w:val="auto"/>
              </w:rPr>
            </w:pPr>
          </w:p>
        </w:tc>
        <w:tc>
          <w:tcPr>
            <w:tcW w:w="13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245</w:t>
            </w:r>
          </w:p>
        </w:tc>
        <w:tc>
          <w:tcPr>
            <w:tcW w:w="12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96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Total other expenses, net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(17,454)</w:t>
            </w:r>
          </w:p>
        </w:tc>
        <w:tc>
          <w:tcPr>
            <w:tcW w:w="280" w:type="dxa"/>
            <w:vAlign w:val="bottom"/>
            <w:tcBorders>
              <w:bottom w:val="single" w:sz="8" w:color="E5FFFF"/>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(64,047)</w:t>
            </w:r>
          </w:p>
        </w:tc>
        <w:tc>
          <w:tcPr>
            <w:tcW w:w="120" w:type="dxa"/>
            <w:vAlign w:val="bottom"/>
            <w:tcBorders>
              <w:bottom w:val="single" w:sz="8" w:color="E5FF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96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Profit for the period</w:t>
            </w:r>
          </w:p>
        </w:tc>
        <w:tc>
          <w:tcPr>
            <w:tcW w:w="13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42,541</w:t>
            </w:r>
          </w:p>
        </w:tc>
        <w:tc>
          <w:tcPr>
            <w:tcW w:w="280" w:type="dxa"/>
            <w:vAlign w:val="bottom"/>
            <w:tcBorders>
              <w:bottom w:val="single" w:sz="8" w:color="E5FFFF"/>
            </w:tcBorders>
            <w:shd w:val="clear" w:color="auto" w:fill="E5FFFF"/>
          </w:tcPr>
          <w:p>
            <w:pPr>
              <w:spacing w:after="0"/>
              <w:rPr>
                <w:sz w:val="17"/>
                <w:szCs w:val="17"/>
                <w:color w:val="auto"/>
              </w:rPr>
            </w:pPr>
          </w:p>
        </w:tc>
        <w:tc>
          <w:tcPr>
            <w:tcW w:w="13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5,899</w:t>
            </w:r>
          </w:p>
        </w:tc>
        <w:tc>
          <w:tcPr>
            <w:tcW w:w="120" w:type="dxa"/>
            <w:vAlign w:val="bottom"/>
            <w:tcBorders>
              <w:bottom w:val="single" w:sz="8" w:color="E5FFFF"/>
            </w:tcBorders>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960" w:type="dxa"/>
            <w:vAlign w:val="bottom"/>
            <w:vMerge w:val="restart"/>
          </w:tcPr>
          <w:p>
            <w:pPr>
              <w:spacing w:after="0"/>
              <w:rPr>
                <w:sz w:val="20"/>
                <w:szCs w:val="20"/>
                <w:color w:val="auto"/>
              </w:rPr>
            </w:pPr>
            <w:r>
              <w:rPr>
                <w:rFonts w:ascii="Arial" w:cs="Arial" w:eastAsia="Arial" w:hAnsi="Arial"/>
                <w:sz w:val="16"/>
                <w:szCs w:val="16"/>
                <w:color w:val="auto"/>
              </w:rPr>
              <w:t>Non-controlling interests</w:t>
            </w:r>
          </w:p>
        </w:tc>
        <w:tc>
          <w:tcPr>
            <w:tcW w:w="1660" w:type="dxa"/>
            <w:vAlign w:val="bottom"/>
            <w:gridSpan w:val="2"/>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960" w:type="dxa"/>
            <w:vAlign w:val="bottom"/>
            <w:tcBorders>
              <w:bottom w:val="single" w:sz="8" w:color="E5FFFF"/>
            </w:tcBorders>
            <w:vMerge w:val="continue"/>
          </w:tcPr>
          <w:p>
            <w:pPr>
              <w:spacing w:after="0"/>
              <w:rPr>
                <w:sz w:val="15"/>
                <w:szCs w:val="15"/>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(23,237)</w:t>
            </w:r>
          </w:p>
        </w:tc>
        <w:tc>
          <w:tcPr>
            <w:tcW w:w="280" w:type="dxa"/>
            <w:vAlign w:val="bottom"/>
            <w:tcBorders>
              <w:bottom w:val="single" w:sz="8" w:color="E5FFFF"/>
            </w:tcBorders>
          </w:tcPr>
          <w:p>
            <w:pPr>
              <w:spacing w:after="0"/>
              <w:rPr>
                <w:sz w:val="15"/>
                <w:szCs w:val="15"/>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(16,846)</w:t>
            </w:r>
          </w:p>
        </w:tc>
        <w:tc>
          <w:tcPr>
            <w:tcW w:w="120" w:type="dxa"/>
            <w:vAlign w:val="bottom"/>
            <w:tcBorders>
              <w:bottom w:val="single" w:sz="8" w:color="E5FFFF"/>
            </w:tcBorders>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796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Profit/(loss) attributable to owners of the Group</w:t>
            </w:r>
          </w:p>
        </w:tc>
        <w:tc>
          <w:tcPr>
            <w:tcW w:w="13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19,304</w:t>
            </w:r>
          </w:p>
        </w:tc>
        <w:tc>
          <w:tcPr>
            <w:tcW w:w="280" w:type="dxa"/>
            <w:vAlign w:val="bottom"/>
            <w:tcBorders>
              <w:bottom w:val="single" w:sz="8" w:color="E5FFFF"/>
            </w:tcBorders>
            <w:shd w:val="clear" w:color="auto" w:fill="E5FFFF"/>
          </w:tcPr>
          <w:p>
            <w:pPr>
              <w:spacing w:after="0"/>
              <w:rPr>
                <w:sz w:val="17"/>
                <w:szCs w:val="17"/>
                <w:color w:val="auto"/>
              </w:rPr>
            </w:pPr>
          </w:p>
        </w:tc>
        <w:tc>
          <w:tcPr>
            <w:tcW w:w="13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(10,947</w:t>
            </w:r>
          </w:p>
        </w:tc>
        <w:tc>
          <w:tcPr>
            <w:tcW w:w="120" w:type="dxa"/>
            <w:vAlign w:val="bottom"/>
            <w:tcBorders>
              <w:bottom w:val="single" w:sz="8" w:color="E5FFFF"/>
            </w:tcBorders>
            <w:shd w:val="clear" w:color="auto" w:fill="E5FF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79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2" w:lineRule="exact"/>
        <w:rPr>
          <w:sz w:val="20"/>
          <w:szCs w:val="20"/>
          <w:color w:val="auto"/>
        </w:rPr>
      </w:pPr>
    </w:p>
    <w:p>
      <w:pPr>
        <w:ind w:right="200" w:firstLine="405"/>
        <w:spacing w:after="0" w:line="297" w:lineRule="auto"/>
        <w:rPr>
          <w:sz w:val="20"/>
          <w:szCs w:val="20"/>
          <w:color w:val="auto"/>
        </w:rPr>
      </w:pPr>
      <w:r>
        <w:rPr>
          <w:rFonts w:ascii="Arial" w:cs="Arial" w:eastAsia="Arial" w:hAnsi="Arial"/>
          <w:sz w:val="15"/>
          <w:szCs w:val="15"/>
          <w:color w:val="auto"/>
        </w:rPr>
        <w:t>During the three-month period ended March 31, 2018 we had an average of 24.0 ships operating in our owned and bareboat fleet (including ships owned by the Partnership), having 2,162 operating days and an average of 24.1 ships operating under our technical management (including our 23.0 owned and bareboat ships). During the three-month period ended March 31, 2019, we had an average of 26.2 ships operating in our owned and bareboat fleet (including ships owned by the Partnership), having 2,350 operating days, and an average of 26.2 ships operating under our technical management (including 25.2 of our owned and bareboat ships).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Revenues:</w:t>
      </w:r>
    </w:p>
    <w:p>
      <w:pPr>
        <w:spacing w:after="0" w:line="235" w:lineRule="exact"/>
        <w:rPr>
          <w:sz w:val="20"/>
          <w:szCs w:val="20"/>
          <w:color w:val="auto"/>
        </w:rPr>
      </w:pPr>
    </w:p>
    <w:p>
      <w:pPr>
        <w:ind w:right="60" w:firstLine="427"/>
        <w:spacing w:after="0" w:line="287" w:lineRule="auto"/>
        <w:rPr>
          <w:sz w:val="20"/>
          <w:szCs w:val="20"/>
          <w:color w:val="auto"/>
        </w:rPr>
      </w:pPr>
      <w:r>
        <w:rPr>
          <w:rFonts w:ascii="Arial" w:cs="Arial" w:eastAsia="Arial" w:hAnsi="Arial"/>
          <w:sz w:val="15"/>
          <w:szCs w:val="15"/>
          <w:color w:val="auto"/>
        </w:rPr>
        <w:t xml:space="preserve">Revenues increased by 20.2%, or $28.0 million, from $138.5 million during the three-month period ended March 31, 2018 to $166.5 million during the three-month period ended March 31, 2019. The increase in revenues is mainly attributable to an increase in revenues of $18.6 million due to the full operation of the </w:t>
      </w:r>
      <w:r>
        <w:rPr>
          <w:rFonts w:ascii="Arial" w:cs="Arial" w:eastAsia="Arial" w:hAnsi="Arial"/>
          <w:sz w:val="15"/>
          <w:szCs w:val="15"/>
          <w:i w:val="1"/>
          <w:iCs w:val="1"/>
          <w:color w:val="auto"/>
        </w:rPr>
        <w:t>GasLog Houston</w:t>
      </w:r>
      <w:r>
        <w:rPr>
          <w:rFonts w:ascii="Arial" w:cs="Arial" w:eastAsia="Arial" w:hAnsi="Arial"/>
          <w:sz w:val="15"/>
          <w:szCs w:val="15"/>
          <w:color w:val="auto"/>
        </w:rPr>
        <w:t xml:space="preserve">, the </w:t>
      </w:r>
      <w:r>
        <w:rPr>
          <w:rFonts w:ascii="Arial" w:cs="Arial" w:eastAsia="Arial" w:hAnsi="Arial"/>
          <w:sz w:val="15"/>
          <w:szCs w:val="15"/>
          <w:i w:val="1"/>
          <w:iCs w:val="1"/>
          <w:color w:val="auto"/>
        </w:rPr>
        <w:t>GasLog</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Hong Kong </w:t>
      </w:r>
      <w:r>
        <w:rPr>
          <w:rFonts w:ascii="Arial" w:cs="Arial" w:eastAsia="Arial" w:hAnsi="Arial"/>
          <w:sz w:val="15"/>
          <w:szCs w:val="15"/>
          <w:color w:val="auto"/>
        </w:rPr>
        <w:t>and the</w:t>
      </w:r>
      <w:r>
        <w:rPr>
          <w:rFonts w:ascii="Arial" w:cs="Arial" w:eastAsia="Arial" w:hAnsi="Arial"/>
          <w:sz w:val="15"/>
          <w:szCs w:val="15"/>
          <w:i w:val="1"/>
          <w:iCs w:val="1"/>
          <w:color w:val="auto"/>
        </w:rPr>
        <w:t xml:space="preserve"> GasLog Genoa </w:t>
      </w:r>
      <w:r>
        <w:rPr>
          <w:rFonts w:ascii="Arial" w:cs="Arial" w:eastAsia="Arial" w:hAnsi="Arial"/>
          <w:sz w:val="15"/>
          <w:szCs w:val="15"/>
          <w:color w:val="auto"/>
        </w:rPr>
        <w:t>(which were delivered on January 8, 2018, March 20, 2018 and March 29, 2018, respectively) and the delivery of the</w:t>
      </w:r>
      <w:r>
        <w:rPr>
          <w:rFonts w:ascii="Arial" w:cs="Arial" w:eastAsia="Arial" w:hAnsi="Arial"/>
          <w:sz w:val="15"/>
          <w:szCs w:val="15"/>
          <w:i w:val="1"/>
          <w:iCs w:val="1"/>
          <w:color w:val="auto"/>
        </w:rPr>
        <w:t xml:space="preserve"> GasLog Gladstone </w:t>
      </w:r>
      <w:r>
        <w:rPr>
          <w:rFonts w:ascii="Arial" w:cs="Arial" w:eastAsia="Arial" w:hAnsi="Arial"/>
          <w:sz w:val="15"/>
          <w:szCs w:val="15"/>
          <w:color w:val="auto"/>
        </w:rPr>
        <w:t>on</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March 15, 2019. These deliveries resulted in an increase in operating days. There was also an increase of $18.7 million in revenues from our vessels operating in the spot market mainly due to their increased number, their increased utilization and the increase in the daily rates achieved by the GasLog vessels compared to the same period in 2018. These increases were partially offset by a decrease of $9.1 million due to the expiration of the initial time charters of the </w:t>
      </w:r>
      <w:r>
        <w:rPr>
          <w:rFonts w:ascii="Arial" w:cs="Arial" w:eastAsia="Arial" w:hAnsi="Arial"/>
          <w:sz w:val="15"/>
          <w:szCs w:val="15"/>
          <w:i w:val="1"/>
          <w:iCs w:val="1"/>
          <w:color w:val="auto"/>
        </w:rPr>
        <w:t>GasLog Shanghai</w:t>
      </w:r>
      <w:r>
        <w:rPr>
          <w:rFonts w:ascii="Arial" w:cs="Arial" w:eastAsia="Arial" w:hAnsi="Arial"/>
          <w:sz w:val="15"/>
          <w:szCs w:val="15"/>
          <w:color w:val="auto"/>
        </w:rPr>
        <w:t xml:space="preserve">, the </w:t>
      </w:r>
      <w:r>
        <w:rPr>
          <w:rFonts w:ascii="Arial" w:cs="Arial" w:eastAsia="Arial" w:hAnsi="Arial"/>
          <w:sz w:val="15"/>
          <w:szCs w:val="15"/>
          <w:i w:val="1"/>
          <w:iCs w:val="1"/>
          <w:color w:val="auto"/>
        </w:rPr>
        <w:t>GasLog Santiago</w:t>
      </w:r>
      <w:r>
        <w:rPr>
          <w:rFonts w:ascii="Arial" w:cs="Arial" w:eastAsia="Arial" w:hAnsi="Arial"/>
          <w:sz w:val="15"/>
          <w:szCs w:val="15"/>
          <w:color w:val="auto"/>
        </w:rPr>
        <w:t xml:space="preserve"> and the </w:t>
      </w:r>
      <w:r>
        <w:rPr>
          <w:rFonts w:ascii="Arial" w:cs="Arial" w:eastAsia="Arial" w:hAnsi="Arial"/>
          <w:sz w:val="15"/>
          <w:szCs w:val="15"/>
          <w:i w:val="1"/>
          <w:iCs w:val="1"/>
          <w:color w:val="auto"/>
        </w:rPr>
        <w:t>GasLog</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Sydney. </w:t>
      </w:r>
      <w:r>
        <w:rPr>
          <w:rFonts w:ascii="Arial" w:cs="Arial" w:eastAsia="Arial" w:hAnsi="Arial"/>
          <w:sz w:val="15"/>
          <w:szCs w:val="15"/>
          <w:color w:val="auto"/>
        </w:rPr>
        <w:t>Following the expiration of their initial charters, the</w:t>
      </w:r>
      <w:r>
        <w:rPr>
          <w:rFonts w:ascii="Arial" w:cs="Arial" w:eastAsia="Arial" w:hAnsi="Arial"/>
          <w:sz w:val="15"/>
          <w:szCs w:val="15"/>
          <w:i w:val="1"/>
          <w:iCs w:val="1"/>
          <w:color w:val="auto"/>
        </w:rPr>
        <w:t xml:space="preserve"> GasLog Shanghai </w:t>
      </w:r>
      <w:r>
        <w:rPr>
          <w:rFonts w:ascii="Arial" w:cs="Arial" w:eastAsia="Arial" w:hAnsi="Arial"/>
          <w:sz w:val="15"/>
          <w:szCs w:val="15"/>
          <w:color w:val="auto"/>
        </w:rPr>
        <w:t>has been trading in the spot market through the Cool Pool, the</w:t>
      </w:r>
      <w:r>
        <w:rPr>
          <w:rFonts w:ascii="Arial" w:cs="Arial" w:eastAsia="Arial" w:hAnsi="Arial"/>
          <w:sz w:val="15"/>
          <w:szCs w:val="15"/>
          <w:i w:val="1"/>
          <w:iCs w:val="1"/>
          <w:color w:val="auto"/>
        </w:rPr>
        <w:t xml:space="preserve"> GasLog Santiago </w:t>
      </w:r>
      <w:r>
        <w:rPr>
          <w:rFonts w:ascii="Arial" w:cs="Arial" w:eastAsia="Arial" w:hAnsi="Arial"/>
          <w:sz w:val="15"/>
          <w:szCs w:val="15"/>
          <w:color w:val="auto"/>
        </w:rPr>
        <w:t>began a new</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multi-year charter with Trafigura and the </w:t>
      </w:r>
      <w:r>
        <w:rPr>
          <w:rFonts w:ascii="Arial" w:cs="Arial" w:eastAsia="Arial" w:hAnsi="Arial"/>
          <w:sz w:val="15"/>
          <w:szCs w:val="15"/>
          <w:i w:val="1"/>
          <w:iCs w:val="1"/>
          <w:color w:val="auto"/>
        </w:rPr>
        <w:t>GasLog Sydney</w:t>
      </w:r>
      <w:r>
        <w:rPr>
          <w:rFonts w:ascii="Arial" w:cs="Arial" w:eastAsia="Arial" w:hAnsi="Arial"/>
          <w:sz w:val="15"/>
          <w:szCs w:val="15"/>
          <w:color w:val="auto"/>
        </w:rPr>
        <w:t xml:space="preserve"> began a new 18-month charter with Cheniere. The average daily hire rate increased from $63,968 for the three-month period ended March 31, 2018 to $70,789 for the quarter ended March 31, 2019.</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Net Pool Allocation:</w:t>
      </w:r>
    </w:p>
    <w:p>
      <w:pPr>
        <w:spacing w:after="0" w:line="235" w:lineRule="exact"/>
        <w:rPr>
          <w:sz w:val="20"/>
          <w:szCs w:val="20"/>
          <w:color w:val="auto"/>
        </w:rPr>
      </w:pPr>
    </w:p>
    <w:p>
      <w:pPr>
        <w:ind w:right="60" w:firstLine="383"/>
        <w:spacing w:after="0" w:line="269" w:lineRule="auto"/>
        <w:rPr>
          <w:sz w:val="20"/>
          <w:szCs w:val="20"/>
          <w:color w:val="auto"/>
        </w:rPr>
      </w:pPr>
      <w:r>
        <w:rPr>
          <w:rFonts w:ascii="Arial" w:cs="Arial" w:eastAsia="Arial" w:hAnsi="Arial"/>
          <w:sz w:val="16"/>
          <w:szCs w:val="16"/>
          <w:color w:val="auto"/>
        </w:rPr>
        <w:t>GasLog recognized gross revenues and gross voyage expenses and commissions of $32.1 million and $4.7 million, respectively, from the operation of its vessels in the Cool Pool during the quarter ended March 31, 2019 (March 31, 2018: $13.4 million and $3.5 million, respectively). Net pool allocation decreased by $15.4 million, from positive $8.7 million during the three-month period ended March 31, 2018 to negative $6.7 million during the three-month period ended March 31, 2019. The variance was attributable to the movement in the adjustment of the net pool results generated by the GasLog vessels in accordance with the pool distribution formula for the total fleet of the pool. The increase in GasLog’s total net pool performance was driven by the increase in the number of the GasLog vessels operating in the Cool Pool, partially offset by lower spot rates. GasLog’s total net pool performance is presented below:</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400" w:type="dxa"/>
            <w:vAlign w:val="bottom"/>
          </w:tcPr>
          <w:p>
            <w:pPr>
              <w:spacing w:after="0"/>
              <w:rPr>
                <w:sz w:val="17"/>
                <w:szCs w:val="17"/>
                <w:color w:val="auto"/>
              </w:rPr>
            </w:pPr>
          </w:p>
        </w:tc>
        <w:tc>
          <w:tcPr>
            <w:tcW w:w="3160" w:type="dxa"/>
            <w:vAlign w:val="bottom"/>
            <w:gridSpan w:val="4"/>
          </w:tcPr>
          <w:p>
            <w:pPr>
              <w:jc w:val="right"/>
              <w:ind w:right="680"/>
              <w:spacing w:after="0"/>
              <w:rPr>
                <w:sz w:val="20"/>
                <w:szCs w:val="20"/>
                <w:color w:val="auto"/>
              </w:rPr>
            </w:pPr>
            <w:r>
              <w:rPr>
                <w:rFonts w:ascii="Arial" w:cs="Arial" w:eastAsia="Arial" w:hAnsi="Arial"/>
                <w:sz w:val="16"/>
                <w:szCs w:val="16"/>
                <w:b w:val="1"/>
                <w:bCs w:val="1"/>
                <w:color w:val="auto"/>
              </w:rPr>
              <w:t>For the three months ended</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00" w:type="dxa"/>
            <w:vAlign w:val="bottom"/>
          </w:tcPr>
          <w:p>
            <w:pPr>
              <w:spacing w:after="0"/>
              <w:rPr>
                <w:sz w:val="17"/>
                <w:szCs w:val="17"/>
                <w:color w:val="auto"/>
              </w:rPr>
            </w:pPr>
          </w:p>
        </w:tc>
        <w:tc>
          <w:tcPr>
            <w:tcW w:w="1680" w:type="dxa"/>
            <w:vAlign w:val="bottom"/>
            <w:gridSpan w:val="2"/>
          </w:tcPr>
          <w:p>
            <w:pPr>
              <w:jc w:val="right"/>
              <w:ind w:right="620"/>
              <w:spacing w:after="0"/>
              <w:rPr>
                <w:sz w:val="20"/>
                <w:szCs w:val="20"/>
                <w:color w:val="auto"/>
              </w:rPr>
            </w:pPr>
            <w:r>
              <w:rPr>
                <w:rFonts w:ascii="Arial" w:cs="Arial" w:eastAsia="Arial" w:hAnsi="Arial"/>
                <w:sz w:val="16"/>
                <w:szCs w:val="16"/>
                <w:b w:val="1"/>
                <w:bCs w:val="1"/>
                <w:color w:val="auto"/>
              </w:rPr>
              <w:t>March 31,</w:t>
            </w:r>
          </w:p>
        </w:tc>
        <w:tc>
          <w:tcPr>
            <w:tcW w:w="148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rPr>
              <w:t>March 31,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400" w:type="dxa"/>
            <w:vAlign w:val="bottom"/>
            <w:vMerge w:val="restart"/>
          </w:tcPr>
          <w:p>
            <w:pPr>
              <w:spacing w:after="0"/>
              <w:rPr>
                <w:sz w:val="20"/>
                <w:szCs w:val="20"/>
                <w:color w:val="auto"/>
              </w:rPr>
            </w:pPr>
            <w:r>
              <w:rPr>
                <w:rFonts w:ascii="Arial" w:cs="Arial" w:eastAsia="Arial" w:hAnsi="Arial"/>
                <w:sz w:val="16"/>
                <w:szCs w:val="16"/>
                <w:b w:val="1"/>
                <w:bCs w:val="1"/>
                <w:i w:val="1"/>
                <w:iCs w:val="1"/>
                <w:color w:val="auto"/>
              </w:rPr>
              <w:t>Amounts in thousands of U.S. Dollars</w:t>
            </w:r>
          </w:p>
        </w:tc>
        <w:tc>
          <w:tcPr>
            <w:tcW w:w="14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2018</w:t>
            </w:r>
          </w:p>
        </w:tc>
        <w:tc>
          <w:tcPr>
            <w:tcW w:w="280" w:type="dxa"/>
            <w:vAlign w:val="bottom"/>
          </w:tcPr>
          <w:p>
            <w:pPr>
              <w:spacing w:after="0"/>
              <w:rPr>
                <w:sz w:val="18"/>
                <w:szCs w:val="18"/>
                <w:color w:val="auto"/>
              </w:rPr>
            </w:pPr>
          </w:p>
        </w:tc>
        <w:tc>
          <w:tcPr>
            <w:tcW w:w="13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8400" w:type="dxa"/>
            <w:vAlign w:val="bottom"/>
            <w:vMerge w:val="continue"/>
          </w:tcPr>
          <w:p>
            <w:pPr>
              <w:spacing w:after="0"/>
              <w:rPr>
                <w:sz w:val="15"/>
                <w:szCs w:val="15"/>
                <w:color w:val="auto"/>
              </w:rPr>
            </w:pPr>
          </w:p>
        </w:tc>
        <w:tc>
          <w:tcPr>
            <w:tcW w:w="1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8400" w:type="dxa"/>
            <w:vAlign w:val="bottom"/>
            <w:shd w:val="clear" w:color="auto" w:fill="E5FFFF"/>
          </w:tcPr>
          <w:p>
            <w:pPr>
              <w:spacing w:after="0"/>
              <w:rPr>
                <w:sz w:val="20"/>
                <w:szCs w:val="20"/>
                <w:color w:val="auto"/>
              </w:rPr>
            </w:pPr>
            <w:r>
              <w:rPr>
                <w:rFonts w:ascii="Arial" w:cs="Arial" w:eastAsia="Arial" w:hAnsi="Arial"/>
                <w:sz w:val="16"/>
                <w:szCs w:val="16"/>
                <w:color w:val="auto"/>
              </w:rPr>
              <w:t>Pool gross revenues (included in Revenues)</w:t>
            </w:r>
          </w:p>
        </w:tc>
        <w:tc>
          <w:tcPr>
            <w:tcW w:w="14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13,405</w:t>
            </w:r>
          </w:p>
        </w:tc>
        <w:tc>
          <w:tcPr>
            <w:tcW w:w="280" w:type="dxa"/>
            <w:vAlign w:val="bottom"/>
            <w:shd w:val="clear" w:color="auto" w:fill="E5FFFF"/>
          </w:tcPr>
          <w:p>
            <w:pPr>
              <w:spacing w:after="0"/>
              <w:rPr>
                <w:sz w:val="17"/>
                <w:szCs w:val="17"/>
                <w:color w:val="auto"/>
              </w:rPr>
            </w:pPr>
          </w:p>
        </w:tc>
        <w:tc>
          <w:tcPr>
            <w:tcW w:w="148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32,142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00" w:type="dxa"/>
            <w:vAlign w:val="bottom"/>
          </w:tcPr>
          <w:p>
            <w:pPr>
              <w:spacing w:after="0"/>
              <w:rPr>
                <w:sz w:val="20"/>
                <w:szCs w:val="20"/>
                <w:color w:val="auto"/>
              </w:rPr>
            </w:pPr>
            <w:r>
              <w:rPr>
                <w:rFonts w:ascii="Arial" w:cs="Arial" w:eastAsia="Arial" w:hAnsi="Arial"/>
                <w:sz w:val="16"/>
                <w:szCs w:val="16"/>
                <w:color w:val="auto"/>
              </w:rPr>
              <w:t>Pool gross voyage expenses and commissions (included in Voyage expenses and commissions)</w:t>
            </w:r>
          </w:p>
        </w:tc>
        <w:tc>
          <w:tcPr>
            <w:tcW w:w="1680" w:type="dxa"/>
            <w:vAlign w:val="bottom"/>
            <w:gridSpan w:val="2"/>
          </w:tcPr>
          <w:p>
            <w:pPr>
              <w:jc w:val="right"/>
              <w:ind w:right="240"/>
              <w:spacing w:after="0"/>
              <w:rPr>
                <w:sz w:val="20"/>
                <w:szCs w:val="20"/>
                <w:color w:val="auto"/>
              </w:rPr>
            </w:pPr>
            <w:r>
              <w:rPr>
                <w:rFonts w:ascii="Arial" w:cs="Arial" w:eastAsia="Arial" w:hAnsi="Arial"/>
                <w:sz w:val="16"/>
                <w:szCs w:val="16"/>
                <w:color w:val="auto"/>
              </w:rPr>
              <w:t>(3,538)</w:t>
            </w:r>
          </w:p>
        </w:tc>
        <w:tc>
          <w:tcPr>
            <w:tcW w:w="1480" w:type="dxa"/>
            <w:vAlign w:val="bottom"/>
            <w:gridSpan w:val="2"/>
          </w:tcPr>
          <w:p>
            <w:pPr>
              <w:jc w:val="right"/>
              <w:ind w:right="40"/>
              <w:spacing w:after="0"/>
              <w:rPr>
                <w:sz w:val="20"/>
                <w:szCs w:val="20"/>
                <w:color w:val="auto"/>
              </w:rPr>
            </w:pPr>
            <w:r>
              <w:rPr>
                <w:rFonts w:ascii="Arial" w:cs="Arial" w:eastAsia="Arial" w:hAnsi="Arial"/>
                <w:sz w:val="16"/>
                <w:szCs w:val="16"/>
                <w:color w:val="auto"/>
              </w:rPr>
              <w:t>(4,677)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00" w:type="dxa"/>
            <w:vAlign w:val="bottom"/>
            <w:shd w:val="clear" w:color="auto" w:fill="E5FFFF"/>
          </w:tcPr>
          <w:p>
            <w:pPr>
              <w:spacing w:after="0"/>
              <w:rPr>
                <w:sz w:val="20"/>
                <w:szCs w:val="20"/>
                <w:color w:val="auto"/>
              </w:rPr>
            </w:pPr>
            <w:r>
              <w:rPr>
                <w:rFonts w:ascii="Arial" w:cs="Arial" w:eastAsia="Arial" w:hAnsi="Arial"/>
                <w:sz w:val="16"/>
                <w:szCs w:val="16"/>
                <w:color w:val="auto"/>
              </w:rPr>
              <w:t>GasLog’s adjustment for net pool allocation (included in Net pool allocation)</w:t>
            </w:r>
          </w:p>
        </w:tc>
        <w:tc>
          <w:tcPr>
            <w:tcW w:w="14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8,653</w:t>
            </w:r>
          </w:p>
        </w:tc>
        <w:tc>
          <w:tcPr>
            <w:tcW w:w="280" w:type="dxa"/>
            <w:vAlign w:val="bottom"/>
            <w:shd w:val="clear" w:color="auto" w:fill="E5FFFF"/>
          </w:tcPr>
          <w:p>
            <w:pPr>
              <w:spacing w:after="0"/>
              <w:rPr>
                <w:sz w:val="17"/>
                <w:szCs w:val="17"/>
                <w:color w:val="auto"/>
              </w:rPr>
            </w:pPr>
          </w:p>
        </w:tc>
        <w:tc>
          <w:tcPr>
            <w:tcW w:w="1480" w:type="dxa"/>
            <w:vAlign w:val="bottom"/>
            <w:gridSpan w:val="2"/>
            <w:shd w:val="clear" w:color="auto" w:fill="E5FFFF"/>
          </w:tcPr>
          <w:p>
            <w:pPr>
              <w:jc w:val="right"/>
              <w:ind w:right="40"/>
              <w:spacing w:after="0"/>
              <w:rPr>
                <w:sz w:val="20"/>
                <w:szCs w:val="20"/>
                <w:color w:val="auto"/>
              </w:rPr>
            </w:pPr>
            <w:r>
              <w:rPr>
                <w:rFonts w:ascii="Arial" w:cs="Arial" w:eastAsia="Arial" w:hAnsi="Arial"/>
                <w:sz w:val="16"/>
                <w:szCs w:val="16"/>
                <w:color w:val="auto"/>
              </w:rPr>
              <w:t>(6,738)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0" w:type="dxa"/>
            <w:vAlign w:val="bottom"/>
          </w:tcPr>
          <w:p>
            <w:pPr>
              <w:spacing w:after="0"/>
              <w:rPr>
                <w:sz w:val="20"/>
                <w:szCs w:val="20"/>
                <w:color w:val="auto"/>
              </w:rPr>
            </w:pPr>
            <w:r>
              <w:rPr>
                <w:rFonts w:ascii="Arial" w:cs="Arial" w:eastAsia="Arial" w:hAnsi="Arial"/>
                <w:sz w:val="16"/>
                <w:szCs w:val="16"/>
                <w:b w:val="1"/>
                <w:bCs w:val="1"/>
                <w:color w:val="auto"/>
              </w:rPr>
              <w:t>GasLog’s total net pool performance</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18,520</w:t>
            </w:r>
          </w:p>
        </w:tc>
        <w:tc>
          <w:tcPr>
            <w:tcW w:w="280" w:type="dxa"/>
            <w:vAlign w:val="bottom"/>
          </w:tcPr>
          <w:p>
            <w:pPr>
              <w:spacing w:after="0"/>
              <w:rPr>
                <w:sz w:val="17"/>
                <w:szCs w:val="17"/>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20,727</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3"/>
        </w:trPr>
        <w:tc>
          <w:tcPr>
            <w:tcW w:w="8400" w:type="dxa"/>
            <w:vAlign w:val="bottom"/>
          </w:tcPr>
          <w:p>
            <w:pPr>
              <w:ind w:left="5720"/>
              <w:spacing w:after="0"/>
              <w:rPr>
                <w:sz w:val="20"/>
                <w:szCs w:val="20"/>
                <w:color w:val="auto"/>
              </w:rPr>
            </w:pPr>
            <w:r>
              <w:rPr>
                <w:rFonts w:ascii="Arial" w:cs="Arial" w:eastAsia="Arial" w:hAnsi="Arial"/>
                <w:sz w:val="14"/>
                <w:szCs w:val="14"/>
                <w:color w:val="auto"/>
              </w:rPr>
              <w:t>20</w:t>
            </w:r>
          </w:p>
        </w:tc>
        <w:tc>
          <w:tcPr>
            <w:tcW w:w="1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8400" w:type="dxa"/>
            <w:vAlign w:val="bottom"/>
            <w:tcBorders>
              <w:bottom w:val="single" w:sz="8" w:color="808080"/>
            </w:tcBorders>
          </w:tcPr>
          <w:p>
            <w:pPr>
              <w:spacing w:after="0"/>
              <w:rPr>
                <w:sz w:val="10"/>
                <w:szCs w:val="10"/>
                <w:color w:val="auto"/>
              </w:rPr>
            </w:pPr>
          </w:p>
        </w:tc>
        <w:tc>
          <w:tcPr>
            <w:tcW w:w="140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7349490</wp:posOffset>
            </wp:positionH>
            <wp:positionV relativeFrom="paragraph">
              <wp:posOffset>-29210</wp:posOffset>
            </wp:positionV>
            <wp:extent cx="1270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600"/>
          </w:cols>
          <w:pgMar w:left="160" w:top="266" w:right="139" w:bottom="1440" w:gutter="0" w:footer="0" w:header="0"/>
        </w:sectPr>
      </w:pPr>
    </w:p>
    <w:bookmarkStart w:id="20" w:name="page21"/>
    <w:bookmarkEnd w:id="20"/>
    <w:p>
      <w:pPr>
        <w:spacing w:after="0"/>
        <w:rPr>
          <w:sz w:val="20"/>
          <w:szCs w:val="20"/>
          <w:color w:val="auto"/>
        </w:rPr>
      </w:pPr>
      <w:r>
        <w:rPr>
          <w:rFonts w:ascii="Arial" w:cs="Arial" w:eastAsia="Arial" w:hAnsi="Arial"/>
          <w:sz w:val="16"/>
          <w:szCs w:val="16"/>
          <w:b w:val="1"/>
          <w:bCs w:val="1"/>
          <w:i w:val="1"/>
          <w:iCs w:val="1"/>
          <w:color w:val="auto"/>
        </w:rPr>
        <w:t>Voyage Expenses and Commissions:</w:t>
      </w:r>
    </w:p>
    <w:p>
      <w:pPr>
        <w:spacing w:after="0" w:line="235" w:lineRule="exact"/>
        <w:rPr>
          <w:sz w:val="20"/>
          <w:szCs w:val="20"/>
          <w:color w:val="auto"/>
        </w:rPr>
      </w:pPr>
    </w:p>
    <w:p>
      <w:pPr>
        <w:ind w:right="140" w:firstLine="356"/>
        <w:spacing w:after="0" w:line="328" w:lineRule="auto"/>
        <w:rPr>
          <w:sz w:val="20"/>
          <w:szCs w:val="20"/>
          <w:color w:val="auto"/>
        </w:rPr>
      </w:pPr>
      <w:r>
        <w:rPr>
          <w:rFonts w:ascii="Arial" w:cs="Arial" w:eastAsia="Arial" w:hAnsi="Arial"/>
          <w:sz w:val="15"/>
          <w:szCs w:val="15"/>
          <w:color w:val="auto"/>
        </w:rPr>
        <w:t>Voyage expenses and commissions increased by 30.2%, or $1.6 million, from $5.3 million during the three-month period ended March 31, 2018 to $6.9 million during the three-month period ended March 31, 2019. The increase is primarily attributable to the increase in bunkers consumption of the vessels operating in the spot market.</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Vessel Operating and Supervision Costs:</w:t>
      </w:r>
    </w:p>
    <w:p>
      <w:pPr>
        <w:spacing w:after="0" w:line="235" w:lineRule="exact"/>
        <w:rPr>
          <w:sz w:val="20"/>
          <w:szCs w:val="20"/>
          <w:color w:val="auto"/>
        </w:rPr>
      </w:pPr>
    </w:p>
    <w:p>
      <w:pPr>
        <w:ind w:right="60" w:firstLine="356"/>
        <w:spacing w:after="0" w:line="293" w:lineRule="auto"/>
        <w:rPr>
          <w:sz w:val="20"/>
          <w:szCs w:val="20"/>
          <w:color w:val="auto"/>
        </w:rPr>
      </w:pPr>
      <w:r>
        <w:rPr>
          <w:rFonts w:ascii="Arial" w:cs="Arial" w:eastAsia="Arial" w:hAnsi="Arial"/>
          <w:sz w:val="15"/>
          <w:szCs w:val="15"/>
          <w:color w:val="auto"/>
        </w:rPr>
        <w:t>Vessel operating and supervision costs decreased by 3.8%, or $1.3 million, from $34.3 million during the three-month period ended March 31, 2018 to $33.0 million during the three-month period ended March 31, 2019. The decrease in vessel operating and supervision costs is attributable to a decrease of $0.6 million in employee costs, crew wages and technical maintenance expenses, mainly due to the favorable movement of the Euro (“EUR”)/USD exchange rate which decreased by an average of 8% in the first three months of 2019 as compared to the same period in 2018, and a decrease of $0.5 million in vessel taxes. As a result, daily operating costs per vessel decreased from $16,512 per day for the three-month period ended March 31, 2018 to $14,550 per day for the three-month period ended March 31, 2019.</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Depreciation:</w:t>
      </w:r>
    </w:p>
    <w:p>
      <w:pPr>
        <w:spacing w:after="0" w:line="235" w:lineRule="exact"/>
        <w:rPr>
          <w:sz w:val="20"/>
          <w:szCs w:val="20"/>
          <w:color w:val="auto"/>
        </w:rPr>
      </w:pPr>
    </w:p>
    <w:p>
      <w:pPr>
        <w:ind w:right="140" w:firstLine="356"/>
        <w:spacing w:after="0" w:line="278" w:lineRule="auto"/>
        <w:rPr>
          <w:sz w:val="20"/>
          <w:szCs w:val="20"/>
          <w:color w:val="auto"/>
        </w:rPr>
      </w:pPr>
      <w:r>
        <w:rPr>
          <w:rFonts w:ascii="Arial" w:cs="Arial" w:eastAsia="Arial" w:hAnsi="Arial"/>
          <w:sz w:val="16"/>
          <w:szCs w:val="16"/>
          <w:color w:val="auto"/>
        </w:rPr>
        <w:t>Depreciation increased by 11.5%, or $4.1 million, from $35.5 million during the three-month period ended March 31, 2018 to $39.6 million during the three-month period ended March 31, 2019. The increase in depreciation resulted mainly from the increase in the average number of vessels in our fleet in the quarter ended March 31, 2019, compared to the same quarter in 2018.</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General and Administrative Expenses:</w:t>
      </w:r>
    </w:p>
    <w:p>
      <w:pPr>
        <w:spacing w:after="0" w:line="235" w:lineRule="exact"/>
        <w:rPr>
          <w:sz w:val="20"/>
          <w:szCs w:val="20"/>
          <w:color w:val="auto"/>
        </w:rPr>
      </w:pPr>
    </w:p>
    <w:p>
      <w:pPr>
        <w:ind w:right="80" w:firstLine="356"/>
        <w:spacing w:after="0" w:line="278" w:lineRule="auto"/>
        <w:rPr>
          <w:sz w:val="20"/>
          <w:szCs w:val="20"/>
          <w:color w:val="auto"/>
        </w:rPr>
      </w:pPr>
      <w:r>
        <w:rPr>
          <w:rFonts w:ascii="Arial" w:cs="Arial" w:eastAsia="Arial" w:hAnsi="Arial"/>
          <w:sz w:val="16"/>
          <w:szCs w:val="16"/>
          <w:color w:val="auto"/>
        </w:rPr>
        <w:t>General and administrative expenses decreased by 13.3%, or $1.6 million, from $12.0 million during the three-month period ended March 31, 2018 to $10.4 million during the three-month period ended March 31, 2019. The decrease is mainly attributable to a decrease of $1.6 million in employee costs due to the favorable movement of the USD against EUR and British Pound (“GBP”).</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Financial Costs:</w:t>
      </w:r>
    </w:p>
    <w:p>
      <w:pPr>
        <w:spacing w:after="0" w:line="235" w:lineRule="exact"/>
        <w:rPr>
          <w:sz w:val="20"/>
          <w:szCs w:val="20"/>
          <w:color w:val="auto"/>
        </w:rPr>
      </w:pPr>
    </w:p>
    <w:p>
      <w:pPr>
        <w:ind w:firstLine="356"/>
        <w:spacing w:after="0" w:line="291" w:lineRule="auto"/>
        <w:rPr>
          <w:sz w:val="20"/>
          <w:szCs w:val="20"/>
          <w:color w:val="auto"/>
        </w:rPr>
      </w:pPr>
      <w:r>
        <w:rPr>
          <w:rFonts w:ascii="Arial" w:cs="Arial" w:eastAsia="Arial" w:hAnsi="Arial"/>
          <w:sz w:val="15"/>
          <w:szCs w:val="15"/>
          <w:color w:val="auto"/>
        </w:rPr>
        <w:t>Financial costs increased by 24.3%, or $8.9 million, from $36.6 million during the three-month period ended March 31, 2018 to $45.5 million during the three-month period ended March 31, 2019. The increase is mainly attributable to an increase of $7.4 million in interest expense on loans, bonds and cash flow hedges and an increase of $1.2 million in amortization of deferred loan fees mainly driven by an increase in write-offs of unamortized loan fees pursuant to the debt refinancing. During the quarter ended March 31, 2019, we had an average of $2,875.4 million of outstanding indebtedness, with a weighted average interest rate of 5.3%, while during the quarter ended March 31, 2018, we had an average of $2,728.2 million of outstanding indebtedness having an aggregate weighted average interest rate of 4.5%. These weighted average interest rates include interest expense on loans and cash flow hedges and interest expense on senior unsecured notes and cross-currency swaps.</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Gain/(loss) on Derivatives:</w:t>
      </w:r>
    </w:p>
    <w:p>
      <w:pPr>
        <w:spacing w:after="0" w:line="235" w:lineRule="exact"/>
        <w:rPr>
          <w:sz w:val="20"/>
          <w:szCs w:val="20"/>
          <w:color w:val="auto"/>
        </w:rPr>
      </w:pPr>
    </w:p>
    <w:p>
      <w:pPr>
        <w:ind w:right="20" w:firstLine="356"/>
        <w:spacing w:after="0" w:line="293" w:lineRule="auto"/>
        <w:rPr>
          <w:sz w:val="20"/>
          <w:szCs w:val="20"/>
          <w:color w:val="auto"/>
        </w:rPr>
      </w:pPr>
      <w:r>
        <w:rPr>
          <w:rFonts w:ascii="Arial" w:cs="Arial" w:eastAsia="Arial" w:hAnsi="Arial"/>
          <w:sz w:val="15"/>
          <w:szCs w:val="15"/>
          <w:color w:val="auto"/>
        </w:rPr>
        <w:t>Gain on derivatives decreased by $38.0 million, from a gain of $17.8 million during the three-month period ended March 31, 2018 to a $20.2 million loss during the three-month period ended March 31, 2019. The decrease is mainly attributable to a decrease of $38.3 million in gain from mark-to-market valuation of our derivative financial instruments carried at fair value through profit or loss, which reflected a gain of $17.2 million for the quarter ended March 31, 2018, as compared to a loss of $21.1 million for the quarter ended March 31, 2019, a decrease of $2.4 million in realized gain on forward foreign exchange contracts held for trading, partially offset by a decrease of $2.3 million in realized loss from interest rate swaps held for trading and a decrease of $0.3 million in the ineffective portion of cash flow hedges.</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Profit for the Period:</w:t>
      </w:r>
    </w:p>
    <w:p>
      <w:pPr>
        <w:spacing w:after="0" w:line="235" w:lineRule="exact"/>
        <w:rPr>
          <w:sz w:val="20"/>
          <w:szCs w:val="20"/>
          <w:color w:val="auto"/>
        </w:rPr>
      </w:pPr>
    </w:p>
    <w:p>
      <w:pPr>
        <w:ind w:right="20" w:firstLine="356"/>
        <w:spacing w:after="0" w:line="293" w:lineRule="auto"/>
        <w:rPr>
          <w:sz w:val="20"/>
          <w:szCs w:val="20"/>
          <w:color w:val="auto"/>
        </w:rPr>
      </w:pPr>
      <w:r>
        <w:rPr>
          <w:rFonts w:ascii="Arial" w:cs="Arial" w:eastAsia="Arial" w:hAnsi="Arial"/>
          <w:sz w:val="16"/>
          <w:szCs w:val="16"/>
          <w:color w:val="auto"/>
        </w:rPr>
        <w:t>Profit for the period decreased by $36.6 million, or 86.1%, from a profit of $42.5 million for the three-month period ended March 31, 2018 to a profit of $5.9 million for the three-month period ended March 31, 2019, as a result of the aforementioned factors.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Profit/(loss) Attributable to Owners of the Group:</w:t>
      </w:r>
    </w:p>
    <w:p>
      <w:pPr>
        <w:spacing w:after="0" w:line="235" w:lineRule="exact"/>
        <w:rPr>
          <w:sz w:val="20"/>
          <w:szCs w:val="20"/>
          <w:color w:val="auto"/>
        </w:rPr>
      </w:pPr>
    </w:p>
    <w:p>
      <w:pPr>
        <w:ind w:right="140" w:firstLine="356"/>
        <w:spacing w:after="0" w:line="273" w:lineRule="auto"/>
        <w:rPr>
          <w:sz w:val="20"/>
          <w:szCs w:val="20"/>
          <w:color w:val="auto"/>
        </w:rPr>
      </w:pPr>
      <w:r>
        <w:rPr>
          <w:rFonts w:ascii="Arial" w:cs="Arial" w:eastAsia="Arial" w:hAnsi="Arial"/>
          <w:sz w:val="16"/>
          <w:szCs w:val="16"/>
          <w:color w:val="auto"/>
        </w:rPr>
        <w:t>Profit attributable to owners of the Group decreased by $30.2 million, from a profit of $19.3 million for the three-month period ended March 31, 2018 to a $10.9 million loss for the three-month period ended March 31, 2019. The decrease in profit attributable to the owners of GasLog resulted mainly from the decrease in profit mentioned above, partially offset by the decrease in profit attributable to the non-controlling interests (non-controlling unitholders of GasLog Partners) following the decrease in the Partnership’s profit.</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Customers</w:t>
      </w:r>
    </w:p>
    <w:p>
      <w:pPr>
        <w:spacing w:after="0" w:line="239" w:lineRule="exact"/>
        <w:rPr>
          <w:sz w:val="20"/>
          <w:szCs w:val="20"/>
          <w:color w:val="auto"/>
        </w:rPr>
      </w:pPr>
    </w:p>
    <w:p>
      <w:pPr>
        <w:ind w:firstLine="356"/>
        <w:spacing w:after="0" w:line="273" w:lineRule="auto"/>
        <w:rPr>
          <w:sz w:val="20"/>
          <w:szCs w:val="20"/>
          <w:color w:val="auto"/>
        </w:rPr>
      </w:pPr>
      <w:r>
        <w:rPr>
          <w:rFonts w:ascii="Arial" w:cs="Arial" w:eastAsia="Arial" w:hAnsi="Arial"/>
          <w:sz w:val="16"/>
          <w:szCs w:val="16"/>
          <w:color w:val="auto"/>
        </w:rPr>
        <w:t>For the three-month period ended March 31, 2019, we received 68.9% of our revenues from Shell, 19.3% of our revenues from various charterers in the spot/short-term market, 11.7% of our revenues from major LNG producers and 0.1% of our revenues from Egypt LNG, an entity in which we have a 25% ownership interest. For the three-month period ended March 31, 2018, we received 86.7% of our revenues from Shell, 9.8% of our revenues from various charterers in the spot/short-term market, 3.4% of our revenues from major LNG producers and 0.1% of our revenues from Egypt LNG.</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35901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359015" cy="29845"/>
                    </a:xfrm>
                    <a:prstGeom prst="rect">
                      <a:avLst/>
                    </a:prstGeom>
                    <a:noFill/>
                  </pic:spPr>
                </pic:pic>
              </a:graphicData>
            </a:graphic>
          </wp:anchor>
        </w:drawing>
      </w:r>
    </w:p>
    <w:p>
      <w:pPr>
        <w:sectPr>
          <w:pgSz w:w="11900" w:h="16838" w:orient="portrait"/>
          <w:cols w:equalWidth="0" w:num="1">
            <w:col w:w="11560"/>
          </w:cols>
          <w:pgMar w:left="160" w:top="266" w:right="179" w:bottom="1440" w:gutter="0" w:footer="0" w:header="0"/>
        </w:sectPr>
      </w:pPr>
    </w:p>
    <w:bookmarkStart w:id="21" w:name="page22"/>
    <w:bookmarkEnd w:id="21"/>
    <w:p>
      <w:pPr>
        <w:spacing w:after="0"/>
        <w:rPr>
          <w:sz w:val="20"/>
          <w:szCs w:val="20"/>
          <w:color w:val="auto"/>
        </w:rPr>
      </w:pPr>
      <w:r>
        <w:rPr>
          <w:rFonts w:ascii="Arial" w:cs="Arial" w:eastAsia="Arial" w:hAnsi="Arial"/>
          <w:sz w:val="16"/>
          <w:szCs w:val="16"/>
          <w:b w:val="1"/>
          <w:bCs w:val="1"/>
          <w:color w:val="auto"/>
        </w:rPr>
        <w:t>Liquidity and Capital Resources</w:t>
      </w:r>
    </w:p>
    <w:p>
      <w:pPr>
        <w:spacing w:after="0" w:line="239" w:lineRule="exact"/>
        <w:rPr>
          <w:sz w:val="20"/>
          <w:szCs w:val="20"/>
          <w:color w:val="auto"/>
        </w:rPr>
      </w:pPr>
    </w:p>
    <w:p>
      <w:pPr>
        <w:ind w:right="100" w:firstLine="356"/>
        <w:spacing w:after="0" w:line="273" w:lineRule="auto"/>
        <w:rPr>
          <w:sz w:val="20"/>
          <w:szCs w:val="20"/>
          <w:color w:val="auto"/>
        </w:rPr>
      </w:pPr>
      <w:r>
        <w:rPr>
          <w:rFonts w:ascii="Arial" w:cs="Arial" w:eastAsia="Arial" w:hAnsi="Arial"/>
          <w:sz w:val="16"/>
          <w:szCs w:val="16"/>
          <w:color w:val="auto"/>
        </w:rPr>
        <w:t>Our primary liquidity needs are to fund our ship-operating and general and administrative expenses, to finance the purchase and construction of our newbuildings and conversions, to purchase secondhand vessels, to service our existing debt and to pay dividends. In monitoring our working capital needs, we project our charter hire income and the vessels’ maintenance and running expenses, as well as debt service obligations, and seek to maintain adequate cash reserves in order to address revenue shortfalls or budget overruns, if any.</w:t>
      </w:r>
    </w:p>
    <w:p>
      <w:pPr>
        <w:spacing w:after="0" w:line="189" w:lineRule="exact"/>
        <w:rPr>
          <w:sz w:val="20"/>
          <w:szCs w:val="20"/>
          <w:color w:val="auto"/>
        </w:rPr>
      </w:pPr>
    </w:p>
    <w:p>
      <w:pPr>
        <w:jc w:val="both"/>
        <w:ind w:right="80" w:firstLine="356"/>
        <w:spacing w:after="0" w:line="278" w:lineRule="auto"/>
        <w:rPr>
          <w:sz w:val="20"/>
          <w:szCs w:val="20"/>
          <w:color w:val="auto"/>
        </w:rPr>
      </w:pPr>
      <w:r>
        <w:rPr>
          <w:rFonts w:ascii="Arial" w:cs="Arial" w:eastAsia="Arial" w:hAnsi="Arial"/>
          <w:sz w:val="16"/>
          <w:szCs w:val="16"/>
          <w:color w:val="auto"/>
        </w:rPr>
        <w:t>We anticipate that our primary sources of funds will be available cash, cash from operations and borrowings under existing and new debt agreements. We may also seek to raise additional common or other forms of equity, subject in each case to market conditions. We believe that these sources of funds will be sufficient to meet our liquidity needs, although there can be no assurance that we will be able to obtain future debt and equity financing on terms acceptable to us.</w:t>
      </w:r>
    </w:p>
    <w:p>
      <w:pPr>
        <w:spacing w:after="0" w:line="184" w:lineRule="exact"/>
        <w:rPr>
          <w:sz w:val="20"/>
          <w:szCs w:val="20"/>
          <w:color w:val="auto"/>
        </w:rPr>
      </w:pPr>
    </w:p>
    <w:p>
      <w:pPr>
        <w:ind w:right="400" w:firstLine="356"/>
        <w:spacing w:after="0" w:line="293" w:lineRule="auto"/>
        <w:rPr>
          <w:sz w:val="20"/>
          <w:szCs w:val="20"/>
          <w:color w:val="auto"/>
        </w:rPr>
      </w:pPr>
      <w:r>
        <w:rPr>
          <w:rFonts w:ascii="Arial" w:cs="Arial" w:eastAsia="Arial" w:hAnsi="Arial"/>
          <w:sz w:val="16"/>
          <w:szCs w:val="16"/>
          <w:color w:val="auto"/>
        </w:rPr>
        <w:t>Our funding and treasury activities are intended to meet our operating and financing requirements while balancing investment returns in order to maintain appropriate liquidity. Cash and cash equivalents are held primarily in USD.</w:t>
      </w:r>
    </w:p>
    <w:p>
      <w:pPr>
        <w:spacing w:after="0" w:line="172" w:lineRule="exact"/>
        <w:rPr>
          <w:sz w:val="20"/>
          <w:szCs w:val="20"/>
          <w:color w:val="auto"/>
        </w:rPr>
      </w:pPr>
    </w:p>
    <w:p>
      <w:pPr>
        <w:ind w:firstLine="356"/>
        <w:spacing w:after="0" w:line="278" w:lineRule="auto"/>
        <w:rPr>
          <w:sz w:val="20"/>
          <w:szCs w:val="20"/>
          <w:color w:val="auto"/>
        </w:rPr>
      </w:pPr>
      <w:r>
        <w:rPr>
          <w:rFonts w:ascii="Arial" w:cs="Arial" w:eastAsia="Arial" w:hAnsi="Arial"/>
          <w:sz w:val="16"/>
          <w:szCs w:val="16"/>
          <w:color w:val="auto"/>
        </w:rPr>
        <w:t>As of March 31, 2019, GasLog had $230.8 million of cash and cash equivalents, of which $127.5 million was held in time deposits and the remaining balance in current accounts. In addition, as of March 31, 2019, GasLog had $10.0 million held in time deposits with an initial duration of more than three months but less than a year that have been classified as short-term investments.</w:t>
      </w:r>
    </w:p>
    <w:p>
      <w:pPr>
        <w:spacing w:after="0" w:line="184" w:lineRule="exact"/>
        <w:rPr>
          <w:sz w:val="20"/>
          <w:szCs w:val="20"/>
          <w:color w:val="auto"/>
        </w:rPr>
      </w:pPr>
    </w:p>
    <w:p>
      <w:pPr>
        <w:ind w:right="560" w:firstLine="356"/>
        <w:spacing w:after="0" w:line="293" w:lineRule="auto"/>
        <w:rPr>
          <w:sz w:val="20"/>
          <w:szCs w:val="20"/>
          <w:color w:val="auto"/>
        </w:rPr>
      </w:pPr>
      <w:r>
        <w:rPr>
          <w:rFonts w:ascii="Arial" w:cs="Arial" w:eastAsia="Arial" w:hAnsi="Arial"/>
          <w:sz w:val="16"/>
          <w:szCs w:val="16"/>
          <w:color w:val="auto"/>
        </w:rPr>
        <w:t>On March 6, 2019, the respective subsidiaries of GasLog Partners drew down $360.0 million under the 2019 Partnership Facility and prepaid in full their aggregate outstanding debt of $354.5 million, which would have been due in November 2019.</w:t>
      </w:r>
    </w:p>
    <w:p>
      <w:pPr>
        <w:spacing w:after="0" w:line="172" w:lineRule="exact"/>
        <w:rPr>
          <w:sz w:val="20"/>
          <w:szCs w:val="20"/>
          <w:color w:val="auto"/>
        </w:rPr>
      </w:pPr>
    </w:p>
    <w:p>
      <w:pPr>
        <w:ind w:right="220" w:firstLine="356"/>
        <w:spacing w:after="0" w:line="293" w:lineRule="auto"/>
        <w:rPr>
          <w:sz w:val="20"/>
          <w:szCs w:val="20"/>
          <w:color w:val="auto"/>
        </w:rPr>
      </w:pPr>
      <w:r>
        <w:rPr>
          <w:rFonts w:ascii="Arial" w:cs="Arial" w:eastAsia="Arial" w:hAnsi="Arial"/>
          <w:sz w:val="16"/>
          <w:szCs w:val="16"/>
          <w:color w:val="auto"/>
        </w:rPr>
        <w:t>As of March 31, 2019, GasLog had an aggregate of $2.9 billion of indebtedness outstanding under its credit facilities and bond agreements, of which $172.7 million was repayable within one year, and $212.1 million of lease liabilities</w:t>
      </w:r>
      <w:r>
        <w:rPr>
          <w:rFonts w:ascii="Arial" w:cs="Arial" w:eastAsia="Arial" w:hAnsi="Arial"/>
          <w:sz w:val="16"/>
          <w:szCs w:val="16"/>
          <w:i w:val="1"/>
          <w:iCs w:val="1"/>
          <w:color w:val="auto"/>
        </w:rPr>
        <w:t>,</w:t>
      </w:r>
      <w:r>
        <w:rPr>
          <w:rFonts w:ascii="Arial" w:cs="Arial" w:eastAsia="Arial" w:hAnsi="Arial"/>
          <w:sz w:val="16"/>
          <w:szCs w:val="16"/>
          <w:color w:val="auto"/>
        </w:rPr>
        <w:t xml:space="preserve"> of which $9.0 million was repayable within one year.</w:t>
      </w:r>
    </w:p>
    <w:p>
      <w:pPr>
        <w:spacing w:after="0" w:line="172" w:lineRule="exact"/>
        <w:rPr>
          <w:sz w:val="20"/>
          <w:szCs w:val="20"/>
          <w:color w:val="auto"/>
        </w:rPr>
      </w:pPr>
    </w:p>
    <w:p>
      <w:pPr>
        <w:ind w:right="160" w:firstLine="356"/>
        <w:spacing w:after="0" w:line="293" w:lineRule="auto"/>
        <w:rPr>
          <w:sz w:val="20"/>
          <w:szCs w:val="20"/>
          <w:color w:val="auto"/>
        </w:rPr>
      </w:pPr>
      <w:r>
        <w:rPr>
          <w:rFonts w:ascii="Arial" w:cs="Arial" w:eastAsia="Arial" w:hAnsi="Arial"/>
          <w:sz w:val="16"/>
          <w:szCs w:val="16"/>
          <w:color w:val="auto"/>
        </w:rPr>
        <w:t>As of March 31, 2019, there was undrawn available capacity of $100.0 million under the revolving credit facility of the credit agreement of up to $1.1 billion entered into on July 19, 2016 (the “Legacy Facility Refinancing”). In addition, there was unused availability of $90.0 million under the 2019 Partnership Facility.</w:t>
      </w:r>
    </w:p>
    <w:p>
      <w:pPr>
        <w:spacing w:after="0" w:line="172" w:lineRule="exact"/>
        <w:rPr>
          <w:sz w:val="20"/>
          <w:szCs w:val="20"/>
          <w:color w:val="auto"/>
        </w:rPr>
      </w:pPr>
    </w:p>
    <w:p>
      <w:pPr>
        <w:ind w:right="120" w:firstLine="356"/>
        <w:spacing w:after="0" w:line="293" w:lineRule="auto"/>
        <w:rPr>
          <w:sz w:val="20"/>
          <w:szCs w:val="20"/>
          <w:color w:val="auto"/>
        </w:rPr>
      </w:pPr>
      <w:r>
        <w:rPr>
          <w:rFonts w:ascii="Arial" w:cs="Arial" w:eastAsia="Arial" w:hAnsi="Arial"/>
          <w:sz w:val="16"/>
          <w:szCs w:val="16"/>
          <w:color w:val="auto"/>
        </w:rPr>
        <w:t>As of March 31, 2019, the total remaining balance of the contract prices of the eight LNG carriers on order was $1,343.6 million which GasLog expects to be funded with cash balances, cash from operations and borrowings under new debt agreements.</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GasLog has hedged 46.2% of its expected floating interest rate exposure on its outstanding debt (excluding the lease liability) as of March 31, 2019.</w:t>
      </w:r>
    </w:p>
    <w:p>
      <w:pPr>
        <w:spacing w:after="0" w:line="235" w:lineRule="exact"/>
        <w:rPr>
          <w:sz w:val="20"/>
          <w:szCs w:val="20"/>
          <w:color w:val="auto"/>
        </w:rPr>
      </w:pPr>
    </w:p>
    <w:p>
      <w:pPr>
        <w:ind w:right="260" w:firstLine="356"/>
        <w:spacing w:after="0" w:line="293" w:lineRule="auto"/>
        <w:rPr>
          <w:sz w:val="20"/>
          <w:szCs w:val="20"/>
          <w:color w:val="auto"/>
        </w:rPr>
      </w:pPr>
      <w:r>
        <w:rPr>
          <w:rFonts w:ascii="Arial" w:cs="Arial" w:eastAsia="Arial" w:hAnsi="Arial"/>
          <w:sz w:val="16"/>
          <w:szCs w:val="16"/>
          <w:color w:val="auto"/>
        </w:rPr>
        <w:t>Our credit facilities are described in Note 13 of our annual audited consolidated financial statements included in our Annual Report on Form 20-F filed with the SEC on March 5, 2019 and Note 7 of our unaudited condensed consolidated financial statements included elsewhere in this report.</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Working Capital Position</w:t>
      </w:r>
    </w:p>
    <w:p>
      <w:pPr>
        <w:spacing w:after="0" w:line="239" w:lineRule="exact"/>
        <w:rPr>
          <w:sz w:val="20"/>
          <w:szCs w:val="20"/>
          <w:color w:val="auto"/>
        </w:rPr>
      </w:pPr>
    </w:p>
    <w:p>
      <w:pPr>
        <w:ind w:right="280" w:firstLine="383"/>
        <w:spacing w:after="0" w:line="293" w:lineRule="auto"/>
        <w:rPr>
          <w:sz w:val="20"/>
          <w:szCs w:val="20"/>
          <w:color w:val="auto"/>
        </w:rPr>
      </w:pPr>
      <w:r>
        <w:rPr>
          <w:rFonts w:ascii="Arial" w:cs="Arial" w:eastAsia="Arial" w:hAnsi="Arial"/>
          <w:sz w:val="16"/>
          <w:szCs w:val="16"/>
          <w:color w:val="auto"/>
        </w:rPr>
        <w:t>As of March 31, 2019, GasLog’s current assets totaled $287.1 million, while current liabilities totaled $268.2 million, resulting in a positive working capital position of $18.9 million.</w:t>
      </w:r>
    </w:p>
    <w:p>
      <w:pPr>
        <w:spacing w:after="0" w:line="172" w:lineRule="exact"/>
        <w:rPr>
          <w:sz w:val="20"/>
          <w:szCs w:val="20"/>
          <w:color w:val="auto"/>
        </w:rPr>
      </w:pPr>
    </w:p>
    <w:p>
      <w:pPr>
        <w:ind w:right="620" w:firstLine="383"/>
        <w:spacing w:after="0" w:line="369" w:lineRule="auto"/>
        <w:rPr>
          <w:sz w:val="20"/>
          <w:szCs w:val="20"/>
          <w:color w:val="auto"/>
        </w:rPr>
      </w:pPr>
      <w:r>
        <w:rPr>
          <w:rFonts w:ascii="Arial" w:cs="Arial" w:eastAsia="Arial" w:hAnsi="Arial"/>
          <w:sz w:val="14"/>
          <w:szCs w:val="14"/>
          <w:color w:val="auto"/>
        </w:rPr>
        <w:t>Taking into account generally expected market conditions, we anticipate that available cash and cash flow generated from operations will be sufficient to fund our operations, including our working capital requirements, and to make all other required principal and interest payments on our indebtedness during the next 12 months.</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Flows</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Three-month period ended March 31, 2018 compared to the three-month period ended March 31, 2019</w:t>
      </w:r>
    </w:p>
    <w:p>
      <w:pPr>
        <w:spacing w:after="0" w:line="23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summarizes our net cash flows from operating, investing and financing activities for the periods indicated:</w:t>
      </w:r>
    </w:p>
    <w:p>
      <w:pPr>
        <w:spacing w:after="0" w:line="200" w:lineRule="exact"/>
        <w:rPr>
          <w:sz w:val="20"/>
          <w:szCs w:val="20"/>
          <w:color w:val="auto"/>
        </w:rPr>
      </w:pPr>
    </w:p>
    <w:p>
      <w:pPr>
        <w:spacing w:after="0" w:line="247" w:lineRule="exact"/>
        <w:rPr>
          <w:sz w:val="20"/>
          <w:szCs w:val="20"/>
          <w:color w:val="auto"/>
        </w:rPr>
      </w:pPr>
    </w:p>
    <w:tbl>
      <w:tblPr>
        <w:tblLayout w:type="fixed"/>
        <w:tblInd w:w="1300" w:type="dxa"/>
        <w:tblCellMar>
          <w:top w:w="0" w:type="dxa"/>
          <w:left w:w="0" w:type="dxa"/>
          <w:bottom w:w="0" w:type="dxa"/>
          <w:right w:w="0" w:type="dxa"/>
        </w:tblCellMar>
      </w:tblPr>
      <w:tr>
        <w:trPr>
          <w:trHeight w:val="210"/>
        </w:trPr>
        <w:tc>
          <w:tcPr>
            <w:tcW w:w="5280" w:type="dxa"/>
            <w:vAlign w:val="bottom"/>
          </w:tcPr>
          <w:p>
            <w:pPr>
              <w:spacing w:after="0"/>
              <w:rPr>
                <w:sz w:val="18"/>
                <w:szCs w:val="18"/>
                <w:color w:val="auto"/>
              </w:rPr>
            </w:pPr>
          </w:p>
        </w:tc>
        <w:tc>
          <w:tcPr>
            <w:tcW w:w="3140" w:type="dxa"/>
            <w:vAlign w:val="bottom"/>
            <w:gridSpan w:val="4"/>
          </w:tcPr>
          <w:p>
            <w:pPr>
              <w:jc w:val="right"/>
              <w:ind w:right="660"/>
              <w:spacing w:after="0"/>
              <w:rPr>
                <w:sz w:val="20"/>
                <w:szCs w:val="20"/>
                <w:color w:val="auto"/>
              </w:rPr>
            </w:pPr>
            <w:r>
              <w:rPr>
                <w:rFonts w:ascii="Arial" w:cs="Arial" w:eastAsia="Arial" w:hAnsi="Arial"/>
                <w:sz w:val="16"/>
                <w:szCs w:val="16"/>
                <w:b w:val="1"/>
                <w:bCs w:val="1"/>
                <w:color w:val="auto"/>
              </w:rPr>
              <w:t>For the three months ended</w:t>
            </w:r>
          </w:p>
        </w:tc>
      </w:tr>
      <w:tr>
        <w:trPr>
          <w:trHeight w:val="229"/>
        </w:trPr>
        <w:tc>
          <w:tcPr>
            <w:tcW w:w="5280" w:type="dxa"/>
            <w:vAlign w:val="bottom"/>
          </w:tcPr>
          <w:p>
            <w:pPr>
              <w:spacing w:after="0"/>
              <w:rPr>
                <w:sz w:val="19"/>
                <w:szCs w:val="19"/>
                <w:color w:val="auto"/>
              </w:rPr>
            </w:pPr>
          </w:p>
        </w:tc>
        <w:tc>
          <w:tcPr>
            <w:tcW w:w="166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rPr>
              <w:t>March 31, 2018</w:t>
            </w:r>
          </w:p>
        </w:tc>
        <w:tc>
          <w:tcPr>
            <w:tcW w:w="148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March 31, 2019</w:t>
            </w:r>
          </w:p>
        </w:tc>
      </w:tr>
      <w:tr>
        <w:trPr>
          <w:trHeight w:val="206"/>
        </w:trPr>
        <w:tc>
          <w:tcPr>
            <w:tcW w:w="5280" w:type="dxa"/>
            <w:vAlign w:val="bottom"/>
          </w:tcPr>
          <w:p>
            <w:pPr>
              <w:spacing w:after="0"/>
              <w:rPr>
                <w:sz w:val="20"/>
                <w:szCs w:val="20"/>
                <w:color w:val="auto"/>
              </w:rPr>
            </w:pPr>
            <w:r>
              <w:rPr>
                <w:rFonts w:ascii="Arial" w:cs="Arial" w:eastAsia="Arial" w:hAnsi="Arial"/>
                <w:sz w:val="16"/>
                <w:szCs w:val="16"/>
                <w:b w:val="1"/>
                <w:bCs w:val="1"/>
                <w:i w:val="1"/>
                <w:iCs w:val="1"/>
                <w:color w:val="auto"/>
              </w:rPr>
              <w:t>Amounts in thousands of U.S. Dollars</w:t>
            </w:r>
          </w:p>
        </w:tc>
        <w:tc>
          <w:tcPr>
            <w:tcW w:w="138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39"/>
        </w:trPr>
        <w:tc>
          <w:tcPr>
            <w:tcW w:w="5280" w:type="dxa"/>
            <w:vAlign w:val="bottom"/>
            <w:shd w:val="clear" w:color="auto" w:fill="E5FFFF"/>
          </w:tcPr>
          <w:p>
            <w:pPr>
              <w:spacing w:after="0"/>
              <w:rPr>
                <w:sz w:val="20"/>
                <w:szCs w:val="20"/>
                <w:color w:val="auto"/>
              </w:rPr>
            </w:pPr>
            <w:r>
              <w:rPr>
                <w:rFonts w:ascii="Arial" w:cs="Arial" w:eastAsia="Arial" w:hAnsi="Arial"/>
                <w:sz w:val="16"/>
                <w:szCs w:val="16"/>
                <w:color w:val="auto"/>
              </w:rPr>
              <w:t>Net cash provided by operating activities</w:t>
            </w: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43,278</w:t>
            </w:r>
          </w:p>
        </w:tc>
        <w:tc>
          <w:tcPr>
            <w:tcW w:w="280" w:type="dxa"/>
            <w:vAlign w:val="bottom"/>
            <w:shd w:val="clear" w:color="auto" w:fill="E5FFFF"/>
          </w:tcPr>
          <w:p>
            <w:pPr>
              <w:spacing w:after="0"/>
              <w:rPr>
                <w:sz w:val="20"/>
                <w:szCs w:val="20"/>
                <w:color w:val="auto"/>
              </w:rPr>
            </w:pPr>
          </w:p>
        </w:tc>
        <w:tc>
          <w:tcPr>
            <w:tcW w:w="148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42,714</w:t>
            </w:r>
          </w:p>
        </w:tc>
      </w:tr>
      <w:tr>
        <w:trPr>
          <w:trHeight w:val="220"/>
        </w:trPr>
        <w:tc>
          <w:tcPr>
            <w:tcW w:w="5280" w:type="dxa"/>
            <w:vAlign w:val="bottom"/>
          </w:tcPr>
          <w:p>
            <w:pPr>
              <w:spacing w:after="0"/>
              <w:rPr>
                <w:sz w:val="20"/>
                <w:szCs w:val="20"/>
                <w:color w:val="auto"/>
              </w:rPr>
            </w:pPr>
            <w:r>
              <w:rPr>
                <w:rFonts w:ascii="Arial" w:cs="Arial" w:eastAsia="Arial" w:hAnsi="Arial"/>
                <w:sz w:val="16"/>
                <w:szCs w:val="16"/>
                <w:color w:val="auto"/>
              </w:rPr>
              <w:t>Net cash used in investing activities</w:t>
            </w:r>
          </w:p>
        </w:tc>
        <w:tc>
          <w:tcPr>
            <w:tcW w:w="1660" w:type="dxa"/>
            <w:vAlign w:val="bottom"/>
            <w:gridSpan w:val="2"/>
          </w:tcPr>
          <w:p>
            <w:pPr>
              <w:jc w:val="right"/>
              <w:ind w:right="220"/>
              <w:spacing w:after="0"/>
              <w:rPr>
                <w:sz w:val="20"/>
                <w:szCs w:val="20"/>
                <w:color w:val="auto"/>
              </w:rPr>
            </w:pPr>
            <w:r>
              <w:rPr>
                <w:rFonts w:ascii="Arial" w:cs="Arial" w:eastAsia="Arial" w:hAnsi="Arial"/>
                <w:sz w:val="16"/>
                <w:szCs w:val="16"/>
                <w:color w:val="auto"/>
              </w:rPr>
              <w:t>(560,937)</w:t>
            </w:r>
          </w:p>
        </w:tc>
        <w:tc>
          <w:tcPr>
            <w:tcW w:w="1480" w:type="dxa"/>
            <w:vAlign w:val="bottom"/>
            <w:gridSpan w:val="2"/>
          </w:tcPr>
          <w:p>
            <w:pPr>
              <w:jc w:val="right"/>
              <w:ind w:right="40"/>
              <w:spacing w:after="0"/>
              <w:rPr>
                <w:sz w:val="20"/>
                <w:szCs w:val="20"/>
                <w:color w:val="auto"/>
              </w:rPr>
            </w:pPr>
            <w:r>
              <w:rPr>
                <w:rFonts w:ascii="Arial" w:cs="Arial" w:eastAsia="Arial" w:hAnsi="Arial"/>
                <w:sz w:val="16"/>
                <w:szCs w:val="16"/>
                <w:color w:val="auto"/>
              </w:rPr>
              <w:t>(198,019)</w:t>
            </w:r>
          </w:p>
        </w:tc>
      </w:tr>
      <w:tr>
        <w:trPr>
          <w:trHeight w:val="239"/>
        </w:trPr>
        <w:tc>
          <w:tcPr>
            <w:tcW w:w="5280" w:type="dxa"/>
            <w:vAlign w:val="bottom"/>
            <w:shd w:val="clear" w:color="auto" w:fill="E5FFFF"/>
          </w:tcPr>
          <w:p>
            <w:pPr>
              <w:spacing w:after="0"/>
              <w:rPr>
                <w:sz w:val="20"/>
                <w:szCs w:val="20"/>
                <w:color w:val="auto"/>
              </w:rPr>
            </w:pPr>
            <w:r>
              <w:rPr>
                <w:rFonts w:ascii="Arial" w:cs="Arial" w:eastAsia="Arial" w:hAnsi="Arial"/>
                <w:sz w:val="16"/>
                <w:szCs w:val="16"/>
                <w:color w:val="auto"/>
              </w:rPr>
              <w:t>Net cash provided by financing activities</w:t>
            </w: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482,255</w:t>
            </w:r>
          </w:p>
        </w:tc>
        <w:tc>
          <w:tcPr>
            <w:tcW w:w="280" w:type="dxa"/>
            <w:vAlign w:val="bottom"/>
            <w:shd w:val="clear" w:color="auto" w:fill="E5FFFF"/>
          </w:tcPr>
          <w:p>
            <w:pPr>
              <w:spacing w:after="0"/>
              <w:rPr>
                <w:sz w:val="20"/>
                <w:szCs w:val="20"/>
                <w:color w:val="auto"/>
              </w:rPr>
            </w:pPr>
          </w:p>
        </w:tc>
        <w:tc>
          <w:tcPr>
            <w:tcW w:w="148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43,592</w:t>
            </w:r>
          </w:p>
        </w:tc>
      </w:tr>
    </w:tbl>
    <w:p>
      <w:pPr>
        <w:spacing w:after="0" w:line="200" w:lineRule="exact"/>
        <w:rPr>
          <w:sz w:val="20"/>
          <w:szCs w:val="20"/>
          <w:color w:val="auto"/>
        </w:rPr>
      </w:pPr>
    </w:p>
    <w:p>
      <w:pPr>
        <w:spacing w:after="0" w:line="222" w:lineRule="exact"/>
        <w:rPr>
          <w:sz w:val="20"/>
          <w:szCs w:val="20"/>
          <w:color w:val="auto"/>
        </w:rPr>
      </w:pPr>
    </w:p>
    <w:p>
      <w:pPr>
        <w:ind w:left="260"/>
        <w:spacing w:after="0"/>
        <w:rPr>
          <w:sz w:val="20"/>
          <w:szCs w:val="20"/>
          <w:color w:val="auto"/>
        </w:rPr>
      </w:pPr>
      <w:r>
        <w:rPr>
          <w:rFonts w:ascii="Arial" w:cs="Arial" w:eastAsia="Arial" w:hAnsi="Arial"/>
          <w:sz w:val="16"/>
          <w:szCs w:val="16"/>
          <w:i w:val="1"/>
          <w:iCs w:val="1"/>
          <w:color w:val="auto"/>
        </w:rPr>
        <w:t>Net Cash Provided by Operating Activities</w:t>
      </w:r>
    </w:p>
    <w:p>
      <w:pPr>
        <w:spacing w:after="0" w:line="235" w:lineRule="exact"/>
        <w:rPr>
          <w:sz w:val="20"/>
          <w:szCs w:val="20"/>
          <w:color w:val="auto"/>
        </w:rPr>
      </w:pPr>
    </w:p>
    <w:p>
      <w:pPr>
        <w:ind w:right="60" w:firstLine="198"/>
        <w:spacing w:after="0" w:line="273" w:lineRule="auto"/>
        <w:rPr>
          <w:sz w:val="20"/>
          <w:szCs w:val="20"/>
          <w:color w:val="auto"/>
        </w:rPr>
      </w:pPr>
      <w:r>
        <w:rPr>
          <w:rFonts w:ascii="Arial" w:cs="Arial" w:eastAsia="Arial" w:hAnsi="Arial"/>
          <w:sz w:val="16"/>
          <w:szCs w:val="16"/>
          <w:color w:val="auto"/>
        </w:rPr>
        <w:t>Net cash provided by operating activities decreased by $0.6 million, from $43.3 million during the three-month period ended March 31, 2018 to $42.7 million during the three-month period ended March 31, 2019. The decrease was attributable to an increase of $17.3 million in cash paid for interest, including the interest paid for leases, partially offset by an increase in total revenues (revenues and net pool allocation) of $12.7 million, a decrease of $2.0 million caused by movements in working capital accounts and a net increase of $2.0 million from the remaining movements.</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35901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359015" cy="29845"/>
                    </a:xfrm>
                    <a:prstGeom prst="rect">
                      <a:avLst/>
                    </a:prstGeom>
                    <a:noFill/>
                  </pic:spPr>
                </pic:pic>
              </a:graphicData>
            </a:graphic>
          </wp:anchor>
        </w:drawing>
      </w:r>
    </w:p>
    <w:p>
      <w:pPr>
        <w:sectPr>
          <w:pgSz w:w="11900" w:h="16838" w:orient="portrait"/>
          <w:cols w:equalWidth="0" w:num="1">
            <w:col w:w="11520"/>
          </w:cols>
          <w:pgMar w:left="160" w:top="262" w:right="219" w:bottom="1440" w:gutter="0" w:footer="0" w:header="0"/>
        </w:sectPr>
      </w:pPr>
    </w:p>
    <w:bookmarkStart w:id="22" w:name="page23"/>
    <w:bookmarkEnd w:id="22"/>
    <w:p>
      <w:pPr>
        <w:ind w:left="300"/>
        <w:spacing w:after="0"/>
        <w:rPr>
          <w:sz w:val="20"/>
          <w:szCs w:val="20"/>
          <w:color w:val="auto"/>
        </w:rPr>
      </w:pPr>
      <w:r>
        <w:rPr>
          <w:rFonts w:ascii="Arial" w:cs="Arial" w:eastAsia="Arial" w:hAnsi="Arial"/>
          <w:sz w:val="16"/>
          <w:szCs w:val="16"/>
          <w:i w:val="1"/>
          <w:iCs w:val="1"/>
          <w:color w:val="auto"/>
        </w:rPr>
        <w:t>Net Cash Used in Investing Activities</w:t>
      </w:r>
    </w:p>
    <w:p>
      <w:pPr>
        <w:spacing w:after="0" w:line="235" w:lineRule="exact"/>
        <w:rPr>
          <w:sz w:val="20"/>
          <w:szCs w:val="20"/>
          <w:color w:val="auto"/>
        </w:rPr>
      </w:pPr>
    </w:p>
    <w:p>
      <w:pPr>
        <w:ind w:right="140" w:firstLine="228"/>
        <w:spacing w:after="0" w:line="273" w:lineRule="auto"/>
        <w:rPr>
          <w:sz w:val="20"/>
          <w:szCs w:val="20"/>
          <w:color w:val="auto"/>
        </w:rPr>
      </w:pPr>
      <w:r>
        <w:rPr>
          <w:rFonts w:ascii="Arial" w:cs="Arial" w:eastAsia="Arial" w:hAnsi="Arial"/>
          <w:sz w:val="16"/>
          <w:szCs w:val="16"/>
          <w:color w:val="auto"/>
        </w:rPr>
        <w:t>Net cash used in investing activities decreased by $362.9 million, from $560.9 million in the three-month period ended March 31, 2018 to $198.0 million in the three-month period ended March 31, 2019. The decrease is mainly attributable to a decrease of $332.1 million in net cash used in payments for the construction costs of newbuildings and other fixed assets, a net increase of $25.0 million in cash from short-term investments in the three-month period ended March 31, 2019 compared to the same period of 2018, a decrease of $4.9 million in restricted cash and an increase of $0.5 million in cash from interest income.</w:t>
      </w:r>
    </w:p>
    <w:p>
      <w:pPr>
        <w:spacing w:after="0" w:line="189" w:lineRule="exact"/>
        <w:rPr>
          <w:sz w:val="20"/>
          <w:szCs w:val="20"/>
          <w:color w:val="auto"/>
        </w:rPr>
      </w:pPr>
    </w:p>
    <w:p>
      <w:pPr>
        <w:ind w:left="360"/>
        <w:spacing w:after="0"/>
        <w:rPr>
          <w:sz w:val="20"/>
          <w:szCs w:val="20"/>
          <w:color w:val="auto"/>
        </w:rPr>
      </w:pPr>
      <w:r>
        <w:rPr>
          <w:rFonts w:ascii="Arial" w:cs="Arial" w:eastAsia="Arial" w:hAnsi="Arial"/>
          <w:sz w:val="16"/>
          <w:szCs w:val="16"/>
          <w:i w:val="1"/>
          <w:iCs w:val="1"/>
          <w:color w:val="auto"/>
        </w:rPr>
        <w:t>Net Cash Provided by Financing Activities</w:t>
      </w:r>
    </w:p>
    <w:p>
      <w:pPr>
        <w:spacing w:after="0" w:line="235" w:lineRule="exact"/>
        <w:rPr>
          <w:sz w:val="20"/>
          <w:szCs w:val="20"/>
          <w:color w:val="auto"/>
        </w:rPr>
      </w:pPr>
    </w:p>
    <w:p>
      <w:pPr>
        <w:ind w:right="60" w:firstLine="356"/>
        <w:spacing w:after="0" w:line="297" w:lineRule="auto"/>
        <w:rPr>
          <w:sz w:val="20"/>
          <w:szCs w:val="20"/>
          <w:color w:val="auto"/>
        </w:rPr>
      </w:pPr>
      <w:r>
        <w:rPr>
          <w:rFonts w:ascii="Arial" w:cs="Arial" w:eastAsia="Arial" w:hAnsi="Arial"/>
          <w:sz w:val="15"/>
          <w:szCs w:val="15"/>
          <w:color w:val="auto"/>
        </w:rPr>
        <w:t>Net cash provided by financing activities decreased by $438.7 million, from $482.3 million in the three-month period ended March 31, 2018 to $43.6 million in the three-month period ended March 31, 2019. The decrease is mainly attributable to an increase of $342.3 million in bank loan repayments, a decrease of $111.5 million in proceeds from the GasLog Partners’ public offering in the first quarter of 2018, an increase of $6.8 million in dividend payments, an increase of $1.0 million in payments of loan issuance costs and an increase of $3.7 million in cash used for purchases of treasury shares, partially offset by an increase of $27.6 million in proceeds from borrowings.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Contracted Charter Revenues and Days from Time Charters</w:t>
      </w:r>
    </w:p>
    <w:p>
      <w:pPr>
        <w:spacing w:after="0" w:line="239" w:lineRule="exact"/>
        <w:rPr>
          <w:sz w:val="20"/>
          <w:szCs w:val="20"/>
          <w:color w:val="auto"/>
        </w:rPr>
      </w:pPr>
    </w:p>
    <w:p>
      <w:pPr>
        <w:ind w:right="120" w:firstLine="356"/>
        <w:spacing w:after="0" w:line="293" w:lineRule="auto"/>
        <w:rPr>
          <w:sz w:val="20"/>
          <w:szCs w:val="20"/>
          <w:color w:val="auto"/>
        </w:rPr>
      </w:pPr>
      <w:r>
        <w:rPr>
          <w:rFonts w:ascii="Arial" w:cs="Arial" w:eastAsia="Arial" w:hAnsi="Arial"/>
          <w:sz w:val="16"/>
          <w:szCs w:val="16"/>
          <w:color w:val="auto"/>
        </w:rPr>
        <w:t>The following table summarizes GasLog’s (including the vessels contributed or sold to GasLog Partners) contracted charter revenues and vessel utilization after March 31, 2019.</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60" w:type="dxa"/>
            <w:vAlign w:val="bottom"/>
            <w:gridSpan w:val="5"/>
          </w:tcPr>
          <w:p>
            <w:pPr>
              <w:jc w:val="right"/>
              <w:ind w:right="679"/>
              <w:spacing w:after="0"/>
              <w:rPr>
                <w:sz w:val="20"/>
                <w:szCs w:val="20"/>
                <w:color w:val="auto"/>
              </w:rPr>
            </w:pPr>
            <w:r>
              <w:rPr>
                <w:rFonts w:ascii="Arial" w:cs="Arial" w:eastAsia="Arial" w:hAnsi="Arial"/>
                <w:sz w:val="16"/>
                <w:szCs w:val="16"/>
                <w:b w:val="1"/>
                <w:bCs w:val="1"/>
                <w:color w:val="auto"/>
                <w:w w:val="98"/>
              </w:rPr>
              <w:t>Contracted Charter Revenues and Days from Time Charters</w:t>
            </w: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397"/>
        </w:trPr>
        <w:tc>
          <w:tcPr>
            <w:tcW w:w="4360" w:type="dxa"/>
            <w:vAlign w:val="bottom"/>
          </w:tcPr>
          <w:p>
            <w:pPr>
              <w:spacing w:after="0"/>
              <w:rPr>
                <w:sz w:val="24"/>
                <w:szCs w:val="24"/>
                <w:color w:val="auto"/>
              </w:rPr>
            </w:pPr>
          </w:p>
        </w:tc>
        <w:tc>
          <w:tcPr>
            <w:tcW w:w="11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rPr>
              <w:t>After</w:t>
            </w:r>
          </w:p>
        </w:tc>
        <w:tc>
          <w:tcPr>
            <w:tcW w:w="1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0"/>
        </w:trPr>
        <w:tc>
          <w:tcPr>
            <w:tcW w:w="4360" w:type="dxa"/>
            <w:vAlign w:val="bottom"/>
          </w:tcPr>
          <w:p>
            <w:pPr>
              <w:spacing w:after="0"/>
              <w:rPr>
                <w:sz w:val="18"/>
                <w:szCs w:val="18"/>
                <w:color w:val="auto"/>
              </w:rPr>
            </w:pPr>
          </w:p>
        </w:tc>
        <w:tc>
          <w:tcPr>
            <w:tcW w:w="11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4"/>
              </w:rPr>
              <w:t>March 31,</w:t>
            </w:r>
          </w:p>
        </w:tc>
        <w:tc>
          <w:tcPr>
            <w:tcW w:w="1160" w:type="dxa"/>
            <w:vAlign w:val="bottom"/>
          </w:tcPr>
          <w:p>
            <w:pPr>
              <w:spacing w:after="0"/>
              <w:rPr>
                <w:sz w:val="18"/>
                <w:szCs w:val="18"/>
                <w:color w:val="auto"/>
              </w:rPr>
            </w:pPr>
          </w:p>
        </w:tc>
        <w:tc>
          <w:tcPr>
            <w:tcW w:w="4100" w:type="dxa"/>
            <w:vAlign w:val="bottom"/>
            <w:gridSpan w:val="4"/>
          </w:tcPr>
          <w:p>
            <w:pPr>
              <w:jc w:val="right"/>
              <w:ind w:right="919"/>
              <w:spacing w:after="0"/>
              <w:rPr>
                <w:sz w:val="20"/>
                <w:szCs w:val="20"/>
                <w:color w:val="auto"/>
              </w:rPr>
            </w:pPr>
            <w:r>
              <w:rPr>
                <w:rFonts w:ascii="Arial" w:cs="Arial" w:eastAsia="Arial" w:hAnsi="Arial"/>
                <w:sz w:val="16"/>
                <w:szCs w:val="16"/>
                <w:b w:val="1"/>
                <w:bCs w:val="1"/>
                <w:color w:val="auto"/>
              </w:rPr>
              <w:t>For the years ending December 31,</w:t>
            </w: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2"/>
        </w:trPr>
        <w:tc>
          <w:tcPr>
            <w:tcW w:w="4360" w:type="dxa"/>
            <w:vAlign w:val="bottom"/>
          </w:tcPr>
          <w:p>
            <w:pPr>
              <w:spacing w:after="0"/>
              <w:rPr>
                <w:sz w:val="17"/>
                <w:szCs w:val="17"/>
                <w:color w:val="auto"/>
              </w:rPr>
            </w:pPr>
          </w:p>
        </w:tc>
        <w:tc>
          <w:tcPr>
            <w:tcW w:w="9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2019</w:t>
            </w:r>
          </w:p>
        </w:tc>
        <w:tc>
          <w:tcPr>
            <w:tcW w:w="140" w:type="dxa"/>
            <w:vAlign w:val="bottom"/>
            <w:tcBorders>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2020</w:t>
            </w:r>
          </w:p>
        </w:tc>
        <w:tc>
          <w:tcPr>
            <w:tcW w:w="98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2021</w:t>
            </w:r>
          </w:p>
        </w:tc>
        <w:tc>
          <w:tcPr>
            <w:tcW w:w="96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2022</w:t>
            </w:r>
          </w:p>
        </w:tc>
        <w:tc>
          <w:tcPr>
            <w:tcW w:w="94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2023</w:t>
            </w:r>
          </w:p>
        </w:tc>
        <w:tc>
          <w:tcPr>
            <w:tcW w:w="122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2024-2032</w:t>
            </w:r>
          </w:p>
        </w:tc>
        <w:tc>
          <w:tcPr>
            <w:tcW w:w="82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Total</w:t>
            </w:r>
          </w:p>
        </w:tc>
        <w:tc>
          <w:tcPr>
            <w:tcW w:w="20" w:type="dxa"/>
            <w:vAlign w:val="bottom"/>
          </w:tcPr>
          <w:p>
            <w:pPr>
              <w:spacing w:after="0"/>
              <w:rPr>
                <w:sz w:val="17"/>
                <w:szCs w:val="17"/>
                <w:color w:val="auto"/>
              </w:rPr>
            </w:pPr>
          </w:p>
        </w:tc>
      </w:tr>
      <w:tr>
        <w:trPr>
          <w:trHeight w:val="196"/>
        </w:trPr>
        <w:tc>
          <w:tcPr>
            <w:tcW w:w="4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60" w:type="dxa"/>
            <w:vAlign w:val="bottom"/>
            <w:gridSpan w:val="5"/>
          </w:tcPr>
          <w:p>
            <w:pPr>
              <w:jc w:val="right"/>
              <w:ind w:right="819"/>
              <w:spacing w:after="0"/>
              <w:rPr>
                <w:sz w:val="20"/>
                <w:szCs w:val="20"/>
                <w:color w:val="auto"/>
              </w:rPr>
            </w:pPr>
            <w:r>
              <w:rPr>
                <w:rFonts w:ascii="Arial" w:cs="Arial" w:eastAsia="Arial" w:hAnsi="Arial"/>
                <w:sz w:val="16"/>
                <w:szCs w:val="16"/>
                <w:b w:val="1"/>
                <w:bCs w:val="1"/>
                <w:color w:val="auto"/>
              </w:rPr>
              <w:t>(in millions of U.S. dollars, except days and percentages)</w:t>
            </w: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4360" w:type="dxa"/>
            <w:vAlign w:val="bottom"/>
            <w:shd w:val="clear" w:color="auto" w:fill="E5FFFF"/>
          </w:tcPr>
          <w:p>
            <w:pPr>
              <w:spacing w:after="0" w:line="203" w:lineRule="exact"/>
              <w:rPr>
                <w:sz w:val="20"/>
                <w:szCs w:val="20"/>
                <w:color w:val="auto"/>
              </w:rPr>
            </w:pPr>
            <w:r>
              <w:rPr>
                <w:rFonts w:ascii="Arial" w:cs="Arial" w:eastAsia="Arial" w:hAnsi="Arial"/>
                <w:sz w:val="16"/>
                <w:szCs w:val="16"/>
                <w:color w:val="auto"/>
              </w:rPr>
              <w:t>Contracted time charter revenues</w:t>
            </w:r>
            <w:r>
              <w:rPr>
                <w:rFonts w:ascii="Arial" w:cs="Arial" w:eastAsia="Arial" w:hAnsi="Arial"/>
                <w:sz w:val="21"/>
                <w:szCs w:val="21"/>
                <w:color w:val="auto"/>
                <w:vertAlign w:val="superscript"/>
              </w:rPr>
              <w:t>(1)</w:t>
            </w:r>
          </w:p>
        </w:tc>
        <w:tc>
          <w:tcPr>
            <w:tcW w:w="9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414.9</w:t>
            </w:r>
          </w:p>
        </w:tc>
        <w:tc>
          <w:tcPr>
            <w:tcW w:w="140" w:type="dxa"/>
            <w:vAlign w:val="bottom"/>
            <w:shd w:val="clear" w:color="auto" w:fill="E5FFFF"/>
          </w:tcPr>
          <w:p>
            <w:pPr>
              <w:spacing w:after="0"/>
              <w:rPr>
                <w:sz w:val="17"/>
                <w:szCs w:val="17"/>
                <w:color w:val="auto"/>
              </w:rPr>
            </w:pPr>
          </w:p>
        </w:tc>
        <w:tc>
          <w:tcPr>
            <w:tcW w:w="1160" w:type="dxa"/>
            <w:vAlign w:val="bottom"/>
            <w:shd w:val="clear" w:color="auto" w:fill="E5FFFF"/>
          </w:tcPr>
          <w:p>
            <w:pPr>
              <w:jc w:val="right"/>
              <w:ind w:right="219"/>
              <w:spacing w:after="0"/>
              <w:rPr>
                <w:sz w:val="20"/>
                <w:szCs w:val="20"/>
                <w:color w:val="auto"/>
              </w:rPr>
            </w:pPr>
            <w:r>
              <w:rPr>
                <w:rFonts w:ascii="Arial" w:cs="Arial" w:eastAsia="Arial" w:hAnsi="Arial"/>
                <w:sz w:val="16"/>
                <w:szCs w:val="16"/>
                <w:color w:val="auto"/>
              </w:rPr>
              <w:t>500.0</w:t>
            </w:r>
          </w:p>
        </w:tc>
        <w:tc>
          <w:tcPr>
            <w:tcW w:w="980" w:type="dxa"/>
            <w:vAlign w:val="bottom"/>
            <w:shd w:val="clear" w:color="auto" w:fill="E5FFFF"/>
          </w:tcPr>
          <w:p>
            <w:pPr>
              <w:jc w:val="right"/>
              <w:ind w:right="219"/>
              <w:spacing w:after="0"/>
              <w:rPr>
                <w:sz w:val="20"/>
                <w:szCs w:val="20"/>
                <w:color w:val="auto"/>
              </w:rPr>
            </w:pPr>
            <w:r>
              <w:rPr>
                <w:rFonts w:ascii="Arial" w:cs="Arial" w:eastAsia="Arial" w:hAnsi="Arial"/>
                <w:sz w:val="16"/>
                <w:szCs w:val="16"/>
                <w:color w:val="auto"/>
              </w:rPr>
              <w:t>502.7</w:t>
            </w:r>
          </w:p>
        </w:tc>
        <w:tc>
          <w:tcPr>
            <w:tcW w:w="960" w:type="dxa"/>
            <w:vAlign w:val="bottom"/>
            <w:shd w:val="clear" w:color="auto" w:fill="E5FFFF"/>
          </w:tcPr>
          <w:p>
            <w:pPr>
              <w:jc w:val="right"/>
              <w:ind w:right="219"/>
              <w:spacing w:after="0"/>
              <w:rPr>
                <w:sz w:val="20"/>
                <w:szCs w:val="20"/>
                <w:color w:val="auto"/>
              </w:rPr>
            </w:pPr>
            <w:r>
              <w:rPr>
                <w:rFonts w:ascii="Arial" w:cs="Arial" w:eastAsia="Arial" w:hAnsi="Arial"/>
                <w:sz w:val="16"/>
                <w:szCs w:val="16"/>
                <w:color w:val="auto"/>
              </w:rPr>
              <w:t>507.3</w:t>
            </w:r>
          </w:p>
        </w:tc>
        <w:tc>
          <w:tcPr>
            <w:tcW w:w="940" w:type="dxa"/>
            <w:vAlign w:val="bottom"/>
            <w:shd w:val="clear" w:color="auto" w:fill="E5FFFF"/>
          </w:tcPr>
          <w:p>
            <w:pPr>
              <w:jc w:val="right"/>
              <w:ind w:right="179"/>
              <w:spacing w:after="0"/>
              <w:rPr>
                <w:sz w:val="20"/>
                <w:szCs w:val="20"/>
                <w:color w:val="auto"/>
              </w:rPr>
            </w:pPr>
            <w:r>
              <w:rPr>
                <w:rFonts w:ascii="Arial" w:cs="Arial" w:eastAsia="Arial" w:hAnsi="Arial"/>
                <w:sz w:val="16"/>
                <w:szCs w:val="16"/>
                <w:color w:val="auto"/>
              </w:rPr>
              <w:t>487.7</w:t>
            </w:r>
          </w:p>
        </w:tc>
        <w:tc>
          <w:tcPr>
            <w:tcW w:w="1220" w:type="dxa"/>
            <w:vAlign w:val="bottom"/>
            <w:shd w:val="clear" w:color="auto" w:fill="E5FFFF"/>
          </w:tcPr>
          <w:p>
            <w:pPr>
              <w:jc w:val="right"/>
              <w:ind w:right="199"/>
              <w:spacing w:after="0"/>
              <w:rPr>
                <w:sz w:val="20"/>
                <w:szCs w:val="20"/>
                <w:color w:val="auto"/>
              </w:rPr>
            </w:pPr>
            <w:r>
              <w:rPr>
                <w:rFonts w:ascii="Arial" w:cs="Arial" w:eastAsia="Arial" w:hAnsi="Arial"/>
                <w:sz w:val="16"/>
                <w:szCs w:val="16"/>
                <w:color w:val="auto"/>
              </w:rPr>
              <w:t>1,613.9</w:t>
            </w:r>
          </w:p>
        </w:tc>
        <w:tc>
          <w:tcPr>
            <w:tcW w:w="820" w:type="dxa"/>
            <w:vAlign w:val="bottom"/>
            <w:shd w:val="clear" w:color="auto" w:fill="E5FFFF"/>
          </w:tcPr>
          <w:p>
            <w:pPr>
              <w:jc w:val="right"/>
              <w:ind w:right="59"/>
              <w:spacing w:after="0"/>
              <w:rPr>
                <w:sz w:val="20"/>
                <w:szCs w:val="20"/>
                <w:color w:val="auto"/>
              </w:rPr>
            </w:pPr>
            <w:r>
              <w:rPr>
                <w:rFonts w:ascii="Arial" w:cs="Arial" w:eastAsia="Arial" w:hAnsi="Arial"/>
                <w:sz w:val="16"/>
                <w:szCs w:val="16"/>
                <w:color w:val="auto"/>
              </w:rPr>
              <w:t>4,026.5</w:t>
            </w:r>
          </w:p>
        </w:tc>
        <w:tc>
          <w:tcPr>
            <w:tcW w:w="20" w:type="dxa"/>
            <w:vAlign w:val="bottom"/>
          </w:tcPr>
          <w:p>
            <w:pPr>
              <w:spacing w:after="0"/>
              <w:rPr>
                <w:sz w:val="17"/>
                <w:szCs w:val="17"/>
                <w:color w:val="auto"/>
              </w:rPr>
            </w:pPr>
          </w:p>
        </w:tc>
      </w:tr>
      <w:tr>
        <w:trPr>
          <w:trHeight w:val="203"/>
        </w:trPr>
        <w:tc>
          <w:tcPr>
            <w:tcW w:w="4360" w:type="dxa"/>
            <w:vAlign w:val="bottom"/>
          </w:tcPr>
          <w:p>
            <w:pPr>
              <w:spacing w:after="0" w:line="203" w:lineRule="exact"/>
              <w:rPr>
                <w:sz w:val="20"/>
                <w:szCs w:val="20"/>
                <w:color w:val="auto"/>
              </w:rPr>
            </w:pPr>
            <w:r>
              <w:rPr>
                <w:rFonts w:ascii="Arial" w:cs="Arial" w:eastAsia="Arial" w:hAnsi="Arial"/>
                <w:sz w:val="16"/>
                <w:szCs w:val="16"/>
                <w:color w:val="auto"/>
              </w:rPr>
              <w:t>Total contracted days</w:t>
            </w:r>
            <w:r>
              <w:rPr>
                <w:rFonts w:ascii="Arial" w:cs="Arial" w:eastAsia="Arial" w:hAnsi="Arial"/>
                <w:sz w:val="21"/>
                <w:szCs w:val="21"/>
                <w:color w:val="auto"/>
                <w:vertAlign w:val="superscript"/>
              </w:rPr>
              <w:t>(1)</w:t>
            </w:r>
          </w:p>
        </w:tc>
        <w:tc>
          <w:tcPr>
            <w:tcW w:w="980" w:type="dxa"/>
            <w:vAlign w:val="bottom"/>
          </w:tcPr>
          <w:p>
            <w:pPr>
              <w:jc w:val="right"/>
              <w:spacing w:after="0"/>
              <w:rPr>
                <w:sz w:val="20"/>
                <w:szCs w:val="20"/>
                <w:color w:val="auto"/>
              </w:rPr>
            </w:pPr>
            <w:r>
              <w:rPr>
                <w:rFonts w:ascii="Arial" w:cs="Arial" w:eastAsia="Arial" w:hAnsi="Arial"/>
                <w:sz w:val="16"/>
                <w:szCs w:val="16"/>
                <w:color w:val="auto"/>
              </w:rPr>
              <w:t>5,613</w:t>
            </w:r>
          </w:p>
        </w:tc>
        <w:tc>
          <w:tcPr>
            <w:tcW w:w="140" w:type="dxa"/>
            <w:vAlign w:val="bottom"/>
          </w:tcPr>
          <w:p>
            <w:pPr>
              <w:spacing w:after="0"/>
              <w:rPr>
                <w:sz w:val="17"/>
                <w:szCs w:val="17"/>
                <w:color w:val="auto"/>
              </w:rPr>
            </w:pPr>
          </w:p>
        </w:tc>
        <w:tc>
          <w:tcPr>
            <w:tcW w:w="1160" w:type="dxa"/>
            <w:vAlign w:val="bottom"/>
          </w:tcPr>
          <w:p>
            <w:pPr>
              <w:jc w:val="right"/>
              <w:ind w:right="219"/>
              <w:spacing w:after="0"/>
              <w:rPr>
                <w:sz w:val="20"/>
                <w:szCs w:val="20"/>
                <w:color w:val="auto"/>
              </w:rPr>
            </w:pPr>
            <w:r>
              <w:rPr>
                <w:rFonts w:ascii="Arial" w:cs="Arial" w:eastAsia="Arial" w:hAnsi="Arial"/>
                <w:sz w:val="16"/>
                <w:szCs w:val="16"/>
                <w:color w:val="auto"/>
              </w:rPr>
              <w:t>6,810</w:t>
            </w:r>
          </w:p>
        </w:tc>
        <w:tc>
          <w:tcPr>
            <w:tcW w:w="980" w:type="dxa"/>
            <w:vAlign w:val="bottom"/>
          </w:tcPr>
          <w:p>
            <w:pPr>
              <w:jc w:val="right"/>
              <w:ind w:right="219"/>
              <w:spacing w:after="0"/>
              <w:rPr>
                <w:sz w:val="20"/>
                <w:szCs w:val="20"/>
                <w:color w:val="auto"/>
              </w:rPr>
            </w:pPr>
            <w:r>
              <w:rPr>
                <w:rFonts w:ascii="Arial" w:cs="Arial" w:eastAsia="Arial" w:hAnsi="Arial"/>
                <w:sz w:val="16"/>
                <w:szCs w:val="16"/>
                <w:color w:val="auto"/>
              </w:rPr>
              <w:t>6,608</w:t>
            </w:r>
          </w:p>
        </w:tc>
        <w:tc>
          <w:tcPr>
            <w:tcW w:w="960" w:type="dxa"/>
            <w:vAlign w:val="bottom"/>
          </w:tcPr>
          <w:p>
            <w:pPr>
              <w:jc w:val="right"/>
              <w:ind w:right="219"/>
              <w:spacing w:after="0"/>
              <w:rPr>
                <w:sz w:val="20"/>
                <w:szCs w:val="20"/>
                <w:color w:val="auto"/>
              </w:rPr>
            </w:pPr>
            <w:r>
              <w:rPr>
                <w:rFonts w:ascii="Arial" w:cs="Arial" w:eastAsia="Arial" w:hAnsi="Arial"/>
                <w:sz w:val="16"/>
                <w:szCs w:val="16"/>
                <w:color w:val="auto"/>
              </w:rPr>
              <w:t>6,570</w:t>
            </w:r>
          </w:p>
        </w:tc>
        <w:tc>
          <w:tcPr>
            <w:tcW w:w="940" w:type="dxa"/>
            <w:vAlign w:val="bottom"/>
          </w:tcPr>
          <w:p>
            <w:pPr>
              <w:jc w:val="right"/>
              <w:ind w:right="179"/>
              <w:spacing w:after="0"/>
              <w:rPr>
                <w:sz w:val="20"/>
                <w:szCs w:val="20"/>
                <w:color w:val="auto"/>
              </w:rPr>
            </w:pPr>
            <w:r>
              <w:rPr>
                <w:rFonts w:ascii="Arial" w:cs="Arial" w:eastAsia="Arial" w:hAnsi="Arial"/>
                <w:sz w:val="16"/>
                <w:szCs w:val="16"/>
                <w:color w:val="auto"/>
              </w:rPr>
              <w:t>6,327</w:t>
            </w:r>
          </w:p>
        </w:tc>
        <w:tc>
          <w:tcPr>
            <w:tcW w:w="1220" w:type="dxa"/>
            <w:vAlign w:val="bottom"/>
          </w:tcPr>
          <w:p>
            <w:pPr>
              <w:jc w:val="right"/>
              <w:ind w:right="199"/>
              <w:spacing w:after="0"/>
              <w:rPr>
                <w:sz w:val="20"/>
                <w:szCs w:val="20"/>
                <w:color w:val="auto"/>
              </w:rPr>
            </w:pPr>
            <w:r>
              <w:rPr>
                <w:rFonts w:ascii="Arial" w:cs="Arial" w:eastAsia="Arial" w:hAnsi="Arial"/>
                <w:sz w:val="16"/>
                <w:szCs w:val="16"/>
                <w:color w:val="auto"/>
              </w:rPr>
              <w:t>21,301</w:t>
            </w: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53,229</w:t>
            </w:r>
          </w:p>
        </w:tc>
        <w:tc>
          <w:tcPr>
            <w:tcW w:w="20" w:type="dxa"/>
            <w:vAlign w:val="bottom"/>
          </w:tcPr>
          <w:p>
            <w:pPr>
              <w:spacing w:after="0"/>
              <w:rPr>
                <w:sz w:val="17"/>
                <w:szCs w:val="17"/>
                <w:color w:val="auto"/>
              </w:rPr>
            </w:pPr>
          </w:p>
        </w:tc>
      </w:tr>
      <w:tr>
        <w:trPr>
          <w:trHeight w:val="203"/>
        </w:trPr>
        <w:tc>
          <w:tcPr>
            <w:tcW w:w="4360" w:type="dxa"/>
            <w:vAlign w:val="bottom"/>
            <w:shd w:val="clear" w:color="auto" w:fill="E5FFFF"/>
          </w:tcPr>
          <w:p>
            <w:pPr>
              <w:spacing w:after="0" w:line="203" w:lineRule="exact"/>
              <w:rPr>
                <w:sz w:val="20"/>
                <w:szCs w:val="20"/>
                <w:color w:val="auto"/>
              </w:rPr>
            </w:pPr>
            <w:r>
              <w:rPr>
                <w:rFonts w:ascii="Arial" w:cs="Arial" w:eastAsia="Arial" w:hAnsi="Arial"/>
                <w:sz w:val="16"/>
                <w:szCs w:val="16"/>
                <w:color w:val="auto"/>
              </w:rPr>
              <w:t>Total available days</w:t>
            </w:r>
            <w:r>
              <w:rPr>
                <w:rFonts w:ascii="Arial" w:cs="Arial" w:eastAsia="Arial" w:hAnsi="Arial"/>
                <w:sz w:val="21"/>
                <w:szCs w:val="21"/>
                <w:color w:val="auto"/>
                <w:vertAlign w:val="superscript"/>
              </w:rPr>
              <w:t>(2)</w:t>
            </w:r>
          </w:p>
        </w:tc>
        <w:tc>
          <w:tcPr>
            <w:tcW w:w="9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7,518</w:t>
            </w:r>
          </w:p>
        </w:tc>
        <w:tc>
          <w:tcPr>
            <w:tcW w:w="140" w:type="dxa"/>
            <w:vAlign w:val="bottom"/>
            <w:shd w:val="clear" w:color="auto" w:fill="E5FFFF"/>
          </w:tcPr>
          <w:p>
            <w:pPr>
              <w:spacing w:after="0"/>
              <w:rPr>
                <w:sz w:val="17"/>
                <w:szCs w:val="17"/>
                <w:color w:val="auto"/>
              </w:rPr>
            </w:pPr>
          </w:p>
        </w:tc>
        <w:tc>
          <w:tcPr>
            <w:tcW w:w="1160" w:type="dxa"/>
            <w:vAlign w:val="bottom"/>
            <w:shd w:val="clear" w:color="auto" w:fill="E5FFFF"/>
          </w:tcPr>
          <w:p>
            <w:pPr>
              <w:jc w:val="right"/>
              <w:ind w:right="219"/>
              <w:spacing w:after="0"/>
              <w:rPr>
                <w:sz w:val="20"/>
                <w:szCs w:val="20"/>
                <w:color w:val="auto"/>
              </w:rPr>
            </w:pPr>
            <w:r>
              <w:rPr>
                <w:rFonts w:ascii="Arial" w:cs="Arial" w:eastAsia="Arial" w:hAnsi="Arial"/>
                <w:sz w:val="16"/>
                <w:szCs w:val="16"/>
                <w:color w:val="auto"/>
              </w:rPr>
              <w:t>10,697</w:t>
            </w:r>
          </w:p>
        </w:tc>
        <w:tc>
          <w:tcPr>
            <w:tcW w:w="980" w:type="dxa"/>
            <w:vAlign w:val="bottom"/>
            <w:shd w:val="clear" w:color="auto" w:fill="E5FFFF"/>
          </w:tcPr>
          <w:p>
            <w:pPr>
              <w:jc w:val="right"/>
              <w:ind w:right="219"/>
              <w:spacing w:after="0"/>
              <w:rPr>
                <w:sz w:val="20"/>
                <w:szCs w:val="20"/>
                <w:color w:val="auto"/>
              </w:rPr>
            </w:pPr>
            <w:r>
              <w:rPr>
                <w:rFonts w:ascii="Arial" w:cs="Arial" w:eastAsia="Arial" w:hAnsi="Arial"/>
                <w:sz w:val="16"/>
                <w:szCs w:val="16"/>
                <w:color w:val="auto"/>
              </w:rPr>
              <w:t>12,202</w:t>
            </w:r>
          </w:p>
        </w:tc>
        <w:tc>
          <w:tcPr>
            <w:tcW w:w="960" w:type="dxa"/>
            <w:vAlign w:val="bottom"/>
            <w:shd w:val="clear" w:color="auto" w:fill="E5FFFF"/>
          </w:tcPr>
          <w:p>
            <w:pPr>
              <w:jc w:val="right"/>
              <w:ind w:right="219"/>
              <w:spacing w:after="0"/>
              <w:rPr>
                <w:sz w:val="20"/>
                <w:szCs w:val="20"/>
                <w:color w:val="auto"/>
              </w:rPr>
            </w:pPr>
            <w:r>
              <w:rPr>
                <w:rFonts w:ascii="Arial" w:cs="Arial" w:eastAsia="Arial" w:hAnsi="Arial"/>
                <w:sz w:val="16"/>
                <w:szCs w:val="16"/>
                <w:color w:val="auto"/>
              </w:rPr>
              <w:t>12,775</w:t>
            </w:r>
          </w:p>
        </w:tc>
        <w:tc>
          <w:tcPr>
            <w:tcW w:w="940" w:type="dxa"/>
            <w:vAlign w:val="bottom"/>
            <w:shd w:val="clear" w:color="auto" w:fill="E5FFFF"/>
          </w:tcPr>
          <w:p>
            <w:pPr>
              <w:jc w:val="right"/>
              <w:ind w:right="179"/>
              <w:spacing w:after="0"/>
              <w:rPr>
                <w:sz w:val="20"/>
                <w:szCs w:val="20"/>
                <w:color w:val="auto"/>
              </w:rPr>
            </w:pPr>
            <w:r>
              <w:rPr>
                <w:rFonts w:ascii="Arial" w:cs="Arial" w:eastAsia="Arial" w:hAnsi="Arial"/>
                <w:sz w:val="16"/>
                <w:szCs w:val="16"/>
                <w:color w:val="auto"/>
              </w:rPr>
              <w:t>12,535</w:t>
            </w:r>
          </w:p>
        </w:tc>
        <w:tc>
          <w:tcPr>
            <w:tcW w:w="1220" w:type="dxa"/>
            <w:vAlign w:val="bottom"/>
            <w:shd w:val="clear" w:color="auto" w:fill="E5FFFF"/>
          </w:tcPr>
          <w:p>
            <w:pPr>
              <w:jc w:val="right"/>
              <w:ind w:right="199"/>
              <w:spacing w:after="0"/>
              <w:rPr>
                <w:sz w:val="20"/>
                <w:szCs w:val="20"/>
                <w:color w:val="auto"/>
              </w:rPr>
            </w:pPr>
            <w:r>
              <w:rPr>
                <w:rFonts w:ascii="Arial" w:cs="Arial" w:eastAsia="Arial" w:hAnsi="Arial"/>
                <w:sz w:val="16"/>
                <w:szCs w:val="16"/>
                <w:color w:val="auto"/>
              </w:rPr>
              <w:t>113,220</w:t>
            </w:r>
          </w:p>
        </w:tc>
        <w:tc>
          <w:tcPr>
            <w:tcW w:w="820" w:type="dxa"/>
            <w:vAlign w:val="bottom"/>
            <w:shd w:val="clear" w:color="auto" w:fill="E5FFFF"/>
          </w:tcPr>
          <w:p>
            <w:pPr>
              <w:jc w:val="right"/>
              <w:ind w:right="59"/>
              <w:spacing w:after="0"/>
              <w:rPr>
                <w:sz w:val="20"/>
                <w:szCs w:val="20"/>
                <w:color w:val="auto"/>
              </w:rPr>
            </w:pPr>
            <w:r>
              <w:rPr>
                <w:rFonts w:ascii="Arial" w:cs="Arial" w:eastAsia="Arial" w:hAnsi="Arial"/>
                <w:sz w:val="16"/>
                <w:szCs w:val="16"/>
                <w:color w:val="auto"/>
              </w:rPr>
              <w:t>168,947</w:t>
            </w:r>
          </w:p>
        </w:tc>
        <w:tc>
          <w:tcPr>
            <w:tcW w:w="20" w:type="dxa"/>
            <w:vAlign w:val="bottom"/>
          </w:tcPr>
          <w:p>
            <w:pPr>
              <w:spacing w:after="0"/>
              <w:rPr>
                <w:sz w:val="17"/>
                <w:szCs w:val="17"/>
                <w:color w:val="auto"/>
              </w:rPr>
            </w:pPr>
          </w:p>
        </w:tc>
      </w:tr>
      <w:tr>
        <w:trPr>
          <w:trHeight w:val="203"/>
        </w:trPr>
        <w:tc>
          <w:tcPr>
            <w:tcW w:w="4360" w:type="dxa"/>
            <w:vAlign w:val="bottom"/>
          </w:tcPr>
          <w:p>
            <w:pPr>
              <w:spacing w:after="0" w:line="203" w:lineRule="exact"/>
              <w:rPr>
                <w:sz w:val="20"/>
                <w:szCs w:val="20"/>
                <w:color w:val="auto"/>
              </w:rPr>
            </w:pPr>
            <w:r>
              <w:rPr>
                <w:rFonts w:ascii="Arial" w:cs="Arial" w:eastAsia="Arial" w:hAnsi="Arial"/>
                <w:sz w:val="16"/>
                <w:szCs w:val="16"/>
                <w:color w:val="auto"/>
              </w:rPr>
              <w:t>Total unfixed days</w:t>
            </w:r>
            <w:r>
              <w:rPr>
                <w:rFonts w:ascii="Arial" w:cs="Arial" w:eastAsia="Arial" w:hAnsi="Arial"/>
                <w:sz w:val="21"/>
                <w:szCs w:val="21"/>
                <w:color w:val="auto"/>
                <w:vertAlign w:val="superscript"/>
              </w:rPr>
              <w:t>(3)</w:t>
            </w:r>
          </w:p>
        </w:tc>
        <w:tc>
          <w:tcPr>
            <w:tcW w:w="980" w:type="dxa"/>
            <w:vAlign w:val="bottom"/>
          </w:tcPr>
          <w:p>
            <w:pPr>
              <w:jc w:val="right"/>
              <w:spacing w:after="0"/>
              <w:rPr>
                <w:sz w:val="20"/>
                <w:szCs w:val="20"/>
                <w:color w:val="auto"/>
              </w:rPr>
            </w:pPr>
            <w:r>
              <w:rPr>
                <w:rFonts w:ascii="Arial" w:cs="Arial" w:eastAsia="Arial" w:hAnsi="Arial"/>
                <w:sz w:val="16"/>
                <w:szCs w:val="16"/>
                <w:color w:val="auto"/>
              </w:rPr>
              <w:t>1,905</w:t>
            </w:r>
          </w:p>
        </w:tc>
        <w:tc>
          <w:tcPr>
            <w:tcW w:w="140" w:type="dxa"/>
            <w:vAlign w:val="bottom"/>
          </w:tcPr>
          <w:p>
            <w:pPr>
              <w:spacing w:after="0"/>
              <w:rPr>
                <w:sz w:val="17"/>
                <w:szCs w:val="17"/>
                <w:color w:val="auto"/>
              </w:rPr>
            </w:pPr>
          </w:p>
        </w:tc>
        <w:tc>
          <w:tcPr>
            <w:tcW w:w="1160" w:type="dxa"/>
            <w:vAlign w:val="bottom"/>
          </w:tcPr>
          <w:p>
            <w:pPr>
              <w:jc w:val="right"/>
              <w:ind w:right="219"/>
              <w:spacing w:after="0"/>
              <w:rPr>
                <w:sz w:val="20"/>
                <w:szCs w:val="20"/>
                <w:color w:val="auto"/>
              </w:rPr>
            </w:pPr>
            <w:r>
              <w:rPr>
                <w:rFonts w:ascii="Arial" w:cs="Arial" w:eastAsia="Arial" w:hAnsi="Arial"/>
                <w:sz w:val="16"/>
                <w:szCs w:val="16"/>
                <w:color w:val="auto"/>
              </w:rPr>
              <w:t>3,887</w:t>
            </w:r>
          </w:p>
        </w:tc>
        <w:tc>
          <w:tcPr>
            <w:tcW w:w="980" w:type="dxa"/>
            <w:vAlign w:val="bottom"/>
          </w:tcPr>
          <w:p>
            <w:pPr>
              <w:jc w:val="right"/>
              <w:ind w:right="219"/>
              <w:spacing w:after="0"/>
              <w:rPr>
                <w:sz w:val="20"/>
                <w:szCs w:val="20"/>
                <w:color w:val="auto"/>
              </w:rPr>
            </w:pPr>
            <w:r>
              <w:rPr>
                <w:rFonts w:ascii="Arial" w:cs="Arial" w:eastAsia="Arial" w:hAnsi="Arial"/>
                <w:sz w:val="16"/>
                <w:szCs w:val="16"/>
                <w:color w:val="auto"/>
              </w:rPr>
              <w:t>5,594</w:t>
            </w:r>
          </w:p>
        </w:tc>
        <w:tc>
          <w:tcPr>
            <w:tcW w:w="960" w:type="dxa"/>
            <w:vAlign w:val="bottom"/>
          </w:tcPr>
          <w:p>
            <w:pPr>
              <w:jc w:val="right"/>
              <w:ind w:right="219"/>
              <w:spacing w:after="0"/>
              <w:rPr>
                <w:sz w:val="20"/>
                <w:szCs w:val="20"/>
                <w:color w:val="auto"/>
              </w:rPr>
            </w:pPr>
            <w:r>
              <w:rPr>
                <w:rFonts w:ascii="Arial" w:cs="Arial" w:eastAsia="Arial" w:hAnsi="Arial"/>
                <w:sz w:val="16"/>
                <w:szCs w:val="16"/>
                <w:color w:val="auto"/>
              </w:rPr>
              <w:t>6,205</w:t>
            </w:r>
          </w:p>
        </w:tc>
        <w:tc>
          <w:tcPr>
            <w:tcW w:w="940" w:type="dxa"/>
            <w:vAlign w:val="bottom"/>
          </w:tcPr>
          <w:p>
            <w:pPr>
              <w:jc w:val="right"/>
              <w:ind w:right="179"/>
              <w:spacing w:after="0"/>
              <w:rPr>
                <w:sz w:val="20"/>
                <w:szCs w:val="20"/>
                <w:color w:val="auto"/>
              </w:rPr>
            </w:pPr>
            <w:r>
              <w:rPr>
                <w:rFonts w:ascii="Arial" w:cs="Arial" w:eastAsia="Arial" w:hAnsi="Arial"/>
                <w:sz w:val="16"/>
                <w:szCs w:val="16"/>
                <w:color w:val="auto"/>
              </w:rPr>
              <w:t>6,208</w:t>
            </w:r>
          </w:p>
        </w:tc>
        <w:tc>
          <w:tcPr>
            <w:tcW w:w="1220" w:type="dxa"/>
            <w:vAlign w:val="bottom"/>
          </w:tcPr>
          <w:p>
            <w:pPr>
              <w:jc w:val="right"/>
              <w:ind w:right="199"/>
              <w:spacing w:after="0"/>
              <w:rPr>
                <w:sz w:val="20"/>
                <w:szCs w:val="20"/>
                <w:color w:val="auto"/>
              </w:rPr>
            </w:pPr>
            <w:r>
              <w:rPr>
                <w:rFonts w:ascii="Arial" w:cs="Arial" w:eastAsia="Arial" w:hAnsi="Arial"/>
                <w:sz w:val="16"/>
                <w:szCs w:val="16"/>
                <w:color w:val="auto"/>
              </w:rPr>
              <w:t>91,919</w:t>
            </w: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115,718</w:t>
            </w:r>
          </w:p>
        </w:tc>
        <w:tc>
          <w:tcPr>
            <w:tcW w:w="20" w:type="dxa"/>
            <w:vAlign w:val="bottom"/>
          </w:tcPr>
          <w:p>
            <w:pPr>
              <w:spacing w:after="0"/>
              <w:rPr>
                <w:sz w:val="17"/>
                <w:szCs w:val="17"/>
                <w:color w:val="auto"/>
              </w:rPr>
            </w:pPr>
          </w:p>
        </w:tc>
      </w:tr>
      <w:tr>
        <w:trPr>
          <w:trHeight w:val="203"/>
        </w:trPr>
        <w:tc>
          <w:tcPr>
            <w:tcW w:w="4360" w:type="dxa"/>
            <w:vAlign w:val="bottom"/>
            <w:shd w:val="clear" w:color="auto" w:fill="E5FFFF"/>
          </w:tcPr>
          <w:p>
            <w:pPr>
              <w:spacing w:after="0"/>
              <w:rPr>
                <w:sz w:val="20"/>
                <w:szCs w:val="20"/>
                <w:color w:val="auto"/>
              </w:rPr>
            </w:pPr>
            <w:r>
              <w:rPr>
                <w:rFonts w:ascii="Arial" w:cs="Arial" w:eastAsia="Arial" w:hAnsi="Arial"/>
                <w:sz w:val="16"/>
                <w:szCs w:val="16"/>
                <w:color w:val="auto"/>
              </w:rPr>
              <w:t>Percentage of total contracted days/total available days</w:t>
            </w:r>
          </w:p>
        </w:tc>
        <w:tc>
          <w:tcPr>
            <w:tcW w:w="112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74.7%</w:t>
            </w:r>
          </w:p>
        </w:tc>
        <w:tc>
          <w:tcPr>
            <w:tcW w:w="1160" w:type="dxa"/>
            <w:vAlign w:val="bottom"/>
            <w:shd w:val="clear" w:color="auto" w:fill="E5FFFF"/>
          </w:tcPr>
          <w:p>
            <w:pPr>
              <w:jc w:val="right"/>
              <w:ind w:right="79"/>
              <w:spacing w:after="0"/>
              <w:rPr>
                <w:sz w:val="20"/>
                <w:szCs w:val="20"/>
                <w:color w:val="auto"/>
              </w:rPr>
            </w:pPr>
            <w:r>
              <w:rPr>
                <w:rFonts w:ascii="Arial" w:cs="Arial" w:eastAsia="Arial" w:hAnsi="Arial"/>
                <w:sz w:val="16"/>
                <w:szCs w:val="16"/>
                <w:color w:val="auto"/>
              </w:rPr>
              <w:t>63.7%</w:t>
            </w:r>
          </w:p>
        </w:tc>
        <w:tc>
          <w:tcPr>
            <w:tcW w:w="980" w:type="dxa"/>
            <w:vAlign w:val="bottom"/>
            <w:shd w:val="clear" w:color="auto" w:fill="E5FFFF"/>
          </w:tcPr>
          <w:p>
            <w:pPr>
              <w:jc w:val="right"/>
              <w:ind w:right="99"/>
              <w:spacing w:after="0"/>
              <w:rPr>
                <w:sz w:val="20"/>
                <w:szCs w:val="20"/>
                <w:color w:val="auto"/>
              </w:rPr>
            </w:pPr>
            <w:r>
              <w:rPr>
                <w:rFonts w:ascii="Arial" w:cs="Arial" w:eastAsia="Arial" w:hAnsi="Arial"/>
                <w:sz w:val="16"/>
                <w:szCs w:val="16"/>
                <w:color w:val="auto"/>
              </w:rPr>
              <w:t>54.2%</w:t>
            </w:r>
          </w:p>
        </w:tc>
        <w:tc>
          <w:tcPr>
            <w:tcW w:w="960" w:type="dxa"/>
            <w:vAlign w:val="bottom"/>
            <w:shd w:val="clear" w:color="auto" w:fill="E5FFFF"/>
          </w:tcPr>
          <w:p>
            <w:pPr>
              <w:jc w:val="right"/>
              <w:ind w:right="79"/>
              <w:spacing w:after="0"/>
              <w:rPr>
                <w:sz w:val="20"/>
                <w:szCs w:val="20"/>
                <w:color w:val="auto"/>
              </w:rPr>
            </w:pPr>
            <w:r>
              <w:rPr>
                <w:rFonts w:ascii="Arial" w:cs="Arial" w:eastAsia="Arial" w:hAnsi="Arial"/>
                <w:sz w:val="16"/>
                <w:szCs w:val="16"/>
                <w:color w:val="auto"/>
              </w:rPr>
              <w:t>51.4%</w:t>
            </w:r>
          </w:p>
        </w:tc>
        <w:tc>
          <w:tcPr>
            <w:tcW w:w="940" w:type="dxa"/>
            <w:vAlign w:val="bottom"/>
            <w:shd w:val="clear" w:color="auto" w:fill="E5FFFF"/>
          </w:tcPr>
          <w:p>
            <w:pPr>
              <w:jc w:val="right"/>
              <w:ind w:right="39"/>
              <w:spacing w:after="0"/>
              <w:rPr>
                <w:sz w:val="20"/>
                <w:szCs w:val="20"/>
                <w:color w:val="auto"/>
              </w:rPr>
            </w:pPr>
            <w:r>
              <w:rPr>
                <w:rFonts w:ascii="Arial" w:cs="Arial" w:eastAsia="Arial" w:hAnsi="Arial"/>
                <w:sz w:val="16"/>
                <w:szCs w:val="16"/>
                <w:color w:val="auto"/>
              </w:rPr>
              <w:t>50.5%</w:t>
            </w:r>
          </w:p>
        </w:tc>
        <w:tc>
          <w:tcPr>
            <w:tcW w:w="1220" w:type="dxa"/>
            <w:vAlign w:val="bottom"/>
            <w:shd w:val="clear" w:color="auto" w:fill="E5FFFF"/>
          </w:tcPr>
          <w:p>
            <w:pPr>
              <w:jc w:val="right"/>
              <w:ind w:right="59"/>
              <w:spacing w:after="0"/>
              <w:rPr>
                <w:sz w:val="20"/>
                <w:szCs w:val="20"/>
                <w:color w:val="auto"/>
              </w:rPr>
            </w:pPr>
            <w:r>
              <w:rPr>
                <w:rFonts w:ascii="Arial" w:cs="Arial" w:eastAsia="Arial" w:hAnsi="Arial"/>
                <w:sz w:val="16"/>
                <w:szCs w:val="16"/>
                <w:color w:val="auto"/>
              </w:rPr>
              <w:t>18.8%</w:t>
            </w:r>
          </w:p>
        </w:tc>
        <w:tc>
          <w:tcPr>
            <w:tcW w:w="8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31.5%</w:t>
            </w:r>
          </w:p>
        </w:tc>
        <w:tc>
          <w:tcPr>
            <w:tcW w:w="20" w:type="dxa"/>
            <w:vAlign w:val="bottom"/>
          </w:tcPr>
          <w:p>
            <w:pPr>
              <w:spacing w:after="0"/>
              <w:rPr>
                <w:sz w:val="17"/>
                <w:szCs w:val="17"/>
                <w:color w:val="auto"/>
              </w:rPr>
            </w:pPr>
          </w:p>
        </w:tc>
      </w:tr>
      <w:tr>
        <w:trPr>
          <w:trHeight w:val="274"/>
        </w:trPr>
        <w:tc>
          <w:tcPr>
            <w:tcW w:w="4360" w:type="dxa"/>
            <w:vAlign w:val="bottom"/>
          </w:tcPr>
          <w:p>
            <w:pPr>
              <w:spacing w:after="0"/>
              <w:rPr>
                <w:sz w:val="20"/>
                <w:szCs w:val="20"/>
                <w:color w:val="auto"/>
              </w:rPr>
            </w:pPr>
            <w:r>
              <w:rPr>
                <w:rFonts w:ascii="Arial" w:cs="Arial" w:eastAsia="Arial" w:hAnsi="Arial"/>
                <w:sz w:val="22"/>
                <w:szCs w:val="22"/>
                <w:color w:val="auto"/>
              </w:rPr>
              <w:t>____________</w:t>
            </w:r>
          </w:p>
        </w:tc>
        <w:tc>
          <w:tcPr>
            <w:tcW w:w="9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0" w:type="dxa"/>
            <w:vAlign w:val="bottom"/>
          </w:tcPr>
          <w:p>
            <w:pPr>
              <w:spacing w:after="0"/>
              <w:rPr>
                <w:sz w:val="23"/>
                <w:szCs w:val="23"/>
                <w:color w:val="auto"/>
              </w:rPr>
            </w:pPr>
          </w:p>
        </w:tc>
      </w:tr>
    </w:tbl>
    <w:p>
      <w:pPr>
        <w:spacing w:after="0" w:line="71" w:lineRule="exact"/>
        <w:rPr>
          <w:sz w:val="20"/>
          <w:szCs w:val="20"/>
          <w:color w:val="auto"/>
        </w:rPr>
      </w:pPr>
    </w:p>
    <w:p>
      <w:pPr>
        <w:ind w:left="200" w:right="120" w:hanging="192"/>
        <w:spacing w:after="0" w:line="235" w:lineRule="auto"/>
        <w:tabs>
          <w:tab w:leader="none" w:pos="191" w:val="left"/>
        </w:tabs>
        <w:numPr>
          <w:ilvl w:val="0"/>
          <w:numId w:val="10"/>
        </w:numPr>
        <w:rPr>
          <w:rFonts w:ascii="Arial" w:cs="Arial" w:eastAsia="Arial" w:hAnsi="Arial"/>
          <w:sz w:val="17"/>
          <w:szCs w:val="17"/>
          <w:color w:val="auto"/>
          <w:vertAlign w:val="superscript"/>
        </w:rPr>
      </w:pPr>
      <w:r>
        <w:rPr>
          <w:rFonts w:ascii="Arial" w:cs="Arial" w:eastAsia="Arial" w:hAnsi="Arial"/>
          <w:sz w:val="13"/>
          <w:szCs w:val="13"/>
          <w:color w:val="auto"/>
        </w:rPr>
        <w:t xml:space="preserve">Reflects time charter revenues and contracted days for eleven of our currently wholly owned ships, the 15 ships currently owned by the Partnership, the bareboat vessel and the eight newbuildings on order for which we have secured time charters. Does not include charter revenues for the vessels operating in the spot/short-term market under the Cool Pool agreement and the </w:t>
      </w:r>
      <w:r>
        <w:rPr>
          <w:rFonts w:ascii="Arial" w:cs="Arial" w:eastAsia="Arial" w:hAnsi="Arial"/>
          <w:sz w:val="13"/>
          <w:szCs w:val="13"/>
          <w:i w:val="1"/>
          <w:iCs w:val="1"/>
          <w:color w:val="auto"/>
        </w:rPr>
        <w:t>Methane Nile</w:t>
      </w:r>
      <w:r>
        <w:rPr>
          <w:rFonts w:ascii="Arial" w:cs="Arial" w:eastAsia="Arial" w:hAnsi="Arial"/>
          <w:sz w:val="13"/>
          <w:szCs w:val="13"/>
          <w:color w:val="auto"/>
        </w:rPr>
        <w:t xml:space="preserve"> </w:t>
      </w:r>
      <w:r>
        <w:rPr>
          <w:rFonts w:ascii="Arial" w:cs="Arial" w:eastAsia="Arial" w:hAnsi="Arial"/>
          <w:sz w:val="13"/>
          <w:szCs w:val="13"/>
          <w:i w:val="1"/>
          <w:iCs w:val="1"/>
          <w:color w:val="auto"/>
        </w:rPr>
        <w:t>Eagle</w:t>
      </w:r>
      <w:r>
        <w:rPr>
          <w:rFonts w:ascii="Arial" w:cs="Arial" w:eastAsia="Arial" w:hAnsi="Arial"/>
          <w:sz w:val="13"/>
          <w:szCs w:val="13"/>
          <w:color w:val="auto"/>
        </w:rPr>
        <w:t>, in which we hold a 25% minority interest. Contracted revenue calculations assume: (a) 365 revenue days per annum, with 30 off-hire days when the ship undergoes scheduled dry-docking</w:t>
      </w:r>
      <w:r>
        <w:rPr>
          <w:rFonts w:ascii="Arial" w:cs="Arial" w:eastAsia="Arial" w:hAnsi="Arial"/>
          <w:sz w:val="13"/>
          <w:szCs w:val="13"/>
          <w:i w:val="1"/>
          <w:iCs w:val="1"/>
          <w:color w:val="auto"/>
        </w:rPr>
        <w:t xml:space="preserve"> </w:t>
      </w:r>
      <w:r>
        <w:rPr>
          <w:rFonts w:ascii="Arial" w:cs="Arial" w:eastAsia="Arial" w:hAnsi="Arial"/>
          <w:sz w:val="13"/>
          <w:szCs w:val="13"/>
          <w:color w:val="auto"/>
        </w:rPr>
        <w:t>(every five years); (b) all LNG carriers on order are delivered on schedule; and (c) no exercise of any option to extend the terms of charters. For time charters that include a fixed operating cost component subject to annual escalation, revenue calculations include that fixed annual escalation. For time charters that give the charterer the option to set the charter hire rate at prevailing market rates during an initial portion of the time charter’s term, revenue calculations assume that the charterer does not elect such option. Revenue calculations for such charters include an estimate of the amount of the operating cost component and the management fee component.</w:t>
      </w:r>
    </w:p>
    <w:p>
      <w:pPr>
        <w:spacing w:after="0" w:line="185" w:lineRule="exact"/>
        <w:rPr>
          <w:rFonts w:ascii="Arial" w:cs="Arial" w:eastAsia="Arial" w:hAnsi="Arial"/>
          <w:sz w:val="17"/>
          <w:szCs w:val="17"/>
          <w:color w:val="auto"/>
          <w:vertAlign w:val="superscript"/>
        </w:rPr>
      </w:pPr>
    </w:p>
    <w:p>
      <w:pPr>
        <w:ind w:left="200" w:right="320" w:hanging="192"/>
        <w:spacing w:after="0" w:line="215" w:lineRule="auto"/>
        <w:tabs>
          <w:tab w:leader="none" w:pos="191" w:val="left"/>
        </w:tabs>
        <w:numPr>
          <w:ilvl w:val="0"/>
          <w:numId w:val="10"/>
        </w:numPr>
        <w:rPr>
          <w:rFonts w:ascii="Arial" w:cs="Arial" w:eastAsia="Arial" w:hAnsi="Arial"/>
          <w:sz w:val="18"/>
          <w:szCs w:val="18"/>
          <w:color w:val="auto"/>
          <w:vertAlign w:val="superscript"/>
        </w:rPr>
      </w:pPr>
      <w:r>
        <w:rPr>
          <w:rFonts w:ascii="Arial" w:cs="Arial" w:eastAsia="Arial" w:hAnsi="Arial"/>
          <w:sz w:val="14"/>
          <w:szCs w:val="14"/>
          <w:color w:val="auto"/>
        </w:rPr>
        <w:t>Available days represent total calendar days after deducting 30 off-hire days when the ship undergoes scheduled dry-docking. The available days for the vessels operating in the spot/short-term market are included.</w:t>
      </w:r>
    </w:p>
    <w:p>
      <w:pPr>
        <w:spacing w:after="0" w:line="183" w:lineRule="exact"/>
        <w:rPr>
          <w:rFonts w:ascii="Arial" w:cs="Arial" w:eastAsia="Arial" w:hAnsi="Arial"/>
          <w:sz w:val="18"/>
          <w:szCs w:val="18"/>
          <w:color w:val="auto"/>
          <w:vertAlign w:val="superscript"/>
        </w:rPr>
      </w:pPr>
    </w:p>
    <w:p>
      <w:pPr>
        <w:ind w:left="200" w:right="300" w:hanging="192"/>
        <w:spacing w:after="0" w:line="215" w:lineRule="auto"/>
        <w:tabs>
          <w:tab w:leader="none" w:pos="191" w:val="left"/>
        </w:tabs>
        <w:numPr>
          <w:ilvl w:val="0"/>
          <w:numId w:val="10"/>
        </w:numPr>
        <w:rPr>
          <w:rFonts w:ascii="Arial" w:cs="Arial" w:eastAsia="Arial" w:hAnsi="Arial"/>
          <w:sz w:val="18"/>
          <w:szCs w:val="18"/>
          <w:color w:val="auto"/>
          <w:vertAlign w:val="superscript"/>
        </w:rPr>
      </w:pPr>
      <w:r>
        <w:rPr>
          <w:rFonts w:ascii="Arial" w:cs="Arial" w:eastAsia="Arial" w:hAnsi="Arial"/>
          <w:sz w:val="14"/>
          <w:szCs w:val="14"/>
          <w:color w:val="auto"/>
        </w:rPr>
        <w:t>Represents available days for ships after the expiration of existing charters (assuming charterers do not exercise any option to extend the terms of charters) and the available days for the vessels operating in the spot/short-term market.</w:t>
      </w:r>
    </w:p>
    <w:p>
      <w:pPr>
        <w:spacing w:after="0" w:line="200" w:lineRule="exact"/>
        <w:rPr>
          <w:sz w:val="20"/>
          <w:szCs w:val="20"/>
          <w:color w:val="auto"/>
        </w:rPr>
      </w:pPr>
    </w:p>
    <w:p>
      <w:pPr>
        <w:spacing w:after="0" w:line="208" w:lineRule="exact"/>
        <w:rPr>
          <w:sz w:val="20"/>
          <w:szCs w:val="20"/>
          <w:color w:val="auto"/>
        </w:rPr>
      </w:pPr>
    </w:p>
    <w:p>
      <w:pPr>
        <w:ind w:firstLine="356"/>
        <w:spacing w:after="0" w:line="284" w:lineRule="auto"/>
        <w:rPr>
          <w:sz w:val="20"/>
          <w:szCs w:val="20"/>
          <w:color w:val="auto"/>
        </w:rPr>
      </w:pPr>
      <w:r>
        <w:rPr>
          <w:rFonts w:ascii="Arial" w:cs="Arial" w:eastAsia="Arial" w:hAnsi="Arial"/>
          <w:sz w:val="15"/>
          <w:szCs w:val="15"/>
          <w:color w:val="auto"/>
        </w:rPr>
        <w:t>Other than the assumptions reflected in the footnotes to the table, including our assumption that our newbuildings are delivered on schedule, the table does not reflect events occurring after March 31, 2019. The table reflects only our contracted charter revenues for the ships in our owned fleet and bareboat fleet for which we have secured time charters, and it does not reflect the costs or expenses we will incur in fulfilling our obligations under the charters, nor does it include other revenues we may earn, such as revenues for technical management of customer-owned ships. In particular, the table does not reflect any revenues from the six vessels that are operating in the Cool Pool, any additional ships we may acquire in the future, nor does it reflect the options under our time charters that permit our charterers to extend the time charter terms for successive multi-year periods. The entry into time charter contracts for the six vessels that are operating in the Cool Pool and any additional ships we may acquire, or the exercise of options extending the terms of our existing charters, would result in an increase in the number of contracted days and the contracted revenue for our fleet in the future. Although the contracted charter revenues are based on contracted charter hire rate provisions, they reflect certain assumptions, including assumptions relating to future ship operating costs. We consider the assumptions to be reasonable as of the date of this report, but if these assumptions prove to be incorrect, our actual time charter revenues could differ from those reflected in the table. Furthermore, any contract is subject to various risks, including performance by the counterparties or an early termination of the contract pursuant to its terms. If the charterers are unable or unwilling to make charter payments to us, or if we agree to renegotiate charter terms at the request of a charterer or if contracts are prematurely terminated for any reason, we would be exposed to prevailing market conditions at the time and our results of operations and financial condition may be materially adversely affected. Please see the disclosure under the heading “Risk Factors” in our Annual Report on Form 20-F filed with the SEC on March 5, 2019. For these reasons, the contracted charter revenue information presented above is not fact and should not be relied upon as being necessarily indicative of future results and readers are cautioned not to place undue reliance on this information. Neither the Company’s independent auditors, nor any other independent accountants, have compiled, examined or performed any procedures with respect to the information presented in the table, nor have they expressed any opinion or any other form of assurance on such information or its achievability and assume no responsibility for, and disclaim any association with, the information in the table.</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35901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359015" cy="29845"/>
                    </a:xfrm>
                    <a:prstGeom prst="rect">
                      <a:avLst/>
                    </a:prstGeom>
                    <a:noFill/>
                  </pic:spPr>
                </pic:pic>
              </a:graphicData>
            </a:graphic>
          </wp:anchor>
        </w:drawing>
      </w:r>
    </w:p>
    <w:p>
      <w:pPr>
        <w:sectPr>
          <w:pgSz w:w="11900" w:h="16838" w:orient="portrait"/>
          <w:cols w:equalWidth="0" w:num="1">
            <w:col w:w="11560"/>
          </w:cols>
          <w:pgMar w:left="160" w:top="266" w:right="179" w:bottom="1440" w:gutter="0" w:footer="0" w:header="0"/>
        </w:sectPr>
      </w:pPr>
    </w:p>
    <w:bookmarkStart w:id="23" w:name="page24"/>
    <w:bookmarkEnd w:id="23"/>
    <w:p>
      <w:pPr>
        <w:spacing w:after="0"/>
        <w:rPr>
          <w:sz w:val="20"/>
          <w:szCs w:val="20"/>
          <w:color w:val="auto"/>
        </w:rPr>
      </w:pPr>
      <w:r>
        <w:rPr>
          <w:rFonts w:ascii="Arial" w:cs="Arial" w:eastAsia="Arial" w:hAnsi="Arial"/>
          <w:sz w:val="16"/>
          <w:szCs w:val="16"/>
          <w:b w:val="1"/>
          <w:bCs w:val="1"/>
          <w:color w:val="auto"/>
        </w:rPr>
        <w:t>Significant Accounting Policies</w:t>
      </w:r>
    </w:p>
    <w:p>
      <w:pPr>
        <w:spacing w:after="0" w:line="239" w:lineRule="exact"/>
        <w:rPr>
          <w:sz w:val="20"/>
          <w:szCs w:val="20"/>
          <w:color w:val="auto"/>
        </w:rPr>
      </w:pPr>
    </w:p>
    <w:p>
      <w:pPr>
        <w:ind w:firstLine="356"/>
        <w:spacing w:after="0" w:line="293" w:lineRule="auto"/>
        <w:rPr>
          <w:sz w:val="20"/>
          <w:szCs w:val="20"/>
          <w:color w:val="auto"/>
        </w:rPr>
      </w:pPr>
      <w:r>
        <w:rPr>
          <w:rFonts w:ascii="Arial" w:cs="Arial" w:eastAsia="Arial" w:hAnsi="Arial"/>
          <w:sz w:val="16"/>
          <w:szCs w:val="16"/>
          <w:color w:val="auto"/>
        </w:rPr>
        <w:t>For a description of all of our significant accounting policies, see Note 2 of our annual audited consolidated financial statements included in our Annual Report on Form 20-F filed on March 5, 2019 and Note 2 of our unaudited condensed consolidated financial statements included elsewhere in this report.</w:t>
      </w:r>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35901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359015" cy="29845"/>
                    </a:xfrm>
                    <a:prstGeom prst="rect">
                      <a:avLst/>
                    </a:prstGeom>
                    <a:noFill/>
                  </pic:spPr>
                </pic:pic>
              </a:graphicData>
            </a:graphic>
          </wp:anchor>
        </w:drawing>
      </w:r>
    </w:p>
    <w:p>
      <w:pPr>
        <w:sectPr>
          <w:pgSz w:w="11900" w:h="16838" w:orient="portrait"/>
          <w:cols w:equalWidth="0" w:num="1">
            <w:col w:w="11540"/>
          </w:cols>
          <w:pgMar w:left="160" w:top="262" w:right="199" w:bottom="1440" w:gutter="0" w:footer="0" w:header="0"/>
        </w:sectPr>
      </w:pPr>
    </w:p>
    <w:bookmarkStart w:id="24" w:name="page25"/>
    <w:bookmarkEnd w:id="24"/>
    <w:p>
      <w:pPr>
        <w:jc w:val="center"/>
        <w:ind w:right="20"/>
        <w:spacing w:after="0"/>
        <w:rPr>
          <w:sz w:val="20"/>
          <w:szCs w:val="20"/>
          <w:color w:val="auto"/>
        </w:rPr>
      </w:pPr>
      <w:r>
        <w:rPr>
          <w:rFonts w:ascii="Arial" w:cs="Arial" w:eastAsia="Arial" w:hAnsi="Arial"/>
          <w:sz w:val="16"/>
          <w:szCs w:val="16"/>
          <w:b w:val="1"/>
          <w:bCs w:val="1"/>
          <w:color w:val="auto"/>
        </w:rPr>
        <w:t>GASLOG LTD.</w:t>
      </w:r>
    </w:p>
    <w:p>
      <w:pPr>
        <w:spacing w:after="0" w:line="26"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INDEX TO UNAUDITED CONDENSED CONSOLIDATED FINANCIAL STATEMENTS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38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Page</w:t>
            </w:r>
          </w:p>
        </w:tc>
        <w:tc>
          <w:tcPr>
            <w:tcW w:w="40" w:type="dxa"/>
            <w:vAlign w:val="bottom"/>
          </w:tcPr>
          <w:p>
            <w:pPr>
              <w:spacing w:after="0"/>
              <w:rPr>
                <w:sz w:val="18"/>
                <w:szCs w:val="18"/>
                <w:color w:val="auto"/>
              </w:rPr>
            </w:pPr>
          </w:p>
        </w:tc>
      </w:tr>
      <w:tr>
        <w:trPr>
          <w:trHeight w:val="213"/>
        </w:trPr>
        <w:tc>
          <w:tcPr>
            <w:tcW w:w="438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162"/>
        </w:trPr>
        <w:tc>
          <w:tcPr>
            <w:tcW w:w="10520" w:type="dxa"/>
            <w:vAlign w:val="bottom"/>
            <w:gridSpan w:val="7"/>
            <w:shd w:val="clear" w:color="auto" w:fill="E5FFFF"/>
          </w:tcPr>
          <w:p>
            <w:pPr>
              <w:spacing w:after="0" w:line="162" w:lineRule="exact"/>
              <w:rPr>
                <w:sz w:val="20"/>
                <w:szCs w:val="20"/>
                <w:color w:val="auto"/>
              </w:rPr>
            </w:pPr>
            <w:r>
              <w:rPr>
                <w:rFonts w:ascii="Arial" w:cs="Arial" w:eastAsia="Arial" w:hAnsi="Arial"/>
                <w:sz w:val="16"/>
                <w:szCs w:val="16"/>
                <w:color w:val="0000FF"/>
              </w:rPr>
              <w:t>Unaudited condensed consolidated statements of financial position as of December 31, 2018 and March 31, 2019</w:t>
            </w:r>
          </w:p>
        </w:tc>
        <w:tc>
          <w:tcPr>
            <w:tcW w:w="1040" w:type="dxa"/>
            <w:vAlign w:val="bottom"/>
            <w:shd w:val="clear" w:color="auto" w:fill="E5FFFF"/>
          </w:tcPr>
          <w:p>
            <w:pPr>
              <w:jc w:val="center"/>
              <w:spacing w:after="0" w:line="162" w:lineRule="exact"/>
              <w:rPr>
                <w:sz w:val="20"/>
                <w:szCs w:val="20"/>
                <w:color w:val="auto"/>
              </w:rPr>
            </w:pPr>
            <w:r>
              <w:rPr>
                <w:rFonts w:ascii="Arial" w:cs="Arial" w:eastAsia="Arial" w:hAnsi="Arial"/>
                <w:sz w:val="16"/>
                <w:szCs w:val="16"/>
                <w:color w:val="auto"/>
                <w:w w:val="91"/>
              </w:rPr>
              <w:t>F-2</w:t>
            </w:r>
          </w:p>
        </w:tc>
        <w:tc>
          <w:tcPr>
            <w:tcW w:w="40" w:type="dxa"/>
            <w:vAlign w:val="bottom"/>
          </w:tcPr>
          <w:p>
            <w:pPr>
              <w:spacing w:after="0"/>
              <w:rPr>
                <w:sz w:val="14"/>
                <w:szCs w:val="14"/>
                <w:color w:val="auto"/>
              </w:rPr>
            </w:pPr>
          </w:p>
        </w:tc>
      </w:tr>
      <w:tr>
        <w:trPr>
          <w:trHeight w:val="21"/>
        </w:trPr>
        <w:tc>
          <w:tcPr>
            <w:tcW w:w="4380" w:type="dxa"/>
            <w:vAlign w:val="bottom"/>
            <w:tcBorders>
              <w:top w:val="single" w:sz="8" w:color="0000FF"/>
            </w:tcBorders>
            <w:shd w:val="clear" w:color="auto" w:fill="E5FFFF"/>
          </w:tcPr>
          <w:p>
            <w:pPr>
              <w:spacing w:after="0" w:line="20" w:lineRule="exact"/>
              <w:rPr>
                <w:sz w:val="1"/>
                <w:szCs w:val="1"/>
                <w:color w:val="auto"/>
              </w:rPr>
            </w:pPr>
          </w:p>
        </w:tc>
        <w:tc>
          <w:tcPr>
            <w:tcW w:w="2960" w:type="dxa"/>
            <w:vAlign w:val="bottom"/>
            <w:tcBorders>
              <w:top w:val="single" w:sz="8" w:color="0000FF"/>
            </w:tcBorders>
            <w:shd w:val="clear" w:color="auto" w:fill="E5FFFF"/>
          </w:tcPr>
          <w:p>
            <w:pPr>
              <w:spacing w:after="0" w:line="20" w:lineRule="exact"/>
              <w:rPr>
                <w:sz w:val="1"/>
                <w:szCs w:val="1"/>
                <w:color w:val="auto"/>
              </w:rPr>
            </w:pPr>
          </w:p>
        </w:tc>
        <w:tc>
          <w:tcPr>
            <w:tcW w:w="40" w:type="dxa"/>
            <w:vAlign w:val="bottom"/>
            <w:tcBorders>
              <w:top w:val="single" w:sz="8" w:color="E5FFFF"/>
            </w:tcBorders>
            <w:shd w:val="clear" w:color="auto" w:fill="E5FFFF"/>
          </w:tcPr>
          <w:p>
            <w:pPr>
              <w:spacing w:after="0" w:line="20" w:lineRule="exact"/>
              <w:rPr>
                <w:sz w:val="1"/>
                <w:szCs w:val="1"/>
                <w:color w:val="auto"/>
              </w:rPr>
            </w:pPr>
          </w:p>
        </w:tc>
        <w:tc>
          <w:tcPr>
            <w:tcW w:w="140" w:type="dxa"/>
            <w:vAlign w:val="bottom"/>
            <w:tcBorders>
              <w:top w:val="single" w:sz="8" w:color="E5FFFF"/>
            </w:tcBorders>
            <w:shd w:val="clear" w:color="auto" w:fill="E5FFFF"/>
          </w:tcPr>
          <w:p>
            <w:pPr>
              <w:spacing w:after="0" w:line="20" w:lineRule="exact"/>
              <w:rPr>
                <w:sz w:val="1"/>
                <w:szCs w:val="1"/>
                <w:color w:val="auto"/>
              </w:rPr>
            </w:pPr>
          </w:p>
        </w:tc>
        <w:tc>
          <w:tcPr>
            <w:tcW w:w="300" w:type="dxa"/>
            <w:vAlign w:val="bottom"/>
            <w:tcBorders>
              <w:top w:val="single" w:sz="8" w:color="E5FFFF"/>
            </w:tcBorders>
            <w:shd w:val="clear" w:color="auto" w:fill="E5FFFF"/>
          </w:tcPr>
          <w:p>
            <w:pPr>
              <w:spacing w:after="0" w:line="20" w:lineRule="exact"/>
              <w:rPr>
                <w:sz w:val="1"/>
                <w:szCs w:val="1"/>
                <w:color w:val="auto"/>
              </w:rPr>
            </w:pPr>
          </w:p>
        </w:tc>
        <w:tc>
          <w:tcPr>
            <w:tcW w:w="840" w:type="dxa"/>
            <w:vAlign w:val="bottom"/>
            <w:tcBorders>
              <w:top w:val="single" w:sz="8" w:color="E5FFFF"/>
            </w:tcBorders>
            <w:shd w:val="clear" w:color="auto" w:fill="E5FFFF"/>
          </w:tcPr>
          <w:p>
            <w:pPr>
              <w:spacing w:after="0" w:line="20" w:lineRule="exact"/>
              <w:rPr>
                <w:sz w:val="1"/>
                <w:szCs w:val="1"/>
                <w:color w:val="auto"/>
              </w:rPr>
            </w:pPr>
          </w:p>
        </w:tc>
        <w:tc>
          <w:tcPr>
            <w:tcW w:w="1860" w:type="dxa"/>
            <w:vAlign w:val="bottom"/>
            <w:tcBorders>
              <w:top w:val="single" w:sz="8" w:color="E5FFFF"/>
            </w:tcBorders>
            <w:shd w:val="clear" w:color="auto" w:fill="E5FFFF"/>
          </w:tcPr>
          <w:p>
            <w:pPr>
              <w:spacing w:after="0" w:line="20" w:lineRule="exact"/>
              <w:rPr>
                <w:sz w:val="1"/>
                <w:szCs w:val="1"/>
                <w:color w:val="auto"/>
              </w:rPr>
            </w:pPr>
          </w:p>
        </w:tc>
        <w:tc>
          <w:tcPr>
            <w:tcW w:w="1040" w:type="dxa"/>
            <w:vAlign w:val="bottom"/>
            <w:tcBorders>
              <w:top w:val="single" w:sz="8" w:color="E5FFFF"/>
            </w:tcBorders>
            <w:shd w:val="clear" w:color="auto" w:fill="E5FF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2"/>
        </w:trPr>
        <w:tc>
          <w:tcPr>
            <w:tcW w:w="10520" w:type="dxa"/>
            <w:vAlign w:val="bottom"/>
            <w:gridSpan w:val="7"/>
          </w:tcPr>
          <w:p>
            <w:pPr>
              <w:spacing w:after="0" w:line="162" w:lineRule="exact"/>
              <w:rPr>
                <w:sz w:val="20"/>
                <w:szCs w:val="20"/>
                <w:color w:val="auto"/>
              </w:rPr>
            </w:pPr>
            <w:r>
              <w:rPr>
                <w:rFonts w:ascii="Arial" w:cs="Arial" w:eastAsia="Arial" w:hAnsi="Arial"/>
                <w:sz w:val="16"/>
                <w:szCs w:val="16"/>
                <w:color w:val="0000FF"/>
              </w:rPr>
              <w:t>Unaudited condensed consolidated statements of profit or loss for the three months ended March 31, 2018 and 2019</w:t>
            </w:r>
          </w:p>
        </w:tc>
        <w:tc>
          <w:tcPr>
            <w:tcW w:w="1040" w:type="dxa"/>
            <w:vAlign w:val="bottom"/>
          </w:tcPr>
          <w:p>
            <w:pPr>
              <w:jc w:val="center"/>
              <w:spacing w:after="0" w:line="162" w:lineRule="exact"/>
              <w:rPr>
                <w:sz w:val="20"/>
                <w:szCs w:val="20"/>
                <w:color w:val="auto"/>
              </w:rPr>
            </w:pPr>
            <w:r>
              <w:rPr>
                <w:rFonts w:ascii="Arial" w:cs="Arial" w:eastAsia="Arial" w:hAnsi="Arial"/>
                <w:sz w:val="16"/>
                <w:szCs w:val="16"/>
                <w:color w:val="auto"/>
                <w:w w:val="91"/>
              </w:rPr>
              <w:t>F-3</w:t>
            </w:r>
          </w:p>
        </w:tc>
        <w:tc>
          <w:tcPr>
            <w:tcW w:w="40" w:type="dxa"/>
            <w:vAlign w:val="bottom"/>
          </w:tcPr>
          <w:p>
            <w:pPr>
              <w:spacing w:after="0"/>
              <w:rPr>
                <w:sz w:val="14"/>
                <w:szCs w:val="14"/>
                <w:color w:val="auto"/>
              </w:rPr>
            </w:pPr>
          </w:p>
        </w:tc>
      </w:tr>
      <w:tr>
        <w:trPr>
          <w:trHeight w:val="21"/>
        </w:trPr>
        <w:tc>
          <w:tcPr>
            <w:tcW w:w="4380" w:type="dxa"/>
            <w:vAlign w:val="bottom"/>
            <w:tcBorders>
              <w:top w:val="single" w:sz="8" w:color="0000FF"/>
            </w:tcBorders>
          </w:tcPr>
          <w:p>
            <w:pPr>
              <w:spacing w:after="0" w:line="20" w:lineRule="exact"/>
              <w:rPr>
                <w:sz w:val="1"/>
                <w:szCs w:val="1"/>
                <w:color w:val="auto"/>
              </w:rPr>
            </w:pPr>
          </w:p>
        </w:tc>
        <w:tc>
          <w:tcPr>
            <w:tcW w:w="29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8660" w:type="dxa"/>
            <w:vAlign w:val="bottom"/>
            <w:tcBorders>
              <w:bottom w:val="single" w:sz="8" w:color="0000FF"/>
            </w:tcBorders>
            <w:gridSpan w:val="6"/>
            <w:shd w:val="clear" w:color="auto" w:fill="E5FFFF"/>
          </w:tcPr>
          <w:p>
            <w:pPr>
              <w:spacing w:after="0" w:line="162" w:lineRule="exact"/>
              <w:rPr>
                <w:sz w:val="20"/>
                <w:szCs w:val="20"/>
                <w:color w:val="auto"/>
              </w:rPr>
            </w:pPr>
            <w:r>
              <w:rPr>
                <w:rFonts w:ascii="Arial" w:cs="Arial" w:eastAsia="Arial" w:hAnsi="Arial"/>
                <w:sz w:val="16"/>
                <w:szCs w:val="16"/>
                <w:color w:val="0000FF"/>
                <w:w w:val="90"/>
              </w:rPr>
              <w:t>Unaudited condensed consolidated statements of comprehensive income or loss for the three months ended March 31, 2018 and 2019</w:t>
            </w:r>
          </w:p>
        </w:tc>
        <w:tc>
          <w:tcPr>
            <w:tcW w:w="1860" w:type="dxa"/>
            <w:vAlign w:val="bottom"/>
            <w:tcBorders>
              <w:bottom w:val="single" w:sz="8" w:color="E5FFFF"/>
            </w:tcBorders>
            <w:shd w:val="clear" w:color="auto" w:fill="E5FFFF"/>
          </w:tcPr>
          <w:p>
            <w:pPr>
              <w:spacing w:after="0"/>
              <w:rPr>
                <w:sz w:val="15"/>
                <w:szCs w:val="15"/>
                <w:color w:val="auto"/>
              </w:rPr>
            </w:pPr>
          </w:p>
        </w:tc>
        <w:tc>
          <w:tcPr>
            <w:tcW w:w="1040" w:type="dxa"/>
            <w:vAlign w:val="bottom"/>
            <w:tcBorders>
              <w:bottom w:val="single" w:sz="8" w:color="E5FFFF"/>
            </w:tcBorders>
            <w:shd w:val="clear" w:color="auto" w:fill="E5FFFF"/>
          </w:tcPr>
          <w:p>
            <w:pPr>
              <w:jc w:val="center"/>
              <w:spacing w:after="0" w:line="162" w:lineRule="exact"/>
              <w:rPr>
                <w:sz w:val="20"/>
                <w:szCs w:val="20"/>
                <w:color w:val="auto"/>
              </w:rPr>
            </w:pPr>
            <w:r>
              <w:rPr>
                <w:rFonts w:ascii="Arial" w:cs="Arial" w:eastAsia="Arial" w:hAnsi="Arial"/>
                <w:sz w:val="16"/>
                <w:szCs w:val="16"/>
                <w:color w:val="auto"/>
                <w:w w:val="91"/>
              </w:rPr>
              <w:t>F-4</w:t>
            </w:r>
          </w:p>
        </w:tc>
        <w:tc>
          <w:tcPr>
            <w:tcW w:w="40" w:type="dxa"/>
            <w:vAlign w:val="bottom"/>
          </w:tcPr>
          <w:p>
            <w:pPr>
              <w:spacing w:after="0"/>
              <w:rPr>
                <w:sz w:val="15"/>
                <w:szCs w:val="15"/>
                <w:color w:val="auto"/>
              </w:rPr>
            </w:pPr>
          </w:p>
        </w:tc>
      </w:tr>
      <w:tr>
        <w:trPr>
          <w:trHeight w:val="162"/>
        </w:trPr>
        <w:tc>
          <w:tcPr>
            <w:tcW w:w="10520" w:type="dxa"/>
            <w:vAlign w:val="bottom"/>
            <w:gridSpan w:val="7"/>
          </w:tcPr>
          <w:p>
            <w:pPr>
              <w:spacing w:after="0" w:line="162" w:lineRule="exact"/>
              <w:rPr>
                <w:sz w:val="20"/>
                <w:szCs w:val="20"/>
                <w:color w:val="auto"/>
              </w:rPr>
            </w:pPr>
            <w:r>
              <w:rPr>
                <w:rFonts w:ascii="Arial" w:cs="Arial" w:eastAsia="Arial" w:hAnsi="Arial"/>
                <w:sz w:val="16"/>
                <w:szCs w:val="16"/>
                <w:color w:val="0000FF"/>
              </w:rPr>
              <w:t>Unaudited condensed consolidated statements of changes in equity for the three months ended March 31, 2018 and 2019</w:t>
            </w:r>
          </w:p>
        </w:tc>
        <w:tc>
          <w:tcPr>
            <w:tcW w:w="1040" w:type="dxa"/>
            <w:vAlign w:val="bottom"/>
          </w:tcPr>
          <w:p>
            <w:pPr>
              <w:jc w:val="center"/>
              <w:spacing w:after="0" w:line="162" w:lineRule="exact"/>
              <w:rPr>
                <w:sz w:val="20"/>
                <w:szCs w:val="20"/>
                <w:color w:val="auto"/>
              </w:rPr>
            </w:pPr>
            <w:r>
              <w:rPr>
                <w:rFonts w:ascii="Arial" w:cs="Arial" w:eastAsia="Arial" w:hAnsi="Arial"/>
                <w:sz w:val="16"/>
                <w:szCs w:val="16"/>
                <w:color w:val="auto"/>
                <w:w w:val="91"/>
              </w:rPr>
              <w:t>F-5</w:t>
            </w:r>
          </w:p>
        </w:tc>
        <w:tc>
          <w:tcPr>
            <w:tcW w:w="40" w:type="dxa"/>
            <w:vAlign w:val="bottom"/>
          </w:tcPr>
          <w:p>
            <w:pPr>
              <w:spacing w:after="0"/>
              <w:rPr>
                <w:sz w:val="14"/>
                <w:szCs w:val="14"/>
                <w:color w:val="auto"/>
              </w:rPr>
            </w:pPr>
          </w:p>
        </w:tc>
      </w:tr>
      <w:tr>
        <w:trPr>
          <w:trHeight w:val="21"/>
        </w:trPr>
        <w:tc>
          <w:tcPr>
            <w:tcW w:w="4380" w:type="dxa"/>
            <w:vAlign w:val="bottom"/>
            <w:tcBorders>
              <w:top w:val="single" w:sz="8" w:color="0000FF"/>
            </w:tcBorders>
          </w:tcPr>
          <w:p>
            <w:pPr>
              <w:spacing w:after="0" w:line="20" w:lineRule="exact"/>
              <w:rPr>
                <w:sz w:val="1"/>
                <w:szCs w:val="1"/>
                <w:color w:val="auto"/>
              </w:rPr>
            </w:pPr>
          </w:p>
        </w:tc>
        <w:tc>
          <w:tcPr>
            <w:tcW w:w="29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10520" w:type="dxa"/>
            <w:vAlign w:val="bottom"/>
            <w:gridSpan w:val="7"/>
            <w:shd w:val="clear" w:color="auto" w:fill="E5FFFF"/>
          </w:tcPr>
          <w:p>
            <w:pPr>
              <w:spacing w:after="0" w:line="162" w:lineRule="exact"/>
              <w:rPr>
                <w:sz w:val="20"/>
                <w:szCs w:val="20"/>
                <w:color w:val="auto"/>
              </w:rPr>
            </w:pPr>
            <w:r>
              <w:rPr>
                <w:rFonts w:ascii="Arial" w:cs="Arial" w:eastAsia="Arial" w:hAnsi="Arial"/>
                <w:sz w:val="16"/>
                <w:szCs w:val="16"/>
                <w:color w:val="0000FF"/>
              </w:rPr>
              <w:t>Unaudited condensed consolidated statements of cash flows for the three months ended March 31, 2018 and 2019</w:t>
            </w:r>
          </w:p>
        </w:tc>
        <w:tc>
          <w:tcPr>
            <w:tcW w:w="1040" w:type="dxa"/>
            <w:vAlign w:val="bottom"/>
            <w:shd w:val="clear" w:color="auto" w:fill="E5FFFF"/>
          </w:tcPr>
          <w:p>
            <w:pPr>
              <w:jc w:val="center"/>
              <w:spacing w:after="0" w:line="162" w:lineRule="exact"/>
              <w:rPr>
                <w:sz w:val="20"/>
                <w:szCs w:val="20"/>
                <w:color w:val="auto"/>
              </w:rPr>
            </w:pPr>
            <w:r>
              <w:rPr>
                <w:rFonts w:ascii="Arial" w:cs="Arial" w:eastAsia="Arial" w:hAnsi="Arial"/>
                <w:sz w:val="16"/>
                <w:szCs w:val="16"/>
                <w:color w:val="auto"/>
                <w:w w:val="91"/>
              </w:rPr>
              <w:t>F-6</w:t>
            </w:r>
          </w:p>
        </w:tc>
        <w:tc>
          <w:tcPr>
            <w:tcW w:w="40" w:type="dxa"/>
            <w:vAlign w:val="bottom"/>
          </w:tcPr>
          <w:p>
            <w:pPr>
              <w:spacing w:after="0"/>
              <w:rPr>
                <w:sz w:val="15"/>
                <w:szCs w:val="15"/>
                <w:color w:val="auto"/>
              </w:rPr>
            </w:pPr>
          </w:p>
        </w:tc>
      </w:tr>
      <w:tr>
        <w:trPr>
          <w:trHeight w:val="162"/>
        </w:trPr>
        <w:tc>
          <w:tcPr>
            <w:tcW w:w="7380" w:type="dxa"/>
            <w:vAlign w:val="bottom"/>
            <w:tcBorders>
              <w:top w:val="single" w:sz="8" w:color="0000FF"/>
            </w:tcBorders>
            <w:gridSpan w:val="3"/>
          </w:tcPr>
          <w:p>
            <w:pPr>
              <w:spacing w:after="0" w:line="162" w:lineRule="exact"/>
              <w:rPr>
                <w:sz w:val="20"/>
                <w:szCs w:val="20"/>
                <w:color w:val="auto"/>
              </w:rPr>
            </w:pPr>
            <w:r>
              <w:rPr>
                <w:rFonts w:ascii="Arial" w:cs="Arial" w:eastAsia="Arial" w:hAnsi="Arial"/>
                <w:sz w:val="16"/>
                <w:szCs w:val="16"/>
                <w:color w:val="0000FF"/>
              </w:rPr>
              <w:t>Notes to the unaudited condensed consolidated financial statements</w:t>
            </w:r>
          </w:p>
        </w:tc>
        <w:tc>
          <w:tcPr>
            <w:tcW w:w="3140" w:type="dxa"/>
            <w:vAlign w:val="bottom"/>
            <w:tcBorders>
              <w:top w:val="single" w:sz="8" w:color="E5FFFF"/>
            </w:tcBorders>
            <w:gridSpan w:val="4"/>
          </w:tcPr>
          <w:p>
            <w:pPr>
              <w:spacing w:after="0"/>
              <w:rPr>
                <w:sz w:val="14"/>
                <w:szCs w:val="14"/>
                <w:color w:val="auto"/>
              </w:rPr>
            </w:pPr>
          </w:p>
        </w:tc>
        <w:tc>
          <w:tcPr>
            <w:tcW w:w="1040" w:type="dxa"/>
            <w:vAlign w:val="bottom"/>
            <w:tcBorders>
              <w:top w:val="single" w:sz="8" w:color="E5FFFF"/>
            </w:tcBorders>
          </w:tcPr>
          <w:p>
            <w:pPr>
              <w:jc w:val="center"/>
              <w:spacing w:after="0" w:line="162" w:lineRule="exact"/>
              <w:rPr>
                <w:sz w:val="20"/>
                <w:szCs w:val="20"/>
                <w:color w:val="auto"/>
              </w:rPr>
            </w:pPr>
            <w:r>
              <w:rPr>
                <w:rFonts w:ascii="Arial" w:cs="Arial" w:eastAsia="Arial" w:hAnsi="Arial"/>
                <w:sz w:val="16"/>
                <w:szCs w:val="16"/>
                <w:color w:val="auto"/>
                <w:w w:val="91"/>
              </w:rPr>
              <w:t>F-7</w:t>
            </w:r>
          </w:p>
        </w:tc>
        <w:tc>
          <w:tcPr>
            <w:tcW w:w="40" w:type="dxa"/>
            <w:vAlign w:val="bottom"/>
          </w:tcPr>
          <w:p>
            <w:pPr>
              <w:spacing w:after="0"/>
              <w:rPr>
                <w:sz w:val="14"/>
                <w:szCs w:val="14"/>
                <w:color w:val="auto"/>
              </w:rPr>
            </w:pPr>
          </w:p>
        </w:tc>
      </w:tr>
      <w:tr>
        <w:trPr>
          <w:trHeight w:val="433"/>
        </w:trPr>
        <w:tc>
          <w:tcPr>
            <w:tcW w:w="4380" w:type="dxa"/>
            <w:vAlign w:val="bottom"/>
            <w:tcBorders>
              <w:top w:val="single" w:sz="8" w:color="0000FF"/>
            </w:tcBorders>
          </w:tcPr>
          <w:p>
            <w:pPr>
              <w:spacing w:after="0"/>
              <w:rPr>
                <w:sz w:val="24"/>
                <w:szCs w:val="24"/>
                <w:color w:val="auto"/>
              </w:rPr>
            </w:pPr>
          </w:p>
        </w:tc>
        <w:tc>
          <w:tcPr>
            <w:tcW w:w="6140" w:type="dxa"/>
            <w:vAlign w:val="bottom"/>
            <w:gridSpan w:val="6"/>
          </w:tcPr>
          <w:p>
            <w:pPr>
              <w:ind w:left="1300"/>
              <w:spacing w:after="0"/>
              <w:rPr>
                <w:sz w:val="20"/>
                <w:szCs w:val="20"/>
                <w:color w:val="auto"/>
              </w:rPr>
            </w:pPr>
            <w:r>
              <w:rPr>
                <w:rFonts w:ascii="Arial" w:cs="Arial" w:eastAsia="Arial" w:hAnsi="Arial"/>
                <w:sz w:val="16"/>
                <w:szCs w:val="16"/>
                <w:color w:val="auto"/>
              </w:rPr>
              <w:t>F-1</w:t>
            </w: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8"/>
        </w:trPr>
        <w:tc>
          <w:tcPr>
            <w:tcW w:w="4380" w:type="dxa"/>
            <w:vAlign w:val="bottom"/>
            <w:tcBorders>
              <w:bottom w:val="single" w:sz="8" w:color="808080"/>
            </w:tcBorders>
          </w:tcPr>
          <w:p>
            <w:pPr>
              <w:spacing w:after="0"/>
              <w:rPr>
                <w:sz w:val="11"/>
                <w:szCs w:val="11"/>
                <w:color w:val="auto"/>
              </w:rPr>
            </w:pPr>
          </w:p>
        </w:tc>
        <w:tc>
          <w:tcPr>
            <w:tcW w:w="29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840" w:type="dxa"/>
            <w:vAlign w:val="bottom"/>
            <w:tcBorders>
              <w:bottom w:val="single" w:sz="8" w:color="808080"/>
            </w:tcBorders>
          </w:tcPr>
          <w:p>
            <w:pPr>
              <w:spacing w:after="0"/>
              <w:rPr>
                <w:sz w:val="11"/>
                <w:szCs w:val="11"/>
                <w:color w:val="auto"/>
              </w:rPr>
            </w:pPr>
          </w:p>
        </w:tc>
        <w:tc>
          <w:tcPr>
            <w:tcW w:w="1860" w:type="dxa"/>
            <w:vAlign w:val="bottom"/>
            <w:tcBorders>
              <w:bottom w:val="single" w:sz="8" w:color="808080"/>
            </w:tcBorders>
          </w:tcPr>
          <w:p>
            <w:pPr>
              <w:spacing w:after="0"/>
              <w:rPr>
                <w:sz w:val="11"/>
                <w:szCs w:val="11"/>
                <w:color w:val="auto"/>
              </w:rPr>
            </w:pPr>
          </w:p>
        </w:tc>
        <w:tc>
          <w:tcPr>
            <w:tcW w:w="10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7349490</wp:posOffset>
            </wp:positionH>
            <wp:positionV relativeFrom="paragraph">
              <wp:posOffset>-29210</wp:posOffset>
            </wp:positionV>
            <wp:extent cx="1270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600"/>
          </w:cols>
          <w:pgMar w:left="160" w:top="262" w:right="1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10"/>
        </w:trPr>
        <w:tc>
          <w:tcPr>
            <w:tcW w:w="6960" w:type="dxa"/>
            <w:vAlign w:val="bottom"/>
          </w:tcPr>
          <w:p>
            <w:pPr>
              <w:spacing w:after="0"/>
              <w:rPr>
                <w:sz w:val="20"/>
                <w:szCs w:val="20"/>
                <w:color w:val="auto"/>
              </w:rPr>
            </w:pPr>
            <w:r>
              <w:rPr>
                <w:rFonts w:ascii="Arial" w:cs="Arial" w:eastAsia="Arial" w:hAnsi="Arial"/>
                <w:sz w:val="16"/>
                <w:szCs w:val="16"/>
                <w:b w:val="1"/>
                <w:bCs w:val="1"/>
                <w:color w:val="auto"/>
              </w:rPr>
              <w:t>GasLog Ltd. and its Subsidiaries</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6960" w:type="dxa"/>
            <w:vAlign w:val="bottom"/>
          </w:tcPr>
          <w:p>
            <w:pPr>
              <w:spacing w:after="0"/>
              <w:rPr>
                <w:sz w:val="20"/>
                <w:szCs w:val="20"/>
                <w:color w:val="auto"/>
              </w:rPr>
            </w:pPr>
            <w:r>
              <w:rPr>
                <w:rFonts w:ascii="Arial" w:cs="Arial" w:eastAsia="Arial" w:hAnsi="Arial"/>
                <w:sz w:val="16"/>
                <w:szCs w:val="16"/>
                <w:b w:val="1"/>
                <w:bCs w:val="1"/>
                <w:color w:val="auto"/>
              </w:rPr>
              <w:t>Unaudited condensed consolidated statements of financial position</w:t>
            </w: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960" w:type="dxa"/>
            <w:vAlign w:val="bottom"/>
          </w:tcPr>
          <w:p>
            <w:pPr>
              <w:spacing w:after="0"/>
              <w:rPr>
                <w:sz w:val="20"/>
                <w:szCs w:val="20"/>
                <w:color w:val="auto"/>
              </w:rPr>
            </w:pPr>
            <w:r>
              <w:rPr>
                <w:rFonts w:ascii="Arial" w:cs="Arial" w:eastAsia="Arial" w:hAnsi="Arial"/>
                <w:sz w:val="16"/>
                <w:szCs w:val="16"/>
                <w:b w:val="1"/>
                <w:bCs w:val="1"/>
                <w:color w:val="auto"/>
              </w:rPr>
              <w:t>As of December 31, 2018 and March 31, 2019</w:t>
            </w: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960" w:type="dxa"/>
            <w:vAlign w:val="bottom"/>
          </w:tcPr>
          <w:p>
            <w:pPr>
              <w:spacing w:after="0"/>
              <w:rPr>
                <w:sz w:val="20"/>
                <w:szCs w:val="20"/>
                <w:color w:val="auto"/>
              </w:rPr>
            </w:pPr>
            <w:r>
              <w:rPr>
                <w:rFonts w:ascii="Arial" w:cs="Arial" w:eastAsia="Arial" w:hAnsi="Arial"/>
                <w:sz w:val="16"/>
                <w:szCs w:val="16"/>
                <w:b w:val="1"/>
                <w:bCs w:val="1"/>
                <w:color w:val="auto"/>
              </w:rPr>
              <w:t>(Amounts expressed in thousands of U.S. Dollars)</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1"/>
        </w:trPr>
        <w:tc>
          <w:tcPr>
            <w:tcW w:w="6960" w:type="dxa"/>
            <w:vAlign w:val="bottom"/>
          </w:tcPr>
          <w:p>
            <w:pPr>
              <w:spacing w:after="0"/>
              <w:rPr>
                <w:sz w:val="24"/>
                <w:szCs w:val="24"/>
                <w:color w:val="auto"/>
              </w:rPr>
            </w:pPr>
          </w:p>
        </w:tc>
        <w:tc>
          <w:tcPr>
            <w:tcW w:w="980" w:type="dxa"/>
            <w:vAlign w:val="bottom"/>
            <w:gridSpan w:val="2"/>
          </w:tcPr>
          <w:p>
            <w:pPr>
              <w:ind w:left="180"/>
              <w:spacing w:after="0"/>
              <w:rPr>
                <w:sz w:val="20"/>
                <w:szCs w:val="20"/>
                <w:color w:val="auto"/>
              </w:rPr>
            </w:pPr>
            <w:r>
              <w:rPr>
                <w:rFonts w:ascii="Arial" w:cs="Arial" w:eastAsia="Arial" w:hAnsi="Arial"/>
                <w:sz w:val="16"/>
                <w:szCs w:val="16"/>
                <w:b w:val="1"/>
                <w:bCs w:val="1"/>
                <w:color w:val="auto"/>
              </w:rPr>
              <w:t>Note</w:t>
            </w:r>
          </w:p>
        </w:tc>
        <w:tc>
          <w:tcPr>
            <w:tcW w:w="2020" w:type="dxa"/>
            <w:vAlign w:val="bottom"/>
            <w:gridSpan w:val="3"/>
          </w:tcPr>
          <w:p>
            <w:pPr>
              <w:jc w:val="right"/>
              <w:ind w:right="500"/>
              <w:spacing w:after="0"/>
              <w:rPr>
                <w:sz w:val="20"/>
                <w:szCs w:val="20"/>
                <w:color w:val="auto"/>
              </w:rPr>
            </w:pPr>
            <w:r>
              <w:rPr>
                <w:rFonts w:ascii="Arial" w:cs="Arial" w:eastAsia="Arial" w:hAnsi="Arial"/>
                <w:sz w:val="16"/>
                <w:szCs w:val="16"/>
                <w:b w:val="1"/>
                <w:bCs w:val="1"/>
                <w:color w:val="auto"/>
              </w:rPr>
              <w:t>December 31, 2018</w:t>
            </w:r>
          </w:p>
        </w:tc>
        <w:tc>
          <w:tcPr>
            <w:tcW w:w="1600" w:type="dxa"/>
            <w:vAlign w:val="bottom"/>
            <w:gridSpan w:val="4"/>
          </w:tcPr>
          <w:p>
            <w:pPr>
              <w:jc w:val="right"/>
              <w:ind w:right="320"/>
              <w:spacing w:after="0"/>
              <w:rPr>
                <w:sz w:val="20"/>
                <w:szCs w:val="20"/>
                <w:color w:val="auto"/>
              </w:rPr>
            </w:pPr>
            <w:r>
              <w:rPr>
                <w:rFonts w:ascii="Arial" w:cs="Arial" w:eastAsia="Arial" w:hAnsi="Arial"/>
                <w:sz w:val="16"/>
                <w:szCs w:val="16"/>
                <w:b w:val="1"/>
                <w:bCs w:val="1"/>
                <w:color w:val="auto"/>
              </w:rPr>
              <w:t>March 31, 2019</w:t>
            </w:r>
          </w:p>
        </w:tc>
        <w:tc>
          <w:tcPr>
            <w:tcW w:w="0" w:type="dxa"/>
            <w:vAlign w:val="bottom"/>
          </w:tcPr>
          <w:p>
            <w:pPr>
              <w:spacing w:after="0"/>
              <w:rPr>
                <w:sz w:val="1"/>
                <w:szCs w:val="1"/>
                <w:color w:val="auto"/>
              </w:rPr>
            </w:pPr>
          </w:p>
        </w:tc>
      </w:tr>
      <w:tr>
        <w:trPr>
          <w:trHeight w:val="186"/>
        </w:trPr>
        <w:tc>
          <w:tcPr>
            <w:tcW w:w="696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Assets</w:t>
            </w:r>
          </w:p>
        </w:tc>
        <w:tc>
          <w:tcPr>
            <w:tcW w:w="700" w:type="dxa"/>
            <w:vAlign w:val="bottom"/>
            <w:tcBorders>
              <w:top w:val="single" w:sz="8" w:color="auto"/>
            </w:tcBorders>
            <w:shd w:val="clear" w:color="auto" w:fill="E5FFFF"/>
          </w:tcPr>
          <w:p>
            <w:pPr>
              <w:spacing w:after="0"/>
              <w:rPr>
                <w:sz w:val="16"/>
                <w:szCs w:val="16"/>
                <w:color w:val="auto"/>
              </w:rPr>
            </w:pPr>
          </w:p>
        </w:tc>
        <w:tc>
          <w:tcPr>
            <w:tcW w:w="280" w:type="dxa"/>
            <w:vAlign w:val="bottom"/>
            <w:tcBorders>
              <w:top w:val="single" w:sz="8" w:color="E5FFFF"/>
            </w:tcBorders>
            <w:shd w:val="clear" w:color="auto" w:fill="E5FFFF"/>
          </w:tcPr>
          <w:p>
            <w:pPr>
              <w:spacing w:after="0"/>
              <w:rPr>
                <w:sz w:val="16"/>
                <w:szCs w:val="16"/>
                <w:color w:val="auto"/>
              </w:rPr>
            </w:pPr>
          </w:p>
        </w:tc>
        <w:tc>
          <w:tcPr>
            <w:tcW w:w="380" w:type="dxa"/>
            <w:vAlign w:val="bottom"/>
            <w:tcBorders>
              <w:top w:val="single" w:sz="8" w:color="auto"/>
            </w:tcBorders>
            <w:shd w:val="clear" w:color="auto" w:fill="E5FFFF"/>
          </w:tcPr>
          <w:p>
            <w:pPr>
              <w:spacing w:after="0"/>
              <w:rPr>
                <w:sz w:val="16"/>
                <w:szCs w:val="16"/>
                <w:color w:val="auto"/>
              </w:rPr>
            </w:pPr>
          </w:p>
        </w:tc>
        <w:tc>
          <w:tcPr>
            <w:tcW w:w="1360" w:type="dxa"/>
            <w:vAlign w:val="bottom"/>
            <w:tcBorders>
              <w:top w:val="single" w:sz="8" w:color="auto"/>
            </w:tcBorders>
            <w:shd w:val="clear" w:color="auto" w:fill="E5FFFF"/>
          </w:tcPr>
          <w:p>
            <w:pPr>
              <w:spacing w:after="0"/>
              <w:rPr>
                <w:sz w:val="16"/>
                <w:szCs w:val="16"/>
                <w:color w:val="auto"/>
              </w:rPr>
            </w:pPr>
          </w:p>
        </w:tc>
        <w:tc>
          <w:tcPr>
            <w:tcW w:w="280" w:type="dxa"/>
            <w:vAlign w:val="bottom"/>
            <w:tcBorders>
              <w:top w:val="single" w:sz="8" w:color="E5FFFF"/>
            </w:tcBorders>
            <w:shd w:val="clear" w:color="auto" w:fill="E5FFFF"/>
          </w:tcPr>
          <w:p>
            <w:pPr>
              <w:spacing w:after="0"/>
              <w:rPr>
                <w:sz w:val="16"/>
                <w:szCs w:val="16"/>
                <w:color w:val="auto"/>
              </w:rPr>
            </w:pPr>
          </w:p>
        </w:tc>
        <w:tc>
          <w:tcPr>
            <w:tcW w:w="360" w:type="dxa"/>
            <w:vAlign w:val="bottom"/>
            <w:tcBorders>
              <w:top w:val="single" w:sz="8" w:color="auto"/>
            </w:tcBorders>
            <w:shd w:val="clear" w:color="auto" w:fill="E5FFFF"/>
          </w:tcPr>
          <w:p>
            <w:pPr>
              <w:spacing w:after="0"/>
              <w:rPr>
                <w:sz w:val="16"/>
                <w:szCs w:val="16"/>
                <w:color w:val="auto"/>
              </w:rPr>
            </w:pPr>
          </w:p>
        </w:tc>
        <w:tc>
          <w:tcPr>
            <w:tcW w:w="1140" w:type="dxa"/>
            <w:vAlign w:val="bottom"/>
            <w:tcBorders>
              <w:top w:val="single" w:sz="8" w:color="auto"/>
            </w:tcBorders>
            <w:shd w:val="clear" w:color="auto" w:fill="E5FFFF"/>
          </w:tcPr>
          <w:p>
            <w:pPr>
              <w:spacing w:after="0"/>
              <w:rPr>
                <w:sz w:val="16"/>
                <w:szCs w:val="16"/>
                <w:color w:val="auto"/>
              </w:rPr>
            </w:pPr>
          </w:p>
        </w:tc>
        <w:tc>
          <w:tcPr>
            <w:tcW w:w="20" w:type="dxa"/>
            <w:vAlign w:val="bottom"/>
            <w:tcBorders>
              <w:top w:val="single" w:sz="8" w:color="E5FFFF"/>
            </w:tcBorders>
            <w:shd w:val="clear" w:color="auto" w:fill="E5FFFF"/>
          </w:tcPr>
          <w:p>
            <w:pPr>
              <w:spacing w:after="0"/>
              <w:rPr>
                <w:sz w:val="16"/>
                <w:szCs w:val="16"/>
                <w:color w:val="auto"/>
              </w:rPr>
            </w:pPr>
          </w:p>
        </w:tc>
        <w:tc>
          <w:tcPr>
            <w:tcW w:w="80" w:type="dxa"/>
            <w:vAlign w:val="bottom"/>
            <w:tcBorders>
              <w:top w:val="single" w:sz="8" w:color="E5FFFF"/>
            </w:tcBorders>
            <w:shd w:val="clear" w:color="auto" w:fill="E5FF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960" w:type="dxa"/>
            <w:vAlign w:val="bottom"/>
          </w:tcPr>
          <w:p>
            <w:pPr>
              <w:spacing w:after="0"/>
              <w:rPr>
                <w:sz w:val="20"/>
                <w:szCs w:val="20"/>
                <w:color w:val="auto"/>
              </w:rPr>
            </w:pPr>
            <w:r>
              <w:rPr>
                <w:rFonts w:ascii="Arial" w:cs="Arial" w:eastAsia="Arial" w:hAnsi="Arial"/>
                <w:sz w:val="16"/>
                <w:szCs w:val="16"/>
                <w:b w:val="1"/>
                <w:bCs w:val="1"/>
                <w:color w:val="auto"/>
              </w:rPr>
              <w:t>Non-current assets</w:t>
            </w: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60" w:type="dxa"/>
            <w:vAlign w:val="bottom"/>
            <w:shd w:val="clear" w:color="auto" w:fill="E5FFFF"/>
          </w:tcPr>
          <w:p>
            <w:pPr>
              <w:spacing w:after="0"/>
              <w:rPr>
                <w:sz w:val="20"/>
                <w:szCs w:val="20"/>
                <w:color w:val="auto"/>
              </w:rPr>
            </w:pPr>
            <w:r>
              <w:rPr>
                <w:rFonts w:ascii="Arial" w:cs="Arial" w:eastAsia="Arial" w:hAnsi="Arial"/>
                <w:sz w:val="16"/>
                <w:szCs w:val="16"/>
                <w:color w:val="auto"/>
              </w:rPr>
              <w:t>Goodwill</w:t>
            </w:r>
          </w:p>
        </w:tc>
        <w:tc>
          <w:tcPr>
            <w:tcW w:w="70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2020" w:type="dxa"/>
            <w:vAlign w:val="bottom"/>
            <w:gridSpan w:val="3"/>
            <w:shd w:val="clear" w:color="auto" w:fill="E5FFFF"/>
          </w:tcPr>
          <w:p>
            <w:pPr>
              <w:jc w:val="right"/>
              <w:ind w:right="280"/>
              <w:spacing w:after="0"/>
              <w:rPr>
                <w:sz w:val="20"/>
                <w:szCs w:val="20"/>
                <w:color w:val="auto"/>
              </w:rPr>
            </w:pPr>
            <w:r>
              <w:rPr>
                <w:rFonts w:ascii="Arial" w:cs="Arial" w:eastAsia="Arial" w:hAnsi="Arial"/>
                <w:sz w:val="16"/>
                <w:szCs w:val="16"/>
                <w:color w:val="auto"/>
              </w:rPr>
              <w:t>9,511</w:t>
            </w:r>
          </w:p>
        </w:tc>
        <w:tc>
          <w:tcPr>
            <w:tcW w:w="1600" w:type="dxa"/>
            <w:vAlign w:val="bottom"/>
            <w:gridSpan w:val="4"/>
            <w:shd w:val="clear" w:color="auto" w:fill="E5FFFF"/>
          </w:tcPr>
          <w:p>
            <w:pPr>
              <w:jc w:val="right"/>
              <w:ind w:right="100"/>
              <w:spacing w:after="0"/>
              <w:rPr>
                <w:sz w:val="20"/>
                <w:szCs w:val="20"/>
                <w:color w:val="auto"/>
              </w:rPr>
            </w:pPr>
            <w:r>
              <w:rPr>
                <w:rFonts w:ascii="Arial" w:cs="Arial" w:eastAsia="Arial" w:hAnsi="Arial"/>
                <w:sz w:val="16"/>
                <w:szCs w:val="16"/>
                <w:color w:val="auto"/>
              </w:rPr>
              <w:t>9,511</w:t>
            </w:r>
          </w:p>
        </w:tc>
        <w:tc>
          <w:tcPr>
            <w:tcW w:w="0" w:type="dxa"/>
            <w:vAlign w:val="bottom"/>
          </w:tcPr>
          <w:p>
            <w:pPr>
              <w:spacing w:after="0"/>
              <w:rPr>
                <w:sz w:val="1"/>
                <w:szCs w:val="1"/>
                <w:color w:val="auto"/>
              </w:rPr>
            </w:pPr>
          </w:p>
        </w:tc>
      </w:tr>
      <w:tr>
        <w:trPr>
          <w:trHeight w:val="203"/>
        </w:trPr>
        <w:tc>
          <w:tcPr>
            <w:tcW w:w="6960" w:type="dxa"/>
            <w:vAlign w:val="bottom"/>
          </w:tcPr>
          <w:p>
            <w:pPr>
              <w:spacing w:after="0"/>
              <w:rPr>
                <w:sz w:val="20"/>
                <w:szCs w:val="20"/>
                <w:color w:val="auto"/>
              </w:rPr>
            </w:pPr>
            <w:r>
              <w:rPr>
                <w:rFonts w:ascii="Arial" w:cs="Arial" w:eastAsia="Arial" w:hAnsi="Arial"/>
                <w:sz w:val="16"/>
                <w:szCs w:val="16"/>
                <w:color w:val="auto"/>
              </w:rPr>
              <w:t>Investment in associates</w:t>
            </w:r>
          </w:p>
        </w:tc>
        <w:tc>
          <w:tcPr>
            <w:tcW w:w="700" w:type="dxa"/>
            <w:vAlign w:val="bottom"/>
          </w:tcPr>
          <w:p>
            <w:pPr>
              <w:jc w:val="center"/>
              <w:spacing w:after="0"/>
              <w:rPr>
                <w:sz w:val="20"/>
                <w:szCs w:val="20"/>
                <w:color w:val="auto"/>
              </w:rPr>
            </w:pPr>
            <w:r>
              <w:rPr>
                <w:rFonts w:ascii="Arial" w:cs="Arial" w:eastAsia="Arial" w:hAnsi="Arial"/>
                <w:sz w:val="16"/>
                <w:szCs w:val="16"/>
                <w:color w:val="auto"/>
                <w:w w:val="89"/>
              </w:rPr>
              <w:t>4</w:t>
            </w:r>
          </w:p>
        </w:tc>
        <w:tc>
          <w:tcPr>
            <w:tcW w:w="280" w:type="dxa"/>
            <w:vAlign w:val="bottom"/>
          </w:tcPr>
          <w:p>
            <w:pPr>
              <w:spacing w:after="0"/>
              <w:rPr>
                <w:sz w:val="17"/>
                <w:szCs w:val="17"/>
                <w:color w:val="auto"/>
              </w:rPr>
            </w:pPr>
          </w:p>
        </w:tc>
        <w:tc>
          <w:tcPr>
            <w:tcW w:w="2020" w:type="dxa"/>
            <w:vAlign w:val="bottom"/>
            <w:gridSpan w:val="3"/>
          </w:tcPr>
          <w:p>
            <w:pPr>
              <w:jc w:val="right"/>
              <w:ind w:right="280"/>
              <w:spacing w:after="0"/>
              <w:rPr>
                <w:sz w:val="20"/>
                <w:szCs w:val="20"/>
                <w:color w:val="auto"/>
              </w:rPr>
            </w:pPr>
            <w:r>
              <w:rPr>
                <w:rFonts w:ascii="Arial" w:cs="Arial" w:eastAsia="Arial" w:hAnsi="Arial"/>
                <w:sz w:val="16"/>
                <w:szCs w:val="16"/>
                <w:color w:val="auto"/>
              </w:rPr>
              <w:t>20,713</w:t>
            </w:r>
          </w:p>
        </w:tc>
        <w:tc>
          <w:tcPr>
            <w:tcW w:w="1520" w:type="dxa"/>
            <w:vAlign w:val="bottom"/>
            <w:gridSpan w:val="3"/>
          </w:tcPr>
          <w:p>
            <w:pPr>
              <w:jc w:val="right"/>
              <w:ind w:right="20"/>
              <w:spacing w:after="0"/>
              <w:rPr>
                <w:sz w:val="20"/>
                <w:szCs w:val="20"/>
                <w:color w:val="auto"/>
              </w:rPr>
            </w:pPr>
            <w:r>
              <w:rPr>
                <w:rFonts w:ascii="Arial" w:cs="Arial" w:eastAsia="Arial" w:hAnsi="Arial"/>
                <w:sz w:val="16"/>
                <w:szCs w:val="16"/>
                <w:color w:val="auto"/>
              </w:rPr>
              <w:t>20,958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60" w:type="dxa"/>
            <w:vAlign w:val="bottom"/>
            <w:shd w:val="clear" w:color="auto" w:fill="E5FFFF"/>
          </w:tcPr>
          <w:p>
            <w:pPr>
              <w:spacing w:after="0"/>
              <w:rPr>
                <w:sz w:val="20"/>
                <w:szCs w:val="20"/>
                <w:color w:val="auto"/>
              </w:rPr>
            </w:pPr>
            <w:r>
              <w:rPr>
                <w:rFonts w:ascii="Arial" w:cs="Arial" w:eastAsia="Arial" w:hAnsi="Arial"/>
                <w:sz w:val="16"/>
                <w:szCs w:val="16"/>
                <w:color w:val="auto"/>
              </w:rPr>
              <w:t>Deferred financing costs</w:t>
            </w:r>
          </w:p>
        </w:tc>
        <w:tc>
          <w:tcPr>
            <w:tcW w:w="70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2020" w:type="dxa"/>
            <w:vAlign w:val="bottom"/>
            <w:gridSpan w:val="3"/>
            <w:shd w:val="clear" w:color="auto" w:fill="E5FFFF"/>
          </w:tcPr>
          <w:p>
            <w:pPr>
              <w:jc w:val="right"/>
              <w:ind w:right="280"/>
              <w:spacing w:after="0"/>
              <w:rPr>
                <w:sz w:val="20"/>
                <w:szCs w:val="20"/>
                <w:color w:val="auto"/>
              </w:rPr>
            </w:pPr>
            <w:r>
              <w:rPr>
                <w:rFonts w:ascii="Arial" w:cs="Arial" w:eastAsia="Arial" w:hAnsi="Arial"/>
                <w:sz w:val="16"/>
                <w:szCs w:val="16"/>
                <w:color w:val="auto"/>
              </w:rPr>
              <w:t>4,576</w:t>
            </w:r>
          </w:p>
        </w:tc>
        <w:tc>
          <w:tcPr>
            <w:tcW w:w="360" w:type="dxa"/>
            <w:vAlign w:val="bottom"/>
            <w:shd w:val="clear" w:color="auto" w:fill="E5FFFF"/>
          </w:tcPr>
          <w:p>
            <w:pPr>
              <w:spacing w:after="0"/>
              <w:rPr>
                <w:sz w:val="17"/>
                <w:szCs w:val="17"/>
                <w:color w:val="auto"/>
              </w:rPr>
            </w:pPr>
          </w:p>
        </w:tc>
        <w:tc>
          <w:tcPr>
            <w:tcW w:w="1240" w:type="dxa"/>
            <w:vAlign w:val="bottom"/>
            <w:gridSpan w:val="3"/>
            <w:shd w:val="clear" w:color="auto" w:fill="E5FF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6960" w:type="dxa"/>
            <w:vAlign w:val="bottom"/>
          </w:tcPr>
          <w:p>
            <w:pPr>
              <w:spacing w:after="0"/>
              <w:rPr>
                <w:sz w:val="20"/>
                <w:szCs w:val="20"/>
                <w:color w:val="auto"/>
              </w:rPr>
            </w:pPr>
            <w:r>
              <w:rPr>
                <w:rFonts w:ascii="Arial" w:cs="Arial" w:eastAsia="Arial" w:hAnsi="Arial"/>
                <w:sz w:val="16"/>
                <w:szCs w:val="16"/>
                <w:color w:val="auto"/>
              </w:rPr>
              <w:t>Other non-current assets</w:t>
            </w: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20" w:type="dxa"/>
            <w:vAlign w:val="bottom"/>
            <w:gridSpan w:val="3"/>
          </w:tcPr>
          <w:p>
            <w:pPr>
              <w:jc w:val="right"/>
              <w:ind w:right="280"/>
              <w:spacing w:after="0"/>
              <w:rPr>
                <w:sz w:val="20"/>
                <w:szCs w:val="20"/>
                <w:color w:val="auto"/>
              </w:rPr>
            </w:pPr>
            <w:r>
              <w:rPr>
                <w:rFonts w:ascii="Arial" w:cs="Arial" w:eastAsia="Arial" w:hAnsi="Arial"/>
                <w:sz w:val="16"/>
                <w:szCs w:val="16"/>
                <w:color w:val="auto"/>
              </w:rPr>
              <w:t>2,543</w:t>
            </w:r>
          </w:p>
        </w:tc>
        <w:tc>
          <w:tcPr>
            <w:tcW w:w="1520" w:type="dxa"/>
            <w:vAlign w:val="bottom"/>
            <w:gridSpan w:val="3"/>
          </w:tcPr>
          <w:p>
            <w:pPr>
              <w:jc w:val="right"/>
              <w:ind w:right="20"/>
              <w:spacing w:after="0"/>
              <w:rPr>
                <w:sz w:val="20"/>
                <w:szCs w:val="20"/>
                <w:color w:val="auto"/>
              </w:rPr>
            </w:pPr>
            <w:r>
              <w:rPr>
                <w:rFonts w:ascii="Arial" w:cs="Arial" w:eastAsia="Arial" w:hAnsi="Arial"/>
                <w:sz w:val="16"/>
                <w:szCs w:val="16"/>
                <w:color w:val="auto"/>
              </w:rPr>
              <w:t>4,791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60" w:type="dxa"/>
            <w:vAlign w:val="bottom"/>
            <w:shd w:val="clear" w:color="auto" w:fill="E5FFFF"/>
          </w:tcPr>
          <w:p>
            <w:pPr>
              <w:spacing w:after="0"/>
              <w:rPr>
                <w:sz w:val="20"/>
                <w:szCs w:val="20"/>
                <w:color w:val="auto"/>
              </w:rPr>
            </w:pPr>
            <w:r>
              <w:rPr>
                <w:rFonts w:ascii="Arial" w:cs="Arial" w:eastAsia="Arial" w:hAnsi="Arial"/>
                <w:sz w:val="16"/>
                <w:szCs w:val="16"/>
                <w:color w:val="auto"/>
              </w:rPr>
              <w:t>Derivative financial instruments</w:t>
            </w:r>
          </w:p>
        </w:tc>
        <w:tc>
          <w:tcPr>
            <w:tcW w:w="70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15</w:t>
            </w:r>
          </w:p>
        </w:tc>
        <w:tc>
          <w:tcPr>
            <w:tcW w:w="280" w:type="dxa"/>
            <w:vAlign w:val="bottom"/>
            <w:shd w:val="clear" w:color="auto" w:fill="E5FFFF"/>
          </w:tcPr>
          <w:p>
            <w:pPr>
              <w:spacing w:after="0"/>
              <w:rPr>
                <w:sz w:val="17"/>
                <w:szCs w:val="17"/>
                <w:color w:val="auto"/>
              </w:rPr>
            </w:pPr>
          </w:p>
        </w:tc>
        <w:tc>
          <w:tcPr>
            <w:tcW w:w="2020" w:type="dxa"/>
            <w:vAlign w:val="bottom"/>
            <w:gridSpan w:val="3"/>
            <w:shd w:val="clear" w:color="auto" w:fill="E5FFFF"/>
          </w:tcPr>
          <w:p>
            <w:pPr>
              <w:jc w:val="right"/>
              <w:ind w:right="280"/>
              <w:spacing w:after="0"/>
              <w:rPr>
                <w:sz w:val="20"/>
                <w:szCs w:val="20"/>
                <w:color w:val="auto"/>
              </w:rPr>
            </w:pPr>
            <w:r>
              <w:rPr>
                <w:rFonts w:ascii="Arial" w:cs="Arial" w:eastAsia="Arial" w:hAnsi="Arial"/>
                <w:sz w:val="16"/>
                <w:szCs w:val="16"/>
                <w:color w:val="auto"/>
              </w:rPr>
              <w:t>8,966</w:t>
            </w:r>
          </w:p>
        </w:tc>
        <w:tc>
          <w:tcPr>
            <w:tcW w:w="1520" w:type="dxa"/>
            <w:vAlign w:val="bottom"/>
            <w:gridSpan w:val="3"/>
            <w:shd w:val="clear" w:color="auto" w:fill="E5FFFF"/>
          </w:tcPr>
          <w:p>
            <w:pPr>
              <w:jc w:val="right"/>
              <w:ind w:right="20"/>
              <w:spacing w:after="0"/>
              <w:rPr>
                <w:sz w:val="20"/>
                <w:szCs w:val="20"/>
                <w:color w:val="auto"/>
              </w:rPr>
            </w:pPr>
            <w:r>
              <w:rPr>
                <w:rFonts w:ascii="Arial" w:cs="Arial" w:eastAsia="Arial" w:hAnsi="Arial"/>
                <w:sz w:val="16"/>
                <w:szCs w:val="16"/>
                <w:color w:val="auto"/>
              </w:rPr>
              <w:t>2,958</w:t>
            </w:r>
          </w:p>
        </w:tc>
        <w:tc>
          <w:tcPr>
            <w:tcW w:w="8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60" w:type="dxa"/>
            <w:vAlign w:val="bottom"/>
          </w:tcPr>
          <w:p>
            <w:pPr>
              <w:spacing w:after="0"/>
              <w:rPr>
                <w:sz w:val="20"/>
                <w:szCs w:val="20"/>
                <w:color w:val="auto"/>
              </w:rPr>
            </w:pPr>
            <w:r>
              <w:rPr>
                <w:rFonts w:ascii="Arial" w:cs="Arial" w:eastAsia="Arial" w:hAnsi="Arial"/>
                <w:sz w:val="16"/>
                <w:szCs w:val="16"/>
                <w:color w:val="auto"/>
              </w:rPr>
              <w:t>Tangible fixed assets</w:t>
            </w:r>
          </w:p>
        </w:tc>
        <w:tc>
          <w:tcPr>
            <w:tcW w:w="700" w:type="dxa"/>
            <w:vAlign w:val="bottom"/>
          </w:tcPr>
          <w:p>
            <w:pPr>
              <w:jc w:val="center"/>
              <w:spacing w:after="0"/>
              <w:rPr>
                <w:sz w:val="20"/>
                <w:szCs w:val="20"/>
                <w:color w:val="auto"/>
              </w:rPr>
            </w:pPr>
            <w:r>
              <w:rPr>
                <w:rFonts w:ascii="Arial" w:cs="Arial" w:eastAsia="Arial" w:hAnsi="Arial"/>
                <w:sz w:val="16"/>
                <w:szCs w:val="16"/>
                <w:color w:val="auto"/>
                <w:w w:val="89"/>
              </w:rPr>
              <w:t>5</w:t>
            </w:r>
          </w:p>
        </w:tc>
        <w:tc>
          <w:tcPr>
            <w:tcW w:w="280" w:type="dxa"/>
            <w:vAlign w:val="bottom"/>
          </w:tcPr>
          <w:p>
            <w:pPr>
              <w:spacing w:after="0"/>
              <w:rPr>
                <w:sz w:val="17"/>
                <w:szCs w:val="17"/>
                <w:color w:val="auto"/>
              </w:rPr>
            </w:pPr>
          </w:p>
        </w:tc>
        <w:tc>
          <w:tcPr>
            <w:tcW w:w="2020" w:type="dxa"/>
            <w:vAlign w:val="bottom"/>
            <w:gridSpan w:val="3"/>
          </w:tcPr>
          <w:p>
            <w:pPr>
              <w:jc w:val="right"/>
              <w:ind w:right="280"/>
              <w:spacing w:after="0"/>
              <w:rPr>
                <w:sz w:val="20"/>
                <w:szCs w:val="20"/>
                <w:color w:val="auto"/>
              </w:rPr>
            </w:pPr>
            <w:r>
              <w:rPr>
                <w:rFonts w:ascii="Arial" w:cs="Arial" w:eastAsia="Arial" w:hAnsi="Arial"/>
                <w:sz w:val="16"/>
                <w:szCs w:val="16"/>
                <w:color w:val="auto"/>
              </w:rPr>
              <w:t>4,323,582</w:t>
            </w:r>
          </w:p>
        </w:tc>
        <w:tc>
          <w:tcPr>
            <w:tcW w:w="1520" w:type="dxa"/>
            <w:vAlign w:val="bottom"/>
            <w:gridSpan w:val="3"/>
          </w:tcPr>
          <w:p>
            <w:pPr>
              <w:jc w:val="right"/>
              <w:ind w:right="20"/>
              <w:spacing w:after="0"/>
              <w:rPr>
                <w:sz w:val="20"/>
                <w:szCs w:val="20"/>
                <w:color w:val="auto"/>
              </w:rPr>
            </w:pPr>
            <w:r>
              <w:rPr>
                <w:rFonts w:ascii="Arial" w:cs="Arial" w:eastAsia="Arial" w:hAnsi="Arial"/>
                <w:sz w:val="16"/>
                <w:szCs w:val="16"/>
                <w:color w:val="auto"/>
              </w:rPr>
              <w:t>4,500,415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960" w:type="dxa"/>
            <w:vAlign w:val="bottom"/>
            <w:shd w:val="clear" w:color="auto" w:fill="E5FFFF"/>
          </w:tcPr>
          <w:p>
            <w:pPr>
              <w:spacing w:after="0"/>
              <w:rPr>
                <w:sz w:val="20"/>
                <w:szCs w:val="20"/>
                <w:color w:val="auto"/>
              </w:rPr>
            </w:pPr>
            <w:r>
              <w:rPr>
                <w:rFonts w:ascii="Arial" w:cs="Arial" w:eastAsia="Arial" w:hAnsi="Arial"/>
                <w:sz w:val="16"/>
                <w:szCs w:val="16"/>
                <w:color w:val="auto"/>
              </w:rPr>
              <w:t>Vessels under construction</w:t>
            </w:r>
          </w:p>
        </w:tc>
        <w:tc>
          <w:tcPr>
            <w:tcW w:w="70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5</w:t>
            </w:r>
          </w:p>
        </w:tc>
        <w:tc>
          <w:tcPr>
            <w:tcW w:w="280" w:type="dxa"/>
            <w:vAlign w:val="bottom"/>
            <w:shd w:val="clear" w:color="auto" w:fill="E5FFFF"/>
          </w:tcPr>
          <w:p>
            <w:pPr>
              <w:spacing w:after="0"/>
              <w:rPr>
                <w:sz w:val="17"/>
                <w:szCs w:val="17"/>
                <w:color w:val="auto"/>
              </w:rPr>
            </w:pPr>
          </w:p>
        </w:tc>
        <w:tc>
          <w:tcPr>
            <w:tcW w:w="2020" w:type="dxa"/>
            <w:vAlign w:val="bottom"/>
            <w:gridSpan w:val="3"/>
            <w:shd w:val="clear" w:color="auto" w:fill="E5FFFF"/>
          </w:tcPr>
          <w:p>
            <w:pPr>
              <w:jc w:val="right"/>
              <w:ind w:right="280"/>
              <w:spacing w:after="0"/>
              <w:rPr>
                <w:sz w:val="20"/>
                <w:szCs w:val="20"/>
                <w:color w:val="auto"/>
              </w:rPr>
            </w:pPr>
            <w:r>
              <w:rPr>
                <w:rFonts w:ascii="Arial" w:cs="Arial" w:eastAsia="Arial" w:hAnsi="Arial"/>
                <w:sz w:val="16"/>
                <w:szCs w:val="16"/>
                <w:color w:val="auto"/>
              </w:rPr>
              <w:t>159,275</w:t>
            </w:r>
          </w:p>
        </w:tc>
        <w:tc>
          <w:tcPr>
            <w:tcW w:w="1520" w:type="dxa"/>
            <w:vAlign w:val="bottom"/>
            <w:gridSpan w:val="3"/>
            <w:shd w:val="clear" w:color="auto" w:fill="E5FFFF"/>
          </w:tcPr>
          <w:p>
            <w:pPr>
              <w:jc w:val="right"/>
              <w:ind w:right="20"/>
              <w:spacing w:after="0"/>
              <w:rPr>
                <w:sz w:val="20"/>
                <w:szCs w:val="20"/>
                <w:color w:val="auto"/>
              </w:rPr>
            </w:pPr>
            <w:r>
              <w:rPr>
                <w:rFonts w:ascii="Arial" w:cs="Arial" w:eastAsia="Arial" w:hAnsi="Arial"/>
                <w:sz w:val="16"/>
                <w:szCs w:val="16"/>
                <w:color w:val="auto"/>
              </w:rPr>
              <w:t>155,841</w:t>
            </w:r>
          </w:p>
        </w:tc>
        <w:tc>
          <w:tcPr>
            <w:tcW w:w="8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60" w:type="dxa"/>
            <w:vAlign w:val="bottom"/>
          </w:tcPr>
          <w:p>
            <w:pPr>
              <w:spacing w:after="0"/>
              <w:rPr>
                <w:sz w:val="20"/>
                <w:szCs w:val="20"/>
                <w:color w:val="auto"/>
              </w:rPr>
            </w:pPr>
            <w:r>
              <w:rPr>
                <w:rFonts w:ascii="Arial" w:cs="Arial" w:eastAsia="Arial" w:hAnsi="Arial"/>
                <w:sz w:val="16"/>
                <w:szCs w:val="16"/>
                <w:color w:val="auto"/>
              </w:rPr>
              <w:t>Right-of-use assets</w:t>
            </w:r>
          </w:p>
        </w:tc>
        <w:tc>
          <w:tcPr>
            <w:tcW w:w="700" w:type="dxa"/>
            <w:vAlign w:val="bottom"/>
          </w:tcPr>
          <w:p>
            <w:pPr>
              <w:jc w:val="center"/>
              <w:spacing w:after="0"/>
              <w:rPr>
                <w:sz w:val="20"/>
                <w:szCs w:val="20"/>
                <w:color w:val="auto"/>
              </w:rPr>
            </w:pPr>
            <w:r>
              <w:rPr>
                <w:rFonts w:ascii="Arial" w:cs="Arial" w:eastAsia="Arial" w:hAnsi="Arial"/>
                <w:sz w:val="16"/>
                <w:szCs w:val="16"/>
                <w:color w:val="auto"/>
                <w:w w:val="89"/>
              </w:rPr>
              <w:t>6</w:t>
            </w:r>
          </w:p>
        </w:tc>
        <w:tc>
          <w:tcPr>
            <w:tcW w:w="280" w:type="dxa"/>
            <w:vAlign w:val="bottom"/>
          </w:tcPr>
          <w:p>
            <w:pPr>
              <w:spacing w:after="0"/>
              <w:rPr>
                <w:sz w:val="17"/>
                <w:szCs w:val="17"/>
                <w:color w:val="auto"/>
              </w:rPr>
            </w:pPr>
          </w:p>
        </w:tc>
        <w:tc>
          <w:tcPr>
            <w:tcW w:w="2020" w:type="dxa"/>
            <w:vAlign w:val="bottom"/>
            <w:gridSpan w:val="3"/>
          </w:tcPr>
          <w:p>
            <w:pPr>
              <w:jc w:val="right"/>
              <w:ind w:right="280"/>
              <w:spacing w:after="0"/>
              <w:rPr>
                <w:sz w:val="20"/>
                <w:szCs w:val="20"/>
                <w:color w:val="auto"/>
              </w:rPr>
            </w:pPr>
            <w:r>
              <w:rPr>
                <w:rFonts w:ascii="Arial" w:cs="Arial" w:eastAsia="Arial" w:hAnsi="Arial"/>
                <w:sz w:val="16"/>
                <w:szCs w:val="16"/>
                <w:color w:val="auto"/>
              </w:rPr>
              <w:t>206,753</w:t>
            </w:r>
          </w:p>
        </w:tc>
        <w:tc>
          <w:tcPr>
            <w:tcW w:w="1520" w:type="dxa"/>
            <w:vAlign w:val="bottom"/>
            <w:gridSpan w:val="3"/>
          </w:tcPr>
          <w:p>
            <w:pPr>
              <w:jc w:val="right"/>
              <w:ind w:right="20"/>
              <w:spacing w:after="0"/>
              <w:rPr>
                <w:sz w:val="20"/>
                <w:szCs w:val="20"/>
                <w:color w:val="auto"/>
              </w:rPr>
            </w:pPr>
            <w:r>
              <w:rPr>
                <w:rFonts w:ascii="Arial" w:cs="Arial" w:eastAsia="Arial" w:hAnsi="Arial"/>
                <w:sz w:val="16"/>
                <w:szCs w:val="16"/>
                <w:color w:val="auto"/>
              </w:rPr>
              <w:t>212,918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96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Total non-current assets</w:t>
            </w:r>
          </w:p>
        </w:tc>
        <w:tc>
          <w:tcPr>
            <w:tcW w:w="700" w:type="dxa"/>
            <w:vAlign w:val="bottom"/>
            <w:tcBorders>
              <w:top w:val="single" w:sz="8" w:color="E5FFFF"/>
            </w:tcBorders>
            <w:shd w:val="clear" w:color="auto" w:fill="E5FFFF"/>
          </w:tcPr>
          <w:p>
            <w:pPr>
              <w:spacing w:after="0"/>
              <w:rPr>
                <w:sz w:val="17"/>
                <w:szCs w:val="17"/>
                <w:color w:val="auto"/>
              </w:rPr>
            </w:pPr>
          </w:p>
        </w:tc>
        <w:tc>
          <w:tcPr>
            <w:tcW w:w="280" w:type="dxa"/>
            <w:vAlign w:val="bottom"/>
            <w:tcBorders>
              <w:top w:val="single" w:sz="8" w:color="E5FFFF"/>
            </w:tcBorders>
            <w:shd w:val="clear" w:color="auto" w:fill="E5FFFF"/>
          </w:tcPr>
          <w:p>
            <w:pPr>
              <w:spacing w:after="0"/>
              <w:rPr>
                <w:sz w:val="17"/>
                <w:szCs w:val="17"/>
                <w:color w:val="auto"/>
              </w:rPr>
            </w:pPr>
          </w:p>
        </w:tc>
        <w:tc>
          <w:tcPr>
            <w:tcW w:w="380" w:type="dxa"/>
            <w:vAlign w:val="bottom"/>
            <w:tcBorders>
              <w:top w:val="single" w:sz="8" w:color="E5FFFF"/>
            </w:tcBorders>
            <w:shd w:val="clear" w:color="auto" w:fill="E5FFFF"/>
          </w:tcPr>
          <w:p>
            <w:pPr>
              <w:spacing w:after="0"/>
              <w:rPr>
                <w:sz w:val="17"/>
                <w:szCs w:val="17"/>
                <w:color w:val="auto"/>
              </w:rPr>
            </w:pPr>
          </w:p>
        </w:tc>
        <w:tc>
          <w:tcPr>
            <w:tcW w:w="13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4,735,919</w:t>
            </w:r>
          </w:p>
        </w:tc>
        <w:tc>
          <w:tcPr>
            <w:tcW w:w="280" w:type="dxa"/>
            <w:vAlign w:val="bottom"/>
            <w:tcBorders>
              <w:top w:val="single" w:sz="8" w:color="E5FFFF"/>
            </w:tcBorders>
            <w:shd w:val="clear" w:color="auto" w:fill="E5FFFF"/>
          </w:tcPr>
          <w:p>
            <w:pPr>
              <w:spacing w:after="0"/>
              <w:rPr>
                <w:sz w:val="17"/>
                <w:szCs w:val="17"/>
                <w:color w:val="auto"/>
              </w:rPr>
            </w:pPr>
          </w:p>
        </w:tc>
        <w:tc>
          <w:tcPr>
            <w:tcW w:w="360" w:type="dxa"/>
            <w:vAlign w:val="bottom"/>
            <w:tcBorders>
              <w:top w:val="single" w:sz="8" w:color="E5FFFF"/>
            </w:tcBorders>
            <w:shd w:val="clear" w:color="auto" w:fill="E5FFFF"/>
          </w:tcPr>
          <w:p>
            <w:pPr>
              <w:spacing w:after="0"/>
              <w:rPr>
                <w:sz w:val="17"/>
                <w:szCs w:val="17"/>
                <w:color w:val="auto"/>
              </w:rPr>
            </w:pPr>
          </w:p>
        </w:tc>
        <w:tc>
          <w:tcPr>
            <w:tcW w:w="11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4,907,392</w:t>
            </w:r>
          </w:p>
        </w:tc>
        <w:tc>
          <w:tcPr>
            <w:tcW w:w="20" w:type="dxa"/>
            <w:vAlign w:val="bottom"/>
            <w:tcBorders>
              <w:top w:val="single" w:sz="8" w:color="E5FFFF"/>
            </w:tcBorders>
            <w:shd w:val="clear" w:color="auto" w:fill="E5FFFF"/>
          </w:tcPr>
          <w:p>
            <w:pPr>
              <w:spacing w:after="0"/>
              <w:rPr>
                <w:sz w:val="17"/>
                <w:szCs w:val="17"/>
                <w:color w:val="auto"/>
              </w:rPr>
            </w:pPr>
          </w:p>
        </w:tc>
        <w:tc>
          <w:tcPr>
            <w:tcW w:w="80" w:type="dxa"/>
            <w:vAlign w:val="bottom"/>
            <w:tcBorders>
              <w:top w:val="single" w:sz="8" w:color="E5FFFF"/>
            </w:tcBorders>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6960" w:type="dxa"/>
            <w:vAlign w:val="bottom"/>
          </w:tcPr>
          <w:p>
            <w:pPr>
              <w:spacing w:after="0" w:line="183" w:lineRule="exact"/>
              <w:rPr>
                <w:sz w:val="20"/>
                <w:szCs w:val="20"/>
                <w:color w:val="auto"/>
              </w:rPr>
            </w:pPr>
            <w:r>
              <w:rPr>
                <w:rFonts w:ascii="Arial" w:cs="Arial" w:eastAsia="Arial" w:hAnsi="Arial"/>
                <w:sz w:val="16"/>
                <w:szCs w:val="16"/>
                <w:b w:val="1"/>
                <w:bCs w:val="1"/>
                <w:color w:val="auto"/>
              </w:rPr>
              <w:t>Current assets</w:t>
            </w: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960" w:type="dxa"/>
            <w:vAlign w:val="bottom"/>
            <w:shd w:val="clear" w:color="auto" w:fill="E5FFFF"/>
          </w:tcPr>
          <w:p>
            <w:pPr>
              <w:spacing w:after="0"/>
              <w:rPr>
                <w:sz w:val="20"/>
                <w:szCs w:val="20"/>
                <w:color w:val="auto"/>
              </w:rPr>
            </w:pPr>
            <w:r>
              <w:rPr>
                <w:rFonts w:ascii="Arial" w:cs="Arial" w:eastAsia="Arial" w:hAnsi="Arial"/>
                <w:sz w:val="16"/>
                <w:szCs w:val="16"/>
                <w:color w:val="auto"/>
              </w:rPr>
              <w:t>Trade and other receivables</w:t>
            </w:r>
          </w:p>
        </w:tc>
        <w:tc>
          <w:tcPr>
            <w:tcW w:w="70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2020" w:type="dxa"/>
            <w:vAlign w:val="bottom"/>
            <w:gridSpan w:val="3"/>
            <w:shd w:val="clear" w:color="auto" w:fill="E5FFFF"/>
          </w:tcPr>
          <w:p>
            <w:pPr>
              <w:jc w:val="right"/>
              <w:ind w:right="280"/>
              <w:spacing w:after="0"/>
              <w:rPr>
                <w:sz w:val="20"/>
                <w:szCs w:val="20"/>
                <w:color w:val="auto"/>
              </w:rPr>
            </w:pPr>
            <w:r>
              <w:rPr>
                <w:rFonts w:ascii="Arial" w:cs="Arial" w:eastAsia="Arial" w:hAnsi="Arial"/>
                <w:sz w:val="16"/>
                <w:szCs w:val="16"/>
                <w:color w:val="auto"/>
              </w:rPr>
              <w:t>20,244</w:t>
            </w:r>
          </w:p>
        </w:tc>
        <w:tc>
          <w:tcPr>
            <w:tcW w:w="1520" w:type="dxa"/>
            <w:vAlign w:val="bottom"/>
            <w:gridSpan w:val="3"/>
            <w:shd w:val="clear" w:color="auto" w:fill="E5FFFF"/>
          </w:tcPr>
          <w:p>
            <w:pPr>
              <w:jc w:val="right"/>
              <w:ind w:right="20"/>
              <w:spacing w:after="0"/>
              <w:rPr>
                <w:sz w:val="20"/>
                <w:szCs w:val="20"/>
                <w:color w:val="auto"/>
              </w:rPr>
            </w:pPr>
            <w:r>
              <w:rPr>
                <w:rFonts w:ascii="Arial" w:cs="Arial" w:eastAsia="Arial" w:hAnsi="Arial"/>
                <w:sz w:val="16"/>
                <w:szCs w:val="16"/>
                <w:color w:val="auto"/>
              </w:rPr>
              <w:t>19,368</w:t>
            </w:r>
          </w:p>
        </w:tc>
        <w:tc>
          <w:tcPr>
            <w:tcW w:w="8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60" w:type="dxa"/>
            <w:vAlign w:val="bottom"/>
          </w:tcPr>
          <w:p>
            <w:pPr>
              <w:spacing w:after="0"/>
              <w:rPr>
                <w:sz w:val="20"/>
                <w:szCs w:val="20"/>
                <w:color w:val="auto"/>
              </w:rPr>
            </w:pPr>
            <w:r>
              <w:rPr>
                <w:rFonts w:ascii="Arial" w:cs="Arial" w:eastAsia="Arial" w:hAnsi="Arial"/>
                <w:sz w:val="16"/>
                <w:szCs w:val="16"/>
                <w:color w:val="auto"/>
              </w:rPr>
              <w:t>Dividends receivable and other amounts due from related parties</w:t>
            </w:r>
          </w:p>
        </w:tc>
        <w:tc>
          <w:tcPr>
            <w:tcW w:w="700" w:type="dxa"/>
            <w:vAlign w:val="bottom"/>
          </w:tcPr>
          <w:p>
            <w:pPr>
              <w:jc w:val="center"/>
              <w:spacing w:after="0"/>
              <w:rPr>
                <w:sz w:val="20"/>
                <w:szCs w:val="20"/>
                <w:color w:val="auto"/>
              </w:rPr>
            </w:pPr>
            <w:r>
              <w:rPr>
                <w:rFonts w:ascii="Arial" w:cs="Arial" w:eastAsia="Arial" w:hAnsi="Arial"/>
                <w:sz w:val="16"/>
                <w:szCs w:val="16"/>
                <w:color w:val="auto"/>
                <w:w w:val="89"/>
              </w:rPr>
              <w:t>8</w:t>
            </w:r>
          </w:p>
        </w:tc>
        <w:tc>
          <w:tcPr>
            <w:tcW w:w="280" w:type="dxa"/>
            <w:vAlign w:val="bottom"/>
          </w:tcPr>
          <w:p>
            <w:pPr>
              <w:spacing w:after="0"/>
              <w:rPr>
                <w:sz w:val="17"/>
                <w:szCs w:val="17"/>
                <w:color w:val="auto"/>
              </w:rPr>
            </w:pPr>
          </w:p>
        </w:tc>
        <w:tc>
          <w:tcPr>
            <w:tcW w:w="2020" w:type="dxa"/>
            <w:vAlign w:val="bottom"/>
            <w:gridSpan w:val="3"/>
          </w:tcPr>
          <w:p>
            <w:pPr>
              <w:jc w:val="right"/>
              <w:ind w:right="280"/>
              <w:spacing w:after="0"/>
              <w:rPr>
                <w:sz w:val="20"/>
                <w:szCs w:val="20"/>
                <w:color w:val="auto"/>
              </w:rPr>
            </w:pPr>
            <w:r>
              <w:rPr>
                <w:rFonts w:ascii="Arial" w:cs="Arial" w:eastAsia="Arial" w:hAnsi="Arial"/>
                <w:sz w:val="16"/>
                <w:szCs w:val="16"/>
                <w:color w:val="auto"/>
              </w:rPr>
              <w:t>33,395</w:t>
            </w:r>
          </w:p>
        </w:tc>
        <w:tc>
          <w:tcPr>
            <w:tcW w:w="1520" w:type="dxa"/>
            <w:vAlign w:val="bottom"/>
            <w:gridSpan w:val="3"/>
          </w:tcPr>
          <w:p>
            <w:pPr>
              <w:jc w:val="right"/>
              <w:ind w:right="20"/>
              <w:spacing w:after="0"/>
              <w:rPr>
                <w:sz w:val="20"/>
                <w:szCs w:val="20"/>
                <w:color w:val="auto"/>
              </w:rPr>
            </w:pPr>
            <w:r>
              <w:rPr>
                <w:rFonts w:ascii="Arial" w:cs="Arial" w:eastAsia="Arial" w:hAnsi="Arial"/>
                <w:sz w:val="16"/>
                <w:szCs w:val="16"/>
                <w:color w:val="auto"/>
              </w:rPr>
              <w:t>5,330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60" w:type="dxa"/>
            <w:vAlign w:val="bottom"/>
            <w:shd w:val="clear" w:color="auto" w:fill="E5FFFF"/>
          </w:tcPr>
          <w:p>
            <w:pPr>
              <w:spacing w:after="0"/>
              <w:rPr>
                <w:sz w:val="20"/>
                <w:szCs w:val="20"/>
                <w:color w:val="auto"/>
              </w:rPr>
            </w:pPr>
            <w:r>
              <w:rPr>
                <w:rFonts w:ascii="Arial" w:cs="Arial" w:eastAsia="Arial" w:hAnsi="Arial"/>
                <w:sz w:val="16"/>
                <w:szCs w:val="16"/>
                <w:color w:val="auto"/>
              </w:rPr>
              <w:t>Derivative financial instruments</w:t>
            </w:r>
          </w:p>
        </w:tc>
        <w:tc>
          <w:tcPr>
            <w:tcW w:w="70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15</w:t>
            </w:r>
          </w:p>
        </w:tc>
        <w:tc>
          <w:tcPr>
            <w:tcW w:w="280" w:type="dxa"/>
            <w:vAlign w:val="bottom"/>
            <w:shd w:val="clear" w:color="auto" w:fill="E5FFFF"/>
          </w:tcPr>
          <w:p>
            <w:pPr>
              <w:spacing w:after="0"/>
              <w:rPr>
                <w:sz w:val="17"/>
                <w:szCs w:val="17"/>
                <w:color w:val="auto"/>
              </w:rPr>
            </w:pPr>
          </w:p>
        </w:tc>
        <w:tc>
          <w:tcPr>
            <w:tcW w:w="2020" w:type="dxa"/>
            <w:vAlign w:val="bottom"/>
            <w:gridSpan w:val="3"/>
            <w:shd w:val="clear" w:color="auto" w:fill="E5FFFF"/>
          </w:tcPr>
          <w:p>
            <w:pPr>
              <w:jc w:val="right"/>
              <w:ind w:right="280"/>
              <w:spacing w:after="0"/>
              <w:rPr>
                <w:sz w:val="20"/>
                <w:szCs w:val="20"/>
                <w:color w:val="auto"/>
              </w:rPr>
            </w:pPr>
            <w:r>
              <w:rPr>
                <w:rFonts w:ascii="Arial" w:cs="Arial" w:eastAsia="Arial" w:hAnsi="Arial"/>
                <w:sz w:val="16"/>
                <w:szCs w:val="16"/>
                <w:color w:val="auto"/>
              </w:rPr>
              <w:t>6,222</w:t>
            </w:r>
          </w:p>
        </w:tc>
        <w:tc>
          <w:tcPr>
            <w:tcW w:w="1520" w:type="dxa"/>
            <w:vAlign w:val="bottom"/>
            <w:gridSpan w:val="3"/>
            <w:shd w:val="clear" w:color="auto" w:fill="E5FFFF"/>
          </w:tcPr>
          <w:p>
            <w:pPr>
              <w:jc w:val="right"/>
              <w:ind w:right="20"/>
              <w:spacing w:after="0"/>
              <w:rPr>
                <w:sz w:val="20"/>
                <w:szCs w:val="20"/>
                <w:color w:val="auto"/>
              </w:rPr>
            </w:pPr>
            <w:r>
              <w:rPr>
                <w:rFonts w:ascii="Arial" w:cs="Arial" w:eastAsia="Arial" w:hAnsi="Arial"/>
                <w:sz w:val="16"/>
                <w:szCs w:val="16"/>
                <w:color w:val="auto"/>
              </w:rPr>
              <w:t>4,236</w:t>
            </w:r>
          </w:p>
        </w:tc>
        <w:tc>
          <w:tcPr>
            <w:tcW w:w="8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60" w:type="dxa"/>
            <w:vAlign w:val="bottom"/>
          </w:tcPr>
          <w:p>
            <w:pPr>
              <w:spacing w:after="0"/>
              <w:rPr>
                <w:sz w:val="20"/>
                <w:szCs w:val="20"/>
                <w:color w:val="auto"/>
              </w:rPr>
            </w:pPr>
            <w:r>
              <w:rPr>
                <w:rFonts w:ascii="Arial" w:cs="Arial" w:eastAsia="Arial" w:hAnsi="Arial"/>
                <w:sz w:val="16"/>
                <w:szCs w:val="16"/>
                <w:color w:val="auto"/>
              </w:rPr>
              <w:t>Inventories</w:t>
            </w: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20" w:type="dxa"/>
            <w:vAlign w:val="bottom"/>
            <w:gridSpan w:val="3"/>
          </w:tcPr>
          <w:p>
            <w:pPr>
              <w:jc w:val="right"/>
              <w:ind w:right="280"/>
              <w:spacing w:after="0"/>
              <w:rPr>
                <w:sz w:val="20"/>
                <w:szCs w:val="20"/>
                <w:color w:val="auto"/>
              </w:rPr>
            </w:pPr>
            <w:r>
              <w:rPr>
                <w:rFonts w:ascii="Arial" w:cs="Arial" w:eastAsia="Arial" w:hAnsi="Arial"/>
                <w:sz w:val="16"/>
                <w:szCs w:val="16"/>
                <w:color w:val="auto"/>
              </w:rPr>
              <w:t>7,753</w:t>
            </w:r>
          </w:p>
        </w:tc>
        <w:tc>
          <w:tcPr>
            <w:tcW w:w="1600" w:type="dxa"/>
            <w:vAlign w:val="bottom"/>
            <w:gridSpan w:val="4"/>
          </w:tcPr>
          <w:p>
            <w:pPr>
              <w:jc w:val="right"/>
              <w:ind w:right="100"/>
              <w:spacing w:after="0"/>
              <w:rPr>
                <w:sz w:val="20"/>
                <w:szCs w:val="20"/>
                <w:color w:val="auto"/>
              </w:rPr>
            </w:pPr>
            <w:r>
              <w:rPr>
                <w:rFonts w:ascii="Arial" w:cs="Arial" w:eastAsia="Arial" w:hAnsi="Arial"/>
                <w:sz w:val="16"/>
                <w:szCs w:val="16"/>
                <w:color w:val="auto"/>
              </w:rPr>
              <w:t>11,932</w:t>
            </w:r>
          </w:p>
        </w:tc>
        <w:tc>
          <w:tcPr>
            <w:tcW w:w="0" w:type="dxa"/>
            <w:vAlign w:val="bottom"/>
          </w:tcPr>
          <w:p>
            <w:pPr>
              <w:spacing w:after="0"/>
              <w:rPr>
                <w:sz w:val="1"/>
                <w:szCs w:val="1"/>
                <w:color w:val="auto"/>
              </w:rPr>
            </w:pPr>
          </w:p>
        </w:tc>
      </w:tr>
      <w:tr>
        <w:trPr>
          <w:trHeight w:val="203"/>
        </w:trPr>
        <w:tc>
          <w:tcPr>
            <w:tcW w:w="6960" w:type="dxa"/>
            <w:vAlign w:val="bottom"/>
            <w:shd w:val="clear" w:color="auto" w:fill="E5FFFF"/>
          </w:tcPr>
          <w:p>
            <w:pPr>
              <w:spacing w:after="0"/>
              <w:rPr>
                <w:sz w:val="20"/>
                <w:szCs w:val="20"/>
                <w:color w:val="auto"/>
              </w:rPr>
            </w:pPr>
            <w:r>
              <w:rPr>
                <w:rFonts w:ascii="Arial" w:cs="Arial" w:eastAsia="Arial" w:hAnsi="Arial"/>
                <w:sz w:val="16"/>
                <w:szCs w:val="16"/>
                <w:color w:val="auto"/>
              </w:rPr>
              <w:t>Prepayments and other current assets</w:t>
            </w:r>
          </w:p>
        </w:tc>
        <w:tc>
          <w:tcPr>
            <w:tcW w:w="70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2020" w:type="dxa"/>
            <w:vAlign w:val="bottom"/>
            <w:gridSpan w:val="3"/>
            <w:shd w:val="clear" w:color="auto" w:fill="E5FFFF"/>
          </w:tcPr>
          <w:p>
            <w:pPr>
              <w:jc w:val="right"/>
              <w:ind w:right="280"/>
              <w:spacing w:after="0"/>
              <w:rPr>
                <w:sz w:val="20"/>
                <w:szCs w:val="20"/>
                <w:color w:val="auto"/>
              </w:rPr>
            </w:pPr>
            <w:r>
              <w:rPr>
                <w:rFonts w:ascii="Arial" w:cs="Arial" w:eastAsia="Arial" w:hAnsi="Arial"/>
                <w:sz w:val="16"/>
                <w:szCs w:val="16"/>
                <w:color w:val="auto"/>
              </w:rPr>
              <w:t>3,680</w:t>
            </w:r>
          </w:p>
        </w:tc>
        <w:tc>
          <w:tcPr>
            <w:tcW w:w="1520" w:type="dxa"/>
            <w:vAlign w:val="bottom"/>
            <w:gridSpan w:val="3"/>
            <w:shd w:val="clear" w:color="auto" w:fill="E5FFFF"/>
          </w:tcPr>
          <w:p>
            <w:pPr>
              <w:jc w:val="right"/>
              <w:ind w:right="20"/>
              <w:spacing w:after="0"/>
              <w:rPr>
                <w:sz w:val="20"/>
                <w:szCs w:val="20"/>
                <w:color w:val="auto"/>
              </w:rPr>
            </w:pPr>
            <w:r>
              <w:rPr>
                <w:rFonts w:ascii="Arial" w:cs="Arial" w:eastAsia="Arial" w:hAnsi="Arial"/>
                <w:sz w:val="16"/>
                <w:szCs w:val="16"/>
                <w:color w:val="auto"/>
              </w:rPr>
              <w:t>5,462</w:t>
            </w:r>
          </w:p>
        </w:tc>
        <w:tc>
          <w:tcPr>
            <w:tcW w:w="8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60" w:type="dxa"/>
            <w:vAlign w:val="bottom"/>
          </w:tcPr>
          <w:p>
            <w:pPr>
              <w:spacing w:after="0"/>
              <w:rPr>
                <w:sz w:val="20"/>
                <w:szCs w:val="20"/>
                <w:color w:val="auto"/>
              </w:rPr>
            </w:pPr>
            <w:r>
              <w:rPr>
                <w:rFonts w:ascii="Arial" w:cs="Arial" w:eastAsia="Arial" w:hAnsi="Arial"/>
                <w:sz w:val="16"/>
                <w:szCs w:val="16"/>
                <w:color w:val="auto"/>
              </w:rPr>
              <w:t>Short-term investments</w:t>
            </w: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20" w:type="dxa"/>
            <w:vAlign w:val="bottom"/>
            <w:gridSpan w:val="3"/>
          </w:tcPr>
          <w:p>
            <w:pPr>
              <w:jc w:val="right"/>
              <w:ind w:right="280"/>
              <w:spacing w:after="0"/>
              <w:rPr>
                <w:sz w:val="20"/>
                <w:szCs w:val="20"/>
                <w:color w:val="auto"/>
              </w:rPr>
            </w:pPr>
            <w:r>
              <w:rPr>
                <w:rFonts w:ascii="Arial" w:cs="Arial" w:eastAsia="Arial" w:hAnsi="Arial"/>
                <w:sz w:val="16"/>
                <w:szCs w:val="16"/>
                <w:color w:val="auto"/>
              </w:rPr>
              <w:t>25,000</w:t>
            </w:r>
          </w:p>
        </w:tc>
        <w:tc>
          <w:tcPr>
            <w:tcW w:w="1520" w:type="dxa"/>
            <w:vAlign w:val="bottom"/>
            <w:gridSpan w:val="3"/>
          </w:tcPr>
          <w:p>
            <w:pPr>
              <w:jc w:val="right"/>
              <w:ind w:right="20"/>
              <w:spacing w:after="0"/>
              <w:rPr>
                <w:sz w:val="20"/>
                <w:szCs w:val="20"/>
                <w:color w:val="auto"/>
              </w:rPr>
            </w:pPr>
            <w:r>
              <w:rPr>
                <w:rFonts w:ascii="Arial" w:cs="Arial" w:eastAsia="Arial" w:hAnsi="Arial"/>
                <w:sz w:val="16"/>
                <w:szCs w:val="16"/>
                <w:color w:val="auto"/>
              </w:rPr>
              <w:t>10,000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60" w:type="dxa"/>
            <w:vAlign w:val="bottom"/>
            <w:shd w:val="clear" w:color="auto" w:fill="E5FFFF"/>
          </w:tcPr>
          <w:p>
            <w:pPr>
              <w:spacing w:after="0"/>
              <w:rPr>
                <w:sz w:val="20"/>
                <w:szCs w:val="20"/>
                <w:color w:val="auto"/>
              </w:rPr>
            </w:pPr>
            <w:r>
              <w:rPr>
                <w:rFonts w:ascii="Arial" w:cs="Arial" w:eastAsia="Arial" w:hAnsi="Arial"/>
                <w:sz w:val="16"/>
                <w:szCs w:val="16"/>
                <w:color w:val="auto"/>
              </w:rPr>
              <w:t>Cash and cash equivalents</w:t>
            </w:r>
          </w:p>
        </w:tc>
        <w:tc>
          <w:tcPr>
            <w:tcW w:w="70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2020" w:type="dxa"/>
            <w:vAlign w:val="bottom"/>
            <w:gridSpan w:val="3"/>
            <w:shd w:val="clear" w:color="auto" w:fill="E5FFFF"/>
          </w:tcPr>
          <w:p>
            <w:pPr>
              <w:jc w:val="right"/>
              <w:ind w:right="280"/>
              <w:spacing w:after="0"/>
              <w:rPr>
                <w:sz w:val="20"/>
                <w:szCs w:val="20"/>
                <w:color w:val="auto"/>
              </w:rPr>
            </w:pPr>
            <w:r>
              <w:rPr>
                <w:rFonts w:ascii="Arial" w:cs="Arial" w:eastAsia="Arial" w:hAnsi="Arial"/>
                <w:sz w:val="16"/>
                <w:szCs w:val="16"/>
                <w:color w:val="auto"/>
              </w:rPr>
              <w:t>342,594</w:t>
            </w:r>
          </w:p>
        </w:tc>
        <w:tc>
          <w:tcPr>
            <w:tcW w:w="1520" w:type="dxa"/>
            <w:vAlign w:val="bottom"/>
            <w:gridSpan w:val="3"/>
            <w:shd w:val="clear" w:color="auto" w:fill="E5FFFF"/>
          </w:tcPr>
          <w:p>
            <w:pPr>
              <w:jc w:val="right"/>
              <w:ind w:right="20"/>
              <w:spacing w:after="0"/>
              <w:rPr>
                <w:sz w:val="20"/>
                <w:szCs w:val="20"/>
                <w:color w:val="auto"/>
              </w:rPr>
            </w:pPr>
            <w:r>
              <w:rPr>
                <w:rFonts w:ascii="Arial" w:cs="Arial" w:eastAsia="Arial" w:hAnsi="Arial"/>
                <w:sz w:val="16"/>
                <w:szCs w:val="16"/>
                <w:color w:val="auto"/>
              </w:rPr>
              <w:t>230,750</w:t>
            </w:r>
          </w:p>
        </w:tc>
        <w:tc>
          <w:tcPr>
            <w:tcW w:w="8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96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Total current assets</w:t>
            </w:r>
          </w:p>
        </w:tc>
        <w:tc>
          <w:tcPr>
            <w:tcW w:w="700" w:type="dxa"/>
            <w:vAlign w:val="bottom"/>
            <w:tcBorders>
              <w:bottom w:val="single" w:sz="8" w:color="E5FFFF"/>
            </w:tcBorders>
          </w:tcPr>
          <w:p>
            <w:pPr>
              <w:spacing w:after="0"/>
              <w:rPr>
                <w:sz w:val="17"/>
                <w:szCs w:val="17"/>
                <w:color w:val="auto"/>
              </w:rPr>
            </w:pPr>
          </w:p>
        </w:tc>
        <w:tc>
          <w:tcPr>
            <w:tcW w:w="280" w:type="dxa"/>
            <w:vAlign w:val="bottom"/>
            <w:tcBorders>
              <w:bottom w:val="single" w:sz="8" w:color="E5FFFF"/>
            </w:tcBorders>
          </w:tcPr>
          <w:p>
            <w:pPr>
              <w:spacing w:after="0"/>
              <w:rPr>
                <w:sz w:val="17"/>
                <w:szCs w:val="17"/>
                <w:color w:val="auto"/>
              </w:rPr>
            </w:pPr>
          </w:p>
        </w:tc>
        <w:tc>
          <w:tcPr>
            <w:tcW w:w="380" w:type="dxa"/>
            <w:vAlign w:val="bottom"/>
            <w:tcBorders>
              <w:bottom w:val="single" w:sz="8" w:color="E5FFFF"/>
            </w:tcBorders>
          </w:tcPr>
          <w:p>
            <w:pPr>
              <w:spacing w:after="0"/>
              <w:rPr>
                <w:sz w:val="17"/>
                <w:szCs w:val="17"/>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438,888</w:t>
            </w:r>
          </w:p>
        </w:tc>
        <w:tc>
          <w:tcPr>
            <w:tcW w:w="280" w:type="dxa"/>
            <w:vAlign w:val="bottom"/>
            <w:tcBorders>
              <w:bottom w:val="single" w:sz="8" w:color="E5FFFF"/>
            </w:tcBorders>
          </w:tcPr>
          <w:p>
            <w:pPr>
              <w:spacing w:after="0"/>
              <w:rPr>
                <w:sz w:val="17"/>
                <w:szCs w:val="17"/>
                <w:color w:val="auto"/>
              </w:rPr>
            </w:pPr>
          </w:p>
        </w:tc>
        <w:tc>
          <w:tcPr>
            <w:tcW w:w="360" w:type="dxa"/>
            <w:vAlign w:val="bottom"/>
            <w:tcBorders>
              <w:bottom w:val="single" w:sz="8" w:color="E5FFFF"/>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287,078</w:t>
            </w:r>
          </w:p>
        </w:tc>
        <w:tc>
          <w:tcPr>
            <w:tcW w:w="20" w:type="dxa"/>
            <w:vAlign w:val="bottom"/>
            <w:tcBorders>
              <w:bottom w:val="single" w:sz="8" w:color="E5FFFF"/>
            </w:tcBorders>
          </w:tcPr>
          <w:p>
            <w:pPr>
              <w:spacing w:after="0"/>
              <w:rPr>
                <w:sz w:val="17"/>
                <w:szCs w:val="17"/>
                <w:color w:val="auto"/>
              </w:rPr>
            </w:pPr>
          </w:p>
        </w:tc>
        <w:tc>
          <w:tcPr>
            <w:tcW w:w="80" w:type="dxa"/>
            <w:vAlign w:val="bottom"/>
            <w:tcBorders>
              <w:bottom w:val="single" w:sz="8" w:color="E5FF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96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Total assets</w:t>
            </w:r>
          </w:p>
        </w:tc>
        <w:tc>
          <w:tcPr>
            <w:tcW w:w="700" w:type="dxa"/>
            <w:vAlign w:val="bottom"/>
            <w:tcBorders>
              <w:bottom w:val="single" w:sz="8" w:color="E5FFFF"/>
            </w:tcBorders>
            <w:shd w:val="clear" w:color="auto" w:fill="E5FFFF"/>
          </w:tcPr>
          <w:p>
            <w:pPr>
              <w:spacing w:after="0"/>
              <w:rPr>
                <w:sz w:val="17"/>
                <w:szCs w:val="17"/>
                <w:color w:val="auto"/>
              </w:rPr>
            </w:pPr>
          </w:p>
        </w:tc>
        <w:tc>
          <w:tcPr>
            <w:tcW w:w="280" w:type="dxa"/>
            <w:vAlign w:val="bottom"/>
            <w:tcBorders>
              <w:bottom w:val="single" w:sz="8" w:color="E5FFFF"/>
            </w:tcBorders>
            <w:shd w:val="clear" w:color="auto" w:fill="E5FFFF"/>
          </w:tcPr>
          <w:p>
            <w:pPr>
              <w:spacing w:after="0"/>
              <w:rPr>
                <w:sz w:val="17"/>
                <w:szCs w:val="17"/>
                <w:color w:val="auto"/>
              </w:rPr>
            </w:pPr>
          </w:p>
        </w:tc>
        <w:tc>
          <w:tcPr>
            <w:tcW w:w="380" w:type="dxa"/>
            <w:vAlign w:val="bottom"/>
            <w:tcBorders>
              <w:bottom w:val="single" w:sz="8" w:color="E5FFFF"/>
            </w:tcBorders>
            <w:shd w:val="clear" w:color="auto" w:fill="E5FFFF"/>
          </w:tcPr>
          <w:p>
            <w:pPr>
              <w:spacing w:after="0"/>
              <w:rPr>
                <w:sz w:val="17"/>
                <w:szCs w:val="17"/>
                <w:color w:val="auto"/>
              </w:rPr>
            </w:pPr>
          </w:p>
        </w:tc>
        <w:tc>
          <w:tcPr>
            <w:tcW w:w="13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5,174,807</w:t>
            </w:r>
          </w:p>
        </w:tc>
        <w:tc>
          <w:tcPr>
            <w:tcW w:w="280" w:type="dxa"/>
            <w:vAlign w:val="bottom"/>
            <w:tcBorders>
              <w:bottom w:val="single" w:sz="8" w:color="E5FFFF"/>
            </w:tcBorders>
            <w:shd w:val="clear" w:color="auto" w:fill="E5FFFF"/>
          </w:tcPr>
          <w:p>
            <w:pPr>
              <w:spacing w:after="0"/>
              <w:rPr>
                <w:sz w:val="17"/>
                <w:szCs w:val="17"/>
                <w:color w:val="auto"/>
              </w:rPr>
            </w:pPr>
          </w:p>
        </w:tc>
        <w:tc>
          <w:tcPr>
            <w:tcW w:w="360" w:type="dxa"/>
            <w:vAlign w:val="bottom"/>
            <w:tcBorders>
              <w:bottom w:val="single" w:sz="8" w:color="E5FFFF"/>
            </w:tcBorders>
            <w:shd w:val="clear" w:color="auto" w:fill="E5FFFF"/>
          </w:tcPr>
          <w:p>
            <w:pPr>
              <w:spacing w:after="0"/>
              <w:rPr>
                <w:sz w:val="17"/>
                <w:szCs w:val="17"/>
                <w:color w:val="auto"/>
              </w:rPr>
            </w:pPr>
          </w:p>
        </w:tc>
        <w:tc>
          <w:tcPr>
            <w:tcW w:w="11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5,194,470</w:t>
            </w:r>
          </w:p>
        </w:tc>
        <w:tc>
          <w:tcPr>
            <w:tcW w:w="20" w:type="dxa"/>
            <w:vAlign w:val="bottom"/>
            <w:tcBorders>
              <w:bottom w:val="single" w:sz="8" w:color="E5FFFF"/>
            </w:tcBorders>
            <w:shd w:val="clear" w:color="auto" w:fill="E5FFFF"/>
          </w:tcPr>
          <w:p>
            <w:pPr>
              <w:spacing w:after="0"/>
              <w:rPr>
                <w:sz w:val="17"/>
                <w:szCs w:val="17"/>
                <w:color w:val="auto"/>
              </w:rPr>
            </w:pPr>
          </w:p>
        </w:tc>
        <w:tc>
          <w:tcPr>
            <w:tcW w:w="80" w:type="dxa"/>
            <w:vAlign w:val="bottom"/>
            <w:tcBorders>
              <w:bottom w:val="single" w:sz="8" w:color="E5FFFF"/>
            </w:tcBorders>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960" w:type="dxa"/>
            <w:vAlign w:val="bottom"/>
            <w:vMerge w:val="restart"/>
          </w:tcPr>
          <w:p>
            <w:pPr>
              <w:spacing w:after="0"/>
              <w:rPr>
                <w:sz w:val="20"/>
                <w:szCs w:val="20"/>
                <w:color w:val="auto"/>
              </w:rPr>
            </w:pPr>
            <w:r>
              <w:rPr>
                <w:rFonts w:ascii="Arial" w:cs="Arial" w:eastAsia="Arial" w:hAnsi="Arial"/>
                <w:sz w:val="16"/>
                <w:szCs w:val="16"/>
                <w:b w:val="1"/>
                <w:bCs w:val="1"/>
                <w:color w:val="auto"/>
              </w:rPr>
              <w:t>Equity and liabilities</w:t>
            </w: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960" w:type="dxa"/>
            <w:vAlign w:val="bottom"/>
            <w:vMerge w:val="continue"/>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696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Equity</w:t>
            </w:r>
          </w:p>
        </w:tc>
        <w:tc>
          <w:tcPr>
            <w:tcW w:w="70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380" w:type="dxa"/>
            <w:vAlign w:val="bottom"/>
            <w:shd w:val="clear" w:color="auto" w:fill="E5FFFF"/>
          </w:tcPr>
          <w:p>
            <w:pPr>
              <w:spacing w:after="0"/>
              <w:rPr>
                <w:sz w:val="17"/>
                <w:szCs w:val="17"/>
                <w:color w:val="auto"/>
              </w:rPr>
            </w:pPr>
          </w:p>
        </w:tc>
        <w:tc>
          <w:tcPr>
            <w:tcW w:w="136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360" w:type="dxa"/>
            <w:vAlign w:val="bottom"/>
            <w:shd w:val="clear" w:color="auto" w:fill="E5FFFF"/>
          </w:tcPr>
          <w:p>
            <w:pPr>
              <w:spacing w:after="0"/>
              <w:rPr>
                <w:sz w:val="17"/>
                <w:szCs w:val="17"/>
                <w:color w:val="auto"/>
              </w:rPr>
            </w:pPr>
          </w:p>
        </w:tc>
        <w:tc>
          <w:tcPr>
            <w:tcW w:w="114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60" w:type="dxa"/>
            <w:vAlign w:val="bottom"/>
          </w:tcPr>
          <w:p>
            <w:pPr>
              <w:spacing w:after="0"/>
              <w:rPr>
                <w:sz w:val="20"/>
                <w:szCs w:val="20"/>
                <w:color w:val="auto"/>
              </w:rPr>
            </w:pPr>
            <w:r>
              <w:rPr>
                <w:rFonts w:ascii="Arial" w:cs="Arial" w:eastAsia="Arial" w:hAnsi="Arial"/>
                <w:sz w:val="16"/>
                <w:szCs w:val="16"/>
                <w:color w:val="auto"/>
              </w:rPr>
              <w:t>Preference shares</w:t>
            </w:r>
          </w:p>
        </w:tc>
        <w:tc>
          <w:tcPr>
            <w:tcW w:w="700" w:type="dxa"/>
            <w:vAlign w:val="bottom"/>
          </w:tcPr>
          <w:p>
            <w:pPr>
              <w:jc w:val="center"/>
              <w:spacing w:after="0"/>
              <w:rPr>
                <w:sz w:val="20"/>
                <w:szCs w:val="20"/>
                <w:color w:val="auto"/>
              </w:rPr>
            </w:pPr>
            <w:r>
              <w:rPr>
                <w:rFonts w:ascii="Arial" w:cs="Arial" w:eastAsia="Arial" w:hAnsi="Arial"/>
                <w:sz w:val="16"/>
                <w:szCs w:val="16"/>
                <w:color w:val="auto"/>
                <w:w w:val="89"/>
              </w:rPr>
              <w:t>13</w:t>
            </w:r>
          </w:p>
        </w:tc>
        <w:tc>
          <w:tcPr>
            <w:tcW w:w="280" w:type="dxa"/>
            <w:vAlign w:val="bottom"/>
          </w:tcPr>
          <w:p>
            <w:pPr>
              <w:spacing w:after="0"/>
              <w:rPr>
                <w:sz w:val="17"/>
                <w:szCs w:val="17"/>
                <w:color w:val="auto"/>
              </w:rPr>
            </w:pPr>
          </w:p>
        </w:tc>
        <w:tc>
          <w:tcPr>
            <w:tcW w:w="2020" w:type="dxa"/>
            <w:vAlign w:val="bottom"/>
            <w:gridSpan w:val="3"/>
          </w:tcPr>
          <w:p>
            <w:pPr>
              <w:jc w:val="right"/>
              <w:ind w:right="280"/>
              <w:spacing w:after="0"/>
              <w:rPr>
                <w:sz w:val="20"/>
                <w:szCs w:val="20"/>
                <w:color w:val="auto"/>
              </w:rPr>
            </w:pPr>
            <w:r>
              <w:rPr>
                <w:rFonts w:ascii="Arial" w:cs="Arial" w:eastAsia="Arial" w:hAnsi="Arial"/>
                <w:sz w:val="16"/>
                <w:szCs w:val="16"/>
                <w:color w:val="auto"/>
              </w:rPr>
              <w:t>46</w:t>
            </w:r>
          </w:p>
        </w:tc>
        <w:tc>
          <w:tcPr>
            <w:tcW w:w="1520" w:type="dxa"/>
            <w:vAlign w:val="bottom"/>
            <w:gridSpan w:val="3"/>
          </w:tcPr>
          <w:p>
            <w:pPr>
              <w:jc w:val="right"/>
              <w:ind w:right="20"/>
              <w:spacing w:after="0"/>
              <w:rPr>
                <w:sz w:val="20"/>
                <w:szCs w:val="20"/>
                <w:color w:val="auto"/>
              </w:rPr>
            </w:pPr>
            <w:r>
              <w:rPr>
                <w:rFonts w:ascii="Arial" w:cs="Arial" w:eastAsia="Arial" w:hAnsi="Arial"/>
                <w:sz w:val="16"/>
                <w:szCs w:val="16"/>
                <w:color w:val="auto"/>
              </w:rPr>
              <w:t>46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60" w:type="dxa"/>
            <w:vAlign w:val="bottom"/>
            <w:shd w:val="clear" w:color="auto" w:fill="E5FFFF"/>
          </w:tcPr>
          <w:p>
            <w:pPr>
              <w:spacing w:after="0"/>
              <w:rPr>
                <w:sz w:val="20"/>
                <w:szCs w:val="20"/>
                <w:color w:val="auto"/>
              </w:rPr>
            </w:pPr>
            <w:r>
              <w:rPr>
                <w:rFonts w:ascii="Arial" w:cs="Arial" w:eastAsia="Arial" w:hAnsi="Arial"/>
                <w:sz w:val="16"/>
                <w:szCs w:val="16"/>
                <w:color w:val="auto"/>
              </w:rPr>
              <w:t>Share capital</w:t>
            </w:r>
          </w:p>
        </w:tc>
        <w:tc>
          <w:tcPr>
            <w:tcW w:w="70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13</w:t>
            </w:r>
          </w:p>
        </w:tc>
        <w:tc>
          <w:tcPr>
            <w:tcW w:w="280" w:type="dxa"/>
            <w:vAlign w:val="bottom"/>
            <w:shd w:val="clear" w:color="auto" w:fill="E5FFFF"/>
          </w:tcPr>
          <w:p>
            <w:pPr>
              <w:spacing w:after="0"/>
              <w:rPr>
                <w:sz w:val="17"/>
                <w:szCs w:val="17"/>
                <w:color w:val="auto"/>
              </w:rPr>
            </w:pPr>
          </w:p>
        </w:tc>
        <w:tc>
          <w:tcPr>
            <w:tcW w:w="2020" w:type="dxa"/>
            <w:vAlign w:val="bottom"/>
            <w:gridSpan w:val="3"/>
            <w:shd w:val="clear" w:color="auto" w:fill="E5FFFF"/>
          </w:tcPr>
          <w:p>
            <w:pPr>
              <w:jc w:val="right"/>
              <w:ind w:right="280"/>
              <w:spacing w:after="0"/>
              <w:rPr>
                <w:sz w:val="20"/>
                <w:szCs w:val="20"/>
                <w:color w:val="auto"/>
              </w:rPr>
            </w:pPr>
            <w:r>
              <w:rPr>
                <w:rFonts w:ascii="Arial" w:cs="Arial" w:eastAsia="Arial" w:hAnsi="Arial"/>
                <w:sz w:val="16"/>
                <w:szCs w:val="16"/>
                <w:color w:val="auto"/>
              </w:rPr>
              <w:t>810</w:t>
            </w:r>
          </w:p>
        </w:tc>
        <w:tc>
          <w:tcPr>
            <w:tcW w:w="1520" w:type="dxa"/>
            <w:vAlign w:val="bottom"/>
            <w:gridSpan w:val="3"/>
            <w:shd w:val="clear" w:color="auto" w:fill="E5FFFF"/>
          </w:tcPr>
          <w:p>
            <w:pPr>
              <w:jc w:val="right"/>
              <w:ind w:right="20"/>
              <w:spacing w:after="0"/>
              <w:rPr>
                <w:sz w:val="20"/>
                <w:szCs w:val="20"/>
                <w:color w:val="auto"/>
              </w:rPr>
            </w:pPr>
            <w:r>
              <w:rPr>
                <w:rFonts w:ascii="Arial" w:cs="Arial" w:eastAsia="Arial" w:hAnsi="Arial"/>
                <w:sz w:val="16"/>
                <w:szCs w:val="16"/>
                <w:color w:val="auto"/>
              </w:rPr>
              <w:t>810</w:t>
            </w:r>
          </w:p>
        </w:tc>
        <w:tc>
          <w:tcPr>
            <w:tcW w:w="8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60" w:type="dxa"/>
            <w:vAlign w:val="bottom"/>
          </w:tcPr>
          <w:p>
            <w:pPr>
              <w:spacing w:after="0"/>
              <w:rPr>
                <w:sz w:val="20"/>
                <w:szCs w:val="20"/>
                <w:color w:val="auto"/>
              </w:rPr>
            </w:pPr>
            <w:r>
              <w:rPr>
                <w:rFonts w:ascii="Arial" w:cs="Arial" w:eastAsia="Arial" w:hAnsi="Arial"/>
                <w:sz w:val="16"/>
                <w:szCs w:val="16"/>
                <w:color w:val="auto"/>
              </w:rPr>
              <w:t>Contributed surplus</w:t>
            </w:r>
          </w:p>
        </w:tc>
        <w:tc>
          <w:tcPr>
            <w:tcW w:w="700" w:type="dxa"/>
            <w:vAlign w:val="bottom"/>
          </w:tcPr>
          <w:p>
            <w:pPr>
              <w:jc w:val="center"/>
              <w:spacing w:after="0"/>
              <w:rPr>
                <w:sz w:val="20"/>
                <w:szCs w:val="20"/>
                <w:color w:val="auto"/>
              </w:rPr>
            </w:pPr>
            <w:r>
              <w:rPr>
                <w:rFonts w:ascii="Arial" w:cs="Arial" w:eastAsia="Arial" w:hAnsi="Arial"/>
                <w:sz w:val="16"/>
                <w:szCs w:val="16"/>
                <w:color w:val="auto"/>
                <w:w w:val="89"/>
              </w:rPr>
              <w:t>13</w:t>
            </w:r>
          </w:p>
        </w:tc>
        <w:tc>
          <w:tcPr>
            <w:tcW w:w="280" w:type="dxa"/>
            <w:vAlign w:val="bottom"/>
          </w:tcPr>
          <w:p>
            <w:pPr>
              <w:spacing w:after="0"/>
              <w:rPr>
                <w:sz w:val="17"/>
                <w:szCs w:val="17"/>
                <w:color w:val="auto"/>
              </w:rPr>
            </w:pPr>
          </w:p>
        </w:tc>
        <w:tc>
          <w:tcPr>
            <w:tcW w:w="2020" w:type="dxa"/>
            <w:vAlign w:val="bottom"/>
            <w:gridSpan w:val="3"/>
          </w:tcPr>
          <w:p>
            <w:pPr>
              <w:jc w:val="right"/>
              <w:ind w:right="280"/>
              <w:spacing w:after="0"/>
              <w:rPr>
                <w:sz w:val="20"/>
                <w:szCs w:val="20"/>
                <w:color w:val="auto"/>
              </w:rPr>
            </w:pPr>
            <w:r>
              <w:rPr>
                <w:rFonts w:ascii="Arial" w:cs="Arial" w:eastAsia="Arial" w:hAnsi="Arial"/>
                <w:sz w:val="16"/>
                <w:szCs w:val="16"/>
                <w:color w:val="auto"/>
              </w:rPr>
              <w:t>850,576</w:t>
            </w:r>
          </w:p>
        </w:tc>
        <w:tc>
          <w:tcPr>
            <w:tcW w:w="1520" w:type="dxa"/>
            <w:vAlign w:val="bottom"/>
            <w:gridSpan w:val="3"/>
          </w:tcPr>
          <w:p>
            <w:pPr>
              <w:jc w:val="right"/>
              <w:ind w:right="20"/>
              <w:spacing w:after="0"/>
              <w:rPr>
                <w:sz w:val="20"/>
                <w:szCs w:val="20"/>
                <w:color w:val="auto"/>
              </w:rPr>
            </w:pPr>
            <w:r>
              <w:rPr>
                <w:rFonts w:ascii="Arial" w:cs="Arial" w:eastAsia="Arial" w:hAnsi="Arial"/>
                <w:sz w:val="16"/>
                <w:szCs w:val="16"/>
                <w:color w:val="auto"/>
              </w:rPr>
              <w:t>835,931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60" w:type="dxa"/>
            <w:vAlign w:val="bottom"/>
            <w:shd w:val="clear" w:color="auto" w:fill="E5FFFF"/>
          </w:tcPr>
          <w:p>
            <w:pPr>
              <w:spacing w:after="0"/>
              <w:rPr>
                <w:sz w:val="20"/>
                <w:szCs w:val="20"/>
                <w:color w:val="auto"/>
              </w:rPr>
            </w:pPr>
            <w:r>
              <w:rPr>
                <w:rFonts w:ascii="Arial" w:cs="Arial" w:eastAsia="Arial" w:hAnsi="Arial"/>
                <w:sz w:val="16"/>
                <w:szCs w:val="16"/>
                <w:color w:val="auto"/>
              </w:rPr>
              <w:t>Reserves</w:t>
            </w:r>
          </w:p>
        </w:tc>
        <w:tc>
          <w:tcPr>
            <w:tcW w:w="70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2020" w:type="dxa"/>
            <w:vAlign w:val="bottom"/>
            <w:gridSpan w:val="3"/>
            <w:shd w:val="clear" w:color="auto" w:fill="E5FFFF"/>
          </w:tcPr>
          <w:p>
            <w:pPr>
              <w:jc w:val="right"/>
              <w:ind w:right="280"/>
              <w:spacing w:after="0"/>
              <w:rPr>
                <w:sz w:val="20"/>
                <w:szCs w:val="20"/>
                <w:color w:val="auto"/>
              </w:rPr>
            </w:pPr>
            <w:r>
              <w:rPr>
                <w:rFonts w:ascii="Arial" w:cs="Arial" w:eastAsia="Arial" w:hAnsi="Arial"/>
                <w:sz w:val="16"/>
                <w:szCs w:val="16"/>
                <w:color w:val="auto"/>
              </w:rPr>
              <w:t>18,962</w:t>
            </w:r>
          </w:p>
        </w:tc>
        <w:tc>
          <w:tcPr>
            <w:tcW w:w="1520" w:type="dxa"/>
            <w:vAlign w:val="bottom"/>
            <w:gridSpan w:val="3"/>
            <w:shd w:val="clear" w:color="auto" w:fill="E5FFFF"/>
          </w:tcPr>
          <w:p>
            <w:pPr>
              <w:jc w:val="right"/>
              <w:ind w:right="20"/>
              <w:spacing w:after="0"/>
              <w:rPr>
                <w:sz w:val="20"/>
                <w:szCs w:val="20"/>
                <w:color w:val="auto"/>
              </w:rPr>
            </w:pPr>
            <w:r>
              <w:rPr>
                <w:rFonts w:ascii="Arial" w:cs="Arial" w:eastAsia="Arial" w:hAnsi="Arial"/>
                <w:sz w:val="16"/>
                <w:szCs w:val="16"/>
                <w:color w:val="auto"/>
              </w:rPr>
              <w:t>18,889</w:t>
            </w:r>
          </w:p>
        </w:tc>
        <w:tc>
          <w:tcPr>
            <w:tcW w:w="8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60" w:type="dxa"/>
            <w:vAlign w:val="bottom"/>
          </w:tcPr>
          <w:p>
            <w:pPr>
              <w:spacing w:after="0"/>
              <w:rPr>
                <w:sz w:val="20"/>
                <w:szCs w:val="20"/>
                <w:color w:val="auto"/>
              </w:rPr>
            </w:pPr>
            <w:r>
              <w:rPr>
                <w:rFonts w:ascii="Arial" w:cs="Arial" w:eastAsia="Arial" w:hAnsi="Arial"/>
                <w:sz w:val="16"/>
                <w:szCs w:val="16"/>
                <w:color w:val="auto"/>
              </w:rPr>
              <w:t>Treasury shares</w:t>
            </w:r>
          </w:p>
        </w:tc>
        <w:tc>
          <w:tcPr>
            <w:tcW w:w="700" w:type="dxa"/>
            <w:vAlign w:val="bottom"/>
          </w:tcPr>
          <w:p>
            <w:pPr>
              <w:jc w:val="center"/>
              <w:spacing w:after="0"/>
              <w:rPr>
                <w:sz w:val="20"/>
                <w:szCs w:val="20"/>
                <w:color w:val="auto"/>
              </w:rPr>
            </w:pPr>
            <w:r>
              <w:rPr>
                <w:rFonts w:ascii="Arial" w:cs="Arial" w:eastAsia="Arial" w:hAnsi="Arial"/>
                <w:sz w:val="16"/>
                <w:szCs w:val="16"/>
                <w:color w:val="auto"/>
                <w:w w:val="89"/>
              </w:rPr>
              <w:t>13</w:t>
            </w:r>
          </w:p>
        </w:tc>
        <w:tc>
          <w:tcPr>
            <w:tcW w:w="280" w:type="dxa"/>
            <w:vAlign w:val="bottom"/>
          </w:tcPr>
          <w:p>
            <w:pPr>
              <w:spacing w:after="0"/>
              <w:rPr>
                <w:sz w:val="17"/>
                <w:szCs w:val="17"/>
                <w:color w:val="auto"/>
              </w:rPr>
            </w:pPr>
          </w:p>
        </w:tc>
        <w:tc>
          <w:tcPr>
            <w:tcW w:w="2020" w:type="dxa"/>
            <w:vAlign w:val="bottom"/>
            <w:gridSpan w:val="3"/>
          </w:tcPr>
          <w:p>
            <w:pPr>
              <w:jc w:val="right"/>
              <w:ind w:right="240"/>
              <w:spacing w:after="0"/>
              <w:rPr>
                <w:sz w:val="20"/>
                <w:szCs w:val="20"/>
                <w:color w:val="auto"/>
              </w:rPr>
            </w:pPr>
            <w:r>
              <w:rPr>
                <w:rFonts w:ascii="Arial" w:cs="Arial" w:eastAsia="Arial" w:hAnsi="Arial"/>
                <w:sz w:val="16"/>
                <w:szCs w:val="16"/>
                <w:color w:val="auto"/>
              </w:rPr>
              <w:t>(3,266)</w:t>
            </w:r>
          </w:p>
        </w:tc>
        <w:tc>
          <w:tcPr>
            <w:tcW w:w="1600" w:type="dxa"/>
            <w:vAlign w:val="bottom"/>
            <w:gridSpan w:val="4"/>
          </w:tcPr>
          <w:p>
            <w:pPr>
              <w:jc w:val="right"/>
              <w:ind w:right="40"/>
              <w:spacing w:after="0"/>
              <w:rPr>
                <w:sz w:val="20"/>
                <w:szCs w:val="20"/>
                <w:color w:val="auto"/>
              </w:rPr>
            </w:pPr>
            <w:r>
              <w:rPr>
                <w:rFonts w:ascii="Arial" w:cs="Arial" w:eastAsia="Arial" w:hAnsi="Arial"/>
                <w:sz w:val="16"/>
                <w:szCs w:val="16"/>
                <w:color w:val="auto"/>
              </w:rPr>
              <w:t>(7,018)</w:t>
            </w:r>
          </w:p>
        </w:tc>
        <w:tc>
          <w:tcPr>
            <w:tcW w:w="0" w:type="dxa"/>
            <w:vAlign w:val="bottom"/>
          </w:tcPr>
          <w:p>
            <w:pPr>
              <w:spacing w:after="0"/>
              <w:rPr>
                <w:sz w:val="1"/>
                <w:szCs w:val="1"/>
                <w:color w:val="auto"/>
              </w:rPr>
            </w:pPr>
          </w:p>
        </w:tc>
      </w:tr>
      <w:tr>
        <w:trPr>
          <w:trHeight w:val="203"/>
        </w:trPr>
        <w:tc>
          <w:tcPr>
            <w:tcW w:w="6960" w:type="dxa"/>
            <w:vAlign w:val="bottom"/>
            <w:shd w:val="clear" w:color="auto" w:fill="E5FFFF"/>
          </w:tcPr>
          <w:p>
            <w:pPr>
              <w:spacing w:after="0"/>
              <w:rPr>
                <w:sz w:val="20"/>
                <w:szCs w:val="20"/>
                <w:color w:val="auto"/>
              </w:rPr>
            </w:pPr>
            <w:r>
              <w:rPr>
                <w:rFonts w:ascii="Arial" w:cs="Arial" w:eastAsia="Arial" w:hAnsi="Arial"/>
                <w:sz w:val="16"/>
                <w:szCs w:val="16"/>
                <w:color w:val="auto"/>
              </w:rPr>
              <w:t>Retained earnings</w:t>
            </w:r>
          </w:p>
        </w:tc>
        <w:tc>
          <w:tcPr>
            <w:tcW w:w="70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2020" w:type="dxa"/>
            <w:vAlign w:val="bottom"/>
            <w:gridSpan w:val="3"/>
            <w:shd w:val="clear" w:color="auto" w:fill="E5FFFF"/>
          </w:tcPr>
          <w:p>
            <w:pPr>
              <w:jc w:val="right"/>
              <w:ind w:right="280"/>
              <w:spacing w:after="0"/>
              <w:rPr>
                <w:sz w:val="20"/>
                <w:szCs w:val="20"/>
                <w:color w:val="auto"/>
              </w:rPr>
            </w:pPr>
            <w:r>
              <w:rPr>
                <w:rFonts w:ascii="Arial" w:cs="Arial" w:eastAsia="Arial" w:hAnsi="Arial"/>
                <w:sz w:val="16"/>
                <w:szCs w:val="16"/>
                <w:color w:val="auto"/>
              </w:rPr>
              <w:t>12,614</w:t>
            </w:r>
          </w:p>
        </w:tc>
        <w:tc>
          <w:tcPr>
            <w:tcW w:w="1520" w:type="dxa"/>
            <w:vAlign w:val="bottom"/>
            <w:gridSpan w:val="3"/>
            <w:shd w:val="clear" w:color="auto" w:fill="E5FFFF"/>
          </w:tcPr>
          <w:p>
            <w:pPr>
              <w:jc w:val="right"/>
              <w:ind w:right="20"/>
              <w:spacing w:after="0"/>
              <w:rPr>
                <w:sz w:val="20"/>
                <w:szCs w:val="20"/>
                <w:color w:val="auto"/>
              </w:rPr>
            </w:pPr>
            <w:r>
              <w:rPr>
                <w:rFonts w:ascii="Arial" w:cs="Arial" w:eastAsia="Arial" w:hAnsi="Arial"/>
                <w:sz w:val="16"/>
                <w:szCs w:val="16"/>
                <w:color w:val="auto"/>
              </w:rPr>
              <w:t>1,882</w:t>
            </w:r>
          </w:p>
        </w:tc>
        <w:tc>
          <w:tcPr>
            <w:tcW w:w="8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960" w:type="dxa"/>
            <w:vAlign w:val="bottom"/>
          </w:tcPr>
          <w:p>
            <w:pPr>
              <w:spacing w:after="0"/>
              <w:rPr>
                <w:sz w:val="20"/>
                <w:szCs w:val="20"/>
                <w:color w:val="auto"/>
              </w:rPr>
            </w:pPr>
            <w:r>
              <w:rPr>
                <w:rFonts w:ascii="Arial" w:cs="Arial" w:eastAsia="Arial" w:hAnsi="Arial"/>
                <w:sz w:val="16"/>
                <w:szCs w:val="16"/>
                <w:b w:val="1"/>
                <w:bCs w:val="1"/>
                <w:color w:val="auto"/>
              </w:rPr>
              <w:t>Equity attributable to owners of the Group</w:t>
            </w: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879,742</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850,540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60" w:type="dxa"/>
            <w:vAlign w:val="bottom"/>
            <w:shd w:val="clear" w:color="auto" w:fill="E5FFFF"/>
          </w:tcPr>
          <w:p>
            <w:pPr>
              <w:spacing w:after="0"/>
              <w:rPr>
                <w:sz w:val="20"/>
                <w:szCs w:val="20"/>
                <w:color w:val="auto"/>
              </w:rPr>
            </w:pPr>
            <w:r>
              <w:rPr>
                <w:rFonts w:ascii="Arial" w:cs="Arial" w:eastAsia="Arial" w:hAnsi="Arial"/>
                <w:sz w:val="16"/>
                <w:szCs w:val="16"/>
                <w:color w:val="auto"/>
              </w:rPr>
              <w:t>Non-controlling interests</w:t>
            </w:r>
          </w:p>
        </w:tc>
        <w:tc>
          <w:tcPr>
            <w:tcW w:w="70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2020" w:type="dxa"/>
            <w:vAlign w:val="bottom"/>
            <w:gridSpan w:val="3"/>
            <w:shd w:val="clear" w:color="auto" w:fill="E5FFFF"/>
          </w:tcPr>
          <w:p>
            <w:pPr>
              <w:jc w:val="right"/>
              <w:ind w:right="280"/>
              <w:spacing w:after="0"/>
              <w:rPr>
                <w:sz w:val="20"/>
                <w:szCs w:val="20"/>
                <w:color w:val="auto"/>
              </w:rPr>
            </w:pPr>
            <w:r>
              <w:rPr>
                <w:rFonts w:ascii="Arial" w:cs="Arial" w:eastAsia="Arial" w:hAnsi="Arial"/>
                <w:sz w:val="16"/>
                <w:szCs w:val="16"/>
                <w:color w:val="auto"/>
              </w:rPr>
              <w:t>1,103,380</w:t>
            </w:r>
          </w:p>
        </w:tc>
        <w:tc>
          <w:tcPr>
            <w:tcW w:w="1520" w:type="dxa"/>
            <w:vAlign w:val="bottom"/>
            <w:gridSpan w:val="3"/>
            <w:shd w:val="clear" w:color="auto" w:fill="E5FFFF"/>
          </w:tcPr>
          <w:p>
            <w:pPr>
              <w:jc w:val="right"/>
              <w:ind w:right="20"/>
              <w:spacing w:after="0"/>
              <w:rPr>
                <w:sz w:val="20"/>
                <w:szCs w:val="20"/>
                <w:color w:val="auto"/>
              </w:rPr>
            </w:pPr>
            <w:r>
              <w:rPr>
                <w:rFonts w:ascii="Arial" w:cs="Arial" w:eastAsia="Arial" w:hAnsi="Arial"/>
                <w:sz w:val="16"/>
                <w:szCs w:val="16"/>
                <w:color w:val="auto"/>
              </w:rPr>
              <w:t>1,093,729</w:t>
            </w:r>
          </w:p>
        </w:tc>
        <w:tc>
          <w:tcPr>
            <w:tcW w:w="8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96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Total equity</w:t>
            </w:r>
          </w:p>
        </w:tc>
        <w:tc>
          <w:tcPr>
            <w:tcW w:w="700" w:type="dxa"/>
            <w:vAlign w:val="bottom"/>
            <w:tcBorders>
              <w:bottom w:val="single" w:sz="8" w:color="E5FFFF"/>
            </w:tcBorders>
          </w:tcPr>
          <w:p>
            <w:pPr>
              <w:spacing w:after="0"/>
              <w:rPr>
                <w:sz w:val="17"/>
                <w:szCs w:val="17"/>
                <w:color w:val="auto"/>
              </w:rPr>
            </w:pPr>
          </w:p>
        </w:tc>
        <w:tc>
          <w:tcPr>
            <w:tcW w:w="280" w:type="dxa"/>
            <w:vAlign w:val="bottom"/>
            <w:tcBorders>
              <w:bottom w:val="single" w:sz="8" w:color="E5FFFF"/>
            </w:tcBorders>
          </w:tcPr>
          <w:p>
            <w:pPr>
              <w:spacing w:after="0"/>
              <w:rPr>
                <w:sz w:val="17"/>
                <w:szCs w:val="17"/>
                <w:color w:val="auto"/>
              </w:rPr>
            </w:pPr>
          </w:p>
        </w:tc>
        <w:tc>
          <w:tcPr>
            <w:tcW w:w="380" w:type="dxa"/>
            <w:vAlign w:val="bottom"/>
            <w:tcBorders>
              <w:bottom w:val="single" w:sz="8" w:color="E5FFFF"/>
            </w:tcBorders>
          </w:tcPr>
          <w:p>
            <w:pPr>
              <w:spacing w:after="0"/>
              <w:rPr>
                <w:sz w:val="17"/>
                <w:szCs w:val="17"/>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1,983,122</w:t>
            </w:r>
          </w:p>
        </w:tc>
        <w:tc>
          <w:tcPr>
            <w:tcW w:w="280" w:type="dxa"/>
            <w:vAlign w:val="bottom"/>
            <w:tcBorders>
              <w:bottom w:val="single" w:sz="8" w:color="E5FFFF"/>
            </w:tcBorders>
          </w:tcPr>
          <w:p>
            <w:pPr>
              <w:spacing w:after="0"/>
              <w:rPr>
                <w:sz w:val="17"/>
                <w:szCs w:val="17"/>
                <w:color w:val="auto"/>
              </w:rPr>
            </w:pPr>
          </w:p>
        </w:tc>
        <w:tc>
          <w:tcPr>
            <w:tcW w:w="360" w:type="dxa"/>
            <w:vAlign w:val="bottom"/>
            <w:tcBorders>
              <w:bottom w:val="single" w:sz="8" w:color="E5FFFF"/>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1,944,269</w:t>
            </w:r>
          </w:p>
        </w:tc>
        <w:tc>
          <w:tcPr>
            <w:tcW w:w="20" w:type="dxa"/>
            <w:vAlign w:val="bottom"/>
            <w:tcBorders>
              <w:bottom w:val="single" w:sz="8" w:color="E5FFFF"/>
            </w:tcBorders>
          </w:tcPr>
          <w:p>
            <w:pPr>
              <w:spacing w:after="0"/>
              <w:rPr>
                <w:sz w:val="17"/>
                <w:szCs w:val="17"/>
                <w:color w:val="auto"/>
              </w:rPr>
            </w:pPr>
          </w:p>
        </w:tc>
        <w:tc>
          <w:tcPr>
            <w:tcW w:w="80" w:type="dxa"/>
            <w:vAlign w:val="bottom"/>
            <w:tcBorders>
              <w:bottom w:val="single" w:sz="8" w:color="E5FFFF"/>
            </w:tcBorders>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6960" w:type="dxa"/>
            <w:vAlign w:val="bottom"/>
            <w:shd w:val="clear" w:color="auto" w:fill="E5FFFF"/>
          </w:tcPr>
          <w:p>
            <w:pPr>
              <w:spacing w:after="0" w:line="183" w:lineRule="exact"/>
              <w:rPr>
                <w:sz w:val="20"/>
                <w:szCs w:val="20"/>
                <w:color w:val="auto"/>
              </w:rPr>
            </w:pPr>
            <w:r>
              <w:rPr>
                <w:rFonts w:ascii="Arial" w:cs="Arial" w:eastAsia="Arial" w:hAnsi="Arial"/>
                <w:sz w:val="16"/>
                <w:szCs w:val="16"/>
                <w:b w:val="1"/>
                <w:bCs w:val="1"/>
                <w:color w:val="auto"/>
              </w:rPr>
              <w:t>Current liabilities</w:t>
            </w:r>
          </w:p>
        </w:tc>
        <w:tc>
          <w:tcPr>
            <w:tcW w:w="700" w:type="dxa"/>
            <w:vAlign w:val="bottom"/>
            <w:shd w:val="clear" w:color="auto" w:fill="E5FFFF"/>
          </w:tcPr>
          <w:p>
            <w:pPr>
              <w:spacing w:after="0"/>
              <w:rPr>
                <w:sz w:val="15"/>
                <w:szCs w:val="15"/>
                <w:color w:val="auto"/>
              </w:rPr>
            </w:pPr>
          </w:p>
        </w:tc>
        <w:tc>
          <w:tcPr>
            <w:tcW w:w="280" w:type="dxa"/>
            <w:vAlign w:val="bottom"/>
            <w:shd w:val="clear" w:color="auto" w:fill="E5FFFF"/>
          </w:tcPr>
          <w:p>
            <w:pPr>
              <w:spacing w:after="0"/>
              <w:rPr>
                <w:sz w:val="15"/>
                <w:szCs w:val="15"/>
                <w:color w:val="auto"/>
              </w:rPr>
            </w:pPr>
          </w:p>
        </w:tc>
        <w:tc>
          <w:tcPr>
            <w:tcW w:w="380" w:type="dxa"/>
            <w:vAlign w:val="bottom"/>
            <w:shd w:val="clear" w:color="auto" w:fill="E5FFFF"/>
          </w:tcPr>
          <w:p>
            <w:pPr>
              <w:spacing w:after="0"/>
              <w:rPr>
                <w:sz w:val="15"/>
                <w:szCs w:val="15"/>
                <w:color w:val="auto"/>
              </w:rPr>
            </w:pPr>
          </w:p>
        </w:tc>
        <w:tc>
          <w:tcPr>
            <w:tcW w:w="1360" w:type="dxa"/>
            <w:vAlign w:val="bottom"/>
            <w:shd w:val="clear" w:color="auto" w:fill="E5FFFF"/>
          </w:tcPr>
          <w:p>
            <w:pPr>
              <w:spacing w:after="0"/>
              <w:rPr>
                <w:sz w:val="15"/>
                <w:szCs w:val="15"/>
                <w:color w:val="auto"/>
              </w:rPr>
            </w:pPr>
          </w:p>
        </w:tc>
        <w:tc>
          <w:tcPr>
            <w:tcW w:w="280" w:type="dxa"/>
            <w:vAlign w:val="bottom"/>
            <w:shd w:val="clear" w:color="auto" w:fill="E5FFFF"/>
          </w:tcPr>
          <w:p>
            <w:pPr>
              <w:spacing w:after="0"/>
              <w:rPr>
                <w:sz w:val="15"/>
                <w:szCs w:val="15"/>
                <w:color w:val="auto"/>
              </w:rPr>
            </w:pPr>
          </w:p>
        </w:tc>
        <w:tc>
          <w:tcPr>
            <w:tcW w:w="360" w:type="dxa"/>
            <w:vAlign w:val="bottom"/>
            <w:shd w:val="clear" w:color="auto" w:fill="E5FFFF"/>
          </w:tcPr>
          <w:p>
            <w:pPr>
              <w:spacing w:after="0"/>
              <w:rPr>
                <w:sz w:val="15"/>
                <w:szCs w:val="15"/>
                <w:color w:val="auto"/>
              </w:rPr>
            </w:pPr>
          </w:p>
        </w:tc>
        <w:tc>
          <w:tcPr>
            <w:tcW w:w="1140" w:type="dxa"/>
            <w:vAlign w:val="bottom"/>
            <w:shd w:val="clear" w:color="auto" w:fill="E5FFFF"/>
          </w:tcPr>
          <w:p>
            <w:pPr>
              <w:spacing w:after="0"/>
              <w:rPr>
                <w:sz w:val="15"/>
                <w:szCs w:val="15"/>
                <w:color w:val="auto"/>
              </w:rPr>
            </w:pPr>
          </w:p>
        </w:tc>
        <w:tc>
          <w:tcPr>
            <w:tcW w:w="20" w:type="dxa"/>
            <w:vAlign w:val="bottom"/>
            <w:shd w:val="clear" w:color="auto" w:fill="E5FFFF"/>
          </w:tcPr>
          <w:p>
            <w:pPr>
              <w:spacing w:after="0"/>
              <w:rPr>
                <w:sz w:val="15"/>
                <w:szCs w:val="15"/>
                <w:color w:val="auto"/>
              </w:rPr>
            </w:pPr>
          </w:p>
        </w:tc>
        <w:tc>
          <w:tcPr>
            <w:tcW w:w="80" w:type="dxa"/>
            <w:vAlign w:val="bottom"/>
            <w:shd w:val="clear" w:color="auto" w:fill="E5FF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960" w:type="dxa"/>
            <w:vAlign w:val="bottom"/>
          </w:tcPr>
          <w:p>
            <w:pPr>
              <w:spacing w:after="0"/>
              <w:rPr>
                <w:sz w:val="20"/>
                <w:szCs w:val="20"/>
                <w:color w:val="auto"/>
              </w:rPr>
            </w:pPr>
            <w:r>
              <w:rPr>
                <w:rFonts w:ascii="Arial" w:cs="Arial" w:eastAsia="Arial" w:hAnsi="Arial"/>
                <w:sz w:val="16"/>
                <w:szCs w:val="16"/>
                <w:color w:val="auto"/>
              </w:rPr>
              <w:t>Trade accounts payable</w:t>
            </w: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20" w:type="dxa"/>
            <w:vAlign w:val="bottom"/>
            <w:gridSpan w:val="3"/>
          </w:tcPr>
          <w:p>
            <w:pPr>
              <w:jc w:val="right"/>
              <w:ind w:right="280"/>
              <w:spacing w:after="0"/>
              <w:rPr>
                <w:sz w:val="20"/>
                <w:szCs w:val="20"/>
                <w:color w:val="auto"/>
              </w:rPr>
            </w:pPr>
            <w:r>
              <w:rPr>
                <w:rFonts w:ascii="Arial" w:cs="Arial" w:eastAsia="Arial" w:hAnsi="Arial"/>
                <w:sz w:val="16"/>
                <w:szCs w:val="16"/>
                <w:color w:val="auto"/>
              </w:rPr>
              <w:t>11,890</w:t>
            </w:r>
          </w:p>
        </w:tc>
        <w:tc>
          <w:tcPr>
            <w:tcW w:w="1520" w:type="dxa"/>
            <w:vAlign w:val="bottom"/>
            <w:gridSpan w:val="3"/>
          </w:tcPr>
          <w:p>
            <w:pPr>
              <w:jc w:val="right"/>
              <w:ind w:right="20"/>
              <w:spacing w:after="0"/>
              <w:rPr>
                <w:sz w:val="20"/>
                <w:szCs w:val="20"/>
                <w:color w:val="auto"/>
              </w:rPr>
            </w:pPr>
            <w:r>
              <w:rPr>
                <w:rFonts w:ascii="Arial" w:cs="Arial" w:eastAsia="Arial" w:hAnsi="Arial"/>
                <w:sz w:val="16"/>
                <w:szCs w:val="16"/>
                <w:color w:val="auto"/>
              </w:rPr>
              <w:t>19,986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60" w:type="dxa"/>
            <w:vAlign w:val="bottom"/>
            <w:shd w:val="clear" w:color="auto" w:fill="E5FFFF"/>
          </w:tcPr>
          <w:p>
            <w:pPr>
              <w:spacing w:after="0"/>
              <w:rPr>
                <w:sz w:val="20"/>
                <w:szCs w:val="20"/>
                <w:color w:val="auto"/>
              </w:rPr>
            </w:pPr>
            <w:r>
              <w:rPr>
                <w:rFonts w:ascii="Arial" w:cs="Arial" w:eastAsia="Arial" w:hAnsi="Arial"/>
                <w:sz w:val="16"/>
                <w:szCs w:val="16"/>
                <w:color w:val="auto"/>
              </w:rPr>
              <w:t>Ship management creditors</w:t>
            </w:r>
          </w:p>
        </w:tc>
        <w:tc>
          <w:tcPr>
            <w:tcW w:w="70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2020" w:type="dxa"/>
            <w:vAlign w:val="bottom"/>
            <w:gridSpan w:val="3"/>
            <w:shd w:val="clear" w:color="auto" w:fill="E5FFFF"/>
          </w:tcPr>
          <w:p>
            <w:pPr>
              <w:jc w:val="right"/>
              <w:ind w:right="280"/>
              <w:spacing w:after="0"/>
              <w:rPr>
                <w:sz w:val="20"/>
                <w:szCs w:val="20"/>
                <w:color w:val="auto"/>
              </w:rPr>
            </w:pPr>
            <w:r>
              <w:rPr>
                <w:rFonts w:ascii="Arial" w:cs="Arial" w:eastAsia="Arial" w:hAnsi="Arial"/>
                <w:sz w:val="16"/>
                <w:szCs w:val="16"/>
                <w:color w:val="auto"/>
              </w:rPr>
              <w:t>580</w:t>
            </w:r>
          </w:p>
        </w:tc>
        <w:tc>
          <w:tcPr>
            <w:tcW w:w="1520" w:type="dxa"/>
            <w:vAlign w:val="bottom"/>
            <w:gridSpan w:val="3"/>
            <w:shd w:val="clear" w:color="auto" w:fill="E5FFFF"/>
          </w:tcPr>
          <w:p>
            <w:pPr>
              <w:jc w:val="right"/>
              <w:ind w:right="20"/>
              <w:spacing w:after="0"/>
              <w:rPr>
                <w:sz w:val="20"/>
                <w:szCs w:val="20"/>
                <w:color w:val="auto"/>
              </w:rPr>
            </w:pPr>
            <w:r>
              <w:rPr>
                <w:rFonts w:ascii="Arial" w:cs="Arial" w:eastAsia="Arial" w:hAnsi="Arial"/>
                <w:sz w:val="16"/>
                <w:szCs w:val="16"/>
                <w:color w:val="auto"/>
              </w:rPr>
              <w:t>751</w:t>
            </w:r>
          </w:p>
        </w:tc>
        <w:tc>
          <w:tcPr>
            <w:tcW w:w="8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60" w:type="dxa"/>
            <w:vAlign w:val="bottom"/>
          </w:tcPr>
          <w:p>
            <w:pPr>
              <w:spacing w:after="0"/>
              <w:rPr>
                <w:sz w:val="20"/>
                <w:szCs w:val="20"/>
                <w:color w:val="auto"/>
              </w:rPr>
            </w:pPr>
            <w:r>
              <w:rPr>
                <w:rFonts w:ascii="Arial" w:cs="Arial" w:eastAsia="Arial" w:hAnsi="Arial"/>
                <w:sz w:val="16"/>
                <w:szCs w:val="16"/>
                <w:color w:val="auto"/>
              </w:rPr>
              <w:t>Amounts due to related parties</w:t>
            </w:r>
          </w:p>
        </w:tc>
        <w:tc>
          <w:tcPr>
            <w:tcW w:w="700" w:type="dxa"/>
            <w:vAlign w:val="bottom"/>
          </w:tcPr>
          <w:p>
            <w:pPr>
              <w:jc w:val="center"/>
              <w:spacing w:after="0"/>
              <w:rPr>
                <w:sz w:val="20"/>
                <w:szCs w:val="20"/>
                <w:color w:val="auto"/>
              </w:rPr>
            </w:pPr>
            <w:r>
              <w:rPr>
                <w:rFonts w:ascii="Arial" w:cs="Arial" w:eastAsia="Arial" w:hAnsi="Arial"/>
                <w:sz w:val="16"/>
                <w:szCs w:val="16"/>
                <w:color w:val="auto"/>
                <w:w w:val="89"/>
              </w:rPr>
              <w:t>8</w:t>
            </w:r>
          </w:p>
        </w:tc>
        <w:tc>
          <w:tcPr>
            <w:tcW w:w="280" w:type="dxa"/>
            <w:vAlign w:val="bottom"/>
          </w:tcPr>
          <w:p>
            <w:pPr>
              <w:spacing w:after="0"/>
              <w:rPr>
                <w:sz w:val="17"/>
                <w:szCs w:val="17"/>
                <w:color w:val="auto"/>
              </w:rPr>
            </w:pPr>
          </w:p>
        </w:tc>
        <w:tc>
          <w:tcPr>
            <w:tcW w:w="2020" w:type="dxa"/>
            <w:vAlign w:val="bottom"/>
            <w:gridSpan w:val="3"/>
          </w:tcPr>
          <w:p>
            <w:pPr>
              <w:jc w:val="right"/>
              <w:ind w:right="280"/>
              <w:spacing w:after="0"/>
              <w:rPr>
                <w:sz w:val="20"/>
                <w:szCs w:val="20"/>
                <w:color w:val="auto"/>
              </w:rPr>
            </w:pPr>
            <w:r>
              <w:rPr>
                <w:rFonts w:ascii="Arial" w:cs="Arial" w:eastAsia="Arial" w:hAnsi="Arial"/>
                <w:sz w:val="16"/>
                <w:szCs w:val="16"/>
                <w:color w:val="auto"/>
              </w:rPr>
              <w:t>169</w:t>
            </w:r>
          </w:p>
        </w:tc>
        <w:tc>
          <w:tcPr>
            <w:tcW w:w="1520" w:type="dxa"/>
            <w:vAlign w:val="bottom"/>
            <w:gridSpan w:val="3"/>
          </w:tcPr>
          <w:p>
            <w:pPr>
              <w:jc w:val="right"/>
              <w:ind w:right="20"/>
              <w:spacing w:after="0"/>
              <w:rPr>
                <w:sz w:val="20"/>
                <w:szCs w:val="20"/>
                <w:color w:val="auto"/>
              </w:rPr>
            </w:pPr>
            <w:r>
              <w:rPr>
                <w:rFonts w:ascii="Arial" w:cs="Arial" w:eastAsia="Arial" w:hAnsi="Arial"/>
                <w:sz w:val="16"/>
                <w:szCs w:val="16"/>
                <w:color w:val="auto"/>
              </w:rPr>
              <w:t>81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60" w:type="dxa"/>
            <w:vAlign w:val="bottom"/>
            <w:shd w:val="clear" w:color="auto" w:fill="E5FFFF"/>
          </w:tcPr>
          <w:p>
            <w:pPr>
              <w:spacing w:after="0"/>
              <w:rPr>
                <w:sz w:val="20"/>
                <w:szCs w:val="20"/>
                <w:color w:val="auto"/>
              </w:rPr>
            </w:pPr>
            <w:r>
              <w:rPr>
                <w:rFonts w:ascii="Arial" w:cs="Arial" w:eastAsia="Arial" w:hAnsi="Arial"/>
                <w:sz w:val="16"/>
                <w:szCs w:val="16"/>
                <w:color w:val="auto"/>
              </w:rPr>
              <w:t>Derivative financial instruments</w:t>
            </w:r>
          </w:p>
        </w:tc>
        <w:tc>
          <w:tcPr>
            <w:tcW w:w="70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15</w:t>
            </w:r>
          </w:p>
        </w:tc>
        <w:tc>
          <w:tcPr>
            <w:tcW w:w="280" w:type="dxa"/>
            <w:vAlign w:val="bottom"/>
            <w:shd w:val="clear" w:color="auto" w:fill="E5FFFF"/>
          </w:tcPr>
          <w:p>
            <w:pPr>
              <w:spacing w:after="0"/>
              <w:rPr>
                <w:sz w:val="17"/>
                <w:szCs w:val="17"/>
                <w:color w:val="auto"/>
              </w:rPr>
            </w:pPr>
          </w:p>
        </w:tc>
        <w:tc>
          <w:tcPr>
            <w:tcW w:w="2020" w:type="dxa"/>
            <w:vAlign w:val="bottom"/>
            <w:gridSpan w:val="3"/>
            <w:shd w:val="clear" w:color="auto" w:fill="E5FFFF"/>
          </w:tcPr>
          <w:p>
            <w:pPr>
              <w:jc w:val="right"/>
              <w:ind w:right="280"/>
              <w:spacing w:after="0"/>
              <w:rPr>
                <w:sz w:val="20"/>
                <w:szCs w:val="20"/>
                <w:color w:val="auto"/>
              </w:rPr>
            </w:pPr>
            <w:r>
              <w:rPr>
                <w:rFonts w:ascii="Arial" w:cs="Arial" w:eastAsia="Arial" w:hAnsi="Arial"/>
                <w:sz w:val="16"/>
                <w:szCs w:val="16"/>
                <w:color w:val="auto"/>
              </w:rPr>
              <w:t>2,091</w:t>
            </w:r>
          </w:p>
        </w:tc>
        <w:tc>
          <w:tcPr>
            <w:tcW w:w="1520" w:type="dxa"/>
            <w:vAlign w:val="bottom"/>
            <w:gridSpan w:val="3"/>
            <w:shd w:val="clear" w:color="auto" w:fill="E5FFFF"/>
          </w:tcPr>
          <w:p>
            <w:pPr>
              <w:jc w:val="right"/>
              <w:ind w:right="20"/>
              <w:spacing w:after="0"/>
              <w:rPr>
                <w:sz w:val="20"/>
                <w:szCs w:val="20"/>
                <w:color w:val="auto"/>
              </w:rPr>
            </w:pPr>
            <w:r>
              <w:rPr>
                <w:rFonts w:ascii="Arial" w:cs="Arial" w:eastAsia="Arial" w:hAnsi="Arial"/>
                <w:sz w:val="16"/>
                <w:szCs w:val="16"/>
                <w:color w:val="auto"/>
              </w:rPr>
              <w:t>2,785</w:t>
            </w:r>
          </w:p>
        </w:tc>
        <w:tc>
          <w:tcPr>
            <w:tcW w:w="8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60" w:type="dxa"/>
            <w:vAlign w:val="bottom"/>
          </w:tcPr>
          <w:p>
            <w:pPr>
              <w:spacing w:after="0"/>
              <w:rPr>
                <w:sz w:val="20"/>
                <w:szCs w:val="20"/>
                <w:color w:val="auto"/>
              </w:rPr>
            </w:pPr>
            <w:r>
              <w:rPr>
                <w:rFonts w:ascii="Arial" w:cs="Arial" w:eastAsia="Arial" w:hAnsi="Arial"/>
                <w:sz w:val="16"/>
                <w:szCs w:val="16"/>
                <w:color w:val="auto"/>
              </w:rPr>
              <w:t>Other payables and accruals</w:t>
            </w:r>
          </w:p>
        </w:tc>
        <w:tc>
          <w:tcPr>
            <w:tcW w:w="700" w:type="dxa"/>
            <w:vAlign w:val="bottom"/>
          </w:tcPr>
          <w:p>
            <w:pPr>
              <w:jc w:val="center"/>
              <w:spacing w:after="0"/>
              <w:rPr>
                <w:sz w:val="20"/>
                <w:szCs w:val="20"/>
                <w:color w:val="auto"/>
              </w:rPr>
            </w:pPr>
            <w:r>
              <w:rPr>
                <w:rFonts w:ascii="Arial" w:cs="Arial" w:eastAsia="Arial" w:hAnsi="Arial"/>
                <w:sz w:val="16"/>
                <w:szCs w:val="16"/>
                <w:color w:val="auto"/>
                <w:w w:val="89"/>
              </w:rPr>
              <w:t>12</w:t>
            </w:r>
          </w:p>
        </w:tc>
        <w:tc>
          <w:tcPr>
            <w:tcW w:w="280" w:type="dxa"/>
            <w:vAlign w:val="bottom"/>
          </w:tcPr>
          <w:p>
            <w:pPr>
              <w:spacing w:after="0"/>
              <w:rPr>
                <w:sz w:val="17"/>
                <w:szCs w:val="17"/>
                <w:color w:val="auto"/>
              </w:rPr>
            </w:pPr>
          </w:p>
        </w:tc>
        <w:tc>
          <w:tcPr>
            <w:tcW w:w="2020" w:type="dxa"/>
            <w:vAlign w:val="bottom"/>
            <w:gridSpan w:val="3"/>
          </w:tcPr>
          <w:p>
            <w:pPr>
              <w:jc w:val="right"/>
              <w:ind w:right="280"/>
              <w:spacing w:after="0"/>
              <w:rPr>
                <w:sz w:val="20"/>
                <w:szCs w:val="20"/>
                <w:color w:val="auto"/>
              </w:rPr>
            </w:pPr>
            <w:r>
              <w:rPr>
                <w:rFonts w:ascii="Arial" w:cs="Arial" w:eastAsia="Arial" w:hAnsi="Arial"/>
                <w:sz w:val="16"/>
                <w:szCs w:val="16"/>
                <w:color w:val="auto"/>
              </w:rPr>
              <w:t>127,450</w:t>
            </w:r>
          </w:p>
        </w:tc>
        <w:tc>
          <w:tcPr>
            <w:tcW w:w="1520" w:type="dxa"/>
            <w:vAlign w:val="bottom"/>
            <w:gridSpan w:val="3"/>
          </w:tcPr>
          <w:p>
            <w:pPr>
              <w:jc w:val="right"/>
              <w:ind w:right="20"/>
              <w:spacing w:after="0"/>
              <w:rPr>
                <w:sz w:val="20"/>
                <w:szCs w:val="20"/>
                <w:color w:val="auto"/>
              </w:rPr>
            </w:pPr>
            <w:r>
              <w:rPr>
                <w:rFonts w:ascii="Arial" w:cs="Arial" w:eastAsia="Arial" w:hAnsi="Arial"/>
                <w:sz w:val="16"/>
                <w:szCs w:val="16"/>
                <w:color w:val="auto"/>
              </w:rPr>
              <w:t>62,957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60" w:type="dxa"/>
            <w:vAlign w:val="bottom"/>
            <w:shd w:val="clear" w:color="auto" w:fill="E5FFFF"/>
          </w:tcPr>
          <w:p>
            <w:pPr>
              <w:spacing w:after="0"/>
              <w:rPr>
                <w:sz w:val="20"/>
                <w:szCs w:val="20"/>
                <w:color w:val="auto"/>
              </w:rPr>
            </w:pPr>
            <w:r>
              <w:rPr>
                <w:rFonts w:ascii="Arial" w:cs="Arial" w:eastAsia="Arial" w:hAnsi="Arial"/>
                <w:sz w:val="16"/>
                <w:szCs w:val="16"/>
                <w:color w:val="auto"/>
              </w:rPr>
              <w:t>Borrowings, current portion</w:t>
            </w:r>
          </w:p>
        </w:tc>
        <w:tc>
          <w:tcPr>
            <w:tcW w:w="70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7</w:t>
            </w:r>
          </w:p>
        </w:tc>
        <w:tc>
          <w:tcPr>
            <w:tcW w:w="280" w:type="dxa"/>
            <w:vAlign w:val="bottom"/>
            <w:shd w:val="clear" w:color="auto" w:fill="E5FFFF"/>
          </w:tcPr>
          <w:p>
            <w:pPr>
              <w:spacing w:after="0"/>
              <w:rPr>
                <w:sz w:val="17"/>
                <w:szCs w:val="17"/>
                <w:color w:val="auto"/>
              </w:rPr>
            </w:pPr>
          </w:p>
        </w:tc>
        <w:tc>
          <w:tcPr>
            <w:tcW w:w="2020" w:type="dxa"/>
            <w:vAlign w:val="bottom"/>
            <w:gridSpan w:val="3"/>
            <w:shd w:val="clear" w:color="auto" w:fill="E5FFFF"/>
          </w:tcPr>
          <w:p>
            <w:pPr>
              <w:jc w:val="right"/>
              <w:ind w:right="280"/>
              <w:spacing w:after="0"/>
              <w:rPr>
                <w:sz w:val="20"/>
                <w:szCs w:val="20"/>
                <w:color w:val="auto"/>
              </w:rPr>
            </w:pPr>
            <w:r>
              <w:rPr>
                <w:rFonts w:ascii="Arial" w:cs="Arial" w:eastAsia="Arial" w:hAnsi="Arial"/>
                <w:sz w:val="16"/>
                <w:szCs w:val="16"/>
                <w:color w:val="auto"/>
              </w:rPr>
              <w:t>520,550</w:t>
            </w:r>
          </w:p>
        </w:tc>
        <w:tc>
          <w:tcPr>
            <w:tcW w:w="1520" w:type="dxa"/>
            <w:vAlign w:val="bottom"/>
            <w:gridSpan w:val="3"/>
            <w:shd w:val="clear" w:color="auto" w:fill="E5FFFF"/>
          </w:tcPr>
          <w:p>
            <w:pPr>
              <w:jc w:val="right"/>
              <w:ind w:right="20"/>
              <w:spacing w:after="0"/>
              <w:rPr>
                <w:sz w:val="20"/>
                <w:szCs w:val="20"/>
                <w:color w:val="auto"/>
              </w:rPr>
            </w:pPr>
            <w:r>
              <w:rPr>
                <w:rFonts w:ascii="Arial" w:cs="Arial" w:eastAsia="Arial" w:hAnsi="Arial"/>
                <w:sz w:val="16"/>
                <w:szCs w:val="16"/>
                <w:color w:val="auto"/>
              </w:rPr>
              <w:t>172,686</w:t>
            </w:r>
          </w:p>
        </w:tc>
        <w:tc>
          <w:tcPr>
            <w:tcW w:w="8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60" w:type="dxa"/>
            <w:vAlign w:val="bottom"/>
          </w:tcPr>
          <w:p>
            <w:pPr>
              <w:spacing w:after="0"/>
              <w:rPr>
                <w:sz w:val="20"/>
                <w:szCs w:val="20"/>
                <w:color w:val="auto"/>
              </w:rPr>
            </w:pPr>
            <w:r>
              <w:rPr>
                <w:rFonts w:ascii="Arial" w:cs="Arial" w:eastAsia="Arial" w:hAnsi="Arial"/>
                <w:sz w:val="16"/>
                <w:szCs w:val="16"/>
                <w:color w:val="auto"/>
              </w:rPr>
              <w:t>Lease liability, current portion</w:t>
            </w:r>
          </w:p>
        </w:tc>
        <w:tc>
          <w:tcPr>
            <w:tcW w:w="700" w:type="dxa"/>
            <w:vAlign w:val="bottom"/>
          </w:tcPr>
          <w:p>
            <w:pPr>
              <w:jc w:val="center"/>
              <w:spacing w:after="0"/>
              <w:rPr>
                <w:sz w:val="20"/>
                <w:szCs w:val="20"/>
                <w:color w:val="auto"/>
              </w:rPr>
            </w:pPr>
            <w:r>
              <w:rPr>
                <w:rFonts w:ascii="Arial" w:cs="Arial" w:eastAsia="Arial" w:hAnsi="Arial"/>
                <w:sz w:val="16"/>
                <w:szCs w:val="16"/>
                <w:color w:val="auto"/>
                <w:w w:val="89"/>
              </w:rPr>
              <w:t>6</w:t>
            </w:r>
          </w:p>
        </w:tc>
        <w:tc>
          <w:tcPr>
            <w:tcW w:w="280" w:type="dxa"/>
            <w:vAlign w:val="bottom"/>
          </w:tcPr>
          <w:p>
            <w:pPr>
              <w:spacing w:after="0"/>
              <w:rPr>
                <w:sz w:val="17"/>
                <w:szCs w:val="17"/>
                <w:color w:val="auto"/>
              </w:rPr>
            </w:pPr>
          </w:p>
        </w:tc>
        <w:tc>
          <w:tcPr>
            <w:tcW w:w="2020" w:type="dxa"/>
            <w:vAlign w:val="bottom"/>
            <w:gridSpan w:val="3"/>
          </w:tcPr>
          <w:p>
            <w:pPr>
              <w:jc w:val="right"/>
              <w:ind w:right="280"/>
              <w:spacing w:after="0"/>
              <w:rPr>
                <w:sz w:val="20"/>
                <w:szCs w:val="20"/>
                <w:color w:val="auto"/>
              </w:rPr>
            </w:pPr>
            <w:r>
              <w:rPr>
                <w:rFonts w:ascii="Arial" w:cs="Arial" w:eastAsia="Arial" w:hAnsi="Arial"/>
                <w:sz w:val="16"/>
                <w:szCs w:val="16"/>
                <w:color w:val="auto"/>
              </w:rPr>
              <w:t>6,675</w:t>
            </w:r>
          </w:p>
        </w:tc>
        <w:tc>
          <w:tcPr>
            <w:tcW w:w="1520" w:type="dxa"/>
            <w:vAlign w:val="bottom"/>
            <w:gridSpan w:val="3"/>
          </w:tcPr>
          <w:p>
            <w:pPr>
              <w:jc w:val="right"/>
              <w:ind w:right="20"/>
              <w:spacing w:after="0"/>
              <w:rPr>
                <w:sz w:val="20"/>
                <w:szCs w:val="20"/>
                <w:color w:val="auto"/>
              </w:rPr>
            </w:pPr>
            <w:r>
              <w:rPr>
                <w:rFonts w:ascii="Arial" w:cs="Arial" w:eastAsia="Arial" w:hAnsi="Arial"/>
                <w:sz w:val="16"/>
                <w:szCs w:val="16"/>
                <w:color w:val="auto"/>
              </w:rPr>
              <w:t>8,959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96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Total current liabilities</w:t>
            </w:r>
          </w:p>
        </w:tc>
        <w:tc>
          <w:tcPr>
            <w:tcW w:w="700" w:type="dxa"/>
            <w:vAlign w:val="bottom"/>
            <w:tcBorders>
              <w:top w:val="single" w:sz="8" w:color="E5FFFF"/>
            </w:tcBorders>
            <w:shd w:val="clear" w:color="auto" w:fill="E5FFFF"/>
          </w:tcPr>
          <w:p>
            <w:pPr>
              <w:spacing w:after="0"/>
              <w:rPr>
                <w:sz w:val="17"/>
                <w:szCs w:val="17"/>
                <w:color w:val="auto"/>
              </w:rPr>
            </w:pPr>
          </w:p>
        </w:tc>
        <w:tc>
          <w:tcPr>
            <w:tcW w:w="280" w:type="dxa"/>
            <w:vAlign w:val="bottom"/>
            <w:tcBorders>
              <w:top w:val="single" w:sz="8" w:color="E5FFFF"/>
            </w:tcBorders>
            <w:shd w:val="clear" w:color="auto" w:fill="E5FFFF"/>
          </w:tcPr>
          <w:p>
            <w:pPr>
              <w:spacing w:after="0"/>
              <w:rPr>
                <w:sz w:val="17"/>
                <w:szCs w:val="17"/>
                <w:color w:val="auto"/>
              </w:rPr>
            </w:pPr>
          </w:p>
        </w:tc>
        <w:tc>
          <w:tcPr>
            <w:tcW w:w="380" w:type="dxa"/>
            <w:vAlign w:val="bottom"/>
            <w:tcBorders>
              <w:top w:val="single" w:sz="8" w:color="E5FFFF"/>
            </w:tcBorders>
            <w:shd w:val="clear" w:color="auto" w:fill="E5FFFF"/>
          </w:tcPr>
          <w:p>
            <w:pPr>
              <w:spacing w:after="0"/>
              <w:rPr>
                <w:sz w:val="17"/>
                <w:szCs w:val="17"/>
                <w:color w:val="auto"/>
              </w:rPr>
            </w:pPr>
          </w:p>
        </w:tc>
        <w:tc>
          <w:tcPr>
            <w:tcW w:w="13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669,405</w:t>
            </w:r>
          </w:p>
        </w:tc>
        <w:tc>
          <w:tcPr>
            <w:tcW w:w="280" w:type="dxa"/>
            <w:vAlign w:val="bottom"/>
            <w:tcBorders>
              <w:top w:val="single" w:sz="8" w:color="E5FFFF"/>
            </w:tcBorders>
            <w:shd w:val="clear" w:color="auto" w:fill="E5FFFF"/>
          </w:tcPr>
          <w:p>
            <w:pPr>
              <w:spacing w:after="0"/>
              <w:rPr>
                <w:sz w:val="17"/>
                <w:szCs w:val="17"/>
                <w:color w:val="auto"/>
              </w:rPr>
            </w:pPr>
          </w:p>
        </w:tc>
        <w:tc>
          <w:tcPr>
            <w:tcW w:w="360" w:type="dxa"/>
            <w:vAlign w:val="bottom"/>
            <w:tcBorders>
              <w:top w:val="single" w:sz="8" w:color="E5FFFF"/>
            </w:tcBorders>
            <w:shd w:val="clear" w:color="auto" w:fill="E5FFFF"/>
          </w:tcPr>
          <w:p>
            <w:pPr>
              <w:spacing w:after="0"/>
              <w:rPr>
                <w:sz w:val="17"/>
                <w:szCs w:val="17"/>
                <w:color w:val="auto"/>
              </w:rPr>
            </w:pPr>
          </w:p>
        </w:tc>
        <w:tc>
          <w:tcPr>
            <w:tcW w:w="11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268,205</w:t>
            </w:r>
          </w:p>
        </w:tc>
        <w:tc>
          <w:tcPr>
            <w:tcW w:w="20" w:type="dxa"/>
            <w:vAlign w:val="bottom"/>
            <w:tcBorders>
              <w:top w:val="single" w:sz="8" w:color="E5FFFF"/>
            </w:tcBorders>
            <w:shd w:val="clear" w:color="auto" w:fill="E5FFFF"/>
          </w:tcPr>
          <w:p>
            <w:pPr>
              <w:spacing w:after="0"/>
              <w:rPr>
                <w:sz w:val="17"/>
                <w:szCs w:val="17"/>
                <w:color w:val="auto"/>
              </w:rPr>
            </w:pPr>
          </w:p>
        </w:tc>
        <w:tc>
          <w:tcPr>
            <w:tcW w:w="80" w:type="dxa"/>
            <w:vAlign w:val="bottom"/>
            <w:tcBorders>
              <w:top w:val="single" w:sz="8" w:color="E5FFFF"/>
            </w:tcBorders>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6960" w:type="dxa"/>
            <w:vAlign w:val="bottom"/>
          </w:tcPr>
          <w:p>
            <w:pPr>
              <w:spacing w:after="0" w:line="183" w:lineRule="exact"/>
              <w:rPr>
                <w:sz w:val="20"/>
                <w:szCs w:val="20"/>
                <w:color w:val="auto"/>
              </w:rPr>
            </w:pPr>
            <w:r>
              <w:rPr>
                <w:rFonts w:ascii="Arial" w:cs="Arial" w:eastAsia="Arial" w:hAnsi="Arial"/>
                <w:sz w:val="16"/>
                <w:szCs w:val="16"/>
                <w:b w:val="1"/>
                <w:bCs w:val="1"/>
                <w:color w:val="auto"/>
              </w:rPr>
              <w:t>Non-current liabilities</w:t>
            </w: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6960" w:type="dxa"/>
            <w:vAlign w:val="bottom"/>
            <w:shd w:val="clear" w:color="auto" w:fill="E5FFFF"/>
          </w:tcPr>
          <w:p>
            <w:pPr>
              <w:spacing w:after="0"/>
              <w:rPr>
                <w:sz w:val="20"/>
                <w:szCs w:val="20"/>
                <w:color w:val="auto"/>
              </w:rPr>
            </w:pPr>
            <w:r>
              <w:rPr>
                <w:rFonts w:ascii="Arial" w:cs="Arial" w:eastAsia="Arial" w:hAnsi="Arial"/>
                <w:sz w:val="16"/>
                <w:szCs w:val="16"/>
                <w:color w:val="auto"/>
              </w:rPr>
              <w:t>Derivative financial instruments</w:t>
            </w:r>
          </w:p>
        </w:tc>
        <w:tc>
          <w:tcPr>
            <w:tcW w:w="70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15</w:t>
            </w:r>
          </w:p>
        </w:tc>
        <w:tc>
          <w:tcPr>
            <w:tcW w:w="280" w:type="dxa"/>
            <w:vAlign w:val="bottom"/>
            <w:shd w:val="clear" w:color="auto" w:fill="E5FFFF"/>
          </w:tcPr>
          <w:p>
            <w:pPr>
              <w:spacing w:after="0"/>
              <w:rPr>
                <w:sz w:val="17"/>
                <w:szCs w:val="17"/>
                <w:color w:val="auto"/>
              </w:rPr>
            </w:pPr>
          </w:p>
        </w:tc>
        <w:tc>
          <w:tcPr>
            <w:tcW w:w="2020" w:type="dxa"/>
            <w:vAlign w:val="bottom"/>
            <w:gridSpan w:val="3"/>
            <w:shd w:val="clear" w:color="auto" w:fill="E5FFFF"/>
          </w:tcPr>
          <w:p>
            <w:pPr>
              <w:jc w:val="right"/>
              <w:ind w:right="280"/>
              <w:spacing w:after="0"/>
              <w:rPr>
                <w:sz w:val="20"/>
                <w:szCs w:val="20"/>
                <w:color w:val="auto"/>
              </w:rPr>
            </w:pPr>
            <w:r>
              <w:rPr>
                <w:rFonts w:ascii="Arial" w:cs="Arial" w:eastAsia="Arial" w:hAnsi="Arial"/>
                <w:sz w:val="16"/>
                <w:szCs w:val="16"/>
                <w:color w:val="auto"/>
              </w:rPr>
              <w:t>10,001</w:t>
            </w:r>
          </w:p>
        </w:tc>
        <w:tc>
          <w:tcPr>
            <w:tcW w:w="1520" w:type="dxa"/>
            <w:vAlign w:val="bottom"/>
            <w:gridSpan w:val="3"/>
            <w:shd w:val="clear" w:color="auto" w:fill="E5FFFF"/>
          </w:tcPr>
          <w:p>
            <w:pPr>
              <w:jc w:val="right"/>
              <w:ind w:right="20"/>
              <w:spacing w:after="0"/>
              <w:rPr>
                <w:sz w:val="20"/>
                <w:szCs w:val="20"/>
                <w:color w:val="auto"/>
              </w:rPr>
            </w:pPr>
            <w:r>
              <w:rPr>
                <w:rFonts w:ascii="Arial" w:cs="Arial" w:eastAsia="Arial" w:hAnsi="Arial"/>
                <w:sz w:val="16"/>
                <w:szCs w:val="16"/>
                <w:color w:val="auto"/>
              </w:rPr>
              <w:t>22,952</w:t>
            </w:r>
          </w:p>
        </w:tc>
        <w:tc>
          <w:tcPr>
            <w:tcW w:w="8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60" w:type="dxa"/>
            <w:vAlign w:val="bottom"/>
          </w:tcPr>
          <w:p>
            <w:pPr>
              <w:spacing w:after="0"/>
              <w:rPr>
                <w:sz w:val="20"/>
                <w:szCs w:val="20"/>
                <w:color w:val="auto"/>
              </w:rPr>
            </w:pPr>
            <w:r>
              <w:rPr>
                <w:rFonts w:ascii="Arial" w:cs="Arial" w:eastAsia="Arial" w:hAnsi="Arial"/>
                <w:sz w:val="16"/>
                <w:szCs w:val="16"/>
                <w:color w:val="auto"/>
              </w:rPr>
              <w:t>Borrowings, non-current portion</w:t>
            </w:r>
          </w:p>
        </w:tc>
        <w:tc>
          <w:tcPr>
            <w:tcW w:w="700" w:type="dxa"/>
            <w:vAlign w:val="bottom"/>
          </w:tcPr>
          <w:p>
            <w:pPr>
              <w:jc w:val="center"/>
              <w:spacing w:after="0"/>
              <w:rPr>
                <w:sz w:val="20"/>
                <w:szCs w:val="20"/>
                <w:color w:val="auto"/>
              </w:rPr>
            </w:pPr>
            <w:r>
              <w:rPr>
                <w:rFonts w:ascii="Arial" w:cs="Arial" w:eastAsia="Arial" w:hAnsi="Arial"/>
                <w:sz w:val="16"/>
                <w:szCs w:val="16"/>
                <w:color w:val="auto"/>
                <w:w w:val="89"/>
              </w:rPr>
              <w:t>7</w:t>
            </w:r>
          </w:p>
        </w:tc>
        <w:tc>
          <w:tcPr>
            <w:tcW w:w="280" w:type="dxa"/>
            <w:vAlign w:val="bottom"/>
          </w:tcPr>
          <w:p>
            <w:pPr>
              <w:spacing w:after="0"/>
              <w:rPr>
                <w:sz w:val="17"/>
                <w:szCs w:val="17"/>
                <w:color w:val="auto"/>
              </w:rPr>
            </w:pPr>
          </w:p>
        </w:tc>
        <w:tc>
          <w:tcPr>
            <w:tcW w:w="2020" w:type="dxa"/>
            <w:vAlign w:val="bottom"/>
            <w:gridSpan w:val="3"/>
          </w:tcPr>
          <w:p>
            <w:pPr>
              <w:jc w:val="right"/>
              <w:ind w:right="280"/>
              <w:spacing w:after="0"/>
              <w:rPr>
                <w:sz w:val="20"/>
                <w:szCs w:val="20"/>
                <w:color w:val="auto"/>
              </w:rPr>
            </w:pPr>
            <w:r>
              <w:rPr>
                <w:rFonts w:ascii="Arial" w:cs="Arial" w:eastAsia="Arial" w:hAnsi="Arial"/>
                <w:sz w:val="16"/>
                <w:szCs w:val="16"/>
                <w:color w:val="auto"/>
              </w:rPr>
              <w:t>2,307,909</w:t>
            </w:r>
          </w:p>
        </w:tc>
        <w:tc>
          <w:tcPr>
            <w:tcW w:w="1520" w:type="dxa"/>
            <w:vAlign w:val="bottom"/>
            <w:gridSpan w:val="3"/>
          </w:tcPr>
          <w:p>
            <w:pPr>
              <w:jc w:val="right"/>
              <w:ind w:right="20"/>
              <w:spacing w:after="0"/>
              <w:rPr>
                <w:sz w:val="20"/>
                <w:szCs w:val="20"/>
                <w:color w:val="auto"/>
              </w:rPr>
            </w:pPr>
            <w:r>
              <w:rPr>
                <w:rFonts w:ascii="Arial" w:cs="Arial" w:eastAsia="Arial" w:hAnsi="Arial"/>
                <w:sz w:val="16"/>
                <w:szCs w:val="16"/>
                <w:color w:val="auto"/>
              </w:rPr>
              <w:t>2,748,035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60" w:type="dxa"/>
            <w:vAlign w:val="bottom"/>
            <w:shd w:val="clear" w:color="auto" w:fill="E5FFFF"/>
          </w:tcPr>
          <w:p>
            <w:pPr>
              <w:spacing w:after="0"/>
              <w:rPr>
                <w:sz w:val="20"/>
                <w:szCs w:val="20"/>
                <w:color w:val="auto"/>
              </w:rPr>
            </w:pPr>
            <w:r>
              <w:rPr>
                <w:rFonts w:ascii="Arial" w:cs="Arial" w:eastAsia="Arial" w:hAnsi="Arial"/>
                <w:sz w:val="16"/>
                <w:szCs w:val="16"/>
                <w:color w:val="auto"/>
              </w:rPr>
              <w:t>Lease liability, non-current portion</w:t>
            </w:r>
          </w:p>
        </w:tc>
        <w:tc>
          <w:tcPr>
            <w:tcW w:w="70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6</w:t>
            </w:r>
          </w:p>
        </w:tc>
        <w:tc>
          <w:tcPr>
            <w:tcW w:w="280" w:type="dxa"/>
            <w:vAlign w:val="bottom"/>
            <w:shd w:val="clear" w:color="auto" w:fill="E5FFFF"/>
          </w:tcPr>
          <w:p>
            <w:pPr>
              <w:spacing w:after="0"/>
              <w:rPr>
                <w:sz w:val="17"/>
                <w:szCs w:val="17"/>
                <w:color w:val="auto"/>
              </w:rPr>
            </w:pPr>
          </w:p>
        </w:tc>
        <w:tc>
          <w:tcPr>
            <w:tcW w:w="2020" w:type="dxa"/>
            <w:vAlign w:val="bottom"/>
            <w:gridSpan w:val="3"/>
            <w:shd w:val="clear" w:color="auto" w:fill="E5FFFF"/>
          </w:tcPr>
          <w:p>
            <w:pPr>
              <w:jc w:val="right"/>
              <w:ind w:right="280"/>
              <w:spacing w:after="0"/>
              <w:rPr>
                <w:sz w:val="20"/>
                <w:szCs w:val="20"/>
                <w:color w:val="auto"/>
              </w:rPr>
            </w:pPr>
            <w:r>
              <w:rPr>
                <w:rFonts w:ascii="Arial" w:cs="Arial" w:eastAsia="Arial" w:hAnsi="Arial"/>
                <w:sz w:val="16"/>
                <w:szCs w:val="16"/>
                <w:color w:val="auto"/>
              </w:rPr>
              <w:t>199,424</w:t>
            </w:r>
          </w:p>
        </w:tc>
        <w:tc>
          <w:tcPr>
            <w:tcW w:w="1520" w:type="dxa"/>
            <w:vAlign w:val="bottom"/>
            <w:gridSpan w:val="3"/>
            <w:shd w:val="clear" w:color="auto" w:fill="E5FFFF"/>
          </w:tcPr>
          <w:p>
            <w:pPr>
              <w:jc w:val="right"/>
              <w:ind w:right="20"/>
              <w:spacing w:after="0"/>
              <w:rPr>
                <w:sz w:val="20"/>
                <w:szCs w:val="20"/>
                <w:color w:val="auto"/>
              </w:rPr>
            </w:pPr>
            <w:r>
              <w:rPr>
                <w:rFonts w:ascii="Arial" w:cs="Arial" w:eastAsia="Arial" w:hAnsi="Arial"/>
                <w:sz w:val="16"/>
                <w:szCs w:val="16"/>
                <w:color w:val="auto"/>
              </w:rPr>
              <w:t>203,100</w:t>
            </w:r>
          </w:p>
        </w:tc>
        <w:tc>
          <w:tcPr>
            <w:tcW w:w="8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60" w:type="dxa"/>
            <w:vAlign w:val="bottom"/>
          </w:tcPr>
          <w:p>
            <w:pPr>
              <w:spacing w:after="0"/>
              <w:rPr>
                <w:sz w:val="20"/>
                <w:szCs w:val="20"/>
                <w:color w:val="auto"/>
              </w:rPr>
            </w:pPr>
            <w:r>
              <w:rPr>
                <w:rFonts w:ascii="Arial" w:cs="Arial" w:eastAsia="Arial" w:hAnsi="Arial"/>
                <w:sz w:val="16"/>
                <w:szCs w:val="16"/>
                <w:color w:val="auto"/>
              </w:rPr>
              <w:t>Other non-current liabilities</w:t>
            </w: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20" w:type="dxa"/>
            <w:vAlign w:val="bottom"/>
            <w:gridSpan w:val="3"/>
          </w:tcPr>
          <w:p>
            <w:pPr>
              <w:jc w:val="right"/>
              <w:ind w:right="280"/>
              <w:spacing w:after="0"/>
              <w:rPr>
                <w:sz w:val="20"/>
                <w:szCs w:val="20"/>
                <w:color w:val="auto"/>
              </w:rPr>
            </w:pPr>
            <w:r>
              <w:rPr>
                <w:rFonts w:ascii="Arial" w:cs="Arial" w:eastAsia="Arial" w:hAnsi="Arial"/>
                <w:sz w:val="16"/>
                <w:szCs w:val="16"/>
                <w:color w:val="auto"/>
              </w:rPr>
              <w:t>4,946</w:t>
            </w:r>
          </w:p>
        </w:tc>
        <w:tc>
          <w:tcPr>
            <w:tcW w:w="1520" w:type="dxa"/>
            <w:vAlign w:val="bottom"/>
            <w:gridSpan w:val="3"/>
          </w:tcPr>
          <w:p>
            <w:pPr>
              <w:jc w:val="right"/>
              <w:ind w:right="20"/>
              <w:spacing w:after="0"/>
              <w:rPr>
                <w:sz w:val="20"/>
                <w:szCs w:val="20"/>
                <w:color w:val="auto"/>
              </w:rPr>
            </w:pPr>
            <w:r>
              <w:rPr>
                <w:rFonts w:ascii="Arial" w:cs="Arial" w:eastAsia="Arial" w:hAnsi="Arial"/>
                <w:sz w:val="16"/>
                <w:szCs w:val="16"/>
                <w:color w:val="auto"/>
              </w:rPr>
              <w:t>7,909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96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Total non-current liabilities</w:t>
            </w:r>
          </w:p>
        </w:tc>
        <w:tc>
          <w:tcPr>
            <w:tcW w:w="700" w:type="dxa"/>
            <w:vAlign w:val="bottom"/>
            <w:tcBorders>
              <w:top w:val="single" w:sz="8" w:color="E5FFFF"/>
            </w:tcBorders>
            <w:shd w:val="clear" w:color="auto" w:fill="E5FFFF"/>
          </w:tcPr>
          <w:p>
            <w:pPr>
              <w:spacing w:after="0"/>
              <w:rPr>
                <w:sz w:val="17"/>
                <w:szCs w:val="17"/>
                <w:color w:val="auto"/>
              </w:rPr>
            </w:pPr>
          </w:p>
        </w:tc>
        <w:tc>
          <w:tcPr>
            <w:tcW w:w="280" w:type="dxa"/>
            <w:vAlign w:val="bottom"/>
            <w:tcBorders>
              <w:top w:val="single" w:sz="8" w:color="E5FFFF"/>
            </w:tcBorders>
            <w:shd w:val="clear" w:color="auto" w:fill="E5FFFF"/>
          </w:tcPr>
          <w:p>
            <w:pPr>
              <w:spacing w:after="0"/>
              <w:rPr>
                <w:sz w:val="17"/>
                <w:szCs w:val="17"/>
                <w:color w:val="auto"/>
              </w:rPr>
            </w:pPr>
          </w:p>
        </w:tc>
        <w:tc>
          <w:tcPr>
            <w:tcW w:w="380" w:type="dxa"/>
            <w:vAlign w:val="bottom"/>
            <w:tcBorders>
              <w:top w:val="single" w:sz="8" w:color="E5FFFF"/>
            </w:tcBorders>
            <w:shd w:val="clear" w:color="auto" w:fill="E5FFFF"/>
          </w:tcPr>
          <w:p>
            <w:pPr>
              <w:spacing w:after="0"/>
              <w:rPr>
                <w:sz w:val="17"/>
                <w:szCs w:val="17"/>
                <w:color w:val="auto"/>
              </w:rPr>
            </w:pPr>
          </w:p>
        </w:tc>
        <w:tc>
          <w:tcPr>
            <w:tcW w:w="13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2,522,280</w:t>
            </w:r>
          </w:p>
        </w:tc>
        <w:tc>
          <w:tcPr>
            <w:tcW w:w="280" w:type="dxa"/>
            <w:vAlign w:val="bottom"/>
            <w:tcBorders>
              <w:top w:val="single" w:sz="8" w:color="E5FFFF"/>
            </w:tcBorders>
            <w:shd w:val="clear" w:color="auto" w:fill="E5FFFF"/>
          </w:tcPr>
          <w:p>
            <w:pPr>
              <w:spacing w:after="0"/>
              <w:rPr>
                <w:sz w:val="17"/>
                <w:szCs w:val="17"/>
                <w:color w:val="auto"/>
              </w:rPr>
            </w:pPr>
          </w:p>
        </w:tc>
        <w:tc>
          <w:tcPr>
            <w:tcW w:w="360" w:type="dxa"/>
            <w:vAlign w:val="bottom"/>
            <w:tcBorders>
              <w:top w:val="single" w:sz="8" w:color="E5FFFF"/>
            </w:tcBorders>
            <w:shd w:val="clear" w:color="auto" w:fill="E5FFFF"/>
          </w:tcPr>
          <w:p>
            <w:pPr>
              <w:spacing w:after="0"/>
              <w:rPr>
                <w:sz w:val="17"/>
                <w:szCs w:val="17"/>
                <w:color w:val="auto"/>
              </w:rPr>
            </w:pPr>
          </w:p>
        </w:tc>
        <w:tc>
          <w:tcPr>
            <w:tcW w:w="11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2,981,996</w:t>
            </w:r>
          </w:p>
        </w:tc>
        <w:tc>
          <w:tcPr>
            <w:tcW w:w="20" w:type="dxa"/>
            <w:vAlign w:val="bottom"/>
            <w:tcBorders>
              <w:top w:val="single" w:sz="8" w:color="E5FFFF"/>
            </w:tcBorders>
            <w:shd w:val="clear" w:color="auto" w:fill="E5FFFF"/>
          </w:tcPr>
          <w:p>
            <w:pPr>
              <w:spacing w:after="0"/>
              <w:rPr>
                <w:sz w:val="17"/>
                <w:szCs w:val="17"/>
                <w:color w:val="auto"/>
              </w:rPr>
            </w:pPr>
          </w:p>
        </w:tc>
        <w:tc>
          <w:tcPr>
            <w:tcW w:w="80" w:type="dxa"/>
            <w:vAlign w:val="bottom"/>
            <w:tcBorders>
              <w:top w:val="single" w:sz="8" w:color="E5FFFF"/>
            </w:tcBorders>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960" w:type="dxa"/>
            <w:vAlign w:val="bottom"/>
          </w:tcPr>
          <w:p>
            <w:pPr>
              <w:spacing w:after="0"/>
              <w:rPr>
                <w:sz w:val="20"/>
                <w:szCs w:val="20"/>
                <w:color w:val="auto"/>
              </w:rPr>
            </w:pPr>
            <w:r>
              <w:rPr>
                <w:rFonts w:ascii="Arial" w:cs="Arial" w:eastAsia="Arial" w:hAnsi="Arial"/>
                <w:sz w:val="16"/>
                <w:szCs w:val="16"/>
                <w:b w:val="1"/>
                <w:bCs w:val="1"/>
                <w:color w:val="auto"/>
              </w:rPr>
              <w:t>Total equity and liabilities</w:t>
            </w: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5,174,807</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5,194,470</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35901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359015" cy="29845"/>
                    </a:xfrm>
                    <a:prstGeom prst="rect">
                      <a:avLst/>
                    </a:prstGeom>
                    <a:noFill/>
                  </pic:spPr>
                </pic:pic>
              </a:graphicData>
            </a:graphic>
          </wp:anchor>
        </w:drawing>
      </w:r>
    </w:p>
    <w:p>
      <w:pPr>
        <w:sectPr>
          <w:pgSz w:w="11900" w:h="16838" w:orient="portrait"/>
          <w:cols w:equalWidth="0" w:num="1">
            <w:col w:w="11560"/>
          </w:cols>
          <w:pgMar w:left="160" w:top="262" w:right="17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10"/>
        </w:trPr>
        <w:tc>
          <w:tcPr>
            <w:tcW w:w="5320" w:type="dxa"/>
            <w:vAlign w:val="bottom"/>
          </w:tcPr>
          <w:p>
            <w:pPr>
              <w:spacing w:after="0"/>
              <w:rPr>
                <w:sz w:val="20"/>
                <w:szCs w:val="20"/>
                <w:color w:val="auto"/>
              </w:rPr>
            </w:pPr>
            <w:r>
              <w:rPr>
                <w:rFonts w:ascii="Arial" w:cs="Arial" w:eastAsia="Arial" w:hAnsi="Arial"/>
                <w:sz w:val="16"/>
                <w:szCs w:val="16"/>
                <w:b w:val="1"/>
                <w:bCs w:val="1"/>
                <w:color w:val="auto"/>
              </w:rPr>
              <w:t>GasLog Ltd. and its Subsidiaries</w:t>
            </w:r>
          </w:p>
        </w:tc>
        <w:tc>
          <w:tcPr>
            <w:tcW w:w="1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5320" w:type="dxa"/>
            <w:vAlign w:val="bottom"/>
          </w:tcPr>
          <w:p>
            <w:pPr>
              <w:spacing w:after="0"/>
              <w:rPr>
                <w:sz w:val="20"/>
                <w:szCs w:val="20"/>
                <w:color w:val="auto"/>
              </w:rPr>
            </w:pPr>
            <w:r>
              <w:rPr>
                <w:rFonts w:ascii="Arial" w:cs="Arial" w:eastAsia="Arial" w:hAnsi="Arial"/>
                <w:sz w:val="16"/>
                <w:szCs w:val="16"/>
                <w:b w:val="1"/>
                <w:bCs w:val="1"/>
                <w:color w:val="auto"/>
              </w:rPr>
              <w:t>Unaudited condensed consolidated statements of profit or loss</w:t>
            </w:r>
          </w:p>
        </w:tc>
        <w:tc>
          <w:tcPr>
            <w:tcW w:w="1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320" w:type="dxa"/>
            <w:vAlign w:val="bottom"/>
          </w:tcPr>
          <w:p>
            <w:pPr>
              <w:spacing w:after="0"/>
              <w:rPr>
                <w:sz w:val="20"/>
                <w:szCs w:val="20"/>
                <w:color w:val="auto"/>
              </w:rPr>
            </w:pPr>
            <w:r>
              <w:rPr>
                <w:rFonts w:ascii="Arial" w:cs="Arial" w:eastAsia="Arial" w:hAnsi="Arial"/>
                <w:sz w:val="16"/>
                <w:szCs w:val="16"/>
                <w:b w:val="1"/>
                <w:bCs w:val="1"/>
                <w:color w:val="auto"/>
              </w:rPr>
              <w:t>For the three months ended March 31, 2018 and 2019</w:t>
            </w:r>
          </w:p>
        </w:tc>
        <w:tc>
          <w:tcPr>
            <w:tcW w:w="1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320" w:type="dxa"/>
            <w:vAlign w:val="bottom"/>
          </w:tcPr>
          <w:p>
            <w:pPr>
              <w:spacing w:after="0"/>
              <w:rPr>
                <w:sz w:val="20"/>
                <w:szCs w:val="20"/>
                <w:color w:val="auto"/>
              </w:rPr>
            </w:pPr>
            <w:r>
              <w:rPr>
                <w:rFonts w:ascii="Arial" w:cs="Arial" w:eastAsia="Arial" w:hAnsi="Arial"/>
                <w:sz w:val="16"/>
                <w:szCs w:val="16"/>
                <w:b w:val="1"/>
                <w:bCs w:val="1"/>
                <w:color w:val="auto"/>
                <w:w w:val="95"/>
              </w:rPr>
              <w:t>(Amounts expressed in thousands of U.S. Dollars, except per share data)</w:t>
            </w:r>
          </w:p>
        </w:tc>
        <w:tc>
          <w:tcPr>
            <w:tcW w:w="1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53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40" w:type="dxa"/>
            <w:vAlign w:val="bottom"/>
            <w:gridSpan w:val="4"/>
          </w:tcPr>
          <w:p>
            <w:pPr>
              <w:jc w:val="right"/>
              <w:ind w:right="1020"/>
              <w:spacing w:after="0"/>
              <w:rPr>
                <w:sz w:val="20"/>
                <w:szCs w:val="20"/>
                <w:color w:val="auto"/>
              </w:rPr>
            </w:pPr>
            <w:r>
              <w:rPr>
                <w:rFonts w:ascii="Arial" w:cs="Arial" w:eastAsia="Arial" w:hAnsi="Arial"/>
                <w:sz w:val="16"/>
                <w:szCs w:val="16"/>
                <w:b w:val="1"/>
                <w:bCs w:val="1"/>
                <w:color w:val="auto"/>
              </w:rPr>
              <w:t>For the three months ended</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53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6"/>
                <w:szCs w:val="16"/>
                <w:b w:val="1"/>
                <w:bCs w:val="1"/>
                <w:color w:val="auto"/>
              </w:rPr>
              <w:t>Note</w:t>
            </w:r>
          </w:p>
        </w:tc>
        <w:tc>
          <w:tcPr>
            <w:tcW w:w="2000" w:type="dxa"/>
            <w:vAlign w:val="bottom"/>
            <w:gridSpan w:val="2"/>
          </w:tcPr>
          <w:p>
            <w:pPr>
              <w:jc w:val="right"/>
              <w:ind w:right="600"/>
              <w:spacing w:after="0"/>
              <w:rPr>
                <w:sz w:val="20"/>
                <w:szCs w:val="20"/>
                <w:color w:val="auto"/>
              </w:rPr>
            </w:pPr>
            <w:r>
              <w:rPr>
                <w:rFonts w:ascii="Arial" w:cs="Arial" w:eastAsia="Arial" w:hAnsi="Arial"/>
                <w:sz w:val="16"/>
                <w:szCs w:val="16"/>
                <w:b w:val="1"/>
                <w:bCs w:val="1"/>
                <w:color w:val="auto"/>
              </w:rPr>
              <w:t>March 31, 2018</w:t>
            </w:r>
          </w:p>
        </w:tc>
        <w:tc>
          <w:tcPr>
            <w:tcW w:w="184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rPr>
              <w:t>March 31, 2019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532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Revenues</w:t>
            </w:r>
          </w:p>
        </w:tc>
        <w:tc>
          <w:tcPr>
            <w:tcW w:w="1420" w:type="dxa"/>
            <w:vAlign w:val="bottom"/>
            <w:tcBorders>
              <w:top w:val="single" w:sz="8" w:color="E5FFFF"/>
            </w:tcBorders>
            <w:shd w:val="clear" w:color="auto" w:fill="E5FFFF"/>
          </w:tcPr>
          <w:p>
            <w:pPr>
              <w:spacing w:after="0"/>
              <w:rPr>
                <w:sz w:val="17"/>
                <w:szCs w:val="17"/>
                <w:color w:val="auto"/>
              </w:rPr>
            </w:pPr>
          </w:p>
        </w:tc>
        <w:tc>
          <w:tcPr>
            <w:tcW w:w="70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89"/>
              </w:rPr>
              <w:t>9</w:t>
            </w:r>
          </w:p>
        </w:tc>
        <w:tc>
          <w:tcPr>
            <w:tcW w:w="280" w:type="dxa"/>
            <w:vAlign w:val="bottom"/>
            <w:tcBorders>
              <w:top w:val="single" w:sz="8" w:color="E5FFFF"/>
            </w:tcBorders>
            <w:shd w:val="clear" w:color="auto" w:fill="E5FFFF"/>
          </w:tcPr>
          <w:p>
            <w:pPr>
              <w:spacing w:after="0"/>
              <w:rPr>
                <w:sz w:val="17"/>
                <w:szCs w:val="17"/>
                <w:color w:val="auto"/>
              </w:rPr>
            </w:pPr>
          </w:p>
        </w:tc>
        <w:tc>
          <w:tcPr>
            <w:tcW w:w="172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138,478</w:t>
            </w:r>
          </w:p>
        </w:tc>
        <w:tc>
          <w:tcPr>
            <w:tcW w:w="280" w:type="dxa"/>
            <w:vAlign w:val="bottom"/>
            <w:tcBorders>
              <w:top w:val="single" w:sz="8" w:color="E5FFFF"/>
            </w:tcBorders>
            <w:shd w:val="clear" w:color="auto" w:fill="E5FFFF"/>
          </w:tcPr>
          <w:p>
            <w:pPr>
              <w:spacing w:after="0"/>
              <w:rPr>
                <w:sz w:val="17"/>
                <w:szCs w:val="17"/>
                <w:color w:val="auto"/>
              </w:rPr>
            </w:pPr>
          </w:p>
        </w:tc>
        <w:tc>
          <w:tcPr>
            <w:tcW w:w="174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166,547</w:t>
            </w:r>
          </w:p>
        </w:tc>
        <w:tc>
          <w:tcPr>
            <w:tcW w:w="100" w:type="dxa"/>
            <w:vAlign w:val="bottom"/>
            <w:tcBorders>
              <w:top w:val="single" w:sz="8" w:color="E5FFFF"/>
            </w:tcBorders>
            <w:shd w:val="clear" w:color="auto" w:fill="E5FF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20" w:type="dxa"/>
            <w:vAlign w:val="bottom"/>
          </w:tcPr>
          <w:p>
            <w:pPr>
              <w:spacing w:after="0"/>
              <w:rPr>
                <w:sz w:val="20"/>
                <w:szCs w:val="20"/>
                <w:color w:val="auto"/>
              </w:rPr>
            </w:pPr>
            <w:r>
              <w:rPr>
                <w:rFonts w:ascii="Arial" w:cs="Arial" w:eastAsia="Arial" w:hAnsi="Arial"/>
                <w:sz w:val="16"/>
                <w:szCs w:val="16"/>
                <w:color w:val="auto"/>
              </w:rPr>
              <w:t>Net pool allocation</w:t>
            </w:r>
          </w:p>
        </w:tc>
        <w:tc>
          <w:tcPr>
            <w:tcW w:w="1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8,653</w:t>
            </w:r>
          </w:p>
        </w:tc>
        <w:tc>
          <w:tcPr>
            <w:tcW w:w="280" w:type="dxa"/>
            <w:vAlign w:val="bottom"/>
          </w:tcPr>
          <w:p>
            <w:pPr>
              <w:spacing w:after="0"/>
              <w:rPr>
                <w:sz w:val="17"/>
                <w:szCs w:val="17"/>
                <w:color w:val="auto"/>
              </w:rPr>
            </w:pPr>
          </w:p>
        </w:tc>
        <w:tc>
          <w:tcPr>
            <w:tcW w:w="1840" w:type="dxa"/>
            <w:vAlign w:val="bottom"/>
            <w:gridSpan w:val="2"/>
          </w:tcPr>
          <w:p>
            <w:pPr>
              <w:jc w:val="right"/>
              <w:ind w:right="40"/>
              <w:spacing w:after="0"/>
              <w:rPr>
                <w:sz w:val="20"/>
                <w:szCs w:val="20"/>
                <w:color w:val="auto"/>
              </w:rPr>
            </w:pPr>
            <w:r>
              <w:rPr>
                <w:rFonts w:ascii="Arial" w:cs="Arial" w:eastAsia="Arial" w:hAnsi="Arial"/>
                <w:sz w:val="16"/>
                <w:szCs w:val="16"/>
                <w:color w:val="auto"/>
              </w:rPr>
              <w:t>(6,738)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20" w:type="dxa"/>
            <w:vAlign w:val="bottom"/>
            <w:shd w:val="clear" w:color="auto" w:fill="E5FFFF"/>
          </w:tcPr>
          <w:p>
            <w:pPr>
              <w:spacing w:after="0"/>
              <w:rPr>
                <w:sz w:val="20"/>
                <w:szCs w:val="20"/>
                <w:color w:val="auto"/>
              </w:rPr>
            </w:pPr>
            <w:r>
              <w:rPr>
                <w:rFonts w:ascii="Arial" w:cs="Arial" w:eastAsia="Arial" w:hAnsi="Arial"/>
                <w:sz w:val="16"/>
                <w:szCs w:val="16"/>
                <w:color w:val="auto"/>
              </w:rPr>
              <w:t>Voyage expenses and commissions</w:t>
            </w:r>
          </w:p>
        </w:tc>
        <w:tc>
          <w:tcPr>
            <w:tcW w:w="1420" w:type="dxa"/>
            <w:vAlign w:val="bottom"/>
            <w:shd w:val="clear" w:color="auto" w:fill="E5FFFF"/>
          </w:tcPr>
          <w:p>
            <w:pPr>
              <w:spacing w:after="0"/>
              <w:rPr>
                <w:sz w:val="17"/>
                <w:szCs w:val="17"/>
                <w:color w:val="auto"/>
              </w:rPr>
            </w:pPr>
          </w:p>
        </w:tc>
        <w:tc>
          <w:tcPr>
            <w:tcW w:w="70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200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(5,281)</w:t>
            </w:r>
          </w:p>
        </w:tc>
        <w:tc>
          <w:tcPr>
            <w:tcW w:w="1840" w:type="dxa"/>
            <w:vAlign w:val="bottom"/>
            <w:gridSpan w:val="2"/>
            <w:shd w:val="clear" w:color="auto" w:fill="E5FFFF"/>
          </w:tcPr>
          <w:p>
            <w:pPr>
              <w:jc w:val="right"/>
              <w:ind w:right="40"/>
              <w:spacing w:after="0"/>
              <w:rPr>
                <w:sz w:val="20"/>
                <w:szCs w:val="20"/>
                <w:color w:val="auto"/>
              </w:rPr>
            </w:pPr>
            <w:r>
              <w:rPr>
                <w:rFonts w:ascii="Arial" w:cs="Arial" w:eastAsia="Arial" w:hAnsi="Arial"/>
                <w:sz w:val="16"/>
                <w:szCs w:val="16"/>
                <w:color w:val="auto"/>
              </w:rPr>
              <w:t>(6,917)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20" w:type="dxa"/>
            <w:vAlign w:val="bottom"/>
          </w:tcPr>
          <w:p>
            <w:pPr>
              <w:spacing w:after="0"/>
              <w:rPr>
                <w:sz w:val="20"/>
                <w:szCs w:val="20"/>
                <w:color w:val="auto"/>
              </w:rPr>
            </w:pPr>
            <w:r>
              <w:rPr>
                <w:rFonts w:ascii="Arial" w:cs="Arial" w:eastAsia="Arial" w:hAnsi="Arial"/>
                <w:sz w:val="16"/>
                <w:szCs w:val="16"/>
                <w:color w:val="auto"/>
              </w:rPr>
              <w:t>Vessel operating and supervision costs</w:t>
            </w:r>
          </w:p>
        </w:tc>
        <w:tc>
          <w:tcPr>
            <w:tcW w:w="2120" w:type="dxa"/>
            <w:vAlign w:val="bottom"/>
            <w:gridSpan w:val="2"/>
          </w:tcPr>
          <w:p>
            <w:pPr>
              <w:jc w:val="center"/>
              <w:ind w:left="1319"/>
              <w:spacing w:after="0"/>
              <w:rPr>
                <w:sz w:val="20"/>
                <w:szCs w:val="20"/>
                <w:color w:val="auto"/>
              </w:rPr>
            </w:pPr>
            <w:r>
              <w:rPr>
                <w:rFonts w:ascii="Arial" w:cs="Arial" w:eastAsia="Arial" w:hAnsi="Arial"/>
                <w:sz w:val="16"/>
                <w:szCs w:val="16"/>
                <w:color w:val="auto"/>
                <w:w w:val="89"/>
              </w:rPr>
              <w:t>11</w:t>
            </w:r>
          </w:p>
        </w:tc>
        <w:tc>
          <w:tcPr>
            <w:tcW w:w="280" w:type="dxa"/>
            <w:vAlign w:val="bottom"/>
          </w:tcPr>
          <w:p>
            <w:pPr>
              <w:spacing w:after="0"/>
              <w:rPr>
                <w:sz w:val="17"/>
                <w:szCs w:val="17"/>
                <w:color w:val="auto"/>
              </w:rPr>
            </w:pPr>
          </w:p>
        </w:tc>
        <w:tc>
          <w:tcPr>
            <w:tcW w:w="2000" w:type="dxa"/>
            <w:vAlign w:val="bottom"/>
            <w:gridSpan w:val="2"/>
          </w:tcPr>
          <w:p>
            <w:pPr>
              <w:jc w:val="right"/>
              <w:ind w:right="220"/>
              <w:spacing w:after="0"/>
              <w:rPr>
                <w:sz w:val="20"/>
                <w:szCs w:val="20"/>
                <w:color w:val="auto"/>
              </w:rPr>
            </w:pPr>
            <w:r>
              <w:rPr>
                <w:rFonts w:ascii="Arial" w:cs="Arial" w:eastAsia="Arial" w:hAnsi="Arial"/>
                <w:sz w:val="16"/>
                <w:szCs w:val="16"/>
                <w:color w:val="auto"/>
              </w:rPr>
              <w:t>(34,313)</w:t>
            </w:r>
          </w:p>
        </w:tc>
        <w:tc>
          <w:tcPr>
            <w:tcW w:w="1840" w:type="dxa"/>
            <w:vAlign w:val="bottom"/>
            <w:gridSpan w:val="2"/>
          </w:tcPr>
          <w:p>
            <w:pPr>
              <w:jc w:val="right"/>
              <w:ind w:right="40"/>
              <w:spacing w:after="0"/>
              <w:rPr>
                <w:sz w:val="20"/>
                <w:szCs w:val="20"/>
                <w:color w:val="auto"/>
              </w:rPr>
            </w:pPr>
            <w:r>
              <w:rPr>
                <w:rFonts w:ascii="Arial" w:cs="Arial" w:eastAsia="Arial" w:hAnsi="Arial"/>
                <w:sz w:val="16"/>
                <w:szCs w:val="16"/>
                <w:color w:val="auto"/>
              </w:rPr>
              <w:t>(32,970)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20" w:type="dxa"/>
            <w:vAlign w:val="bottom"/>
            <w:shd w:val="clear" w:color="auto" w:fill="E5FFFF"/>
          </w:tcPr>
          <w:p>
            <w:pPr>
              <w:spacing w:after="0"/>
              <w:rPr>
                <w:sz w:val="20"/>
                <w:szCs w:val="20"/>
                <w:color w:val="auto"/>
              </w:rPr>
            </w:pPr>
            <w:r>
              <w:rPr>
                <w:rFonts w:ascii="Arial" w:cs="Arial" w:eastAsia="Arial" w:hAnsi="Arial"/>
                <w:sz w:val="16"/>
                <w:szCs w:val="16"/>
                <w:color w:val="auto"/>
              </w:rPr>
              <w:t>Depreciation</w:t>
            </w:r>
          </w:p>
        </w:tc>
        <w:tc>
          <w:tcPr>
            <w:tcW w:w="2120" w:type="dxa"/>
            <w:vAlign w:val="bottom"/>
            <w:gridSpan w:val="2"/>
            <w:shd w:val="clear" w:color="auto" w:fill="E5FFFF"/>
          </w:tcPr>
          <w:p>
            <w:pPr>
              <w:jc w:val="center"/>
              <w:ind w:left="1319"/>
              <w:spacing w:after="0"/>
              <w:rPr>
                <w:sz w:val="20"/>
                <w:szCs w:val="20"/>
                <w:color w:val="auto"/>
              </w:rPr>
            </w:pPr>
            <w:r>
              <w:rPr>
                <w:rFonts w:ascii="Arial" w:cs="Arial" w:eastAsia="Arial" w:hAnsi="Arial"/>
                <w:sz w:val="16"/>
                <w:szCs w:val="16"/>
                <w:color w:val="auto"/>
                <w:w w:val="89"/>
              </w:rPr>
              <w:t>5, 6</w:t>
            </w:r>
          </w:p>
        </w:tc>
        <w:tc>
          <w:tcPr>
            <w:tcW w:w="280" w:type="dxa"/>
            <w:vAlign w:val="bottom"/>
            <w:shd w:val="clear" w:color="auto" w:fill="E5FFFF"/>
          </w:tcPr>
          <w:p>
            <w:pPr>
              <w:spacing w:after="0"/>
              <w:rPr>
                <w:sz w:val="17"/>
                <w:szCs w:val="17"/>
                <w:color w:val="auto"/>
              </w:rPr>
            </w:pPr>
          </w:p>
        </w:tc>
        <w:tc>
          <w:tcPr>
            <w:tcW w:w="200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(35,529)</w:t>
            </w:r>
          </w:p>
        </w:tc>
        <w:tc>
          <w:tcPr>
            <w:tcW w:w="1840" w:type="dxa"/>
            <w:vAlign w:val="bottom"/>
            <w:gridSpan w:val="2"/>
            <w:shd w:val="clear" w:color="auto" w:fill="E5FFFF"/>
          </w:tcPr>
          <w:p>
            <w:pPr>
              <w:jc w:val="right"/>
              <w:ind w:right="40"/>
              <w:spacing w:after="0"/>
              <w:rPr>
                <w:sz w:val="20"/>
                <w:szCs w:val="20"/>
                <w:color w:val="auto"/>
              </w:rPr>
            </w:pPr>
            <w:r>
              <w:rPr>
                <w:rFonts w:ascii="Arial" w:cs="Arial" w:eastAsia="Arial" w:hAnsi="Arial"/>
                <w:sz w:val="16"/>
                <w:szCs w:val="16"/>
                <w:color w:val="auto"/>
              </w:rPr>
              <w:t>(39,599)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20" w:type="dxa"/>
            <w:vAlign w:val="bottom"/>
          </w:tcPr>
          <w:p>
            <w:pPr>
              <w:spacing w:after="0"/>
              <w:rPr>
                <w:sz w:val="20"/>
                <w:szCs w:val="20"/>
                <w:color w:val="auto"/>
              </w:rPr>
            </w:pPr>
            <w:r>
              <w:rPr>
                <w:rFonts w:ascii="Arial" w:cs="Arial" w:eastAsia="Arial" w:hAnsi="Arial"/>
                <w:sz w:val="16"/>
                <w:szCs w:val="16"/>
                <w:color w:val="auto"/>
              </w:rPr>
              <w:t>General and administrative expenses</w:t>
            </w:r>
          </w:p>
        </w:tc>
        <w:tc>
          <w:tcPr>
            <w:tcW w:w="2120" w:type="dxa"/>
            <w:vAlign w:val="bottom"/>
            <w:gridSpan w:val="2"/>
          </w:tcPr>
          <w:p>
            <w:pPr>
              <w:jc w:val="center"/>
              <w:ind w:left="1319"/>
              <w:spacing w:after="0"/>
              <w:rPr>
                <w:sz w:val="20"/>
                <w:szCs w:val="20"/>
                <w:color w:val="auto"/>
              </w:rPr>
            </w:pPr>
            <w:r>
              <w:rPr>
                <w:rFonts w:ascii="Arial" w:cs="Arial" w:eastAsia="Arial" w:hAnsi="Arial"/>
                <w:sz w:val="16"/>
                <w:szCs w:val="16"/>
                <w:color w:val="auto"/>
                <w:w w:val="89"/>
              </w:rPr>
              <w:t>10</w:t>
            </w:r>
          </w:p>
        </w:tc>
        <w:tc>
          <w:tcPr>
            <w:tcW w:w="280" w:type="dxa"/>
            <w:vAlign w:val="bottom"/>
          </w:tcPr>
          <w:p>
            <w:pPr>
              <w:spacing w:after="0"/>
              <w:rPr>
                <w:sz w:val="17"/>
                <w:szCs w:val="17"/>
                <w:color w:val="auto"/>
              </w:rPr>
            </w:pPr>
          </w:p>
        </w:tc>
        <w:tc>
          <w:tcPr>
            <w:tcW w:w="2000" w:type="dxa"/>
            <w:vAlign w:val="bottom"/>
            <w:gridSpan w:val="2"/>
          </w:tcPr>
          <w:p>
            <w:pPr>
              <w:jc w:val="right"/>
              <w:ind w:right="220"/>
              <w:spacing w:after="0"/>
              <w:rPr>
                <w:sz w:val="20"/>
                <w:szCs w:val="20"/>
                <w:color w:val="auto"/>
              </w:rPr>
            </w:pPr>
            <w:r>
              <w:rPr>
                <w:rFonts w:ascii="Arial" w:cs="Arial" w:eastAsia="Arial" w:hAnsi="Arial"/>
                <w:sz w:val="16"/>
                <w:szCs w:val="16"/>
                <w:color w:val="auto"/>
              </w:rPr>
              <w:t>(12,013)</w:t>
            </w:r>
          </w:p>
        </w:tc>
        <w:tc>
          <w:tcPr>
            <w:tcW w:w="1840" w:type="dxa"/>
            <w:vAlign w:val="bottom"/>
            <w:gridSpan w:val="2"/>
          </w:tcPr>
          <w:p>
            <w:pPr>
              <w:jc w:val="right"/>
              <w:ind w:right="40"/>
              <w:spacing w:after="0"/>
              <w:rPr>
                <w:sz w:val="20"/>
                <w:szCs w:val="20"/>
                <w:color w:val="auto"/>
              </w:rPr>
            </w:pPr>
            <w:r>
              <w:rPr>
                <w:rFonts w:ascii="Arial" w:cs="Arial" w:eastAsia="Arial" w:hAnsi="Arial"/>
                <w:sz w:val="16"/>
                <w:szCs w:val="16"/>
                <w:color w:val="auto"/>
              </w:rPr>
              <w:t>(10,377)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32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Profit from operations</w:t>
            </w:r>
          </w:p>
        </w:tc>
        <w:tc>
          <w:tcPr>
            <w:tcW w:w="1420" w:type="dxa"/>
            <w:vAlign w:val="bottom"/>
            <w:tcBorders>
              <w:top w:val="single" w:sz="8" w:color="E5FFFF"/>
            </w:tcBorders>
            <w:shd w:val="clear" w:color="auto" w:fill="E5FFFF"/>
          </w:tcPr>
          <w:p>
            <w:pPr>
              <w:spacing w:after="0"/>
              <w:rPr>
                <w:sz w:val="17"/>
                <w:szCs w:val="17"/>
                <w:color w:val="auto"/>
              </w:rPr>
            </w:pPr>
          </w:p>
        </w:tc>
        <w:tc>
          <w:tcPr>
            <w:tcW w:w="700" w:type="dxa"/>
            <w:vAlign w:val="bottom"/>
            <w:tcBorders>
              <w:top w:val="single" w:sz="8" w:color="E5FFFF"/>
            </w:tcBorders>
            <w:shd w:val="clear" w:color="auto" w:fill="E5FFFF"/>
          </w:tcPr>
          <w:p>
            <w:pPr>
              <w:spacing w:after="0"/>
              <w:rPr>
                <w:sz w:val="17"/>
                <w:szCs w:val="17"/>
                <w:color w:val="auto"/>
              </w:rPr>
            </w:pPr>
          </w:p>
        </w:tc>
        <w:tc>
          <w:tcPr>
            <w:tcW w:w="280" w:type="dxa"/>
            <w:vAlign w:val="bottom"/>
            <w:tcBorders>
              <w:top w:val="single" w:sz="8" w:color="E5FFFF"/>
            </w:tcBorders>
            <w:shd w:val="clear" w:color="auto" w:fill="E5FFFF"/>
          </w:tcPr>
          <w:p>
            <w:pPr>
              <w:spacing w:after="0"/>
              <w:rPr>
                <w:sz w:val="17"/>
                <w:szCs w:val="17"/>
                <w:color w:val="auto"/>
              </w:rPr>
            </w:pPr>
          </w:p>
        </w:tc>
        <w:tc>
          <w:tcPr>
            <w:tcW w:w="17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59,995</w:t>
            </w:r>
          </w:p>
        </w:tc>
        <w:tc>
          <w:tcPr>
            <w:tcW w:w="280" w:type="dxa"/>
            <w:vAlign w:val="bottom"/>
            <w:tcBorders>
              <w:top w:val="single" w:sz="8" w:color="E5FFFF"/>
            </w:tcBorders>
            <w:shd w:val="clear" w:color="auto" w:fill="E5FFFF"/>
          </w:tcPr>
          <w:p>
            <w:pPr>
              <w:spacing w:after="0"/>
              <w:rPr>
                <w:sz w:val="17"/>
                <w:szCs w:val="17"/>
                <w:color w:val="auto"/>
              </w:rPr>
            </w:pPr>
          </w:p>
        </w:tc>
        <w:tc>
          <w:tcPr>
            <w:tcW w:w="17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69,946</w:t>
            </w:r>
          </w:p>
        </w:tc>
        <w:tc>
          <w:tcPr>
            <w:tcW w:w="100" w:type="dxa"/>
            <w:vAlign w:val="bottom"/>
            <w:tcBorders>
              <w:top w:val="single" w:sz="8" w:color="E5FFFF"/>
            </w:tcBorders>
            <w:shd w:val="clear" w:color="auto" w:fill="E5FF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320" w:type="dxa"/>
            <w:vAlign w:val="bottom"/>
          </w:tcPr>
          <w:p>
            <w:pPr>
              <w:spacing w:after="0"/>
              <w:rPr>
                <w:sz w:val="20"/>
                <w:szCs w:val="20"/>
                <w:color w:val="auto"/>
              </w:rPr>
            </w:pPr>
            <w:r>
              <w:rPr>
                <w:rFonts w:ascii="Arial" w:cs="Arial" w:eastAsia="Arial" w:hAnsi="Arial"/>
                <w:sz w:val="16"/>
                <w:szCs w:val="16"/>
                <w:color w:val="auto"/>
              </w:rPr>
              <w:t>Financial costs</w:t>
            </w:r>
          </w:p>
        </w:tc>
        <w:tc>
          <w:tcPr>
            <w:tcW w:w="2120" w:type="dxa"/>
            <w:vAlign w:val="bottom"/>
            <w:gridSpan w:val="2"/>
          </w:tcPr>
          <w:p>
            <w:pPr>
              <w:jc w:val="center"/>
              <w:ind w:left="1319"/>
              <w:spacing w:after="0"/>
              <w:rPr>
                <w:sz w:val="20"/>
                <w:szCs w:val="20"/>
                <w:color w:val="auto"/>
              </w:rPr>
            </w:pPr>
            <w:r>
              <w:rPr>
                <w:rFonts w:ascii="Arial" w:cs="Arial" w:eastAsia="Arial" w:hAnsi="Arial"/>
                <w:sz w:val="16"/>
                <w:szCs w:val="16"/>
                <w:color w:val="auto"/>
                <w:w w:val="89"/>
              </w:rPr>
              <w:t>16</w:t>
            </w:r>
          </w:p>
        </w:tc>
        <w:tc>
          <w:tcPr>
            <w:tcW w:w="28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(36,597)</w:t>
            </w:r>
          </w:p>
        </w:tc>
        <w:tc>
          <w:tcPr>
            <w:tcW w:w="28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(45,507)</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20" w:type="dxa"/>
            <w:vAlign w:val="bottom"/>
            <w:shd w:val="clear" w:color="auto" w:fill="E5FFFF"/>
          </w:tcPr>
          <w:p>
            <w:pPr>
              <w:spacing w:after="0"/>
              <w:rPr>
                <w:sz w:val="20"/>
                <w:szCs w:val="20"/>
                <w:color w:val="auto"/>
              </w:rPr>
            </w:pPr>
            <w:r>
              <w:rPr>
                <w:rFonts w:ascii="Arial" w:cs="Arial" w:eastAsia="Arial" w:hAnsi="Arial"/>
                <w:sz w:val="16"/>
                <w:szCs w:val="16"/>
                <w:color w:val="auto"/>
              </w:rPr>
              <w:t>Financial income</w:t>
            </w:r>
          </w:p>
        </w:tc>
        <w:tc>
          <w:tcPr>
            <w:tcW w:w="1420" w:type="dxa"/>
            <w:vAlign w:val="bottom"/>
            <w:shd w:val="clear" w:color="auto" w:fill="E5FFFF"/>
          </w:tcPr>
          <w:p>
            <w:pPr>
              <w:spacing w:after="0"/>
              <w:rPr>
                <w:sz w:val="17"/>
                <w:szCs w:val="17"/>
                <w:color w:val="auto"/>
              </w:rPr>
            </w:pPr>
          </w:p>
        </w:tc>
        <w:tc>
          <w:tcPr>
            <w:tcW w:w="70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7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1,016</w:t>
            </w:r>
          </w:p>
        </w:tc>
        <w:tc>
          <w:tcPr>
            <w:tcW w:w="280" w:type="dxa"/>
            <w:vAlign w:val="bottom"/>
            <w:shd w:val="clear" w:color="auto" w:fill="E5FFFF"/>
          </w:tcPr>
          <w:p>
            <w:pPr>
              <w:spacing w:after="0"/>
              <w:rPr>
                <w:sz w:val="17"/>
                <w:szCs w:val="17"/>
                <w:color w:val="auto"/>
              </w:rPr>
            </w:pPr>
          </w:p>
        </w:tc>
        <w:tc>
          <w:tcPr>
            <w:tcW w:w="184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1,459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20" w:type="dxa"/>
            <w:vAlign w:val="bottom"/>
          </w:tcPr>
          <w:p>
            <w:pPr>
              <w:spacing w:after="0"/>
              <w:rPr>
                <w:sz w:val="20"/>
                <w:szCs w:val="20"/>
                <w:color w:val="auto"/>
              </w:rPr>
            </w:pPr>
            <w:r>
              <w:rPr>
                <w:rFonts w:ascii="Arial" w:cs="Arial" w:eastAsia="Arial" w:hAnsi="Arial"/>
                <w:sz w:val="16"/>
                <w:szCs w:val="16"/>
                <w:color w:val="auto"/>
              </w:rPr>
              <w:t>Gain/(loss) on derivatives</w:t>
            </w:r>
          </w:p>
        </w:tc>
        <w:tc>
          <w:tcPr>
            <w:tcW w:w="2120" w:type="dxa"/>
            <w:vAlign w:val="bottom"/>
            <w:gridSpan w:val="2"/>
          </w:tcPr>
          <w:p>
            <w:pPr>
              <w:jc w:val="center"/>
              <w:ind w:left="1319"/>
              <w:spacing w:after="0"/>
              <w:rPr>
                <w:sz w:val="20"/>
                <w:szCs w:val="20"/>
                <w:color w:val="auto"/>
              </w:rPr>
            </w:pPr>
            <w:r>
              <w:rPr>
                <w:rFonts w:ascii="Arial" w:cs="Arial" w:eastAsia="Arial" w:hAnsi="Arial"/>
                <w:sz w:val="16"/>
                <w:szCs w:val="16"/>
                <w:color w:val="auto"/>
                <w:w w:val="89"/>
              </w:rPr>
              <w:t>16</w:t>
            </w:r>
          </w:p>
        </w:tc>
        <w:tc>
          <w:tcPr>
            <w:tcW w:w="28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17,771</w:t>
            </w:r>
          </w:p>
        </w:tc>
        <w:tc>
          <w:tcPr>
            <w:tcW w:w="280" w:type="dxa"/>
            <w:vAlign w:val="bottom"/>
          </w:tcPr>
          <w:p>
            <w:pPr>
              <w:spacing w:after="0"/>
              <w:rPr>
                <w:sz w:val="17"/>
                <w:szCs w:val="17"/>
                <w:color w:val="auto"/>
              </w:rPr>
            </w:pPr>
          </w:p>
        </w:tc>
        <w:tc>
          <w:tcPr>
            <w:tcW w:w="1840" w:type="dxa"/>
            <w:vAlign w:val="bottom"/>
            <w:gridSpan w:val="2"/>
          </w:tcPr>
          <w:p>
            <w:pPr>
              <w:jc w:val="right"/>
              <w:ind w:right="40"/>
              <w:spacing w:after="0"/>
              <w:rPr>
                <w:sz w:val="20"/>
                <w:szCs w:val="20"/>
                <w:color w:val="auto"/>
              </w:rPr>
            </w:pPr>
            <w:r>
              <w:rPr>
                <w:rFonts w:ascii="Arial" w:cs="Arial" w:eastAsia="Arial" w:hAnsi="Arial"/>
                <w:sz w:val="16"/>
                <w:szCs w:val="16"/>
                <w:color w:val="auto"/>
              </w:rPr>
              <w:t>(20,244)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20" w:type="dxa"/>
            <w:vAlign w:val="bottom"/>
            <w:shd w:val="clear" w:color="auto" w:fill="E5FFFF"/>
          </w:tcPr>
          <w:p>
            <w:pPr>
              <w:spacing w:after="0"/>
              <w:rPr>
                <w:sz w:val="20"/>
                <w:szCs w:val="20"/>
                <w:color w:val="auto"/>
              </w:rPr>
            </w:pPr>
            <w:r>
              <w:rPr>
                <w:rFonts w:ascii="Arial" w:cs="Arial" w:eastAsia="Arial" w:hAnsi="Arial"/>
                <w:sz w:val="16"/>
                <w:szCs w:val="16"/>
                <w:color w:val="auto"/>
              </w:rPr>
              <w:t>Share of profit of associates</w:t>
            </w:r>
          </w:p>
        </w:tc>
        <w:tc>
          <w:tcPr>
            <w:tcW w:w="2120" w:type="dxa"/>
            <w:vAlign w:val="bottom"/>
            <w:gridSpan w:val="2"/>
            <w:shd w:val="clear" w:color="auto" w:fill="E5FFFF"/>
          </w:tcPr>
          <w:p>
            <w:pPr>
              <w:jc w:val="center"/>
              <w:ind w:left="1319"/>
              <w:spacing w:after="0"/>
              <w:rPr>
                <w:sz w:val="20"/>
                <w:szCs w:val="20"/>
                <w:color w:val="auto"/>
              </w:rPr>
            </w:pPr>
            <w:r>
              <w:rPr>
                <w:rFonts w:ascii="Arial" w:cs="Arial" w:eastAsia="Arial" w:hAnsi="Arial"/>
                <w:sz w:val="16"/>
                <w:szCs w:val="16"/>
                <w:color w:val="auto"/>
                <w:w w:val="89"/>
              </w:rPr>
              <w:t>4</w:t>
            </w:r>
          </w:p>
        </w:tc>
        <w:tc>
          <w:tcPr>
            <w:tcW w:w="280" w:type="dxa"/>
            <w:vAlign w:val="bottom"/>
            <w:shd w:val="clear" w:color="auto" w:fill="E5FFFF"/>
          </w:tcPr>
          <w:p>
            <w:pPr>
              <w:spacing w:after="0"/>
              <w:rPr>
                <w:sz w:val="17"/>
                <w:szCs w:val="17"/>
                <w:color w:val="auto"/>
              </w:rPr>
            </w:pPr>
          </w:p>
        </w:tc>
        <w:tc>
          <w:tcPr>
            <w:tcW w:w="17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356</w:t>
            </w:r>
          </w:p>
        </w:tc>
        <w:tc>
          <w:tcPr>
            <w:tcW w:w="280" w:type="dxa"/>
            <w:vAlign w:val="bottom"/>
            <w:shd w:val="clear" w:color="auto" w:fill="E5FFFF"/>
          </w:tcPr>
          <w:p>
            <w:pPr>
              <w:spacing w:after="0"/>
              <w:rPr>
                <w:sz w:val="17"/>
                <w:szCs w:val="17"/>
                <w:color w:val="auto"/>
              </w:rPr>
            </w:pPr>
          </w:p>
        </w:tc>
        <w:tc>
          <w:tcPr>
            <w:tcW w:w="184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245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32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Total other expenses, net</w:t>
            </w:r>
          </w:p>
        </w:tc>
        <w:tc>
          <w:tcPr>
            <w:tcW w:w="1420" w:type="dxa"/>
            <w:vAlign w:val="bottom"/>
            <w:tcBorders>
              <w:bottom w:val="single" w:sz="8" w:color="E5FFFF"/>
            </w:tcBorders>
          </w:tcPr>
          <w:p>
            <w:pPr>
              <w:spacing w:after="0"/>
              <w:rPr>
                <w:sz w:val="17"/>
                <w:szCs w:val="17"/>
                <w:color w:val="auto"/>
              </w:rPr>
            </w:pPr>
          </w:p>
        </w:tc>
        <w:tc>
          <w:tcPr>
            <w:tcW w:w="700" w:type="dxa"/>
            <w:vAlign w:val="bottom"/>
            <w:tcBorders>
              <w:bottom w:val="single" w:sz="8" w:color="E5FFFF"/>
            </w:tcBorders>
          </w:tcPr>
          <w:p>
            <w:pPr>
              <w:spacing w:after="0"/>
              <w:rPr>
                <w:sz w:val="17"/>
                <w:szCs w:val="17"/>
                <w:color w:val="auto"/>
              </w:rPr>
            </w:pPr>
          </w:p>
        </w:tc>
        <w:tc>
          <w:tcPr>
            <w:tcW w:w="280" w:type="dxa"/>
            <w:vAlign w:val="bottom"/>
            <w:tcBorders>
              <w:bottom w:val="single" w:sz="8" w:color="E5FFFF"/>
            </w:tcBorders>
          </w:tcPr>
          <w:p>
            <w:pPr>
              <w:spacing w:after="0"/>
              <w:rPr>
                <w:sz w:val="17"/>
                <w:szCs w:val="17"/>
                <w:color w:val="auto"/>
              </w:rPr>
            </w:pP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(17,454)</w:t>
            </w:r>
          </w:p>
        </w:tc>
        <w:tc>
          <w:tcPr>
            <w:tcW w:w="280" w:type="dxa"/>
            <w:vAlign w:val="bottom"/>
            <w:tcBorders>
              <w:bottom w:val="single" w:sz="8" w:color="E5FFFF"/>
            </w:tcBorders>
          </w:tcPr>
          <w:p>
            <w:pPr>
              <w:spacing w:after="0"/>
              <w:rPr>
                <w:sz w:val="17"/>
                <w:szCs w:val="17"/>
                <w:color w:val="auto"/>
              </w:rPr>
            </w:pP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(64,047)</w:t>
            </w:r>
          </w:p>
        </w:tc>
        <w:tc>
          <w:tcPr>
            <w:tcW w:w="100" w:type="dxa"/>
            <w:vAlign w:val="bottom"/>
            <w:tcBorders>
              <w:bottom w:val="single" w:sz="8" w:color="E5FFFF"/>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32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Profit for the period</w:t>
            </w:r>
          </w:p>
        </w:tc>
        <w:tc>
          <w:tcPr>
            <w:tcW w:w="1420" w:type="dxa"/>
            <w:vAlign w:val="bottom"/>
            <w:tcBorders>
              <w:bottom w:val="single" w:sz="8" w:color="E5FFFF"/>
            </w:tcBorders>
            <w:shd w:val="clear" w:color="auto" w:fill="E5FFFF"/>
          </w:tcPr>
          <w:p>
            <w:pPr>
              <w:spacing w:after="0"/>
              <w:rPr>
                <w:sz w:val="17"/>
                <w:szCs w:val="17"/>
                <w:color w:val="auto"/>
              </w:rPr>
            </w:pPr>
          </w:p>
        </w:tc>
        <w:tc>
          <w:tcPr>
            <w:tcW w:w="700" w:type="dxa"/>
            <w:vAlign w:val="bottom"/>
            <w:tcBorders>
              <w:bottom w:val="single" w:sz="8" w:color="E5FFFF"/>
            </w:tcBorders>
            <w:shd w:val="clear" w:color="auto" w:fill="E5FFFF"/>
          </w:tcPr>
          <w:p>
            <w:pPr>
              <w:spacing w:after="0"/>
              <w:rPr>
                <w:sz w:val="17"/>
                <w:szCs w:val="17"/>
                <w:color w:val="auto"/>
              </w:rPr>
            </w:pPr>
          </w:p>
        </w:tc>
        <w:tc>
          <w:tcPr>
            <w:tcW w:w="280" w:type="dxa"/>
            <w:vAlign w:val="bottom"/>
            <w:tcBorders>
              <w:bottom w:val="single" w:sz="8" w:color="E5FFFF"/>
            </w:tcBorders>
            <w:shd w:val="clear" w:color="auto" w:fill="E5FFFF"/>
          </w:tcPr>
          <w:p>
            <w:pPr>
              <w:spacing w:after="0"/>
              <w:rPr>
                <w:sz w:val="17"/>
                <w:szCs w:val="17"/>
                <w:color w:val="auto"/>
              </w:rPr>
            </w:pPr>
          </w:p>
        </w:tc>
        <w:tc>
          <w:tcPr>
            <w:tcW w:w="17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42,541</w:t>
            </w:r>
          </w:p>
        </w:tc>
        <w:tc>
          <w:tcPr>
            <w:tcW w:w="280" w:type="dxa"/>
            <w:vAlign w:val="bottom"/>
            <w:tcBorders>
              <w:bottom w:val="single" w:sz="8" w:color="E5FFFF"/>
            </w:tcBorders>
            <w:shd w:val="clear" w:color="auto" w:fill="E5FFFF"/>
          </w:tcPr>
          <w:p>
            <w:pPr>
              <w:spacing w:after="0"/>
              <w:rPr>
                <w:sz w:val="17"/>
                <w:szCs w:val="17"/>
                <w:color w:val="auto"/>
              </w:rPr>
            </w:pPr>
          </w:p>
        </w:tc>
        <w:tc>
          <w:tcPr>
            <w:tcW w:w="17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5,899</w:t>
            </w:r>
          </w:p>
        </w:tc>
        <w:tc>
          <w:tcPr>
            <w:tcW w:w="100" w:type="dxa"/>
            <w:vAlign w:val="bottom"/>
            <w:tcBorders>
              <w:bottom w:val="single" w:sz="8" w:color="E5FFFF"/>
            </w:tcBorders>
            <w:shd w:val="clear" w:color="auto" w:fill="E5FF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320" w:type="dxa"/>
            <w:vAlign w:val="bottom"/>
            <w:vMerge w:val="restart"/>
          </w:tcPr>
          <w:p>
            <w:pPr>
              <w:spacing w:after="0"/>
              <w:rPr>
                <w:sz w:val="20"/>
                <w:szCs w:val="20"/>
                <w:color w:val="auto"/>
              </w:rPr>
            </w:pPr>
            <w:r>
              <w:rPr>
                <w:rFonts w:ascii="Arial" w:cs="Arial" w:eastAsia="Arial" w:hAnsi="Arial"/>
                <w:sz w:val="16"/>
                <w:szCs w:val="16"/>
                <w:color w:val="auto"/>
              </w:rPr>
              <w:t>Attributable to:</w:t>
            </w:r>
          </w:p>
        </w:tc>
        <w:tc>
          <w:tcPr>
            <w:tcW w:w="1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320" w:type="dxa"/>
            <w:vAlign w:val="bottom"/>
            <w:vMerge w:val="continue"/>
          </w:tcPr>
          <w:p>
            <w:pPr>
              <w:spacing w:after="0"/>
              <w:rPr>
                <w:sz w:val="13"/>
                <w:szCs w:val="13"/>
                <w:color w:val="auto"/>
              </w:rPr>
            </w:pPr>
          </w:p>
        </w:tc>
        <w:tc>
          <w:tcPr>
            <w:tcW w:w="1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5320" w:type="dxa"/>
            <w:vAlign w:val="bottom"/>
            <w:shd w:val="clear" w:color="auto" w:fill="E5FFFF"/>
          </w:tcPr>
          <w:p>
            <w:pPr>
              <w:spacing w:after="0"/>
              <w:rPr>
                <w:sz w:val="20"/>
                <w:szCs w:val="20"/>
                <w:color w:val="auto"/>
              </w:rPr>
            </w:pPr>
            <w:r>
              <w:rPr>
                <w:rFonts w:ascii="Arial" w:cs="Arial" w:eastAsia="Arial" w:hAnsi="Arial"/>
                <w:sz w:val="16"/>
                <w:szCs w:val="16"/>
                <w:color w:val="auto"/>
              </w:rPr>
              <w:t>Owners of the Group</w:t>
            </w:r>
          </w:p>
        </w:tc>
        <w:tc>
          <w:tcPr>
            <w:tcW w:w="1420" w:type="dxa"/>
            <w:vAlign w:val="bottom"/>
            <w:shd w:val="clear" w:color="auto" w:fill="E5FFFF"/>
          </w:tcPr>
          <w:p>
            <w:pPr>
              <w:spacing w:after="0"/>
              <w:rPr>
                <w:sz w:val="17"/>
                <w:szCs w:val="17"/>
                <w:color w:val="auto"/>
              </w:rPr>
            </w:pPr>
          </w:p>
        </w:tc>
        <w:tc>
          <w:tcPr>
            <w:tcW w:w="70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7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19,304</w:t>
            </w:r>
          </w:p>
        </w:tc>
        <w:tc>
          <w:tcPr>
            <w:tcW w:w="280" w:type="dxa"/>
            <w:vAlign w:val="bottom"/>
            <w:shd w:val="clear" w:color="auto" w:fill="E5FFFF"/>
          </w:tcPr>
          <w:p>
            <w:pPr>
              <w:spacing w:after="0"/>
              <w:rPr>
                <w:sz w:val="17"/>
                <w:szCs w:val="17"/>
                <w:color w:val="auto"/>
              </w:rPr>
            </w:pPr>
          </w:p>
        </w:tc>
        <w:tc>
          <w:tcPr>
            <w:tcW w:w="1840" w:type="dxa"/>
            <w:vAlign w:val="bottom"/>
            <w:gridSpan w:val="2"/>
            <w:shd w:val="clear" w:color="auto" w:fill="E5FFFF"/>
          </w:tcPr>
          <w:p>
            <w:pPr>
              <w:jc w:val="right"/>
              <w:ind w:right="40"/>
              <w:spacing w:after="0"/>
              <w:rPr>
                <w:sz w:val="20"/>
                <w:szCs w:val="20"/>
                <w:color w:val="auto"/>
              </w:rPr>
            </w:pPr>
            <w:r>
              <w:rPr>
                <w:rFonts w:ascii="Arial" w:cs="Arial" w:eastAsia="Arial" w:hAnsi="Arial"/>
                <w:sz w:val="16"/>
                <w:szCs w:val="16"/>
                <w:color w:val="auto"/>
              </w:rPr>
              <w:t>(10,947)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20" w:type="dxa"/>
            <w:vAlign w:val="bottom"/>
          </w:tcPr>
          <w:p>
            <w:pPr>
              <w:spacing w:after="0"/>
              <w:rPr>
                <w:sz w:val="20"/>
                <w:szCs w:val="20"/>
                <w:color w:val="auto"/>
              </w:rPr>
            </w:pPr>
            <w:r>
              <w:rPr>
                <w:rFonts w:ascii="Arial" w:cs="Arial" w:eastAsia="Arial" w:hAnsi="Arial"/>
                <w:sz w:val="16"/>
                <w:szCs w:val="16"/>
                <w:color w:val="auto"/>
              </w:rPr>
              <w:t>Non-controlling interests</w:t>
            </w:r>
          </w:p>
        </w:tc>
        <w:tc>
          <w:tcPr>
            <w:tcW w:w="2120" w:type="dxa"/>
            <w:vAlign w:val="bottom"/>
            <w:gridSpan w:val="2"/>
          </w:tcPr>
          <w:p>
            <w:pPr>
              <w:jc w:val="center"/>
              <w:ind w:left="1319"/>
              <w:spacing w:after="0"/>
              <w:rPr>
                <w:sz w:val="20"/>
                <w:szCs w:val="20"/>
                <w:color w:val="auto"/>
              </w:rPr>
            </w:pPr>
            <w:r>
              <w:rPr>
                <w:rFonts w:ascii="Arial" w:cs="Arial" w:eastAsia="Arial" w:hAnsi="Arial"/>
                <w:sz w:val="16"/>
                <w:szCs w:val="16"/>
                <w:color w:val="auto"/>
                <w:w w:val="89"/>
              </w:rPr>
              <w:t>3</w:t>
            </w:r>
          </w:p>
        </w:tc>
        <w:tc>
          <w:tcPr>
            <w:tcW w:w="28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23,237</w:t>
            </w:r>
          </w:p>
        </w:tc>
        <w:tc>
          <w:tcPr>
            <w:tcW w:w="280" w:type="dxa"/>
            <w:vAlign w:val="bottom"/>
          </w:tcPr>
          <w:p>
            <w:pPr>
              <w:spacing w:after="0"/>
              <w:rPr>
                <w:sz w:val="17"/>
                <w:szCs w:val="17"/>
                <w:color w:val="auto"/>
              </w:rPr>
            </w:pPr>
          </w:p>
        </w:tc>
        <w:tc>
          <w:tcPr>
            <w:tcW w:w="1840" w:type="dxa"/>
            <w:vAlign w:val="bottom"/>
            <w:gridSpan w:val="2"/>
          </w:tcPr>
          <w:p>
            <w:pPr>
              <w:jc w:val="right"/>
              <w:ind w:right="100"/>
              <w:spacing w:after="0"/>
              <w:rPr>
                <w:sz w:val="20"/>
                <w:szCs w:val="20"/>
                <w:color w:val="auto"/>
              </w:rPr>
            </w:pPr>
            <w:r>
              <w:rPr>
                <w:rFonts w:ascii="Arial" w:cs="Arial" w:eastAsia="Arial" w:hAnsi="Arial"/>
                <w:sz w:val="16"/>
                <w:szCs w:val="16"/>
                <w:color w:val="auto"/>
              </w:rPr>
              <w:t>16,846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320" w:type="dxa"/>
            <w:vAlign w:val="bottom"/>
            <w:tcBorders>
              <w:top w:val="single" w:sz="8" w:color="E5FFFF"/>
              <w:bottom w:val="single" w:sz="8" w:color="E5FFFF"/>
            </w:tcBorders>
            <w:shd w:val="clear" w:color="auto" w:fill="E5FFFF"/>
          </w:tcPr>
          <w:p>
            <w:pPr>
              <w:spacing w:after="0"/>
              <w:rPr>
                <w:sz w:val="17"/>
                <w:szCs w:val="17"/>
                <w:color w:val="auto"/>
              </w:rPr>
            </w:pPr>
          </w:p>
        </w:tc>
        <w:tc>
          <w:tcPr>
            <w:tcW w:w="1420" w:type="dxa"/>
            <w:vAlign w:val="bottom"/>
            <w:tcBorders>
              <w:top w:val="single" w:sz="8" w:color="E5FFFF"/>
              <w:bottom w:val="single" w:sz="8" w:color="E5FFFF"/>
            </w:tcBorders>
            <w:shd w:val="clear" w:color="auto" w:fill="E5FFFF"/>
          </w:tcPr>
          <w:p>
            <w:pPr>
              <w:spacing w:after="0"/>
              <w:rPr>
                <w:sz w:val="17"/>
                <w:szCs w:val="17"/>
                <w:color w:val="auto"/>
              </w:rPr>
            </w:pPr>
          </w:p>
        </w:tc>
        <w:tc>
          <w:tcPr>
            <w:tcW w:w="700" w:type="dxa"/>
            <w:vAlign w:val="bottom"/>
            <w:tcBorders>
              <w:top w:val="single" w:sz="8" w:color="E5FFFF"/>
              <w:bottom w:val="single" w:sz="8" w:color="E5FFFF"/>
            </w:tcBorders>
            <w:shd w:val="clear" w:color="auto" w:fill="E5FFFF"/>
          </w:tcPr>
          <w:p>
            <w:pPr>
              <w:spacing w:after="0"/>
              <w:rPr>
                <w:sz w:val="17"/>
                <w:szCs w:val="17"/>
                <w:color w:val="auto"/>
              </w:rPr>
            </w:pPr>
          </w:p>
        </w:tc>
        <w:tc>
          <w:tcPr>
            <w:tcW w:w="280" w:type="dxa"/>
            <w:vAlign w:val="bottom"/>
            <w:tcBorders>
              <w:top w:val="single" w:sz="8" w:color="E5FFFF"/>
              <w:bottom w:val="single" w:sz="8" w:color="E5FFFF"/>
            </w:tcBorders>
            <w:shd w:val="clear" w:color="auto" w:fill="E5FFFF"/>
          </w:tcPr>
          <w:p>
            <w:pPr>
              <w:spacing w:after="0"/>
              <w:rPr>
                <w:sz w:val="17"/>
                <w:szCs w:val="17"/>
                <w:color w:val="auto"/>
              </w:rPr>
            </w:pPr>
          </w:p>
        </w:tc>
        <w:tc>
          <w:tcPr>
            <w:tcW w:w="17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42,541</w:t>
            </w:r>
          </w:p>
        </w:tc>
        <w:tc>
          <w:tcPr>
            <w:tcW w:w="280" w:type="dxa"/>
            <w:vAlign w:val="bottom"/>
            <w:tcBorders>
              <w:top w:val="single" w:sz="8" w:color="E5FFFF"/>
              <w:bottom w:val="single" w:sz="8" w:color="E5FFFF"/>
            </w:tcBorders>
            <w:shd w:val="clear" w:color="auto" w:fill="E5FFFF"/>
          </w:tcPr>
          <w:p>
            <w:pPr>
              <w:spacing w:after="0"/>
              <w:rPr>
                <w:sz w:val="17"/>
                <w:szCs w:val="17"/>
                <w:color w:val="auto"/>
              </w:rPr>
            </w:pPr>
          </w:p>
        </w:tc>
        <w:tc>
          <w:tcPr>
            <w:tcW w:w="17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5,899</w:t>
            </w:r>
          </w:p>
        </w:tc>
        <w:tc>
          <w:tcPr>
            <w:tcW w:w="100" w:type="dxa"/>
            <w:vAlign w:val="bottom"/>
            <w:tcBorders>
              <w:top w:val="single" w:sz="8" w:color="E5FFFF"/>
              <w:bottom w:val="single" w:sz="8" w:color="E5FFFF"/>
            </w:tcBorders>
            <w:shd w:val="clear" w:color="auto" w:fill="E5FF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3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2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Earnings/(loss) per share – basic and diluted</w:t>
            </w:r>
          </w:p>
        </w:tc>
        <w:tc>
          <w:tcPr>
            <w:tcW w:w="2120" w:type="dxa"/>
            <w:vAlign w:val="bottom"/>
            <w:gridSpan w:val="2"/>
            <w:shd w:val="clear" w:color="auto" w:fill="E5FFFF"/>
          </w:tcPr>
          <w:p>
            <w:pPr>
              <w:jc w:val="center"/>
              <w:ind w:left="1319"/>
              <w:spacing w:after="0"/>
              <w:rPr>
                <w:sz w:val="20"/>
                <w:szCs w:val="20"/>
                <w:color w:val="auto"/>
              </w:rPr>
            </w:pPr>
            <w:r>
              <w:rPr>
                <w:rFonts w:ascii="Arial" w:cs="Arial" w:eastAsia="Arial" w:hAnsi="Arial"/>
                <w:sz w:val="16"/>
                <w:szCs w:val="16"/>
                <w:color w:val="auto"/>
                <w:w w:val="89"/>
              </w:rPr>
              <w:t>19</w:t>
            </w:r>
          </w:p>
        </w:tc>
        <w:tc>
          <w:tcPr>
            <w:tcW w:w="280" w:type="dxa"/>
            <w:vAlign w:val="bottom"/>
            <w:shd w:val="clear" w:color="auto" w:fill="E5FFFF"/>
          </w:tcPr>
          <w:p>
            <w:pPr>
              <w:spacing w:after="0"/>
              <w:rPr>
                <w:sz w:val="17"/>
                <w:szCs w:val="17"/>
                <w:color w:val="auto"/>
              </w:rPr>
            </w:pPr>
          </w:p>
        </w:tc>
        <w:tc>
          <w:tcPr>
            <w:tcW w:w="1720" w:type="dxa"/>
            <w:vAlign w:val="bottom"/>
            <w:shd w:val="clear" w:color="auto" w:fill="E5FFFF"/>
          </w:tcPr>
          <w:p>
            <w:pPr>
              <w:jc w:val="right"/>
              <w:spacing w:after="0"/>
              <w:rPr>
                <w:sz w:val="20"/>
                <w:szCs w:val="20"/>
                <w:color w:val="auto"/>
              </w:rPr>
            </w:pPr>
            <w:r>
              <w:rPr>
                <w:rFonts w:ascii="Arial" w:cs="Arial" w:eastAsia="Arial" w:hAnsi="Arial"/>
                <w:sz w:val="16"/>
                <w:szCs w:val="16"/>
                <w:b w:val="1"/>
                <w:bCs w:val="1"/>
                <w:color w:val="auto"/>
              </w:rPr>
              <w:t>0.21</w:t>
            </w:r>
          </w:p>
        </w:tc>
        <w:tc>
          <w:tcPr>
            <w:tcW w:w="280" w:type="dxa"/>
            <w:vAlign w:val="bottom"/>
            <w:shd w:val="clear" w:color="auto" w:fill="E5FFFF"/>
          </w:tcPr>
          <w:p>
            <w:pPr>
              <w:spacing w:after="0"/>
              <w:rPr>
                <w:sz w:val="17"/>
                <w:szCs w:val="17"/>
                <w:color w:val="auto"/>
              </w:rPr>
            </w:pPr>
          </w:p>
        </w:tc>
        <w:tc>
          <w:tcPr>
            <w:tcW w:w="1840" w:type="dxa"/>
            <w:vAlign w:val="bottom"/>
            <w:gridSpan w:val="2"/>
            <w:shd w:val="clear" w:color="auto" w:fill="E5FFFF"/>
          </w:tcPr>
          <w:p>
            <w:pPr>
              <w:jc w:val="right"/>
              <w:ind w:right="40"/>
              <w:spacing w:after="0"/>
              <w:rPr>
                <w:sz w:val="20"/>
                <w:szCs w:val="20"/>
                <w:color w:val="auto"/>
              </w:rPr>
            </w:pPr>
            <w:r>
              <w:rPr>
                <w:rFonts w:ascii="Arial" w:cs="Arial" w:eastAsia="Arial" w:hAnsi="Arial"/>
                <w:sz w:val="16"/>
                <w:szCs w:val="16"/>
                <w:b w:val="1"/>
                <w:bCs w:val="1"/>
                <w:color w:val="auto"/>
              </w:rPr>
              <w:t>(0.17)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3"/>
        </w:trPr>
        <w:tc>
          <w:tcPr>
            <w:tcW w:w="9720" w:type="dxa"/>
            <w:vAlign w:val="bottom"/>
            <w:gridSpan w:val="6"/>
          </w:tcPr>
          <w:p>
            <w:pPr>
              <w:jc w:val="center"/>
              <w:ind w:left="1779"/>
              <w:spacing w:after="0"/>
              <w:rPr>
                <w:sz w:val="20"/>
                <w:szCs w:val="20"/>
                <w:color w:val="auto"/>
              </w:rPr>
            </w:pPr>
            <w:r>
              <w:rPr>
                <w:rFonts w:ascii="Arial" w:cs="Arial" w:eastAsia="Arial" w:hAnsi="Arial"/>
                <w:sz w:val="16"/>
                <w:szCs w:val="16"/>
                <w:color w:val="auto"/>
                <w:w w:val="90"/>
              </w:rPr>
              <w:t>The accompanying notes are an integral part of these unaudited condensed consolidated financial statements.</w:t>
            </w: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5320" w:type="dxa"/>
            <w:vAlign w:val="bottom"/>
          </w:tcPr>
          <w:p>
            <w:pPr>
              <w:spacing w:after="0"/>
              <w:rPr>
                <w:sz w:val="24"/>
                <w:szCs w:val="24"/>
                <w:color w:val="auto"/>
              </w:rPr>
            </w:pPr>
          </w:p>
        </w:tc>
        <w:tc>
          <w:tcPr>
            <w:tcW w:w="2400" w:type="dxa"/>
            <w:vAlign w:val="bottom"/>
            <w:gridSpan w:val="3"/>
          </w:tcPr>
          <w:p>
            <w:pPr>
              <w:jc w:val="center"/>
              <w:ind w:right="1460"/>
              <w:spacing w:after="0"/>
              <w:rPr>
                <w:sz w:val="20"/>
                <w:szCs w:val="20"/>
                <w:color w:val="auto"/>
              </w:rPr>
            </w:pPr>
            <w:r>
              <w:rPr>
                <w:rFonts w:ascii="Arial" w:cs="Arial" w:eastAsia="Arial" w:hAnsi="Arial"/>
                <w:sz w:val="16"/>
                <w:szCs w:val="16"/>
                <w:color w:val="auto"/>
                <w:w w:val="91"/>
              </w:rPr>
              <w:t>F-3</w:t>
            </w:r>
          </w:p>
        </w:tc>
        <w:tc>
          <w:tcPr>
            <w:tcW w:w="1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5320" w:type="dxa"/>
            <w:vAlign w:val="bottom"/>
            <w:tcBorders>
              <w:bottom w:val="single" w:sz="8" w:color="808080"/>
            </w:tcBorders>
          </w:tcPr>
          <w:p>
            <w:pPr>
              <w:spacing w:after="0"/>
              <w:rPr>
                <w:sz w:val="11"/>
                <w:szCs w:val="11"/>
                <w:color w:val="auto"/>
              </w:rPr>
            </w:pPr>
          </w:p>
        </w:tc>
        <w:tc>
          <w:tcPr>
            <w:tcW w:w="142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72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7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7349490</wp:posOffset>
            </wp:positionH>
            <wp:positionV relativeFrom="paragraph">
              <wp:posOffset>-29210</wp:posOffset>
            </wp:positionV>
            <wp:extent cx="1270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600"/>
          </w:cols>
          <w:pgMar w:left="160" w:top="262" w:right="1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20"/>
                <w:szCs w:val="20"/>
                <w:color w:val="auto"/>
              </w:rPr>
            </w:pPr>
            <w:r>
              <w:rPr>
                <w:rFonts w:ascii="Arial" w:cs="Arial" w:eastAsia="Arial" w:hAnsi="Arial"/>
                <w:sz w:val="16"/>
                <w:szCs w:val="16"/>
                <w:b w:val="1"/>
                <w:bCs w:val="1"/>
                <w:color w:val="auto"/>
              </w:rPr>
              <w:t>GasLog Ltd. and its Subsidiaries</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411"/>
        </w:trPr>
        <w:tc>
          <w:tcPr>
            <w:tcW w:w="6740" w:type="dxa"/>
            <w:vAlign w:val="bottom"/>
          </w:tcPr>
          <w:p>
            <w:pPr>
              <w:spacing w:after="0"/>
              <w:rPr>
                <w:sz w:val="20"/>
                <w:szCs w:val="20"/>
                <w:color w:val="auto"/>
              </w:rPr>
            </w:pPr>
            <w:r>
              <w:rPr>
                <w:rFonts w:ascii="Arial" w:cs="Arial" w:eastAsia="Arial" w:hAnsi="Arial"/>
                <w:sz w:val="16"/>
                <w:szCs w:val="16"/>
                <w:b w:val="1"/>
                <w:bCs w:val="1"/>
                <w:color w:val="auto"/>
              </w:rPr>
              <w:t>Unaudited condensed consolidated statements of comprehensive income or loss</w:t>
            </w: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3"/>
        </w:trPr>
        <w:tc>
          <w:tcPr>
            <w:tcW w:w="6740" w:type="dxa"/>
            <w:vAlign w:val="bottom"/>
          </w:tcPr>
          <w:p>
            <w:pPr>
              <w:spacing w:after="0"/>
              <w:rPr>
                <w:sz w:val="20"/>
                <w:szCs w:val="20"/>
                <w:color w:val="auto"/>
              </w:rPr>
            </w:pPr>
            <w:r>
              <w:rPr>
                <w:rFonts w:ascii="Arial" w:cs="Arial" w:eastAsia="Arial" w:hAnsi="Arial"/>
                <w:sz w:val="16"/>
                <w:szCs w:val="16"/>
                <w:b w:val="1"/>
                <w:bCs w:val="1"/>
                <w:color w:val="auto"/>
              </w:rPr>
              <w:t>For the three months ended March 31, 2018 and 2019</w:t>
            </w: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0"/>
        </w:trPr>
        <w:tc>
          <w:tcPr>
            <w:tcW w:w="6740" w:type="dxa"/>
            <w:vAlign w:val="bottom"/>
          </w:tcPr>
          <w:p>
            <w:pPr>
              <w:spacing w:after="0"/>
              <w:rPr>
                <w:sz w:val="20"/>
                <w:szCs w:val="20"/>
                <w:color w:val="auto"/>
              </w:rPr>
            </w:pPr>
            <w:r>
              <w:rPr>
                <w:rFonts w:ascii="Arial" w:cs="Arial" w:eastAsia="Arial" w:hAnsi="Arial"/>
                <w:sz w:val="16"/>
                <w:szCs w:val="16"/>
                <w:b w:val="1"/>
                <w:bCs w:val="1"/>
                <w:color w:val="auto"/>
              </w:rPr>
              <w:t>(Amounts expressed in thousands of U.S. Dollars)</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411"/>
        </w:trPr>
        <w:tc>
          <w:tcPr>
            <w:tcW w:w="6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40" w:type="dxa"/>
            <w:vAlign w:val="bottom"/>
            <w:gridSpan w:val="5"/>
          </w:tcPr>
          <w:p>
            <w:pPr>
              <w:jc w:val="right"/>
              <w:ind w:right="1020"/>
              <w:spacing w:after="0"/>
              <w:rPr>
                <w:sz w:val="20"/>
                <w:szCs w:val="20"/>
                <w:color w:val="auto"/>
              </w:rPr>
            </w:pPr>
            <w:r>
              <w:rPr>
                <w:rFonts w:ascii="Arial" w:cs="Arial" w:eastAsia="Arial" w:hAnsi="Arial"/>
                <w:sz w:val="16"/>
                <w:szCs w:val="16"/>
                <w:b w:val="1"/>
                <w:bCs w:val="1"/>
                <w:color w:val="auto"/>
              </w:rPr>
              <w:t>For the three months ended</w:t>
            </w:r>
          </w:p>
        </w:tc>
      </w:tr>
      <w:tr>
        <w:trPr>
          <w:trHeight w:val="213"/>
        </w:trPr>
        <w:tc>
          <w:tcPr>
            <w:tcW w:w="6740" w:type="dxa"/>
            <w:vAlign w:val="bottom"/>
          </w:tcPr>
          <w:p>
            <w:pPr>
              <w:spacing w:after="0"/>
              <w:rPr>
                <w:sz w:val="18"/>
                <w:szCs w:val="18"/>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Note</w:t>
            </w:r>
          </w:p>
        </w:tc>
        <w:tc>
          <w:tcPr>
            <w:tcW w:w="2000" w:type="dxa"/>
            <w:vAlign w:val="bottom"/>
            <w:gridSpan w:val="2"/>
          </w:tcPr>
          <w:p>
            <w:pPr>
              <w:ind w:left="320"/>
              <w:spacing w:after="0"/>
              <w:rPr>
                <w:sz w:val="20"/>
                <w:szCs w:val="20"/>
                <w:color w:val="auto"/>
              </w:rPr>
            </w:pPr>
            <w:r>
              <w:rPr>
                <w:rFonts w:ascii="Arial" w:cs="Arial" w:eastAsia="Arial" w:hAnsi="Arial"/>
                <w:sz w:val="16"/>
                <w:szCs w:val="16"/>
                <w:b w:val="1"/>
                <w:bCs w:val="1"/>
                <w:color w:val="auto"/>
              </w:rPr>
              <w:t>March 31, 2018</w:t>
            </w:r>
          </w:p>
        </w:tc>
        <w:tc>
          <w:tcPr>
            <w:tcW w:w="1840" w:type="dxa"/>
            <w:vAlign w:val="bottom"/>
            <w:gridSpan w:val="3"/>
          </w:tcPr>
          <w:p>
            <w:pPr>
              <w:jc w:val="right"/>
              <w:ind w:right="440"/>
              <w:spacing w:after="0"/>
              <w:rPr>
                <w:sz w:val="20"/>
                <w:szCs w:val="20"/>
                <w:color w:val="auto"/>
              </w:rPr>
            </w:pPr>
            <w:r>
              <w:rPr>
                <w:rFonts w:ascii="Arial" w:cs="Arial" w:eastAsia="Arial" w:hAnsi="Arial"/>
                <w:sz w:val="16"/>
                <w:szCs w:val="16"/>
                <w:b w:val="1"/>
                <w:bCs w:val="1"/>
                <w:color w:val="auto"/>
              </w:rPr>
              <w:t>March 31, 2019</w:t>
            </w:r>
          </w:p>
        </w:tc>
      </w:tr>
      <w:tr>
        <w:trPr>
          <w:trHeight w:val="199"/>
        </w:trPr>
        <w:tc>
          <w:tcPr>
            <w:tcW w:w="674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Profit for the period</w:t>
            </w:r>
          </w:p>
        </w:tc>
        <w:tc>
          <w:tcPr>
            <w:tcW w:w="700" w:type="dxa"/>
            <w:vAlign w:val="bottom"/>
            <w:tcBorders>
              <w:top w:val="single" w:sz="8" w:color="auto"/>
            </w:tcBorders>
            <w:shd w:val="clear" w:color="auto" w:fill="E5FFFF"/>
          </w:tcPr>
          <w:p>
            <w:pPr>
              <w:spacing w:after="0"/>
              <w:rPr>
                <w:sz w:val="17"/>
                <w:szCs w:val="17"/>
                <w:color w:val="auto"/>
              </w:rPr>
            </w:pPr>
          </w:p>
        </w:tc>
        <w:tc>
          <w:tcPr>
            <w:tcW w:w="280" w:type="dxa"/>
            <w:vAlign w:val="bottom"/>
            <w:tcBorders>
              <w:top w:val="single" w:sz="8" w:color="E5FFFF"/>
            </w:tcBorders>
            <w:shd w:val="clear" w:color="auto" w:fill="E5FFFF"/>
          </w:tcPr>
          <w:p>
            <w:pPr>
              <w:spacing w:after="0"/>
              <w:rPr>
                <w:sz w:val="17"/>
                <w:szCs w:val="17"/>
                <w:color w:val="auto"/>
              </w:rPr>
            </w:pPr>
          </w:p>
        </w:tc>
        <w:tc>
          <w:tcPr>
            <w:tcW w:w="172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42,541</w:t>
            </w:r>
          </w:p>
        </w:tc>
        <w:tc>
          <w:tcPr>
            <w:tcW w:w="280" w:type="dxa"/>
            <w:vAlign w:val="bottom"/>
            <w:tcBorders>
              <w:top w:val="single" w:sz="8" w:color="E5FFFF"/>
            </w:tcBorders>
            <w:shd w:val="clear" w:color="auto" w:fill="E5FFFF"/>
          </w:tcPr>
          <w:p>
            <w:pPr>
              <w:spacing w:after="0"/>
              <w:rPr>
                <w:sz w:val="17"/>
                <w:szCs w:val="17"/>
                <w:color w:val="auto"/>
              </w:rPr>
            </w:pPr>
          </w:p>
        </w:tc>
        <w:tc>
          <w:tcPr>
            <w:tcW w:w="174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5,899</w:t>
            </w:r>
          </w:p>
        </w:tc>
        <w:tc>
          <w:tcPr>
            <w:tcW w:w="20" w:type="dxa"/>
            <w:vAlign w:val="bottom"/>
            <w:tcBorders>
              <w:top w:val="single" w:sz="8" w:color="E5FFFF"/>
            </w:tcBorders>
            <w:shd w:val="clear" w:color="auto" w:fill="E5FFFF"/>
          </w:tcPr>
          <w:p>
            <w:pPr>
              <w:spacing w:after="0"/>
              <w:rPr>
                <w:sz w:val="17"/>
                <w:szCs w:val="17"/>
                <w:color w:val="auto"/>
              </w:rPr>
            </w:pPr>
          </w:p>
        </w:tc>
        <w:tc>
          <w:tcPr>
            <w:tcW w:w="80" w:type="dxa"/>
            <w:vAlign w:val="bottom"/>
            <w:tcBorders>
              <w:top w:val="single" w:sz="8" w:color="E5FFFF"/>
            </w:tcBorders>
            <w:shd w:val="clear" w:color="auto" w:fill="E5FFFF"/>
          </w:tcPr>
          <w:p>
            <w:pPr>
              <w:spacing w:after="0"/>
              <w:rPr>
                <w:sz w:val="17"/>
                <w:szCs w:val="17"/>
                <w:color w:val="auto"/>
              </w:rPr>
            </w:pPr>
          </w:p>
        </w:tc>
      </w:tr>
      <w:tr>
        <w:trPr>
          <w:trHeight w:val="203"/>
        </w:trPr>
        <w:tc>
          <w:tcPr>
            <w:tcW w:w="6740" w:type="dxa"/>
            <w:vAlign w:val="bottom"/>
          </w:tcPr>
          <w:p>
            <w:pPr>
              <w:spacing w:after="0"/>
              <w:rPr>
                <w:sz w:val="20"/>
                <w:szCs w:val="20"/>
                <w:color w:val="auto"/>
              </w:rPr>
            </w:pPr>
            <w:r>
              <w:rPr>
                <w:rFonts w:ascii="Arial" w:cs="Arial" w:eastAsia="Arial" w:hAnsi="Arial"/>
                <w:sz w:val="16"/>
                <w:szCs w:val="16"/>
                <w:b w:val="1"/>
                <w:bCs w:val="1"/>
                <w:color w:val="auto"/>
              </w:rPr>
              <w:t>Other comprehensive income/(loss):</w:t>
            </w: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674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Items that may be reclassified subsequently to profit or loss:</w:t>
            </w:r>
          </w:p>
        </w:tc>
        <w:tc>
          <w:tcPr>
            <w:tcW w:w="70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72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74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r>
      <w:tr>
        <w:trPr>
          <w:trHeight w:val="193"/>
        </w:trPr>
        <w:tc>
          <w:tcPr>
            <w:tcW w:w="6740" w:type="dxa"/>
            <w:vAlign w:val="bottom"/>
          </w:tcPr>
          <w:p>
            <w:pPr>
              <w:spacing w:after="0"/>
              <w:rPr>
                <w:sz w:val="20"/>
                <w:szCs w:val="20"/>
                <w:color w:val="auto"/>
              </w:rPr>
            </w:pPr>
            <w:r>
              <w:rPr>
                <w:rFonts w:ascii="Arial" w:cs="Arial" w:eastAsia="Arial" w:hAnsi="Arial"/>
                <w:sz w:val="16"/>
                <w:szCs w:val="16"/>
                <w:color w:val="auto"/>
                <w:w w:val="98"/>
              </w:rPr>
              <w:t>Effective portion of changes in fair value of cash flow hedges, net of amounts recycled to profit or</w:t>
            </w: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9"/>
        </w:trPr>
        <w:tc>
          <w:tcPr>
            <w:tcW w:w="6740" w:type="dxa"/>
            <w:vAlign w:val="bottom"/>
          </w:tcPr>
          <w:p>
            <w:pPr>
              <w:ind w:left="180"/>
              <w:spacing w:after="0"/>
              <w:rPr>
                <w:sz w:val="20"/>
                <w:szCs w:val="20"/>
                <w:color w:val="auto"/>
              </w:rPr>
            </w:pPr>
            <w:r>
              <w:rPr>
                <w:rFonts w:ascii="Arial" w:cs="Arial" w:eastAsia="Arial" w:hAnsi="Arial"/>
                <w:sz w:val="16"/>
                <w:szCs w:val="16"/>
                <w:color w:val="auto"/>
              </w:rPr>
              <w:t>loss</w:t>
            </w:r>
          </w:p>
        </w:tc>
        <w:tc>
          <w:tcPr>
            <w:tcW w:w="700" w:type="dxa"/>
            <w:vAlign w:val="bottom"/>
          </w:tcPr>
          <w:p>
            <w:pPr>
              <w:jc w:val="right"/>
              <w:ind w:right="199"/>
              <w:spacing w:after="0"/>
              <w:rPr>
                <w:sz w:val="20"/>
                <w:szCs w:val="20"/>
                <w:color w:val="auto"/>
              </w:rPr>
            </w:pPr>
            <w:r>
              <w:rPr>
                <w:rFonts w:ascii="Arial" w:cs="Arial" w:eastAsia="Arial" w:hAnsi="Arial"/>
                <w:sz w:val="16"/>
                <w:szCs w:val="16"/>
                <w:color w:val="auto"/>
              </w:rPr>
              <w:t>15</w:t>
            </w:r>
          </w:p>
        </w:tc>
        <w:tc>
          <w:tcPr>
            <w:tcW w:w="2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1,506</w:t>
            </w:r>
          </w:p>
        </w:tc>
        <w:tc>
          <w:tcPr>
            <w:tcW w:w="280" w:type="dxa"/>
            <w:vAlign w:val="bottom"/>
          </w:tcPr>
          <w:p>
            <w:pPr>
              <w:spacing w:after="0"/>
              <w:rPr>
                <w:sz w:val="18"/>
                <w:szCs w:val="18"/>
                <w:color w:val="auto"/>
              </w:rPr>
            </w:pPr>
          </w:p>
        </w:tc>
        <w:tc>
          <w:tcPr>
            <w:tcW w:w="1840" w:type="dxa"/>
            <w:vAlign w:val="bottom"/>
            <w:gridSpan w:val="3"/>
          </w:tcPr>
          <w:p>
            <w:pPr>
              <w:jc w:val="right"/>
              <w:ind w:right="40"/>
              <w:spacing w:after="0"/>
              <w:rPr>
                <w:sz w:val="20"/>
                <w:szCs w:val="20"/>
                <w:color w:val="auto"/>
              </w:rPr>
            </w:pPr>
            <w:r>
              <w:rPr>
                <w:rFonts w:ascii="Arial" w:cs="Arial" w:eastAsia="Arial" w:hAnsi="Arial"/>
                <w:sz w:val="16"/>
                <w:szCs w:val="16"/>
                <w:color w:val="auto"/>
              </w:rPr>
              <w:t>(1,239)</w:t>
            </w:r>
          </w:p>
        </w:tc>
      </w:tr>
      <w:tr>
        <w:trPr>
          <w:trHeight w:val="199"/>
        </w:trPr>
        <w:tc>
          <w:tcPr>
            <w:tcW w:w="674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Other comprehensive income/(loss) for the period</w:t>
            </w:r>
          </w:p>
        </w:tc>
        <w:tc>
          <w:tcPr>
            <w:tcW w:w="700" w:type="dxa"/>
            <w:vAlign w:val="bottom"/>
            <w:tcBorders>
              <w:top w:val="single" w:sz="8" w:color="E5FFFF"/>
            </w:tcBorders>
            <w:shd w:val="clear" w:color="auto" w:fill="E5FFFF"/>
          </w:tcPr>
          <w:p>
            <w:pPr>
              <w:spacing w:after="0"/>
              <w:rPr>
                <w:sz w:val="17"/>
                <w:szCs w:val="17"/>
                <w:color w:val="auto"/>
              </w:rPr>
            </w:pPr>
          </w:p>
        </w:tc>
        <w:tc>
          <w:tcPr>
            <w:tcW w:w="280" w:type="dxa"/>
            <w:vAlign w:val="bottom"/>
            <w:tcBorders>
              <w:top w:val="single" w:sz="8" w:color="E5FFFF"/>
            </w:tcBorders>
            <w:shd w:val="clear" w:color="auto" w:fill="E5FFFF"/>
          </w:tcPr>
          <w:p>
            <w:pPr>
              <w:spacing w:after="0"/>
              <w:rPr>
                <w:sz w:val="17"/>
                <w:szCs w:val="17"/>
                <w:color w:val="auto"/>
              </w:rPr>
            </w:pPr>
          </w:p>
        </w:tc>
        <w:tc>
          <w:tcPr>
            <w:tcW w:w="17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1,506</w:t>
            </w:r>
          </w:p>
        </w:tc>
        <w:tc>
          <w:tcPr>
            <w:tcW w:w="280" w:type="dxa"/>
            <w:vAlign w:val="bottom"/>
            <w:tcBorders>
              <w:top w:val="single" w:sz="8" w:color="E5FFFF"/>
            </w:tcBorders>
            <w:shd w:val="clear" w:color="auto" w:fill="E5FFFF"/>
          </w:tcPr>
          <w:p>
            <w:pPr>
              <w:spacing w:after="0"/>
              <w:rPr>
                <w:sz w:val="17"/>
                <w:szCs w:val="17"/>
                <w:color w:val="auto"/>
              </w:rPr>
            </w:pPr>
          </w:p>
        </w:tc>
        <w:tc>
          <w:tcPr>
            <w:tcW w:w="17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(1,239)</w:t>
            </w:r>
          </w:p>
        </w:tc>
        <w:tc>
          <w:tcPr>
            <w:tcW w:w="100" w:type="dxa"/>
            <w:vAlign w:val="bottom"/>
            <w:tcBorders>
              <w:top w:val="single" w:sz="8" w:color="E5FFFF"/>
            </w:tcBorders>
            <w:gridSpan w:val="2"/>
            <w:shd w:val="clear" w:color="auto" w:fill="E5FFFF"/>
          </w:tcPr>
          <w:p>
            <w:pPr>
              <w:spacing w:after="0"/>
              <w:rPr>
                <w:sz w:val="17"/>
                <w:szCs w:val="17"/>
                <w:color w:val="auto"/>
              </w:rPr>
            </w:pPr>
          </w:p>
        </w:tc>
      </w:tr>
      <w:tr>
        <w:trPr>
          <w:trHeight w:val="236"/>
        </w:trPr>
        <w:tc>
          <w:tcPr>
            <w:tcW w:w="674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Total comprehensive income for the period</w:t>
            </w:r>
          </w:p>
        </w:tc>
        <w:tc>
          <w:tcPr>
            <w:tcW w:w="700" w:type="dxa"/>
            <w:vAlign w:val="bottom"/>
            <w:tcBorders>
              <w:bottom w:val="single" w:sz="8" w:color="E5FFFF"/>
            </w:tcBorders>
          </w:tcPr>
          <w:p>
            <w:pPr>
              <w:spacing w:after="0"/>
              <w:rPr>
                <w:sz w:val="20"/>
                <w:szCs w:val="20"/>
                <w:color w:val="auto"/>
              </w:rPr>
            </w:pPr>
          </w:p>
        </w:tc>
        <w:tc>
          <w:tcPr>
            <w:tcW w:w="280" w:type="dxa"/>
            <w:vAlign w:val="bottom"/>
            <w:tcBorders>
              <w:bottom w:val="single" w:sz="8" w:color="E5FFFF"/>
            </w:tcBorders>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44,047</w:t>
            </w:r>
          </w:p>
        </w:tc>
        <w:tc>
          <w:tcPr>
            <w:tcW w:w="280" w:type="dxa"/>
            <w:vAlign w:val="bottom"/>
            <w:tcBorders>
              <w:bottom w:val="single" w:sz="8" w:color="E5FFFF"/>
            </w:tcBorders>
          </w:tcPr>
          <w:p>
            <w:pPr>
              <w:spacing w:after="0"/>
              <w:rPr>
                <w:sz w:val="20"/>
                <w:szCs w:val="20"/>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4,660</w:t>
            </w:r>
          </w:p>
        </w:tc>
        <w:tc>
          <w:tcPr>
            <w:tcW w:w="20" w:type="dxa"/>
            <w:vAlign w:val="bottom"/>
            <w:tcBorders>
              <w:bottom w:val="single" w:sz="8" w:color="E5FFFF"/>
            </w:tcBorders>
          </w:tcPr>
          <w:p>
            <w:pPr>
              <w:spacing w:after="0"/>
              <w:rPr>
                <w:sz w:val="20"/>
                <w:szCs w:val="20"/>
                <w:color w:val="auto"/>
              </w:rPr>
            </w:pPr>
          </w:p>
        </w:tc>
        <w:tc>
          <w:tcPr>
            <w:tcW w:w="80" w:type="dxa"/>
            <w:vAlign w:val="bottom"/>
            <w:tcBorders>
              <w:bottom w:val="single" w:sz="8" w:color="E5FFFF"/>
            </w:tcBorders>
          </w:tcPr>
          <w:p>
            <w:pPr>
              <w:spacing w:after="0"/>
              <w:rPr>
                <w:sz w:val="20"/>
                <w:szCs w:val="20"/>
                <w:color w:val="auto"/>
              </w:rPr>
            </w:pPr>
          </w:p>
        </w:tc>
      </w:tr>
      <w:tr>
        <w:trPr>
          <w:trHeight w:val="156"/>
        </w:trPr>
        <w:tc>
          <w:tcPr>
            <w:tcW w:w="6740" w:type="dxa"/>
            <w:vAlign w:val="bottom"/>
            <w:shd w:val="clear" w:color="auto" w:fill="E5FFFF"/>
          </w:tcPr>
          <w:p>
            <w:pPr>
              <w:spacing w:after="0" w:line="156" w:lineRule="exact"/>
              <w:rPr>
                <w:sz w:val="20"/>
                <w:szCs w:val="20"/>
                <w:color w:val="auto"/>
              </w:rPr>
            </w:pPr>
            <w:r>
              <w:rPr>
                <w:rFonts w:ascii="Arial" w:cs="Arial" w:eastAsia="Arial" w:hAnsi="Arial"/>
                <w:sz w:val="16"/>
                <w:szCs w:val="16"/>
                <w:color w:val="auto"/>
              </w:rPr>
              <w:t>Attributable to:</w:t>
            </w:r>
          </w:p>
        </w:tc>
        <w:tc>
          <w:tcPr>
            <w:tcW w:w="700" w:type="dxa"/>
            <w:vAlign w:val="bottom"/>
            <w:shd w:val="clear" w:color="auto" w:fill="E5FFFF"/>
          </w:tcPr>
          <w:p>
            <w:pPr>
              <w:spacing w:after="0"/>
              <w:rPr>
                <w:sz w:val="13"/>
                <w:szCs w:val="13"/>
                <w:color w:val="auto"/>
              </w:rPr>
            </w:pPr>
          </w:p>
        </w:tc>
        <w:tc>
          <w:tcPr>
            <w:tcW w:w="280" w:type="dxa"/>
            <w:vAlign w:val="bottom"/>
            <w:shd w:val="clear" w:color="auto" w:fill="E5FFFF"/>
          </w:tcPr>
          <w:p>
            <w:pPr>
              <w:spacing w:after="0"/>
              <w:rPr>
                <w:sz w:val="13"/>
                <w:szCs w:val="13"/>
                <w:color w:val="auto"/>
              </w:rPr>
            </w:pPr>
          </w:p>
        </w:tc>
        <w:tc>
          <w:tcPr>
            <w:tcW w:w="1720" w:type="dxa"/>
            <w:vAlign w:val="bottom"/>
            <w:shd w:val="clear" w:color="auto" w:fill="E5FFFF"/>
          </w:tcPr>
          <w:p>
            <w:pPr>
              <w:spacing w:after="0"/>
              <w:rPr>
                <w:sz w:val="13"/>
                <w:szCs w:val="13"/>
                <w:color w:val="auto"/>
              </w:rPr>
            </w:pPr>
          </w:p>
        </w:tc>
        <w:tc>
          <w:tcPr>
            <w:tcW w:w="280" w:type="dxa"/>
            <w:vAlign w:val="bottom"/>
            <w:shd w:val="clear" w:color="auto" w:fill="E5FFFF"/>
          </w:tcPr>
          <w:p>
            <w:pPr>
              <w:spacing w:after="0"/>
              <w:rPr>
                <w:sz w:val="13"/>
                <w:szCs w:val="13"/>
                <w:color w:val="auto"/>
              </w:rPr>
            </w:pPr>
          </w:p>
        </w:tc>
        <w:tc>
          <w:tcPr>
            <w:tcW w:w="1740" w:type="dxa"/>
            <w:vAlign w:val="bottom"/>
            <w:shd w:val="clear" w:color="auto" w:fill="E5FFFF"/>
          </w:tcPr>
          <w:p>
            <w:pPr>
              <w:spacing w:after="0"/>
              <w:rPr>
                <w:sz w:val="13"/>
                <w:szCs w:val="13"/>
                <w:color w:val="auto"/>
              </w:rPr>
            </w:pPr>
          </w:p>
        </w:tc>
        <w:tc>
          <w:tcPr>
            <w:tcW w:w="20" w:type="dxa"/>
            <w:vAlign w:val="bottom"/>
            <w:shd w:val="clear" w:color="auto" w:fill="E5FFFF"/>
          </w:tcPr>
          <w:p>
            <w:pPr>
              <w:spacing w:after="0"/>
              <w:rPr>
                <w:sz w:val="13"/>
                <w:szCs w:val="13"/>
                <w:color w:val="auto"/>
              </w:rPr>
            </w:pPr>
          </w:p>
        </w:tc>
        <w:tc>
          <w:tcPr>
            <w:tcW w:w="80" w:type="dxa"/>
            <w:vAlign w:val="bottom"/>
            <w:shd w:val="clear" w:color="auto" w:fill="E5FFFF"/>
          </w:tcPr>
          <w:p>
            <w:pPr>
              <w:spacing w:after="0"/>
              <w:rPr>
                <w:sz w:val="13"/>
                <w:szCs w:val="13"/>
                <w:color w:val="auto"/>
              </w:rPr>
            </w:pPr>
          </w:p>
        </w:tc>
      </w:tr>
      <w:tr>
        <w:trPr>
          <w:trHeight w:val="203"/>
        </w:trPr>
        <w:tc>
          <w:tcPr>
            <w:tcW w:w="6740" w:type="dxa"/>
            <w:vAlign w:val="bottom"/>
          </w:tcPr>
          <w:p>
            <w:pPr>
              <w:spacing w:after="0"/>
              <w:rPr>
                <w:sz w:val="20"/>
                <w:szCs w:val="20"/>
                <w:color w:val="auto"/>
              </w:rPr>
            </w:pPr>
            <w:r>
              <w:rPr>
                <w:rFonts w:ascii="Arial" w:cs="Arial" w:eastAsia="Arial" w:hAnsi="Arial"/>
                <w:sz w:val="16"/>
                <w:szCs w:val="16"/>
                <w:color w:val="auto"/>
              </w:rPr>
              <w:t>Owners of the Group</w:t>
            </w: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20,810</w:t>
            </w:r>
          </w:p>
        </w:tc>
        <w:tc>
          <w:tcPr>
            <w:tcW w:w="280" w:type="dxa"/>
            <w:vAlign w:val="bottom"/>
          </w:tcPr>
          <w:p>
            <w:pPr>
              <w:spacing w:after="0"/>
              <w:rPr>
                <w:sz w:val="17"/>
                <w:szCs w:val="17"/>
                <w:color w:val="auto"/>
              </w:rPr>
            </w:pPr>
          </w:p>
        </w:tc>
        <w:tc>
          <w:tcPr>
            <w:tcW w:w="1840" w:type="dxa"/>
            <w:vAlign w:val="bottom"/>
            <w:gridSpan w:val="3"/>
          </w:tcPr>
          <w:p>
            <w:pPr>
              <w:jc w:val="right"/>
              <w:ind w:right="40"/>
              <w:spacing w:after="0"/>
              <w:rPr>
                <w:sz w:val="20"/>
                <w:szCs w:val="20"/>
                <w:color w:val="auto"/>
              </w:rPr>
            </w:pPr>
            <w:r>
              <w:rPr>
                <w:rFonts w:ascii="Arial" w:cs="Arial" w:eastAsia="Arial" w:hAnsi="Arial"/>
                <w:sz w:val="16"/>
                <w:szCs w:val="16"/>
                <w:color w:val="auto"/>
              </w:rPr>
              <w:t>(12,186)</w:t>
            </w:r>
          </w:p>
        </w:tc>
      </w:tr>
      <w:tr>
        <w:trPr>
          <w:trHeight w:val="203"/>
        </w:trPr>
        <w:tc>
          <w:tcPr>
            <w:tcW w:w="6740" w:type="dxa"/>
            <w:vAlign w:val="bottom"/>
            <w:shd w:val="clear" w:color="auto" w:fill="E5FFFF"/>
          </w:tcPr>
          <w:p>
            <w:pPr>
              <w:spacing w:after="0"/>
              <w:rPr>
                <w:sz w:val="20"/>
                <w:szCs w:val="20"/>
                <w:color w:val="auto"/>
              </w:rPr>
            </w:pPr>
            <w:r>
              <w:rPr>
                <w:rFonts w:ascii="Arial" w:cs="Arial" w:eastAsia="Arial" w:hAnsi="Arial"/>
                <w:sz w:val="16"/>
                <w:szCs w:val="16"/>
                <w:color w:val="auto"/>
              </w:rPr>
              <w:t>Non-controlling interests</w:t>
            </w:r>
          </w:p>
        </w:tc>
        <w:tc>
          <w:tcPr>
            <w:tcW w:w="70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7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23,237</w:t>
            </w:r>
          </w:p>
        </w:tc>
        <w:tc>
          <w:tcPr>
            <w:tcW w:w="280" w:type="dxa"/>
            <w:vAlign w:val="bottom"/>
            <w:shd w:val="clear" w:color="auto" w:fill="E5FFFF"/>
          </w:tcPr>
          <w:p>
            <w:pPr>
              <w:spacing w:after="0"/>
              <w:rPr>
                <w:sz w:val="17"/>
                <w:szCs w:val="17"/>
                <w:color w:val="auto"/>
              </w:rPr>
            </w:pPr>
          </w:p>
        </w:tc>
        <w:tc>
          <w:tcPr>
            <w:tcW w:w="1760" w:type="dxa"/>
            <w:vAlign w:val="bottom"/>
            <w:gridSpan w:val="2"/>
            <w:shd w:val="clear" w:color="auto" w:fill="E5FFFF"/>
          </w:tcPr>
          <w:p>
            <w:pPr>
              <w:jc w:val="right"/>
              <w:ind w:right="20"/>
              <w:spacing w:after="0"/>
              <w:rPr>
                <w:sz w:val="20"/>
                <w:szCs w:val="20"/>
                <w:color w:val="auto"/>
              </w:rPr>
            </w:pPr>
            <w:r>
              <w:rPr>
                <w:rFonts w:ascii="Arial" w:cs="Arial" w:eastAsia="Arial" w:hAnsi="Arial"/>
                <w:sz w:val="16"/>
                <w:szCs w:val="16"/>
                <w:color w:val="auto"/>
              </w:rPr>
              <w:t>16,846</w:t>
            </w:r>
          </w:p>
        </w:tc>
        <w:tc>
          <w:tcPr>
            <w:tcW w:w="80" w:type="dxa"/>
            <w:vAlign w:val="bottom"/>
            <w:shd w:val="clear" w:color="auto" w:fill="E5FFFF"/>
          </w:tcPr>
          <w:p>
            <w:pPr>
              <w:spacing w:after="0"/>
              <w:rPr>
                <w:sz w:val="17"/>
                <w:szCs w:val="17"/>
                <w:color w:val="auto"/>
              </w:rPr>
            </w:pPr>
          </w:p>
        </w:tc>
      </w:tr>
      <w:tr>
        <w:trPr>
          <w:trHeight w:val="196"/>
        </w:trPr>
        <w:tc>
          <w:tcPr>
            <w:tcW w:w="67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44,047</w:t>
            </w:r>
          </w:p>
        </w:tc>
        <w:tc>
          <w:tcPr>
            <w:tcW w:w="280" w:type="dxa"/>
            <w:vAlign w:val="bottom"/>
          </w:tcPr>
          <w:p>
            <w:pPr>
              <w:spacing w:after="0"/>
              <w:rPr>
                <w:sz w:val="17"/>
                <w:szCs w:val="17"/>
                <w:color w:val="auto"/>
              </w:rPr>
            </w:pP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4,660</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6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35901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359015" cy="29845"/>
                    </a:xfrm>
                    <a:prstGeom prst="rect">
                      <a:avLst/>
                    </a:prstGeom>
                    <a:noFill/>
                  </pic:spPr>
                </pic:pic>
              </a:graphicData>
            </a:graphic>
          </wp:anchor>
        </w:drawing>
      </w:r>
    </w:p>
    <w:p>
      <w:pPr>
        <w:sectPr>
          <w:pgSz w:w="11900" w:h="16838" w:orient="portrait"/>
          <w:cols w:equalWidth="0" w:num="1">
            <w:col w:w="11560"/>
          </w:cols>
          <w:pgMar w:left="160" w:top="262" w:right="179" w:bottom="1440" w:gutter="0" w:footer="0" w:header="0"/>
        </w:sectPr>
      </w:pPr>
    </w:p>
    <w:bookmarkStart w:id="28" w:name="page29"/>
    <w:bookmarkEnd w:id="28"/>
    <w:p>
      <w:pPr>
        <w:spacing w:after="0"/>
        <w:rPr>
          <w:sz w:val="20"/>
          <w:szCs w:val="20"/>
          <w:color w:val="auto"/>
        </w:rPr>
      </w:pPr>
      <w:r>
        <w:rPr>
          <w:rFonts w:ascii="Arial" w:cs="Arial" w:eastAsia="Arial" w:hAnsi="Arial"/>
          <w:sz w:val="16"/>
          <w:szCs w:val="16"/>
          <w:b w:val="1"/>
          <w:bCs w:val="1"/>
          <w:color w:val="auto"/>
        </w:rPr>
        <w:t>GasLog Ltd. and its Subsidiaries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Unaudited condensed consolidated statements of changes in equity</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 the three months ended March 31, 2018 and 2019</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(Amounts expressed in thousands of U.S. Dollars)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920" w:type="dxa"/>
            <w:vAlign w:val="bottom"/>
          </w:tcPr>
          <w:p>
            <w:pPr>
              <w:spacing w:after="0"/>
              <w:rPr>
                <w:sz w:val="17"/>
                <w:szCs w:val="17"/>
                <w:color w:val="auto"/>
              </w:rPr>
            </w:pPr>
          </w:p>
        </w:tc>
        <w:tc>
          <w:tcPr>
            <w:tcW w:w="7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9"/>
              </w:rPr>
              <w:t>Share</w:t>
            </w: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2920" w:type="dxa"/>
            <w:vAlign w:val="bottom"/>
          </w:tcPr>
          <w:p>
            <w:pPr>
              <w:spacing w:after="0"/>
              <w:rPr>
                <w:sz w:val="17"/>
                <w:szCs w:val="17"/>
                <w:color w:val="auto"/>
              </w:rPr>
            </w:pPr>
          </w:p>
        </w:tc>
        <w:tc>
          <w:tcPr>
            <w:tcW w:w="7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4"/>
              </w:rPr>
              <w:t>capital</w:t>
            </w:r>
          </w:p>
        </w:tc>
        <w:tc>
          <w:tcPr>
            <w:tcW w:w="9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9"/>
              </w:rPr>
              <w:t>Preference</w:t>
            </w:r>
          </w:p>
        </w:tc>
        <w:tc>
          <w:tcPr>
            <w:tcW w:w="10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4"/>
              </w:rPr>
              <w:t>Contributed</w:t>
            </w: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center"/>
              <w:ind w:right="39"/>
              <w:spacing w:after="0"/>
              <w:rPr>
                <w:sz w:val="20"/>
                <w:szCs w:val="20"/>
                <w:color w:val="auto"/>
              </w:rPr>
            </w:pPr>
            <w:r>
              <w:rPr>
                <w:rFonts w:ascii="Arial" w:cs="Arial" w:eastAsia="Arial" w:hAnsi="Arial"/>
                <w:sz w:val="16"/>
                <w:szCs w:val="16"/>
                <w:b w:val="1"/>
                <w:bCs w:val="1"/>
                <w:color w:val="auto"/>
                <w:w w:val="91"/>
              </w:rPr>
              <w:t>Treasury</w:t>
            </w:r>
          </w:p>
        </w:tc>
        <w:tc>
          <w:tcPr>
            <w:tcW w:w="12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(Accumulated</w:t>
            </w:r>
          </w:p>
        </w:tc>
        <w:tc>
          <w:tcPr>
            <w:tcW w:w="10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5"/>
              </w:rPr>
              <w:t>Attributable</w:t>
            </w:r>
          </w:p>
        </w:tc>
        <w:tc>
          <w:tcPr>
            <w:tcW w:w="9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Non -</w:t>
            </w: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2920" w:type="dxa"/>
            <w:vAlign w:val="bottom"/>
          </w:tcPr>
          <w:p>
            <w:pPr>
              <w:spacing w:after="0"/>
              <w:rPr>
                <w:sz w:val="17"/>
                <w:szCs w:val="17"/>
                <w:color w:val="auto"/>
              </w:rPr>
            </w:pPr>
          </w:p>
        </w:tc>
        <w:tc>
          <w:tcPr>
            <w:tcW w:w="7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7"/>
              </w:rPr>
              <w:t>(Note</w:t>
            </w:r>
          </w:p>
        </w:tc>
        <w:tc>
          <w:tcPr>
            <w:tcW w:w="9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5"/>
              </w:rPr>
              <w:t>shares</w:t>
            </w:r>
          </w:p>
        </w:tc>
        <w:tc>
          <w:tcPr>
            <w:tcW w:w="10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6"/>
              </w:rPr>
              <w:t>surplus</w:t>
            </w: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center"/>
              <w:ind w:right="19"/>
              <w:spacing w:after="0"/>
              <w:rPr>
                <w:sz w:val="20"/>
                <w:szCs w:val="20"/>
                <w:color w:val="auto"/>
              </w:rPr>
            </w:pPr>
            <w:r>
              <w:rPr>
                <w:rFonts w:ascii="Arial" w:cs="Arial" w:eastAsia="Arial" w:hAnsi="Arial"/>
                <w:sz w:val="16"/>
                <w:szCs w:val="16"/>
                <w:b w:val="1"/>
                <w:bCs w:val="1"/>
                <w:color w:val="auto"/>
                <w:w w:val="85"/>
              </w:rPr>
              <w:t>shares</w:t>
            </w:r>
          </w:p>
        </w:tc>
        <w:tc>
          <w:tcPr>
            <w:tcW w:w="12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deficit)/retained</w:t>
            </w:r>
          </w:p>
        </w:tc>
        <w:tc>
          <w:tcPr>
            <w:tcW w:w="10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to owners of</w:t>
            </w:r>
          </w:p>
        </w:tc>
        <w:tc>
          <w:tcPr>
            <w:tcW w:w="9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controlling</w:t>
            </w: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3"/>
        </w:trPr>
        <w:tc>
          <w:tcPr>
            <w:tcW w:w="292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Arial" w:cs="Arial" w:eastAsia="Arial" w:hAnsi="Arial"/>
                <w:sz w:val="16"/>
                <w:szCs w:val="16"/>
                <w:b w:val="1"/>
                <w:bCs w:val="1"/>
                <w:color w:val="auto"/>
                <w:w w:val="86"/>
              </w:rPr>
              <w:t>13)</w:t>
            </w:r>
          </w:p>
        </w:tc>
        <w:tc>
          <w:tcPr>
            <w:tcW w:w="120" w:type="dxa"/>
            <w:vAlign w:val="bottom"/>
          </w:tcPr>
          <w:p>
            <w:pPr>
              <w:spacing w:after="0"/>
              <w:rPr>
                <w:sz w:val="18"/>
                <w:szCs w:val="18"/>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(Note 13)</w:t>
            </w:r>
          </w:p>
        </w:tc>
        <w:tc>
          <w:tcPr>
            <w:tcW w:w="10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(Note 13)</w:t>
            </w:r>
          </w:p>
        </w:tc>
        <w:tc>
          <w:tcPr>
            <w:tcW w:w="9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w w:val="95"/>
              </w:rPr>
              <w:t>Reserves</w:t>
            </w:r>
          </w:p>
        </w:tc>
        <w:tc>
          <w:tcPr>
            <w:tcW w:w="940" w:type="dxa"/>
            <w:vAlign w:val="bottom"/>
            <w:gridSpan w:val="2"/>
          </w:tcPr>
          <w:p>
            <w:pPr>
              <w:jc w:val="center"/>
              <w:ind w:right="19"/>
              <w:spacing w:after="0"/>
              <w:rPr>
                <w:sz w:val="20"/>
                <w:szCs w:val="20"/>
                <w:color w:val="auto"/>
              </w:rPr>
            </w:pPr>
            <w:r>
              <w:rPr>
                <w:rFonts w:ascii="Arial" w:cs="Arial" w:eastAsia="Arial" w:hAnsi="Arial"/>
                <w:sz w:val="16"/>
                <w:szCs w:val="16"/>
                <w:b w:val="1"/>
                <w:bCs w:val="1"/>
                <w:color w:val="auto"/>
                <w:w w:val="93"/>
              </w:rPr>
              <w:t>(Note 13)</w:t>
            </w:r>
          </w:p>
        </w:tc>
        <w:tc>
          <w:tcPr>
            <w:tcW w:w="12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earnings</w:t>
            </w:r>
          </w:p>
        </w:tc>
        <w:tc>
          <w:tcPr>
            <w:tcW w:w="10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the Group</w:t>
            </w:r>
          </w:p>
        </w:tc>
        <w:tc>
          <w:tcPr>
            <w:tcW w:w="9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6"/>
              </w:rPr>
              <w:t>interests</w:t>
            </w:r>
          </w:p>
        </w:tc>
        <w:tc>
          <w:tcPr>
            <w:tcW w:w="900" w:type="dxa"/>
            <w:vAlign w:val="bottom"/>
            <w:gridSpan w:val="3"/>
          </w:tcPr>
          <w:p>
            <w:pPr>
              <w:jc w:val="right"/>
              <w:ind w:right="320"/>
              <w:spacing w:after="0"/>
              <w:rPr>
                <w:sz w:val="20"/>
                <w:szCs w:val="20"/>
                <w:color w:val="auto"/>
              </w:rPr>
            </w:pPr>
            <w:r>
              <w:rPr>
                <w:rFonts w:ascii="Arial" w:cs="Arial" w:eastAsia="Arial" w:hAnsi="Arial"/>
                <w:sz w:val="16"/>
                <w:szCs w:val="16"/>
                <w:b w:val="1"/>
                <w:bCs w:val="1"/>
                <w:color w:val="auto"/>
              </w:rPr>
              <w:t>Total</w:t>
            </w:r>
          </w:p>
        </w:tc>
      </w:tr>
      <w:tr>
        <w:trPr>
          <w:trHeight w:val="199"/>
        </w:trPr>
        <w:tc>
          <w:tcPr>
            <w:tcW w:w="292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Balance as of December 31, 2017</w:t>
            </w:r>
          </w:p>
        </w:tc>
        <w:tc>
          <w:tcPr>
            <w:tcW w:w="5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810</w:t>
            </w:r>
          </w:p>
        </w:tc>
        <w:tc>
          <w:tcPr>
            <w:tcW w:w="120" w:type="dxa"/>
            <w:vAlign w:val="bottom"/>
            <w:tcBorders>
              <w:top w:val="single" w:sz="8" w:color="E5FFFF"/>
            </w:tcBorders>
            <w:shd w:val="clear" w:color="auto" w:fill="E5FFFF"/>
          </w:tcPr>
          <w:p>
            <w:pPr>
              <w:spacing w:after="0"/>
              <w:rPr>
                <w:sz w:val="17"/>
                <w:szCs w:val="17"/>
                <w:color w:val="auto"/>
              </w:rPr>
            </w:pPr>
          </w:p>
        </w:tc>
        <w:tc>
          <w:tcPr>
            <w:tcW w:w="8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46</w:t>
            </w:r>
          </w:p>
        </w:tc>
        <w:tc>
          <w:tcPr>
            <w:tcW w:w="120" w:type="dxa"/>
            <w:vAlign w:val="bottom"/>
            <w:tcBorders>
              <w:top w:val="single" w:sz="8" w:color="E5FFFF"/>
            </w:tcBorders>
            <w:shd w:val="clear" w:color="auto" w:fill="E5FFFF"/>
          </w:tcPr>
          <w:p>
            <w:pPr>
              <w:spacing w:after="0"/>
              <w:rPr>
                <w:sz w:val="17"/>
                <w:szCs w:val="17"/>
                <w:color w:val="auto"/>
              </w:rPr>
            </w:pPr>
          </w:p>
        </w:tc>
        <w:tc>
          <w:tcPr>
            <w:tcW w:w="9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911,766</w:t>
            </w:r>
          </w:p>
        </w:tc>
        <w:tc>
          <w:tcPr>
            <w:tcW w:w="120" w:type="dxa"/>
            <w:vAlign w:val="bottom"/>
            <w:tcBorders>
              <w:top w:val="single" w:sz="8" w:color="E5FFFF"/>
            </w:tcBorders>
            <w:shd w:val="clear" w:color="auto" w:fill="E5FFFF"/>
          </w:tcPr>
          <w:p>
            <w:pPr>
              <w:spacing w:after="0"/>
              <w:rPr>
                <w:sz w:val="17"/>
                <w:szCs w:val="17"/>
                <w:color w:val="auto"/>
              </w:rPr>
            </w:pPr>
          </w:p>
        </w:tc>
        <w:tc>
          <w:tcPr>
            <w:tcW w:w="8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18,347</w:t>
            </w:r>
          </w:p>
        </w:tc>
        <w:tc>
          <w:tcPr>
            <w:tcW w:w="120" w:type="dxa"/>
            <w:vAlign w:val="bottom"/>
            <w:tcBorders>
              <w:top w:val="single" w:sz="8" w:color="E5FFFF"/>
            </w:tcBorders>
            <w:shd w:val="clear" w:color="auto" w:fill="E5FFFF"/>
          </w:tcPr>
          <w:p>
            <w:pPr>
              <w:spacing w:after="0"/>
              <w:rPr>
                <w:sz w:val="17"/>
                <w:szCs w:val="17"/>
                <w:color w:val="auto"/>
              </w:rPr>
            </w:pPr>
          </w:p>
        </w:tc>
        <w:tc>
          <w:tcPr>
            <w:tcW w:w="8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(6,960)</w:t>
            </w:r>
          </w:p>
        </w:tc>
        <w:tc>
          <w:tcPr>
            <w:tcW w:w="120" w:type="dxa"/>
            <w:vAlign w:val="bottom"/>
            <w:tcBorders>
              <w:top w:val="single" w:sz="8" w:color="E5FFFF"/>
            </w:tcBorders>
            <w:shd w:val="clear" w:color="auto" w:fill="E5FFFF"/>
          </w:tcPr>
          <w:p>
            <w:pPr>
              <w:spacing w:after="0"/>
              <w:rPr>
                <w:sz w:val="17"/>
                <w:szCs w:val="17"/>
                <w:color w:val="auto"/>
              </w:rPr>
            </w:pPr>
          </w:p>
        </w:tc>
        <w:tc>
          <w:tcPr>
            <w:tcW w:w="11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(5,980)</w:t>
            </w:r>
          </w:p>
        </w:tc>
        <w:tc>
          <w:tcPr>
            <w:tcW w:w="100" w:type="dxa"/>
            <w:vAlign w:val="bottom"/>
            <w:tcBorders>
              <w:top w:val="single" w:sz="8" w:color="E5FFFF"/>
            </w:tcBorders>
            <w:shd w:val="clear" w:color="auto" w:fill="E5FFFF"/>
          </w:tcPr>
          <w:p>
            <w:pPr>
              <w:spacing w:after="0"/>
              <w:rPr>
                <w:sz w:val="17"/>
                <w:szCs w:val="17"/>
                <w:color w:val="auto"/>
              </w:rPr>
            </w:pPr>
          </w:p>
        </w:tc>
        <w:tc>
          <w:tcPr>
            <w:tcW w:w="9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918,029</w:t>
            </w:r>
          </w:p>
        </w:tc>
        <w:tc>
          <w:tcPr>
            <w:tcW w:w="120" w:type="dxa"/>
            <w:vAlign w:val="bottom"/>
            <w:tcBorders>
              <w:top w:val="single" w:sz="8" w:color="E5FFFF"/>
            </w:tcBorders>
            <w:shd w:val="clear" w:color="auto" w:fill="E5FFFF"/>
          </w:tcPr>
          <w:p>
            <w:pPr>
              <w:spacing w:after="0"/>
              <w:rPr>
                <w:sz w:val="17"/>
                <w:szCs w:val="17"/>
                <w:color w:val="auto"/>
              </w:rPr>
            </w:pPr>
          </w:p>
        </w:tc>
        <w:tc>
          <w:tcPr>
            <w:tcW w:w="8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845,105</w:t>
            </w:r>
          </w:p>
        </w:tc>
        <w:tc>
          <w:tcPr>
            <w:tcW w:w="100" w:type="dxa"/>
            <w:vAlign w:val="bottom"/>
            <w:tcBorders>
              <w:top w:val="single" w:sz="8" w:color="E5FFFF"/>
            </w:tcBorders>
            <w:shd w:val="clear" w:color="auto" w:fill="E5FFFF"/>
          </w:tcPr>
          <w:p>
            <w:pPr>
              <w:spacing w:after="0"/>
              <w:rPr>
                <w:sz w:val="17"/>
                <w:szCs w:val="17"/>
                <w:color w:val="auto"/>
              </w:rPr>
            </w:pPr>
          </w:p>
        </w:tc>
        <w:tc>
          <w:tcPr>
            <w:tcW w:w="8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1,763,134</w:t>
            </w:r>
          </w:p>
        </w:tc>
        <w:tc>
          <w:tcPr>
            <w:tcW w:w="20" w:type="dxa"/>
            <w:vAlign w:val="bottom"/>
            <w:tcBorders>
              <w:top w:val="single" w:sz="8" w:color="E5FFFF"/>
            </w:tcBorders>
            <w:shd w:val="clear" w:color="auto" w:fill="E5FFFF"/>
          </w:tcPr>
          <w:p>
            <w:pPr>
              <w:spacing w:after="0"/>
              <w:rPr>
                <w:sz w:val="17"/>
                <w:szCs w:val="17"/>
                <w:color w:val="auto"/>
              </w:rPr>
            </w:pPr>
          </w:p>
        </w:tc>
        <w:tc>
          <w:tcPr>
            <w:tcW w:w="80" w:type="dxa"/>
            <w:vAlign w:val="bottom"/>
            <w:tcBorders>
              <w:top w:val="single" w:sz="8" w:color="E5FFFF"/>
            </w:tcBorders>
            <w:shd w:val="clear" w:color="auto" w:fill="E5FFFF"/>
          </w:tcPr>
          <w:p>
            <w:pPr>
              <w:spacing w:after="0"/>
              <w:rPr>
                <w:sz w:val="17"/>
                <w:szCs w:val="17"/>
                <w:color w:val="auto"/>
              </w:rPr>
            </w:pPr>
          </w:p>
        </w:tc>
      </w:tr>
      <w:tr>
        <w:trPr>
          <w:trHeight w:val="196"/>
        </w:trPr>
        <w:tc>
          <w:tcPr>
            <w:tcW w:w="2920" w:type="dxa"/>
            <w:vAlign w:val="bottom"/>
            <w:tcBorders>
              <w:bottom w:val="single" w:sz="8" w:color="E5FFFF"/>
            </w:tcBorders>
          </w:tcPr>
          <w:p>
            <w:pPr>
              <w:spacing w:after="0" w:line="196" w:lineRule="exact"/>
              <w:rPr>
                <w:sz w:val="20"/>
                <w:szCs w:val="20"/>
                <w:color w:val="auto"/>
              </w:rPr>
            </w:pPr>
            <w:r>
              <w:rPr>
                <w:rFonts w:ascii="Arial" w:cs="Arial" w:eastAsia="Arial" w:hAnsi="Arial"/>
                <w:sz w:val="16"/>
                <w:szCs w:val="16"/>
                <w:color w:val="auto"/>
              </w:rPr>
              <w:t>Opening adjustment</w:t>
            </w:r>
            <w:r>
              <w:rPr>
                <w:rFonts w:ascii="Arial" w:cs="Arial" w:eastAsia="Arial" w:hAnsi="Arial"/>
                <w:sz w:val="21"/>
                <w:szCs w:val="21"/>
                <w:color w:val="auto"/>
                <w:vertAlign w:val="superscript"/>
              </w:rPr>
              <w:t>(1)</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E5FFFF"/>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E5FFFF"/>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E5FFFF"/>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(436)</w:t>
            </w:r>
          </w:p>
        </w:tc>
        <w:tc>
          <w:tcPr>
            <w:tcW w:w="120" w:type="dxa"/>
            <w:vAlign w:val="bottom"/>
            <w:tcBorders>
              <w:bottom w:val="single" w:sz="8" w:color="E5FFFF"/>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E5FFFF"/>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190</w:t>
            </w:r>
          </w:p>
        </w:tc>
        <w:tc>
          <w:tcPr>
            <w:tcW w:w="100" w:type="dxa"/>
            <w:vAlign w:val="bottom"/>
            <w:tcBorders>
              <w:bottom w:val="single" w:sz="8" w:color="E5FFFF"/>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(246)</w:t>
            </w:r>
          </w:p>
        </w:tc>
        <w:tc>
          <w:tcPr>
            <w:tcW w:w="120" w:type="dxa"/>
            <w:vAlign w:val="bottom"/>
            <w:tcBorders>
              <w:bottom w:val="single" w:sz="8" w:color="E5FFFF"/>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E5FFFF"/>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(246</w:t>
            </w:r>
          </w:p>
        </w:tc>
        <w:tc>
          <w:tcPr>
            <w:tcW w:w="100" w:type="dxa"/>
            <w:vAlign w:val="bottom"/>
            <w:tcBorders>
              <w:bottom w:val="single" w:sz="8" w:color="E5FFFF"/>
            </w:tcBorders>
            <w:gridSpan w:val="2"/>
          </w:tcPr>
          <w:p>
            <w:pPr>
              <w:jc w:val="right"/>
              <w:ind w:right="40"/>
              <w:spacing w:after="0"/>
              <w:rPr>
                <w:sz w:val="20"/>
                <w:szCs w:val="20"/>
                <w:color w:val="auto"/>
              </w:rPr>
            </w:pPr>
            <w:r>
              <w:rPr>
                <w:rFonts w:ascii="Arial" w:cs="Arial" w:eastAsia="Arial" w:hAnsi="Arial"/>
                <w:sz w:val="16"/>
                <w:szCs w:val="16"/>
                <w:b w:val="1"/>
                <w:bCs w:val="1"/>
                <w:color w:val="auto"/>
                <w:w w:val="74"/>
              </w:rPr>
              <w:t>)</w:t>
            </w:r>
          </w:p>
        </w:tc>
      </w:tr>
      <w:tr>
        <w:trPr>
          <w:trHeight w:val="196"/>
        </w:trPr>
        <w:tc>
          <w:tcPr>
            <w:tcW w:w="292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Balance as of January 1, 2018</w:t>
            </w:r>
          </w:p>
        </w:tc>
        <w:tc>
          <w:tcPr>
            <w:tcW w:w="5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810</w:t>
            </w:r>
          </w:p>
        </w:tc>
        <w:tc>
          <w:tcPr>
            <w:tcW w:w="120" w:type="dxa"/>
            <w:vAlign w:val="bottom"/>
            <w:shd w:val="clear" w:color="auto" w:fill="E5FFFF"/>
          </w:tcPr>
          <w:p>
            <w:pPr>
              <w:spacing w:after="0"/>
              <w:rPr>
                <w:sz w:val="17"/>
                <w:szCs w:val="17"/>
                <w:color w:val="auto"/>
              </w:rPr>
            </w:pPr>
          </w:p>
        </w:tc>
        <w:tc>
          <w:tcPr>
            <w:tcW w:w="8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46</w:t>
            </w:r>
          </w:p>
        </w:tc>
        <w:tc>
          <w:tcPr>
            <w:tcW w:w="120" w:type="dxa"/>
            <w:vAlign w:val="bottom"/>
            <w:shd w:val="clear" w:color="auto" w:fill="E5FFFF"/>
          </w:tcPr>
          <w:p>
            <w:pPr>
              <w:spacing w:after="0"/>
              <w:rPr>
                <w:sz w:val="17"/>
                <w:szCs w:val="17"/>
                <w:color w:val="auto"/>
              </w:rPr>
            </w:pPr>
          </w:p>
        </w:tc>
        <w:tc>
          <w:tcPr>
            <w:tcW w:w="9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911,766</w:t>
            </w:r>
          </w:p>
        </w:tc>
        <w:tc>
          <w:tcPr>
            <w:tcW w:w="120" w:type="dxa"/>
            <w:vAlign w:val="bottom"/>
            <w:shd w:val="clear" w:color="auto" w:fill="E5FFFF"/>
          </w:tcPr>
          <w:p>
            <w:pPr>
              <w:spacing w:after="0"/>
              <w:rPr>
                <w:sz w:val="17"/>
                <w:szCs w:val="17"/>
                <w:color w:val="auto"/>
              </w:rPr>
            </w:pPr>
          </w:p>
        </w:tc>
        <w:tc>
          <w:tcPr>
            <w:tcW w:w="8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17,911</w:t>
            </w:r>
          </w:p>
        </w:tc>
        <w:tc>
          <w:tcPr>
            <w:tcW w:w="120" w:type="dxa"/>
            <w:vAlign w:val="bottom"/>
            <w:shd w:val="clear" w:color="auto" w:fill="E5FFFF"/>
          </w:tcPr>
          <w:p>
            <w:pPr>
              <w:spacing w:after="0"/>
              <w:rPr>
                <w:sz w:val="17"/>
                <w:szCs w:val="17"/>
                <w:color w:val="auto"/>
              </w:rPr>
            </w:pPr>
          </w:p>
        </w:tc>
        <w:tc>
          <w:tcPr>
            <w:tcW w:w="8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(6,960)</w:t>
            </w:r>
          </w:p>
        </w:tc>
        <w:tc>
          <w:tcPr>
            <w:tcW w:w="120" w:type="dxa"/>
            <w:vAlign w:val="bottom"/>
            <w:shd w:val="clear" w:color="auto" w:fill="E5FFFF"/>
          </w:tcPr>
          <w:p>
            <w:pPr>
              <w:spacing w:after="0"/>
              <w:rPr>
                <w:sz w:val="17"/>
                <w:szCs w:val="17"/>
                <w:color w:val="auto"/>
              </w:rPr>
            </w:pPr>
          </w:p>
        </w:tc>
        <w:tc>
          <w:tcPr>
            <w:tcW w:w="11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(5,790)</w:t>
            </w:r>
          </w:p>
        </w:tc>
        <w:tc>
          <w:tcPr>
            <w:tcW w:w="100" w:type="dxa"/>
            <w:vAlign w:val="bottom"/>
            <w:shd w:val="clear" w:color="auto" w:fill="E5FFFF"/>
          </w:tcPr>
          <w:p>
            <w:pPr>
              <w:spacing w:after="0"/>
              <w:rPr>
                <w:sz w:val="17"/>
                <w:szCs w:val="17"/>
                <w:color w:val="auto"/>
              </w:rPr>
            </w:pPr>
          </w:p>
        </w:tc>
        <w:tc>
          <w:tcPr>
            <w:tcW w:w="9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917,783</w:t>
            </w:r>
          </w:p>
        </w:tc>
        <w:tc>
          <w:tcPr>
            <w:tcW w:w="120" w:type="dxa"/>
            <w:vAlign w:val="bottom"/>
            <w:shd w:val="clear" w:color="auto" w:fill="E5FFFF"/>
          </w:tcPr>
          <w:p>
            <w:pPr>
              <w:spacing w:after="0"/>
              <w:rPr>
                <w:sz w:val="17"/>
                <w:szCs w:val="17"/>
                <w:color w:val="auto"/>
              </w:rPr>
            </w:pPr>
          </w:p>
        </w:tc>
        <w:tc>
          <w:tcPr>
            <w:tcW w:w="8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845,105</w:t>
            </w:r>
          </w:p>
        </w:tc>
        <w:tc>
          <w:tcPr>
            <w:tcW w:w="100" w:type="dxa"/>
            <w:vAlign w:val="bottom"/>
            <w:shd w:val="clear" w:color="auto" w:fill="E5FFFF"/>
          </w:tcPr>
          <w:p>
            <w:pPr>
              <w:spacing w:after="0"/>
              <w:rPr>
                <w:sz w:val="17"/>
                <w:szCs w:val="17"/>
                <w:color w:val="auto"/>
              </w:rPr>
            </w:pPr>
          </w:p>
        </w:tc>
        <w:tc>
          <w:tcPr>
            <w:tcW w:w="8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1,762,888</w:t>
            </w:r>
          </w:p>
        </w:tc>
        <w:tc>
          <w:tcPr>
            <w:tcW w:w="2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r>
      <w:tr>
        <w:trPr>
          <w:trHeight w:val="173"/>
        </w:trPr>
        <w:tc>
          <w:tcPr>
            <w:tcW w:w="2920" w:type="dxa"/>
            <w:vAlign w:val="bottom"/>
          </w:tcPr>
          <w:p>
            <w:pPr>
              <w:spacing w:after="0" w:line="173" w:lineRule="exact"/>
              <w:rPr>
                <w:sz w:val="20"/>
                <w:szCs w:val="20"/>
                <w:color w:val="auto"/>
              </w:rPr>
            </w:pPr>
            <w:r>
              <w:rPr>
                <w:rFonts w:ascii="Arial" w:cs="Arial" w:eastAsia="Arial" w:hAnsi="Arial"/>
                <w:sz w:val="16"/>
                <w:szCs w:val="16"/>
                <w:color w:val="auto"/>
              </w:rPr>
              <w:t>Net proceeds from GasLog Partners’</w:t>
            </w: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09"/>
        </w:trPr>
        <w:tc>
          <w:tcPr>
            <w:tcW w:w="2920" w:type="dxa"/>
            <w:vAlign w:val="bottom"/>
          </w:tcPr>
          <w:p>
            <w:pPr>
              <w:ind w:left="180"/>
              <w:spacing w:after="0"/>
              <w:rPr>
                <w:sz w:val="20"/>
                <w:szCs w:val="20"/>
                <w:color w:val="auto"/>
              </w:rPr>
            </w:pPr>
            <w:r>
              <w:rPr>
                <w:rFonts w:ascii="Arial" w:cs="Arial" w:eastAsia="Arial" w:hAnsi="Arial"/>
                <w:sz w:val="16"/>
                <w:szCs w:val="16"/>
                <w:color w:val="auto"/>
              </w:rPr>
              <w:t>public offering</w:t>
            </w:r>
          </w:p>
        </w:tc>
        <w:tc>
          <w:tcPr>
            <w:tcW w:w="7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111,197</w:t>
            </w:r>
          </w:p>
        </w:tc>
        <w:tc>
          <w:tcPr>
            <w:tcW w:w="1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111,197</w:t>
            </w:r>
          </w:p>
        </w:tc>
        <w:tc>
          <w:tcPr>
            <w:tcW w:w="80" w:type="dxa"/>
            <w:vAlign w:val="bottom"/>
          </w:tcPr>
          <w:p>
            <w:pPr>
              <w:spacing w:after="0"/>
              <w:rPr>
                <w:sz w:val="18"/>
                <w:szCs w:val="18"/>
                <w:color w:val="auto"/>
              </w:rPr>
            </w:pPr>
          </w:p>
        </w:tc>
      </w:tr>
      <w:tr>
        <w:trPr>
          <w:trHeight w:val="196"/>
        </w:trPr>
        <w:tc>
          <w:tcPr>
            <w:tcW w:w="2920" w:type="dxa"/>
            <w:vAlign w:val="bottom"/>
            <w:shd w:val="clear" w:color="auto" w:fill="E5FFFF"/>
          </w:tcPr>
          <w:p>
            <w:pPr>
              <w:spacing w:after="0"/>
              <w:rPr>
                <w:sz w:val="20"/>
                <w:szCs w:val="20"/>
                <w:color w:val="auto"/>
              </w:rPr>
            </w:pPr>
            <w:r>
              <w:rPr>
                <w:rFonts w:ascii="Arial" w:cs="Arial" w:eastAsia="Arial" w:hAnsi="Arial"/>
                <w:sz w:val="16"/>
                <w:szCs w:val="16"/>
                <w:color w:val="auto"/>
              </w:rPr>
              <w:t>Dividend paid (common and preference</w:t>
            </w:r>
          </w:p>
        </w:tc>
        <w:tc>
          <w:tcPr>
            <w:tcW w:w="58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80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94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80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8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16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9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80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80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r>
      <w:tr>
        <w:trPr>
          <w:trHeight w:val="212"/>
        </w:trPr>
        <w:tc>
          <w:tcPr>
            <w:tcW w:w="2920" w:type="dxa"/>
            <w:vAlign w:val="bottom"/>
            <w:shd w:val="clear" w:color="auto" w:fill="E5FFFF"/>
          </w:tcPr>
          <w:p>
            <w:pPr>
              <w:ind w:left="180"/>
              <w:spacing w:after="0"/>
              <w:rPr>
                <w:sz w:val="20"/>
                <w:szCs w:val="20"/>
                <w:color w:val="auto"/>
              </w:rPr>
            </w:pPr>
            <w:r>
              <w:rPr>
                <w:rFonts w:ascii="Arial" w:cs="Arial" w:eastAsia="Arial" w:hAnsi="Arial"/>
                <w:sz w:val="16"/>
                <w:szCs w:val="16"/>
                <w:color w:val="auto"/>
              </w:rPr>
              <w:t>shares)</w:t>
            </w:r>
          </w:p>
        </w:tc>
        <w:tc>
          <w:tcPr>
            <w:tcW w:w="700" w:type="dxa"/>
            <w:vAlign w:val="bottom"/>
            <w:gridSpan w:val="2"/>
            <w:shd w:val="clear" w:color="auto" w:fill="E5FFFF"/>
          </w:tcPr>
          <w:p>
            <w:pPr>
              <w:jc w:val="right"/>
              <w:ind w:right="12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E5FFFF"/>
          </w:tcPr>
          <w:p>
            <w:pPr>
              <w:jc w:val="right"/>
              <w:ind w:right="12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E5FFFF"/>
          </w:tcPr>
          <w:p>
            <w:pPr>
              <w:jc w:val="right"/>
              <w:ind w:right="80"/>
              <w:spacing w:after="0"/>
              <w:rPr>
                <w:sz w:val="20"/>
                <w:szCs w:val="20"/>
                <w:color w:val="auto"/>
              </w:rPr>
            </w:pPr>
            <w:r>
              <w:rPr>
                <w:rFonts w:ascii="Arial" w:cs="Arial" w:eastAsia="Arial" w:hAnsi="Arial"/>
                <w:sz w:val="16"/>
                <w:szCs w:val="16"/>
                <w:color w:val="auto"/>
              </w:rPr>
              <w:t>(13,816)</w:t>
            </w:r>
          </w:p>
        </w:tc>
        <w:tc>
          <w:tcPr>
            <w:tcW w:w="920" w:type="dxa"/>
            <w:vAlign w:val="bottom"/>
            <w:gridSpan w:val="2"/>
            <w:shd w:val="clear" w:color="auto" w:fill="E5FFFF"/>
          </w:tcPr>
          <w:p>
            <w:pPr>
              <w:jc w:val="right"/>
              <w:ind w:right="12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E5FFFF"/>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E5FFFF"/>
          </w:tcPr>
          <w:p>
            <w:pPr>
              <w:jc w:val="right"/>
              <w:ind w:right="60"/>
              <w:spacing w:after="0"/>
              <w:rPr>
                <w:sz w:val="20"/>
                <w:szCs w:val="20"/>
                <w:color w:val="auto"/>
              </w:rPr>
            </w:pPr>
            <w:r>
              <w:rPr>
                <w:rFonts w:ascii="Arial" w:cs="Arial" w:eastAsia="Arial" w:hAnsi="Arial"/>
                <w:sz w:val="16"/>
                <w:szCs w:val="16"/>
                <w:color w:val="auto"/>
              </w:rPr>
              <w:t>(13,816)</w:t>
            </w:r>
          </w:p>
        </w:tc>
        <w:tc>
          <w:tcPr>
            <w:tcW w:w="900" w:type="dxa"/>
            <w:vAlign w:val="bottom"/>
            <w:gridSpan w:val="2"/>
            <w:shd w:val="clear" w:color="auto" w:fill="E5FFFF"/>
          </w:tcPr>
          <w:p>
            <w:pPr>
              <w:jc w:val="right"/>
              <w:ind w:right="60"/>
              <w:spacing w:after="0"/>
              <w:rPr>
                <w:sz w:val="20"/>
                <w:szCs w:val="20"/>
                <w:color w:val="auto"/>
              </w:rPr>
            </w:pPr>
            <w:r>
              <w:rPr>
                <w:rFonts w:ascii="Arial" w:cs="Arial" w:eastAsia="Arial" w:hAnsi="Arial"/>
                <w:sz w:val="16"/>
                <w:szCs w:val="16"/>
                <w:color w:val="auto"/>
              </w:rPr>
              <w:t>(20,857)</w:t>
            </w:r>
          </w:p>
        </w:tc>
        <w:tc>
          <w:tcPr>
            <w:tcW w:w="900" w:type="dxa"/>
            <w:vAlign w:val="bottom"/>
            <w:gridSpan w:val="3"/>
            <w:shd w:val="clear" w:color="auto" w:fill="E5FFFF"/>
          </w:tcPr>
          <w:p>
            <w:pPr>
              <w:jc w:val="right"/>
              <w:ind w:right="40"/>
              <w:spacing w:after="0"/>
              <w:rPr>
                <w:sz w:val="20"/>
                <w:szCs w:val="20"/>
                <w:color w:val="auto"/>
              </w:rPr>
            </w:pPr>
            <w:r>
              <w:rPr>
                <w:rFonts w:ascii="Arial" w:cs="Arial" w:eastAsia="Arial" w:hAnsi="Arial"/>
                <w:sz w:val="16"/>
                <w:szCs w:val="16"/>
                <w:color w:val="auto"/>
              </w:rPr>
              <w:t>(34,673)</w:t>
            </w:r>
          </w:p>
        </w:tc>
      </w:tr>
      <w:tr>
        <w:trPr>
          <w:trHeight w:val="193"/>
        </w:trPr>
        <w:tc>
          <w:tcPr>
            <w:tcW w:w="2920" w:type="dxa"/>
            <w:vAlign w:val="bottom"/>
          </w:tcPr>
          <w:p>
            <w:pPr>
              <w:spacing w:after="0"/>
              <w:rPr>
                <w:sz w:val="20"/>
                <w:szCs w:val="20"/>
                <w:color w:val="auto"/>
              </w:rPr>
            </w:pPr>
            <w:r>
              <w:rPr>
                <w:rFonts w:ascii="Arial" w:cs="Arial" w:eastAsia="Arial" w:hAnsi="Arial"/>
                <w:sz w:val="16"/>
                <w:szCs w:val="16"/>
                <w:color w:val="auto"/>
                <w:w w:val="94"/>
              </w:rPr>
              <w:t>Share-based compensation, net of accrued</w:t>
            </w: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9"/>
        </w:trPr>
        <w:tc>
          <w:tcPr>
            <w:tcW w:w="2920" w:type="dxa"/>
            <w:vAlign w:val="bottom"/>
          </w:tcPr>
          <w:p>
            <w:pPr>
              <w:ind w:left="180"/>
              <w:spacing w:after="0"/>
              <w:rPr>
                <w:sz w:val="20"/>
                <w:szCs w:val="20"/>
                <w:color w:val="auto"/>
              </w:rPr>
            </w:pPr>
            <w:r>
              <w:rPr>
                <w:rFonts w:ascii="Arial" w:cs="Arial" w:eastAsia="Arial" w:hAnsi="Arial"/>
                <w:sz w:val="16"/>
                <w:szCs w:val="16"/>
                <w:color w:val="auto"/>
              </w:rPr>
              <w:t>dividend</w:t>
            </w:r>
          </w:p>
        </w:tc>
        <w:tc>
          <w:tcPr>
            <w:tcW w:w="7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1,057</w:t>
            </w:r>
          </w:p>
        </w:tc>
        <w:tc>
          <w:tcPr>
            <w:tcW w:w="94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1,057</w:t>
            </w: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1,057</w:t>
            </w:r>
          </w:p>
        </w:tc>
        <w:tc>
          <w:tcPr>
            <w:tcW w:w="80" w:type="dxa"/>
            <w:vAlign w:val="bottom"/>
          </w:tcPr>
          <w:p>
            <w:pPr>
              <w:spacing w:after="0"/>
              <w:rPr>
                <w:sz w:val="18"/>
                <w:szCs w:val="18"/>
                <w:color w:val="auto"/>
              </w:rPr>
            </w:pPr>
          </w:p>
        </w:tc>
      </w:tr>
      <w:tr>
        <w:trPr>
          <w:trHeight w:val="206"/>
        </w:trPr>
        <w:tc>
          <w:tcPr>
            <w:tcW w:w="2920" w:type="dxa"/>
            <w:vAlign w:val="bottom"/>
            <w:shd w:val="clear" w:color="auto" w:fill="E5FFFF"/>
          </w:tcPr>
          <w:p>
            <w:pPr>
              <w:spacing w:after="0"/>
              <w:rPr>
                <w:sz w:val="20"/>
                <w:szCs w:val="20"/>
                <w:color w:val="auto"/>
              </w:rPr>
            </w:pPr>
            <w:r>
              <w:rPr>
                <w:rFonts w:ascii="Arial" w:cs="Arial" w:eastAsia="Arial" w:hAnsi="Arial"/>
                <w:sz w:val="16"/>
                <w:szCs w:val="16"/>
                <w:color w:val="auto"/>
                <w:w w:val="99"/>
              </w:rPr>
              <w:t>Settlement of share-based compensation</w:t>
            </w:r>
          </w:p>
        </w:tc>
        <w:tc>
          <w:tcPr>
            <w:tcW w:w="700" w:type="dxa"/>
            <w:vAlign w:val="bottom"/>
            <w:gridSpan w:val="2"/>
            <w:shd w:val="clear" w:color="auto" w:fill="E5FFFF"/>
          </w:tcPr>
          <w:p>
            <w:pPr>
              <w:jc w:val="right"/>
              <w:ind w:right="12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E5FFFF"/>
          </w:tcPr>
          <w:p>
            <w:pPr>
              <w:jc w:val="right"/>
              <w:ind w:right="12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E5FFFF"/>
          </w:tcPr>
          <w:p>
            <w:pPr>
              <w:jc w:val="right"/>
              <w:ind w:right="12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E5FFFF"/>
          </w:tcPr>
          <w:p>
            <w:pPr>
              <w:jc w:val="right"/>
              <w:ind w:right="60"/>
              <w:spacing w:after="0"/>
              <w:rPr>
                <w:sz w:val="20"/>
                <w:szCs w:val="20"/>
                <w:color w:val="auto"/>
              </w:rPr>
            </w:pPr>
            <w:r>
              <w:rPr>
                <w:rFonts w:ascii="Arial" w:cs="Arial" w:eastAsia="Arial" w:hAnsi="Arial"/>
                <w:sz w:val="16"/>
                <w:szCs w:val="16"/>
                <w:color w:val="auto"/>
              </w:rPr>
              <w:t>(60)</w:t>
            </w:r>
          </w:p>
        </w:tc>
        <w:tc>
          <w:tcPr>
            <w:tcW w:w="8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26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E5FFFF"/>
          </w:tcPr>
          <w:p>
            <w:pPr>
              <w:jc w:val="right"/>
              <w:ind w:right="60"/>
              <w:spacing w:after="0"/>
              <w:rPr>
                <w:sz w:val="20"/>
                <w:szCs w:val="20"/>
                <w:color w:val="auto"/>
              </w:rPr>
            </w:pPr>
            <w:r>
              <w:rPr>
                <w:rFonts w:ascii="Arial" w:cs="Arial" w:eastAsia="Arial" w:hAnsi="Arial"/>
                <w:sz w:val="16"/>
                <w:szCs w:val="16"/>
                <w:color w:val="auto"/>
              </w:rPr>
              <w:t>(60)</w:t>
            </w:r>
          </w:p>
        </w:tc>
        <w:tc>
          <w:tcPr>
            <w:tcW w:w="90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w:t>
            </w:r>
          </w:p>
        </w:tc>
        <w:tc>
          <w:tcPr>
            <w:tcW w:w="900" w:type="dxa"/>
            <w:vAlign w:val="bottom"/>
            <w:gridSpan w:val="3"/>
            <w:shd w:val="clear" w:color="auto" w:fill="E5FFFF"/>
          </w:tcPr>
          <w:p>
            <w:pPr>
              <w:jc w:val="right"/>
              <w:ind w:right="40"/>
              <w:spacing w:after="0"/>
              <w:rPr>
                <w:sz w:val="20"/>
                <w:szCs w:val="20"/>
                <w:color w:val="auto"/>
              </w:rPr>
            </w:pPr>
            <w:r>
              <w:rPr>
                <w:rFonts w:ascii="Arial" w:cs="Arial" w:eastAsia="Arial" w:hAnsi="Arial"/>
                <w:sz w:val="16"/>
                <w:szCs w:val="16"/>
                <w:color w:val="auto"/>
              </w:rPr>
              <w:t>(60)</w:t>
            </w:r>
          </w:p>
        </w:tc>
      </w:tr>
      <w:tr>
        <w:trPr>
          <w:trHeight w:val="203"/>
        </w:trPr>
        <w:tc>
          <w:tcPr>
            <w:tcW w:w="2920" w:type="dxa"/>
            <w:vAlign w:val="bottom"/>
          </w:tcPr>
          <w:p>
            <w:pPr>
              <w:spacing w:after="0"/>
              <w:rPr>
                <w:sz w:val="20"/>
                <w:szCs w:val="20"/>
                <w:color w:val="auto"/>
              </w:rPr>
            </w:pPr>
            <w:r>
              <w:rPr>
                <w:rFonts w:ascii="Arial" w:cs="Arial" w:eastAsia="Arial" w:hAnsi="Arial"/>
                <w:sz w:val="16"/>
                <w:szCs w:val="16"/>
                <w:color w:val="auto"/>
              </w:rPr>
              <w:t>Treasury shares, net</w:t>
            </w:r>
          </w:p>
        </w:tc>
        <w:tc>
          <w:tcPr>
            <w:tcW w:w="7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(62)</w:t>
            </w:r>
          </w:p>
        </w:tc>
        <w:tc>
          <w:tcPr>
            <w:tcW w:w="12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(62)</w:t>
            </w: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00" w:type="dxa"/>
            <w:vAlign w:val="bottom"/>
            <w:gridSpan w:val="3"/>
          </w:tcPr>
          <w:p>
            <w:pPr>
              <w:jc w:val="right"/>
              <w:ind w:right="40"/>
              <w:spacing w:after="0"/>
              <w:rPr>
                <w:sz w:val="20"/>
                <w:szCs w:val="20"/>
                <w:color w:val="auto"/>
              </w:rPr>
            </w:pPr>
            <w:r>
              <w:rPr>
                <w:rFonts w:ascii="Arial" w:cs="Arial" w:eastAsia="Arial" w:hAnsi="Arial"/>
                <w:sz w:val="16"/>
                <w:szCs w:val="16"/>
                <w:color w:val="auto"/>
              </w:rPr>
              <w:t>(62)</w:t>
            </w:r>
          </w:p>
        </w:tc>
      </w:tr>
      <w:tr>
        <w:trPr>
          <w:trHeight w:val="203"/>
        </w:trPr>
        <w:tc>
          <w:tcPr>
            <w:tcW w:w="2920" w:type="dxa"/>
            <w:vAlign w:val="bottom"/>
            <w:shd w:val="clear" w:color="auto" w:fill="E5FFFF"/>
          </w:tcPr>
          <w:p>
            <w:pPr>
              <w:spacing w:after="0"/>
              <w:rPr>
                <w:sz w:val="20"/>
                <w:szCs w:val="20"/>
                <w:color w:val="auto"/>
              </w:rPr>
            </w:pPr>
            <w:r>
              <w:rPr>
                <w:rFonts w:ascii="Arial" w:cs="Arial" w:eastAsia="Arial" w:hAnsi="Arial"/>
                <w:sz w:val="16"/>
                <w:szCs w:val="16"/>
                <w:color w:val="auto"/>
              </w:rPr>
              <w:t>Profit for the period</w:t>
            </w:r>
          </w:p>
        </w:tc>
        <w:tc>
          <w:tcPr>
            <w:tcW w:w="700" w:type="dxa"/>
            <w:vAlign w:val="bottom"/>
            <w:gridSpan w:val="2"/>
            <w:shd w:val="clear" w:color="auto" w:fill="E5FFFF"/>
          </w:tcPr>
          <w:p>
            <w:pPr>
              <w:jc w:val="right"/>
              <w:ind w:right="12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E5FFFF"/>
          </w:tcPr>
          <w:p>
            <w:pPr>
              <w:jc w:val="right"/>
              <w:ind w:right="12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E5FFFF"/>
          </w:tcPr>
          <w:p>
            <w:pPr>
              <w:jc w:val="right"/>
              <w:ind w:right="12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E5FFFF"/>
          </w:tcPr>
          <w:p>
            <w:pPr>
              <w:jc w:val="right"/>
              <w:ind w:right="12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E5FFFF"/>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19,304</w:t>
            </w:r>
          </w:p>
        </w:tc>
        <w:tc>
          <w:tcPr>
            <w:tcW w:w="1040" w:type="dxa"/>
            <w:vAlign w:val="bottom"/>
            <w:gridSpan w:val="2"/>
            <w:shd w:val="clear" w:color="auto" w:fill="E5FFFF"/>
          </w:tcPr>
          <w:p>
            <w:pPr>
              <w:jc w:val="right"/>
              <w:ind w:right="120"/>
              <w:spacing w:after="0"/>
              <w:rPr>
                <w:sz w:val="20"/>
                <w:szCs w:val="20"/>
                <w:color w:val="auto"/>
              </w:rPr>
            </w:pPr>
            <w:r>
              <w:rPr>
                <w:rFonts w:ascii="Arial" w:cs="Arial" w:eastAsia="Arial" w:hAnsi="Arial"/>
                <w:sz w:val="16"/>
                <w:szCs w:val="16"/>
                <w:color w:val="auto"/>
              </w:rPr>
              <w:t>19,304</w:t>
            </w:r>
          </w:p>
        </w:tc>
        <w:tc>
          <w:tcPr>
            <w:tcW w:w="8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23,237</w:t>
            </w:r>
          </w:p>
        </w:tc>
        <w:tc>
          <w:tcPr>
            <w:tcW w:w="100" w:type="dxa"/>
            <w:vAlign w:val="bottom"/>
            <w:shd w:val="clear" w:color="auto" w:fill="E5FFFF"/>
          </w:tcPr>
          <w:p>
            <w:pPr>
              <w:spacing w:after="0"/>
              <w:rPr>
                <w:sz w:val="17"/>
                <w:szCs w:val="17"/>
                <w:color w:val="auto"/>
              </w:rPr>
            </w:pPr>
          </w:p>
        </w:tc>
        <w:tc>
          <w:tcPr>
            <w:tcW w:w="82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42,541</w:t>
            </w:r>
          </w:p>
        </w:tc>
        <w:tc>
          <w:tcPr>
            <w:tcW w:w="80" w:type="dxa"/>
            <w:vAlign w:val="bottom"/>
            <w:shd w:val="clear" w:color="auto" w:fill="E5FFFF"/>
          </w:tcPr>
          <w:p>
            <w:pPr>
              <w:spacing w:after="0"/>
              <w:rPr>
                <w:sz w:val="17"/>
                <w:szCs w:val="17"/>
                <w:color w:val="auto"/>
              </w:rPr>
            </w:pPr>
          </w:p>
        </w:tc>
      </w:tr>
      <w:tr>
        <w:trPr>
          <w:trHeight w:val="193"/>
        </w:trPr>
        <w:tc>
          <w:tcPr>
            <w:tcW w:w="2920" w:type="dxa"/>
            <w:vAlign w:val="bottom"/>
          </w:tcPr>
          <w:p>
            <w:pPr>
              <w:spacing w:after="0"/>
              <w:rPr>
                <w:sz w:val="20"/>
                <w:szCs w:val="20"/>
                <w:color w:val="auto"/>
              </w:rPr>
            </w:pPr>
            <w:r>
              <w:rPr>
                <w:rFonts w:ascii="Arial" w:cs="Arial" w:eastAsia="Arial" w:hAnsi="Arial"/>
                <w:sz w:val="16"/>
                <w:szCs w:val="16"/>
                <w:color w:val="auto"/>
              </w:rPr>
              <w:t>Other comprehensive income for the</w:t>
            </w: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9"/>
        </w:trPr>
        <w:tc>
          <w:tcPr>
            <w:tcW w:w="2920" w:type="dxa"/>
            <w:vAlign w:val="bottom"/>
          </w:tcPr>
          <w:p>
            <w:pPr>
              <w:ind w:left="180"/>
              <w:spacing w:after="0"/>
              <w:rPr>
                <w:sz w:val="20"/>
                <w:szCs w:val="20"/>
                <w:color w:val="auto"/>
              </w:rPr>
            </w:pPr>
            <w:r>
              <w:rPr>
                <w:rFonts w:ascii="Arial" w:cs="Arial" w:eastAsia="Arial" w:hAnsi="Arial"/>
                <w:sz w:val="16"/>
                <w:szCs w:val="16"/>
                <w:color w:val="auto"/>
              </w:rPr>
              <w:t>period</w:t>
            </w:r>
          </w:p>
        </w:tc>
        <w:tc>
          <w:tcPr>
            <w:tcW w:w="7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1,506</w:t>
            </w:r>
          </w:p>
        </w:tc>
        <w:tc>
          <w:tcPr>
            <w:tcW w:w="94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1,506</w:t>
            </w: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1,506</w:t>
            </w:r>
          </w:p>
        </w:tc>
        <w:tc>
          <w:tcPr>
            <w:tcW w:w="80" w:type="dxa"/>
            <w:vAlign w:val="bottom"/>
          </w:tcPr>
          <w:p>
            <w:pPr>
              <w:spacing w:after="0"/>
              <w:rPr>
                <w:sz w:val="18"/>
                <w:szCs w:val="18"/>
                <w:color w:val="auto"/>
              </w:rPr>
            </w:pPr>
          </w:p>
        </w:tc>
      </w:tr>
      <w:tr>
        <w:trPr>
          <w:trHeight w:val="172"/>
        </w:trPr>
        <w:tc>
          <w:tcPr>
            <w:tcW w:w="2920" w:type="dxa"/>
            <w:vAlign w:val="bottom"/>
            <w:tcBorders>
              <w:top w:val="single" w:sz="8" w:color="E5FFFF"/>
            </w:tcBorders>
            <w:shd w:val="clear" w:color="auto" w:fill="E5FFFF"/>
          </w:tcPr>
          <w:p>
            <w:pPr>
              <w:spacing w:after="0" w:line="171" w:lineRule="exact"/>
              <w:rPr>
                <w:sz w:val="20"/>
                <w:szCs w:val="20"/>
                <w:color w:val="auto"/>
              </w:rPr>
            </w:pPr>
            <w:r>
              <w:rPr>
                <w:rFonts w:ascii="Arial" w:cs="Arial" w:eastAsia="Arial" w:hAnsi="Arial"/>
                <w:sz w:val="16"/>
                <w:szCs w:val="16"/>
                <w:b w:val="1"/>
                <w:bCs w:val="1"/>
                <w:color w:val="auto"/>
              </w:rPr>
              <w:t>Total comprehensive income for the</w:t>
            </w:r>
          </w:p>
        </w:tc>
        <w:tc>
          <w:tcPr>
            <w:tcW w:w="580" w:type="dxa"/>
            <w:vAlign w:val="bottom"/>
            <w:tcBorders>
              <w:top w:val="single" w:sz="8" w:color="auto"/>
            </w:tcBorders>
            <w:shd w:val="clear" w:color="auto" w:fill="E5FFFF"/>
          </w:tcPr>
          <w:p>
            <w:pPr>
              <w:spacing w:after="0"/>
              <w:rPr>
                <w:sz w:val="14"/>
                <w:szCs w:val="14"/>
                <w:color w:val="auto"/>
              </w:rPr>
            </w:pPr>
          </w:p>
        </w:tc>
        <w:tc>
          <w:tcPr>
            <w:tcW w:w="120" w:type="dxa"/>
            <w:vAlign w:val="bottom"/>
            <w:tcBorders>
              <w:top w:val="single" w:sz="8" w:color="E5FFFF"/>
            </w:tcBorders>
            <w:shd w:val="clear" w:color="auto" w:fill="E5FFFF"/>
          </w:tcPr>
          <w:p>
            <w:pPr>
              <w:spacing w:after="0"/>
              <w:rPr>
                <w:sz w:val="14"/>
                <w:szCs w:val="14"/>
                <w:color w:val="auto"/>
              </w:rPr>
            </w:pPr>
          </w:p>
        </w:tc>
        <w:tc>
          <w:tcPr>
            <w:tcW w:w="800" w:type="dxa"/>
            <w:vAlign w:val="bottom"/>
            <w:tcBorders>
              <w:top w:val="single" w:sz="8" w:color="auto"/>
            </w:tcBorders>
            <w:shd w:val="clear" w:color="auto" w:fill="E5FFFF"/>
          </w:tcPr>
          <w:p>
            <w:pPr>
              <w:spacing w:after="0"/>
              <w:rPr>
                <w:sz w:val="14"/>
                <w:szCs w:val="14"/>
                <w:color w:val="auto"/>
              </w:rPr>
            </w:pPr>
          </w:p>
        </w:tc>
        <w:tc>
          <w:tcPr>
            <w:tcW w:w="120" w:type="dxa"/>
            <w:vAlign w:val="bottom"/>
            <w:tcBorders>
              <w:top w:val="single" w:sz="8" w:color="E5FFFF"/>
            </w:tcBorders>
            <w:shd w:val="clear" w:color="auto" w:fill="E5FFFF"/>
          </w:tcPr>
          <w:p>
            <w:pPr>
              <w:spacing w:after="0"/>
              <w:rPr>
                <w:sz w:val="14"/>
                <w:szCs w:val="14"/>
                <w:color w:val="auto"/>
              </w:rPr>
            </w:pPr>
          </w:p>
        </w:tc>
        <w:tc>
          <w:tcPr>
            <w:tcW w:w="940" w:type="dxa"/>
            <w:vAlign w:val="bottom"/>
            <w:tcBorders>
              <w:top w:val="single" w:sz="8" w:color="auto"/>
            </w:tcBorders>
            <w:shd w:val="clear" w:color="auto" w:fill="E5FFFF"/>
          </w:tcPr>
          <w:p>
            <w:pPr>
              <w:spacing w:after="0"/>
              <w:rPr>
                <w:sz w:val="14"/>
                <w:szCs w:val="14"/>
                <w:color w:val="auto"/>
              </w:rPr>
            </w:pPr>
          </w:p>
        </w:tc>
        <w:tc>
          <w:tcPr>
            <w:tcW w:w="120" w:type="dxa"/>
            <w:vAlign w:val="bottom"/>
            <w:tcBorders>
              <w:top w:val="single" w:sz="8" w:color="E5FFFF"/>
            </w:tcBorders>
            <w:shd w:val="clear" w:color="auto" w:fill="E5FFFF"/>
          </w:tcPr>
          <w:p>
            <w:pPr>
              <w:spacing w:after="0"/>
              <w:rPr>
                <w:sz w:val="14"/>
                <w:szCs w:val="14"/>
                <w:color w:val="auto"/>
              </w:rPr>
            </w:pPr>
          </w:p>
        </w:tc>
        <w:tc>
          <w:tcPr>
            <w:tcW w:w="800" w:type="dxa"/>
            <w:vAlign w:val="bottom"/>
            <w:tcBorders>
              <w:top w:val="single" w:sz="8" w:color="auto"/>
            </w:tcBorders>
            <w:shd w:val="clear" w:color="auto" w:fill="E5FFFF"/>
          </w:tcPr>
          <w:p>
            <w:pPr>
              <w:spacing w:after="0"/>
              <w:rPr>
                <w:sz w:val="14"/>
                <w:szCs w:val="14"/>
                <w:color w:val="auto"/>
              </w:rPr>
            </w:pPr>
          </w:p>
        </w:tc>
        <w:tc>
          <w:tcPr>
            <w:tcW w:w="120" w:type="dxa"/>
            <w:vAlign w:val="bottom"/>
            <w:tcBorders>
              <w:top w:val="single" w:sz="8" w:color="E5FFFF"/>
            </w:tcBorders>
            <w:shd w:val="clear" w:color="auto" w:fill="E5FFFF"/>
          </w:tcPr>
          <w:p>
            <w:pPr>
              <w:spacing w:after="0"/>
              <w:rPr>
                <w:sz w:val="14"/>
                <w:szCs w:val="14"/>
                <w:color w:val="auto"/>
              </w:rPr>
            </w:pPr>
          </w:p>
        </w:tc>
        <w:tc>
          <w:tcPr>
            <w:tcW w:w="820" w:type="dxa"/>
            <w:vAlign w:val="bottom"/>
            <w:tcBorders>
              <w:top w:val="single" w:sz="8" w:color="auto"/>
            </w:tcBorders>
            <w:shd w:val="clear" w:color="auto" w:fill="E5FFFF"/>
          </w:tcPr>
          <w:p>
            <w:pPr>
              <w:spacing w:after="0"/>
              <w:rPr>
                <w:sz w:val="14"/>
                <w:szCs w:val="14"/>
                <w:color w:val="auto"/>
              </w:rPr>
            </w:pPr>
          </w:p>
        </w:tc>
        <w:tc>
          <w:tcPr>
            <w:tcW w:w="120" w:type="dxa"/>
            <w:vAlign w:val="bottom"/>
            <w:tcBorders>
              <w:top w:val="single" w:sz="8" w:color="E5FFFF"/>
            </w:tcBorders>
            <w:shd w:val="clear" w:color="auto" w:fill="E5FFFF"/>
          </w:tcPr>
          <w:p>
            <w:pPr>
              <w:spacing w:after="0"/>
              <w:rPr>
                <w:sz w:val="14"/>
                <w:szCs w:val="14"/>
                <w:color w:val="auto"/>
              </w:rPr>
            </w:pPr>
          </w:p>
        </w:tc>
        <w:tc>
          <w:tcPr>
            <w:tcW w:w="1160" w:type="dxa"/>
            <w:vAlign w:val="bottom"/>
            <w:tcBorders>
              <w:top w:val="single" w:sz="8" w:color="auto"/>
            </w:tcBorders>
            <w:shd w:val="clear" w:color="auto" w:fill="E5FFFF"/>
          </w:tcPr>
          <w:p>
            <w:pPr>
              <w:spacing w:after="0"/>
              <w:rPr>
                <w:sz w:val="14"/>
                <w:szCs w:val="14"/>
                <w:color w:val="auto"/>
              </w:rPr>
            </w:pPr>
          </w:p>
        </w:tc>
        <w:tc>
          <w:tcPr>
            <w:tcW w:w="100" w:type="dxa"/>
            <w:vAlign w:val="bottom"/>
            <w:tcBorders>
              <w:top w:val="single" w:sz="8" w:color="E5FFFF"/>
            </w:tcBorders>
            <w:shd w:val="clear" w:color="auto" w:fill="E5FFFF"/>
          </w:tcPr>
          <w:p>
            <w:pPr>
              <w:spacing w:after="0"/>
              <w:rPr>
                <w:sz w:val="14"/>
                <w:szCs w:val="14"/>
                <w:color w:val="auto"/>
              </w:rPr>
            </w:pPr>
          </w:p>
        </w:tc>
        <w:tc>
          <w:tcPr>
            <w:tcW w:w="920" w:type="dxa"/>
            <w:vAlign w:val="bottom"/>
            <w:tcBorders>
              <w:top w:val="single" w:sz="8" w:color="auto"/>
            </w:tcBorders>
            <w:shd w:val="clear" w:color="auto" w:fill="E5FFFF"/>
          </w:tcPr>
          <w:p>
            <w:pPr>
              <w:spacing w:after="0"/>
              <w:rPr>
                <w:sz w:val="14"/>
                <w:szCs w:val="14"/>
                <w:color w:val="auto"/>
              </w:rPr>
            </w:pPr>
          </w:p>
        </w:tc>
        <w:tc>
          <w:tcPr>
            <w:tcW w:w="120" w:type="dxa"/>
            <w:vAlign w:val="bottom"/>
            <w:tcBorders>
              <w:top w:val="single" w:sz="8" w:color="E5FFFF"/>
            </w:tcBorders>
            <w:shd w:val="clear" w:color="auto" w:fill="E5FFFF"/>
          </w:tcPr>
          <w:p>
            <w:pPr>
              <w:spacing w:after="0"/>
              <w:rPr>
                <w:sz w:val="14"/>
                <w:szCs w:val="14"/>
                <w:color w:val="auto"/>
              </w:rPr>
            </w:pPr>
          </w:p>
        </w:tc>
        <w:tc>
          <w:tcPr>
            <w:tcW w:w="800" w:type="dxa"/>
            <w:vAlign w:val="bottom"/>
            <w:tcBorders>
              <w:top w:val="single" w:sz="8" w:color="auto"/>
            </w:tcBorders>
            <w:shd w:val="clear" w:color="auto" w:fill="E5FFFF"/>
          </w:tcPr>
          <w:p>
            <w:pPr>
              <w:spacing w:after="0"/>
              <w:rPr>
                <w:sz w:val="14"/>
                <w:szCs w:val="14"/>
                <w:color w:val="auto"/>
              </w:rPr>
            </w:pPr>
          </w:p>
        </w:tc>
        <w:tc>
          <w:tcPr>
            <w:tcW w:w="100" w:type="dxa"/>
            <w:vAlign w:val="bottom"/>
            <w:tcBorders>
              <w:top w:val="single" w:sz="8" w:color="E5FFFF"/>
            </w:tcBorders>
            <w:shd w:val="clear" w:color="auto" w:fill="E5FFFF"/>
          </w:tcPr>
          <w:p>
            <w:pPr>
              <w:spacing w:after="0"/>
              <w:rPr>
                <w:sz w:val="14"/>
                <w:szCs w:val="14"/>
                <w:color w:val="auto"/>
              </w:rPr>
            </w:pPr>
          </w:p>
        </w:tc>
        <w:tc>
          <w:tcPr>
            <w:tcW w:w="800" w:type="dxa"/>
            <w:vAlign w:val="bottom"/>
            <w:tcBorders>
              <w:top w:val="single" w:sz="8" w:color="auto"/>
            </w:tcBorders>
            <w:shd w:val="clear" w:color="auto" w:fill="E5FFFF"/>
          </w:tcPr>
          <w:p>
            <w:pPr>
              <w:spacing w:after="0"/>
              <w:rPr>
                <w:sz w:val="14"/>
                <w:szCs w:val="14"/>
                <w:color w:val="auto"/>
              </w:rPr>
            </w:pPr>
          </w:p>
        </w:tc>
        <w:tc>
          <w:tcPr>
            <w:tcW w:w="20" w:type="dxa"/>
            <w:vAlign w:val="bottom"/>
            <w:tcBorders>
              <w:top w:val="single" w:sz="8" w:color="E5FFFF"/>
            </w:tcBorders>
            <w:shd w:val="clear" w:color="auto" w:fill="E5FFFF"/>
          </w:tcPr>
          <w:p>
            <w:pPr>
              <w:spacing w:after="0"/>
              <w:rPr>
                <w:sz w:val="14"/>
                <w:szCs w:val="14"/>
                <w:color w:val="auto"/>
              </w:rPr>
            </w:pPr>
          </w:p>
        </w:tc>
        <w:tc>
          <w:tcPr>
            <w:tcW w:w="80" w:type="dxa"/>
            <w:vAlign w:val="bottom"/>
            <w:tcBorders>
              <w:top w:val="single" w:sz="8" w:color="E5FFFF"/>
            </w:tcBorders>
            <w:shd w:val="clear" w:color="auto" w:fill="E5FFFF"/>
          </w:tcPr>
          <w:p>
            <w:pPr>
              <w:spacing w:after="0"/>
              <w:rPr>
                <w:sz w:val="14"/>
                <w:szCs w:val="14"/>
                <w:color w:val="auto"/>
              </w:rPr>
            </w:pPr>
          </w:p>
        </w:tc>
      </w:tr>
      <w:tr>
        <w:trPr>
          <w:trHeight w:val="216"/>
        </w:trPr>
        <w:tc>
          <w:tcPr>
            <w:tcW w:w="2920" w:type="dxa"/>
            <w:vAlign w:val="bottom"/>
            <w:shd w:val="clear" w:color="auto" w:fill="E5FFFF"/>
          </w:tcPr>
          <w:p>
            <w:pPr>
              <w:ind w:left="180"/>
              <w:spacing w:after="0"/>
              <w:rPr>
                <w:sz w:val="20"/>
                <w:szCs w:val="20"/>
                <w:color w:val="auto"/>
              </w:rPr>
            </w:pPr>
            <w:r>
              <w:rPr>
                <w:rFonts w:ascii="Arial" w:cs="Arial" w:eastAsia="Arial" w:hAnsi="Arial"/>
                <w:sz w:val="16"/>
                <w:szCs w:val="16"/>
                <w:b w:val="1"/>
                <w:bCs w:val="1"/>
                <w:color w:val="auto"/>
              </w:rPr>
              <w:t>period</w:t>
            </w:r>
          </w:p>
        </w:tc>
        <w:tc>
          <w:tcPr>
            <w:tcW w:w="700" w:type="dxa"/>
            <w:vAlign w:val="bottom"/>
            <w:gridSpan w:val="2"/>
            <w:shd w:val="clear" w:color="auto" w:fill="E5FFFF"/>
          </w:tcPr>
          <w:p>
            <w:pPr>
              <w:jc w:val="right"/>
              <w:ind w:right="120"/>
              <w:spacing w:after="0"/>
              <w:rPr>
                <w:sz w:val="20"/>
                <w:szCs w:val="20"/>
                <w:color w:val="auto"/>
              </w:rPr>
            </w:pPr>
            <w:r>
              <w:rPr>
                <w:rFonts w:ascii="Arial" w:cs="Arial" w:eastAsia="Arial" w:hAnsi="Arial"/>
                <w:sz w:val="16"/>
                <w:szCs w:val="16"/>
                <w:b w:val="1"/>
                <w:bCs w:val="1"/>
                <w:color w:val="auto"/>
              </w:rPr>
              <w:t>—</w:t>
            </w:r>
          </w:p>
        </w:tc>
        <w:tc>
          <w:tcPr>
            <w:tcW w:w="920" w:type="dxa"/>
            <w:vAlign w:val="bottom"/>
            <w:gridSpan w:val="2"/>
            <w:shd w:val="clear" w:color="auto" w:fill="E5FFFF"/>
          </w:tcPr>
          <w:p>
            <w:pPr>
              <w:jc w:val="right"/>
              <w:ind w:right="120"/>
              <w:spacing w:after="0"/>
              <w:rPr>
                <w:sz w:val="20"/>
                <w:szCs w:val="20"/>
                <w:color w:val="auto"/>
              </w:rPr>
            </w:pPr>
            <w:r>
              <w:rPr>
                <w:rFonts w:ascii="Arial" w:cs="Arial" w:eastAsia="Arial" w:hAnsi="Arial"/>
                <w:sz w:val="16"/>
                <w:szCs w:val="16"/>
                <w:b w:val="1"/>
                <w:bCs w:val="1"/>
                <w:color w:val="auto"/>
              </w:rPr>
              <w:t>—</w:t>
            </w:r>
          </w:p>
        </w:tc>
        <w:tc>
          <w:tcPr>
            <w:tcW w:w="1060" w:type="dxa"/>
            <w:vAlign w:val="bottom"/>
            <w:gridSpan w:val="2"/>
            <w:shd w:val="clear" w:color="auto" w:fill="E5FFFF"/>
          </w:tcPr>
          <w:p>
            <w:pPr>
              <w:jc w:val="right"/>
              <w:ind w:right="120"/>
              <w:spacing w:after="0"/>
              <w:rPr>
                <w:sz w:val="20"/>
                <w:szCs w:val="20"/>
                <w:color w:val="auto"/>
              </w:rPr>
            </w:pPr>
            <w:r>
              <w:rPr>
                <w:rFonts w:ascii="Arial" w:cs="Arial" w:eastAsia="Arial" w:hAnsi="Arial"/>
                <w:sz w:val="16"/>
                <w:szCs w:val="16"/>
                <w:b w:val="1"/>
                <w:bCs w:val="1"/>
                <w:color w:val="auto"/>
              </w:rPr>
              <w:t>—</w:t>
            </w:r>
          </w:p>
        </w:tc>
        <w:tc>
          <w:tcPr>
            <w:tcW w:w="920" w:type="dxa"/>
            <w:vAlign w:val="bottom"/>
            <w:gridSpan w:val="2"/>
            <w:shd w:val="clear" w:color="auto" w:fill="E5FFFF"/>
          </w:tcPr>
          <w:p>
            <w:pPr>
              <w:jc w:val="right"/>
              <w:ind w:right="120"/>
              <w:spacing w:after="0"/>
              <w:rPr>
                <w:sz w:val="20"/>
                <w:szCs w:val="20"/>
                <w:color w:val="auto"/>
              </w:rPr>
            </w:pPr>
            <w:r>
              <w:rPr>
                <w:rFonts w:ascii="Arial" w:cs="Arial" w:eastAsia="Arial" w:hAnsi="Arial"/>
                <w:sz w:val="16"/>
                <w:szCs w:val="16"/>
                <w:b w:val="1"/>
                <w:bCs w:val="1"/>
                <w:color w:val="auto"/>
              </w:rPr>
              <w:t>1,506</w:t>
            </w:r>
          </w:p>
        </w:tc>
        <w:tc>
          <w:tcPr>
            <w:tcW w:w="940" w:type="dxa"/>
            <w:vAlign w:val="bottom"/>
            <w:gridSpan w:val="2"/>
            <w:shd w:val="clear" w:color="auto" w:fill="E5FFFF"/>
          </w:tcPr>
          <w:p>
            <w:pPr>
              <w:jc w:val="right"/>
              <w:ind w:right="39"/>
              <w:spacing w:after="0"/>
              <w:rPr>
                <w:sz w:val="20"/>
                <w:szCs w:val="20"/>
                <w:color w:val="auto"/>
              </w:rPr>
            </w:pPr>
            <w:r>
              <w:rPr>
                <w:rFonts w:ascii="Arial" w:cs="Arial" w:eastAsia="Arial" w:hAnsi="Arial"/>
                <w:sz w:val="16"/>
                <w:szCs w:val="16"/>
                <w:b w:val="1"/>
                <w:bCs w:val="1"/>
                <w:color w:val="auto"/>
              </w:rPr>
              <w:t>—</w:t>
            </w:r>
          </w:p>
        </w:tc>
        <w:tc>
          <w:tcPr>
            <w:tcW w:w="126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b w:val="1"/>
                <w:bCs w:val="1"/>
                <w:color w:val="auto"/>
              </w:rPr>
              <w:t>19,304</w:t>
            </w:r>
          </w:p>
        </w:tc>
        <w:tc>
          <w:tcPr>
            <w:tcW w:w="1040" w:type="dxa"/>
            <w:vAlign w:val="bottom"/>
            <w:gridSpan w:val="2"/>
            <w:shd w:val="clear" w:color="auto" w:fill="E5FFFF"/>
          </w:tcPr>
          <w:p>
            <w:pPr>
              <w:jc w:val="right"/>
              <w:ind w:right="120"/>
              <w:spacing w:after="0"/>
              <w:rPr>
                <w:sz w:val="20"/>
                <w:szCs w:val="20"/>
                <w:color w:val="auto"/>
              </w:rPr>
            </w:pPr>
            <w:r>
              <w:rPr>
                <w:rFonts w:ascii="Arial" w:cs="Arial" w:eastAsia="Arial" w:hAnsi="Arial"/>
                <w:sz w:val="16"/>
                <w:szCs w:val="16"/>
                <w:b w:val="1"/>
                <w:bCs w:val="1"/>
                <w:color w:val="auto"/>
              </w:rPr>
              <w:t>20,810</w:t>
            </w:r>
          </w:p>
        </w:tc>
        <w:tc>
          <w:tcPr>
            <w:tcW w:w="800" w:type="dxa"/>
            <w:vAlign w:val="bottom"/>
            <w:shd w:val="clear" w:color="auto" w:fill="E5FFFF"/>
          </w:tcPr>
          <w:p>
            <w:pPr>
              <w:jc w:val="right"/>
              <w:spacing w:after="0"/>
              <w:rPr>
                <w:sz w:val="20"/>
                <w:szCs w:val="20"/>
                <w:color w:val="auto"/>
              </w:rPr>
            </w:pPr>
            <w:r>
              <w:rPr>
                <w:rFonts w:ascii="Arial" w:cs="Arial" w:eastAsia="Arial" w:hAnsi="Arial"/>
                <w:sz w:val="16"/>
                <w:szCs w:val="16"/>
                <w:b w:val="1"/>
                <w:bCs w:val="1"/>
                <w:color w:val="auto"/>
              </w:rPr>
              <w:t>23,237</w:t>
            </w:r>
          </w:p>
        </w:tc>
        <w:tc>
          <w:tcPr>
            <w:tcW w:w="100" w:type="dxa"/>
            <w:vAlign w:val="bottom"/>
            <w:shd w:val="clear" w:color="auto" w:fill="E5FFFF"/>
          </w:tcPr>
          <w:p>
            <w:pPr>
              <w:spacing w:after="0"/>
              <w:rPr>
                <w:sz w:val="18"/>
                <w:szCs w:val="18"/>
                <w:color w:val="auto"/>
              </w:rPr>
            </w:pPr>
          </w:p>
        </w:tc>
        <w:tc>
          <w:tcPr>
            <w:tcW w:w="820" w:type="dxa"/>
            <w:vAlign w:val="bottom"/>
            <w:gridSpan w:val="2"/>
            <w:shd w:val="clear" w:color="auto" w:fill="E5FFFF"/>
          </w:tcPr>
          <w:p>
            <w:pPr>
              <w:jc w:val="right"/>
              <w:spacing w:after="0"/>
              <w:rPr>
                <w:sz w:val="20"/>
                <w:szCs w:val="20"/>
                <w:color w:val="auto"/>
              </w:rPr>
            </w:pPr>
            <w:r>
              <w:rPr>
                <w:rFonts w:ascii="Arial" w:cs="Arial" w:eastAsia="Arial" w:hAnsi="Arial"/>
                <w:sz w:val="16"/>
                <w:szCs w:val="16"/>
                <w:b w:val="1"/>
                <w:bCs w:val="1"/>
                <w:color w:val="auto"/>
              </w:rPr>
              <w:t>44,047</w:t>
            </w:r>
          </w:p>
        </w:tc>
        <w:tc>
          <w:tcPr>
            <w:tcW w:w="80" w:type="dxa"/>
            <w:vAlign w:val="bottom"/>
            <w:shd w:val="clear" w:color="auto" w:fill="E5FFFF"/>
          </w:tcPr>
          <w:p>
            <w:pPr>
              <w:spacing w:after="0"/>
              <w:rPr>
                <w:sz w:val="18"/>
                <w:szCs w:val="18"/>
                <w:color w:val="auto"/>
              </w:rPr>
            </w:pPr>
          </w:p>
        </w:tc>
      </w:tr>
      <w:tr>
        <w:trPr>
          <w:trHeight w:val="196"/>
        </w:trPr>
        <w:tc>
          <w:tcPr>
            <w:tcW w:w="292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Balance as of March 31, 2018</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810</w:t>
            </w:r>
          </w:p>
        </w:tc>
        <w:tc>
          <w:tcPr>
            <w:tcW w:w="120" w:type="dxa"/>
            <w:vAlign w:val="bottom"/>
            <w:tcBorders>
              <w:bottom w:val="single" w:sz="8" w:color="E5FFFF"/>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46</w:t>
            </w:r>
          </w:p>
        </w:tc>
        <w:tc>
          <w:tcPr>
            <w:tcW w:w="120" w:type="dxa"/>
            <w:vAlign w:val="bottom"/>
            <w:tcBorders>
              <w:bottom w:val="single" w:sz="8" w:color="E5FFFF"/>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897,950</w:t>
            </w:r>
          </w:p>
        </w:tc>
        <w:tc>
          <w:tcPr>
            <w:tcW w:w="120" w:type="dxa"/>
            <w:vAlign w:val="bottom"/>
            <w:tcBorders>
              <w:bottom w:val="single" w:sz="8" w:color="E5FFFF"/>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20,414</w:t>
            </w:r>
          </w:p>
        </w:tc>
        <w:tc>
          <w:tcPr>
            <w:tcW w:w="120" w:type="dxa"/>
            <w:vAlign w:val="bottom"/>
            <w:tcBorders>
              <w:bottom w:val="single" w:sz="8" w:color="E5FFFF"/>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(7,022)</w:t>
            </w:r>
          </w:p>
        </w:tc>
        <w:tc>
          <w:tcPr>
            <w:tcW w:w="120" w:type="dxa"/>
            <w:vAlign w:val="bottom"/>
            <w:tcBorders>
              <w:bottom w:val="single" w:sz="8" w:color="E5FFFF"/>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13,514</w:t>
            </w:r>
          </w:p>
        </w:tc>
        <w:tc>
          <w:tcPr>
            <w:tcW w:w="100" w:type="dxa"/>
            <w:vAlign w:val="bottom"/>
            <w:tcBorders>
              <w:bottom w:val="single" w:sz="8" w:color="E5FFFF"/>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925,712</w:t>
            </w:r>
          </w:p>
        </w:tc>
        <w:tc>
          <w:tcPr>
            <w:tcW w:w="120" w:type="dxa"/>
            <w:vAlign w:val="bottom"/>
            <w:tcBorders>
              <w:bottom w:val="single" w:sz="8" w:color="E5FFFF"/>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958,682</w:t>
            </w:r>
          </w:p>
        </w:tc>
        <w:tc>
          <w:tcPr>
            <w:tcW w:w="100" w:type="dxa"/>
            <w:vAlign w:val="bottom"/>
            <w:tcBorders>
              <w:bottom w:val="single" w:sz="8" w:color="E5FFFF"/>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1,884,394</w:t>
            </w:r>
          </w:p>
        </w:tc>
        <w:tc>
          <w:tcPr>
            <w:tcW w:w="20" w:type="dxa"/>
            <w:vAlign w:val="bottom"/>
            <w:tcBorders>
              <w:bottom w:val="single" w:sz="8" w:color="E5FFFF"/>
            </w:tcBorders>
          </w:tcPr>
          <w:p>
            <w:pPr>
              <w:spacing w:after="0"/>
              <w:rPr>
                <w:sz w:val="17"/>
                <w:szCs w:val="17"/>
                <w:color w:val="auto"/>
              </w:rPr>
            </w:pPr>
          </w:p>
        </w:tc>
        <w:tc>
          <w:tcPr>
            <w:tcW w:w="80" w:type="dxa"/>
            <w:vAlign w:val="bottom"/>
            <w:tcBorders>
              <w:bottom w:val="single" w:sz="8" w:color="E5FFFF"/>
            </w:tcBorders>
          </w:tcPr>
          <w:p>
            <w:pPr>
              <w:spacing w:after="0"/>
              <w:rPr>
                <w:sz w:val="17"/>
                <w:szCs w:val="17"/>
                <w:color w:val="auto"/>
              </w:rPr>
            </w:pPr>
          </w:p>
        </w:tc>
      </w:tr>
      <w:tr>
        <w:trPr>
          <w:trHeight w:val="196"/>
        </w:trPr>
        <w:tc>
          <w:tcPr>
            <w:tcW w:w="2920" w:type="dxa"/>
            <w:vAlign w:val="bottom"/>
            <w:shd w:val="clear" w:color="auto" w:fill="E5FFFF"/>
          </w:tcPr>
          <w:p>
            <w:pPr>
              <w:spacing w:after="0"/>
              <w:rPr>
                <w:sz w:val="17"/>
                <w:szCs w:val="17"/>
                <w:color w:val="auto"/>
              </w:rPr>
            </w:pPr>
          </w:p>
        </w:tc>
        <w:tc>
          <w:tcPr>
            <w:tcW w:w="580" w:type="dxa"/>
            <w:vAlign w:val="bottom"/>
            <w:tcBorders>
              <w:bottom w:val="single" w:sz="8" w:color="auto"/>
            </w:tcBorders>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800" w:type="dxa"/>
            <w:vAlign w:val="bottom"/>
            <w:tcBorders>
              <w:bottom w:val="single" w:sz="8" w:color="auto"/>
            </w:tcBorders>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940" w:type="dxa"/>
            <w:vAlign w:val="bottom"/>
            <w:tcBorders>
              <w:bottom w:val="single" w:sz="8" w:color="auto"/>
            </w:tcBorders>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800" w:type="dxa"/>
            <w:vAlign w:val="bottom"/>
            <w:tcBorders>
              <w:bottom w:val="single" w:sz="8" w:color="auto"/>
            </w:tcBorders>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820" w:type="dxa"/>
            <w:vAlign w:val="bottom"/>
            <w:tcBorders>
              <w:bottom w:val="single" w:sz="8" w:color="auto"/>
            </w:tcBorders>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160" w:type="dxa"/>
            <w:vAlign w:val="bottom"/>
            <w:tcBorders>
              <w:bottom w:val="single" w:sz="8" w:color="auto"/>
            </w:tcBorders>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920" w:type="dxa"/>
            <w:vAlign w:val="bottom"/>
            <w:tcBorders>
              <w:bottom w:val="single" w:sz="8" w:color="auto"/>
            </w:tcBorders>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800" w:type="dxa"/>
            <w:vAlign w:val="bottom"/>
            <w:tcBorders>
              <w:bottom w:val="single" w:sz="8" w:color="auto"/>
            </w:tcBorders>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800" w:type="dxa"/>
            <w:vAlign w:val="bottom"/>
            <w:tcBorders>
              <w:bottom w:val="single" w:sz="8" w:color="auto"/>
            </w:tcBorders>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r>
      <w:tr>
        <w:trPr>
          <w:trHeight w:val="196"/>
        </w:trPr>
        <w:tc>
          <w:tcPr>
            <w:tcW w:w="292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Balance as of December 31, 2018</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810</w:t>
            </w:r>
          </w:p>
        </w:tc>
        <w:tc>
          <w:tcPr>
            <w:tcW w:w="120" w:type="dxa"/>
            <w:vAlign w:val="bottom"/>
            <w:tcBorders>
              <w:bottom w:val="single" w:sz="8" w:color="E5FFFF"/>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46</w:t>
            </w:r>
          </w:p>
        </w:tc>
        <w:tc>
          <w:tcPr>
            <w:tcW w:w="120" w:type="dxa"/>
            <w:vAlign w:val="bottom"/>
            <w:tcBorders>
              <w:bottom w:val="single" w:sz="8" w:color="E5FFFF"/>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850,576</w:t>
            </w:r>
          </w:p>
        </w:tc>
        <w:tc>
          <w:tcPr>
            <w:tcW w:w="120" w:type="dxa"/>
            <w:vAlign w:val="bottom"/>
            <w:tcBorders>
              <w:bottom w:val="single" w:sz="8" w:color="E5FFFF"/>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18,962</w:t>
            </w:r>
          </w:p>
        </w:tc>
        <w:tc>
          <w:tcPr>
            <w:tcW w:w="120" w:type="dxa"/>
            <w:vAlign w:val="bottom"/>
            <w:tcBorders>
              <w:bottom w:val="single" w:sz="8" w:color="E5FFFF"/>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(3,266)</w:t>
            </w:r>
          </w:p>
        </w:tc>
        <w:tc>
          <w:tcPr>
            <w:tcW w:w="120" w:type="dxa"/>
            <w:vAlign w:val="bottom"/>
            <w:tcBorders>
              <w:bottom w:val="single" w:sz="8" w:color="E5FFFF"/>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12,614</w:t>
            </w:r>
          </w:p>
        </w:tc>
        <w:tc>
          <w:tcPr>
            <w:tcW w:w="100" w:type="dxa"/>
            <w:vAlign w:val="bottom"/>
            <w:tcBorders>
              <w:bottom w:val="single" w:sz="8" w:color="E5FFFF"/>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879,742</w:t>
            </w:r>
          </w:p>
        </w:tc>
        <w:tc>
          <w:tcPr>
            <w:tcW w:w="120" w:type="dxa"/>
            <w:vAlign w:val="bottom"/>
            <w:tcBorders>
              <w:bottom w:val="single" w:sz="8" w:color="E5FFFF"/>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1,103,380</w:t>
            </w:r>
          </w:p>
        </w:tc>
        <w:tc>
          <w:tcPr>
            <w:tcW w:w="100" w:type="dxa"/>
            <w:vAlign w:val="bottom"/>
            <w:tcBorders>
              <w:bottom w:val="single" w:sz="8" w:color="E5FFFF"/>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1,983,122</w:t>
            </w:r>
          </w:p>
        </w:tc>
        <w:tc>
          <w:tcPr>
            <w:tcW w:w="20" w:type="dxa"/>
            <w:vAlign w:val="bottom"/>
            <w:tcBorders>
              <w:bottom w:val="single" w:sz="8" w:color="E5FFFF"/>
            </w:tcBorders>
          </w:tcPr>
          <w:p>
            <w:pPr>
              <w:spacing w:after="0"/>
              <w:rPr>
                <w:sz w:val="17"/>
                <w:szCs w:val="17"/>
                <w:color w:val="auto"/>
              </w:rPr>
            </w:pPr>
          </w:p>
        </w:tc>
        <w:tc>
          <w:tcPr>
            <w:tcW w:w="80" w:type="dxa"/>
            <w:vAlign w:val="bottom"/>
            <w:tcBorders>
              <w:bottom w:val="single" w:sz="8" w:color="E5FFFF"/>
            </w:tcBorders>
          </w:tcPr>
          <w:p>
            <w:pPr>
              <w:spacing w:after="0"/>
              <w:rPr>
                <w:sz w:val="17"/>
                <w:szCs w:val="17"/>
                <w:color w:val="auto"/>
              </w:rPr>
            </w:pPr>
          </w:p>
        </w:tc>
      </w:tr>
      <w:tr>
        <w:trPr>
          <w:trHeight w:val="196"/>
        </w:trPr>
        <w:tc>
          <w:tcPr>
            <w:tcW w:w="2920" w:type="dxa"/>
            <w:vAlign w:val="bottom"/>
            <w:shd w:val="clear" w:color="auto" w:fill="E5FFFF"/>
          </w:tcPr>
          <w:p>
            <w:pPr>
              <w:spacing w:after="0" w:line="196" w:lineRule="exact"/>
              <w:rPr>
                <w:sz w:val="20"/>
                <w:szCs w:val="20"/>
                <w:color w:val="auto"/>
              </w:rPr>
            </w:pPr>
            <w:r>
              <w:rPr>
                <w:rFonts w:ascii="Arial" w:cs="Arial" w:eastAsia="Arial" w:hAnsi="Arial"/>
                <w:sz w:val="16"/>
                <w:szCs w:val="16"/>
                <w:color w:val="auto"/>
              </w:rPr>
              <w:t>Opening adjustment</w:t>
            </w:r>
            <w:r>
              <w:rPr>
                <w:rFonts w:ascii="Arial" w:cs="Arial" w:eastAsia="Arial" w:hAnsi="Arial"/>
                <w:sz w:val="21"/>
                <w:szCs w:val="21"/>
                <w:color w:val="auto"/>
                <w:vertAlign w:val="superscript"/>
              </w:rPr>
              <w:t>(2)</w:t>
            </w:r>
          </w:p>
        </w:tc>
        <w:tc>
          <w:tcPr>
            <w:tcW w:w="5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E5FFFF"/>
          </w:tcPr>
          <w:p>
            <w:pPr>
              <w:spacing w:after="0"/>
              <w:rPr>
                <w:sz w:val="17"/>
                <w:szCs w:val="17"/>
                <w:color w:val="auto"/>
              </w:rPr>
            </w:pPr>
          </w:p>
        </w:tc>
        <w:tc>
          <w:tcPr>
            <w:tcW w:w="8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E5FFFF"/>
          </w:tcPr>
          <w:p>
            <w:pPr>
              <w:spacing w:after="0"/>
              <w:rPr>
                <w:sz w:val="17"/>
                <w:szCs w:val="17"/>
                <w:color w:val="auto"/>
              </w:rPr>
            </w:pPr>
          </w:p>
        </w:tc>
        <w:tc>
          <w:tcPr>
            <w:tcW w:w="9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E5FFFF"/>
          </w:tcPr>
          <w:p>
            <w:pPr>
              <w:spacing w:after="0"/>
              <w:rPr>
                <w:sz w:val="17"/>
                <w:szCs w:val="17"/>
                <w:color w:val="auto"/>
              </w:rPr>
            </w:pPr>
          </w:p>
        </w:tc>
        <w:tc>
          <w:tcPr>
            <w:tcW w:w="8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E5FFFF"/>
          </w:tcPr>
          <w:p>
            <w:pPr>
              <w:spacing w:after="0"/>
              <w:rPr>
                <w:sz w:val="17"/>
                <w:szCs w:val="17"/>
                <w:color w:val="auto"/>
              </w:rPr>
            </w:pPr>
          </w:p>
        </w:tc>
        <w:tc>
          <w:tcPr>
            <w:tcW w:w="8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E5FFFF"/>
          </w:tcPr>
          <w:p>
            <w:pPr>
              <w:spacing w:after="0"/>
              <w:rPr>
                <w:sz w:val="17"/>
                <w:szCs w:val="17"/>
                <w:color w:val="auto"/>
              </w:rPr>
            </w:pPr>
          </w:p>
        </w:tc>
        <w:tc>
          <w:tcPr>
            <w:tcW w:w="11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215</w:t>
            </w:r>
          </w:p>
        </w:tc>
        <w:tc>
          <w:tcPr>
            <w:tcW w:w="100" w:type="dxa"/>
            <w:vAlign w:val="bottom"/>
            <w:shd w:val="clear" w:color="auto" w:fill="E5FFFF"/>
          </w:tcPr>
          <w:p>
            <w:pPr>
              <w:spacing w:after="0"/>
              <w:rPr>
                <w:sz w:val="17"/>
                <w:szCs w:val="17"/>
                <w:color w:val="auto"/>
              </w:rPr>
            </w:pPr>
          </w:p>
        </w:tc>
        <w:tc>
          <w:tcPr>
            <w:tcW w:w="9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215</w:t>
            </w:r>
          </w:p>
        </w:tc>
        <w:tc>
          <w:tcPr>
            <w:tcW w:w="120" w:type="dxa"/>
            <w:vAlign w:val="bottom"/>
            <w:shd w:val="clear" w:color="auto" w:fill="E5FFFF"/>
          </w:tcPr>
          <w:p>
            <w:pPr>
              <w:spacing w:after="0"/>
              <w:rPr>
                <w:sz w:val="17"/>
                <w:szCs w:val="17"/>
                <w:color w:val="auto"/>
              </w:rPr>
            </w:pPr>
          </w:p>
        </w:tc>
        <w:tc>
          <w:tcPr>
            <w:tcW w:w="8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128</w:t>
            </w:r>
          </w:p>
        </w:tc>
        <w:tc>
          <w:tcPr>
            <w:tcW w:w="100" w:type="dxa"/>
            <w:vAlign w:val="bottom"/>
            <w:shd w:val="clear" w:color="auto" w:fill="E5FFFF"/>
          </w:tcPr>
          <w:p>
            <w:pPr>
              <w:spacing w:after="0"/>
              <w:rPr>
                <w:sz w:val="17"/>
                <w:szCs w:val="17"/>
                <w:color w:val="auto"/>
              </w:rPr>
            </w:pPr>
          </w:p>
        </w:tc>
        <w:tc>
          <w:tcPr>
            <w:tcW w:w="8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343</w:t>
            </w:r>
          </w:p>
        </w:tc>
        <w:tc>
          <w:tcPr>
            <w:tcW w:w="2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r>
      <w:tr>
        <w:trPr>
          <w:trHeight w:val="196"/>
        </w:trPr>
        <w:tc>
          <w:tcPr>
            <w:tcW w:w="292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Balance as of January 1, 2019</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810</w:t>
            </w:r>
          </w:p>
        </w:tc>
        <w:tc>
          <w:tcPr>
            <w:tcW w:w="120" w:type="dxa"/>
            <w:vAlign w:val="bottom"/>
            <w:tcBorders>
              <w:bottom w:val="single" w:sz="8" w:color="E5FFFF"/>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46</w:t>
            </w:r>
          </w:p>
        </w:tc>
        <w:tc>
          <w:tcPr>
            <w:tcW w:w="120" w:type="dxa"/>
            <w:vAlign w:val="bottom"/>
            <w:tcBorders>
              <w:bottom w:val="single" w:sz="8" w:color="E5FFFF"/>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850,576</w:t>
            </w:r>
          </w:p>
        </w:tc>
        <w:tc>
          <w:tcPr>
            <w:tcW w:w="120" w:type="dxa"/>
            <w:vAlign w:val="bottom"/>
            <w:tcBorders>
              <w:bottom w:val="single" w:sz="8" w:color="E5FFFF"/>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18,962</w:t>
            </w:r>
          </w:p>
        </w:tc>
        <w:tc>
          <w:tcPr>
            <w:tcW w:w="120" w:type="dxa"/>
            <w:vAlign w:val="bottom"/>
            <w:tcBorders>
              <w:bottom w:val="single" w:sz="8" w:color="E5FFFF"/>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(3,266)</w:t>
            </w:r>
          </w:p>
        </w:tc>
        <w:tc>
          <w:tcPr>
            <w:tcW w:w="120" w:type="dxa"/>
            <w:vAlign w:val="bottom"/>
            <w:tcBorders>
              <w:bottom w:val="single" w:sz="8" w:color="E5FFFF"/>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12,829</w:t>
            </w:r>
          </w:p>
        </w:tc>
        <w:tc>
          <w:tcPr>
            <w:tcW w:w="100" w:type="dxa"/>
            <w:vAlign w:val="bottom"/>
            <w:tcBorders>
              <w:bottom w:val="single" w:sz="8" w:color="E5FFFF"/>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879,957</w:t>
            </w:r>
          </w:p>
        </w:tc>
        <w:tc>
          <w:tcPr>
            <w:tcW w:w="120" w:type="dxa"/>
            <w:vAlign w:val="bottom"/>
            <w:tcBorders>
              <w:bottom w:val="single" w:sz="8" w:color="E5FFFF"/>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1,103,508</w:t>
            </w:r>
          </w:p>
        </w:tc>
        <w:tc>
          <w:tcPr>
            <w:tcW w:w="100" w:type="dxa"/>
            <w:vAlign w:val="bottom"/>
            <w:tcBorders>
              <w:bottom w:val="single" w:sz="8" w:color="E5FFFF"/>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1,983,465</w:t>
            </w:r>
          </w:p>
        </w:tc>
        <w:tc>
          <w:tcPr>
            <w:tcW w:w="20" w:type="dxa"/>
            <w:vAlign w:val="bottom"/>
            <w:tcBorders>
              <w:bottom w:val="single" w:sz="8" w:color="E5FFFF"/>
            </w:tcBorders>
          </w:tcPr>
          <w:p>
            <w:pPr>
              <w:spacing w:after="0"/>
              <w:rPr>
                <w:sz w:val="17"/>
                <w:szCs w:val="17"/>
                <w:color w:val="auto"/>
              </w:rPr>
            </w:pPr>
          </w:p>
        </w:tc>
        <w:tc>
          <w:tcPr>
            <w:tcW w:w="80" w:type="dxa"/>
            <w:vAlign w:val="bottom"/>
            <w:tcBorders>
              <w:bottom w:val="single" w:sz="8" w:color="E5FFFF"/>
            </w:tcBorders>
          </w:tcPr>
          <w:p>
            <w:pPr>
              <w:spacing w:after="0"/>
              <w:rPr>
                <w:sz w:val="17"/>
                <w:szCs w:val="17"/>
                <w:color w:val="auto"/>
              </w:rPr>
            </w:pPr>
          </w:p>
        </w:tc>
      </w:tr>
      <w:tr>
        <w:trPr>
          <w:trHeight w:val="196"/>
        </w:trPr>
        <w:tc>
          <w:tcPr>
            <w:tcW w:w="2920" w:type="dxa"/>
            <w:vAlign w:val="bottom"/>
            <w:shd w:val="clear" w:color="auto" w:fill="E5FFFF"/>
          </w:tcPr>
          <w:p>
            <w:pPr>
              <w:spacing w:after="0"/>
              <w:rPr>
                <w:sz w:val="20"/>
                <w:szCs w:val="20"/>
                <w:color w:val="auto"/>
              </w:rPr>
            </w:pPr>
            <w:r>
              <w:rPr>
                <w:rFonts w:ascii="Arial" w:cs="Arial" w:eastAsia="Arial" w:hAnsi="Arial"/>
                <w:sz w:val="16"/>
                <w:szCs w:val="16"/>
                <w:color w:val="auto"/>
              </w:rPr>
              <w:t>Equity offering costs</w:t>
            </w:r>
          </w:p>
        </w:tc>
        <w:tc>
          <w:tcPr>
            <w:tcW w:w="5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E5FFFF"/>
          </w:tcPr>
          <w:p>
            <w:pPr>
              <w:spacing w:after="0"/>
              <w:rPr>
                <w:sz w:val="17"/>
                <w:szCs w:val="17"/>
                <w:color w:val="auto"/>
              </w:rPr>
            </w:pPr>
          </w:p>
        </w:tc>
        <w:tc>
          <w:tcPr>
            <w:tcW w:w="8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E5FFFF"/>
          </w:tcPr>
          <w:p>
            <w:pPr>
              <w:spacing w:after="0"/>
              <w:rPr>
                <w:sz w:val="17"/>
                <w:szCs w:val="17"/>
                <w:color w:val="auto"/>
              </w:rPr>
            </w:pPr>
          </w:p>
        </w:tc>
        <w:tc>
          <w:tcPr>
            <w:tcW w:w="9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E5FFFF"/>
          </w:tcPr>
          <w:p>
            <w:pPr>
              <w:spacing w:after="0"/>
              <w:rPr>
                <w:sz w:val="17"/>
                <w:szCs w:val="17"/>
                <w:color w:val="auto"/>
              </w:rPr>
            </w:pPr>
          </w:p>
        </w:tc>
        <w:tc>
          <w:tcPr>
            <w:tcW w:w="8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E5FFFF"/>
          </w:tcPr>
          <w:p>
            <w:pPr>
              <w:spacing w:after="0"/>
              <w:rPr>
                <w:sz w:val="17"/>
                <w:szCs w:val="17"/>
                <w:color w:val="auto"/>
              </w:rPr>
            </w:pPr>
          </w:p>
        </w:tc>
        <w:tc>
          <w:tcPr>
            <w:tcW w:w="8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E5FFFF"/>
          </w:tcPr>
          <w:p>
            <w:pPr>
              <w:spacing w:after="0"/>
              <w:rPr>
                <w:sz w:val="17"/>
                <w:szCs w:val="17"/>
                <w:color w:val="auto"/>
              </w:rPr>
            </w:pPr>
          </w:p>
        </w:tc>
        <w:tc>
          <w:tcPr>
            <w:tcW w:w="11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E5FFFF"/>
          </w:tcPr>
          <w:p>
            <w:pPr>
              <w:spacing w:after="0"/>
              <w:rPr>
                <w:sz w:val="17"/>
                <w:szCs w:val="17"/>
                <w:color w:val="auto"/>
              </w:rPr>
            </w:pPr>
          </w:p>
        </w:tc>
        <w:tc>
          <w:tcPr>
            <w:tcW w:w="9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E5FFFF"/>
          </w:tcPr>
          <w:p>
            <w:pPr>
              <w:spacing w:after="0"/>
              <w:rPr>
                <w:sz w:val="17"/>
                <w:szCs w:val="17"/>
                <w:color w:val="auto"/>
              </w:rPr>
            </w:pPr>
          </w:p>
        </w:tc>
        <w:tc>
          <w:tcPr>
            <w:tcW w:w="8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148</w:t>
            </w:r>
          </w:p>
        </w:tc>
        <w:tc>
          <w:tcPr>
            <w:tcW w:w="100" w:type="dxa"/>
            <w:vAlign w:val="bottom"/>
            <w:shd w:val="clear" w:color="auto" w:fill="E5FFFF"/>
          </w:tcPr>
          <w:p>
            <w:pPr>
              <w:spacing w:after="0"/>
              <w:rPr>
                <w:sz w:val="17"/>
                <w:szCs w:val="17"/>
                <w:color w:val="auto"/>
              </w:rPr>
            </w:pPr>
          </w:p>
        </w:tc>
        <w:tc>
          <w:tcPr>
            <w:tcW w:w="8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148</w:t>
            </w:r>
          </w:p>
        </w:tc>
        <w:tc>
          <w:tcPr>
            <w:tcW w:w="2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r>
      <w:tr>
        <w:trPr>
          <w:trHeight w:val="193"/>
        </w:trPr>
        <w:tc>
          <w:tcPr>
            <w:tcW w:w="2920" w:type="dxa"/>
            <w:vAlign w:val="bottom"/>
          </w:tcPr>
          <w:p>
            <w:pPr>
              <w:spacing w:after="0"/>
              <w:rPr>
                <w:sz w:val="20"/>
                <w:szCs w:val="20"/>
                <w:color w:val="auto"/>
              </w:rPr>
            </w:pPr>
            <w:r>
              <w:rPr>
                <w:rFonts w:ascii="Arial" w:cs="Arial" w:eastAsia="Arial" w:hAnsi="Arial"/>
                <w:sz w:val="16"/>
                <w:szCs w:val="16"/>
                <w:color w:val="auto"/>
              </w:rPr>
              <w:t>Dividend paid (common and preference</w:t>
            </w: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9"/>
        </w:trPr>
        <w:tc>
          <w:tcPr>
            <w:tcW w:w="2920" w:type="dxa"/>
            <w:vAlign w:val="bottom"/>
          </w:tcPr>
          <w:p>
            <w:pPr>
              <w:ind w:left="180"/>
              <w:spacing w:after="0"/>
              <w:rPr>
                <w:sz w:val="20"/>
                <w:szCs w:val="20"/>
                <w:color w:val="auto"/>
              </w:rPr>
            </w:pPr>
            <w:r>
              <w:rPr>
                <w:rFonts w:ascii="Arial" w:cs="Arial" w:eastAsia="Arial" w:hAnsi="Arial"/>
                <w:sz w:val="16"/>
                <w:szCs w:val="16"/>
                <w:color w:val="auto"/>
              </w:rPr>
              <w:t>shares) (Note 13)</w:t>
            </w:r>
          </w:p>
        </w:tc>
        <w:tc>
          <w:tcPr>
            <w:tcW w:w="7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6"/>
                <w:szCs w:val="16"/>
                <w:color w:val="auto"/>
              </w:rPr>
              <w:t>(14,645)</w:t>
            </w: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(14,645)</w:t>
            </w: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(26,773)</w:t>
            </w:r>
          </w:p>
        </w:tc>
        <w:tc>
          <w:tcPr>
            <w:tcW w:w="900" w:type="dxa"/>
            <w:vAlign w:val="bottom"/>
            <w:gridSpan w:val="3"/>
          </w:tcPr>
          <w:p>
            <w:pPr>
              <w:jc w:val="right"/>
              <w:ind w:right="40"/>
              <w:spacing w:after="0"/>
              <w:rPr>
                <w:sz w:val="20"/>
                <w:szCs w:val="20"/>
                <w:color w:val="auto"/>
              </w:rPr>
            </w:pPr>
            <w:r>
              <w:rPr>
                <w:rFonts w:ascii="Arial" w:cs="Arial" w:eastAsia="Arial" w:hAnsi="Arial"/>
                <w:sz w:val="16"/>
                <w:szCs w:val="16"/>
                <w:color w:val="auto"/>
              </w:rPr>
              <w:t>(41,418)</w:t>
            </w:r>
          </w:p>
        </w:tc>
      </w:tr>
      <w:tr>
        <w:trPr>
          <w:trHeight w:val="196"/>
        </w:trPr>
        <w:tc>
          <w:tcPr>
            <w:tcW w:w="2920" w:type="dxa"/>
            <w:vAlign w:val="bottom"/>
            <w:shd w:val="clear" w:color="auto" w:fill="E5FFFF"/>
          </w:tcPr>
          <w:p>
            <w:pPr>
              <w:spacing w:after="0"/>
              <w:rPr>
                <w:sz w:val="20"/>
                <w:szCs w:val="20"/>
                <w:color w:val="auto"/>
              </w:rPr>
            </w:pPr>
            <w:r>
              <w:rPr>
                <w:rFonts w:ascii="Arial" w:cs="Arial" w:eastAsia="Arial" w:hAnsi="Arial"/>
                <w:sz w:val="16"/>
                <w:szCs w:val="16"/>
                <w:color w:val="auto"/>
                <w:w w:val="94"/>
              </w:rPr>
              <w:t>Share-based compensation, net of accrued</w:t>
            </w:r>
          </w:p>
        </w:tc>
        <w:tc>
          <w:tcPr>
            <w:tcW w:w="58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80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94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80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8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16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9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80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80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r>
      <w:tr>
        <w:trPr>
          <w:trHeight w:val="212"/>
        </w:trPr>
        <w:tc>
          <w:tcPr>
            <w:tcW w:w="2920" w:type="dxa"/>
            <w:vAlign w:val="bottom"/>
            <w:shd w:val="clear" w:color="auto" w:fill="E5FFFF"/>
          </w:tcPr>
          <w:p>
            <w:pPr>
              <w:ind w:left="180"/>
              <w:spacing w:after="0"/>
              <w:rPr>
                <w:sz w:val="20"/>
                <w:szCs w:val="20"/>
                <w:color w:val="auto"/>
              </w:rPr>
            </w:pPr>
            <w:r>
              <w:rPr>
                <w:rFonts w:ascii="Arial" w:cs="Arial" w:eastAsia="Arial" w:hAnsi="Arial"/>
                <w:sz w:val="16"/>
                <w:szCs w:val="16"/>
                <w:color w:val="auto"/>
              </w:rPr>
              <w:t>dividend (Note 18)</w:t>
            </w:r>
          </w:p>
        </w:tc>
        <w:tc>
          <w:tcPr>
            <w:tcW w:w="700" w:type="dxa"/>
            <w:vAlign w:val="bottom"/>
            <w:gridSpan w:val="2"/>
            <w:shd w:val="clear" w:color="auto" w:fill="E5FFFF"/>
          </w:tcPr>
          <w:p>
            <w:pPr>
              <w:jc w:val="right"/>
              <w:ind w:right="12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E5FFFF"/>
          </w:tcPr>
          <w:p>
            <w:pPr>
              <w:jc w:val="right"/>
              <w:ind w:right="12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E5FFFF"/>
          </w:tcPr>
          <w:p>
            <w:pPr>
              <w:jc w:val="right"/>
              <w:ind w:right="12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E5FFFF"/>
          </w:tcPr>
          <w:p>
            <w:pPr>
              <w:jc w:val="right"/>
              <w:ind w:right="120"/>
              <w:spacing w:after="0"/>
              <w:rPr>
                <w:sz w:val="20"/>
                <w:szCs w:val="20"/>
                <w:color w:val="auto"/>
              </w:rPr>
            </w:pPr>
            <w:r>
              <w:rPr>
                <w:rFonts w:ascii="Arial" w:cs="Arial" w:eastAsia="Arial" w:hAnsi="Arial"/>
                <w:sz w:val="16"/>
                <w:szCs w:val="16"/>
                <w:color w:val="auto"/>
              </w:rPr>
              <w:t>1,166</w:t>
            </w:r>
          </w:p>
        </w:tc>
        <w:tc>
          <w:tcPr>
            <w:tcW w:w="940" w:type="dxa"/>
            <w:vAlign w:val="bottom"/>
            <w:gridSpan w:val="2"/>
            <w:shd w:val="clear" w:color="auto" w:fill="E5FFFF"/>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E5FFFF"/>
          </w:tcPr>
          <w:p>
            <w:pPr>
              <w:jc w:val="right"/>
              <w:ind w:right="120"/>
              <w:spacing w:after="0"/>
              <w:rPr>
                <w:sz w:val="20"/>
                <w:szCs w:val="20"/>
                <w:color w:val="auto"/>
              </w:rPr>
            </w:pPr>
            <w:r>
              <w:rPr>
                <w:rFonts w:ascii="Arial" w:cs="Arial" w:eastAsia="Arial" w:hAnsi="Arial"/>
                <w:sz w:val="16"/>
                <w:szCs w:val="16"/>
                <w:color w:val="auto"/>
              </w:rPr>
              <w:t>1,166</w:t>
            </w:r>
          </w:p>
        </w:tc>
        <w:tc>
          <w:tcPr>
            <w:tcW w:w="90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1,166</w:t>
            </w:r>
          </w:p>
        </w:tc>
        <w:tc>
          <w:tcPr>
            <w:tcW w:w="80" w:type="dxa"/>
            <w:vAlign w:val="bottom"/>
            <w:shd w:val="clear" w:color="auto" w:fill="E5FFFF"/>
          </w:tcPr>
          <w:p>
            <w:pPr>
              <w:spacing w:after="0"/>
              <w:rPr>
                <w:sz w:val="18"/>
                <w:szCs w:val="18"/>
                <w:color w:val="auto"/>
              </w:rPr>
            </w:pPr>
          </w:p>
        </w:tc>
      </w:tr>
      <w:tr>
        <w:trPr>
          <w:trHeight w:val="203"/>
        </w:trPr>
        <w:tc>
          <w:tcPr>
            <w:tcW w:w="2920" w:type="dxa"/>
            <w:vAlign w:val="bottom"/>
          </w:tcPr>
          <w:p>
            <w:pPr>
              <w:spacing w:after="0"/>
              <w:rPr>
                <w:sz w:val="20"/>
                <w:szCs w:val="20"/>
                <w:color w:val="auto"/>
              </w:rPr>
            </w:pPr>
            <w:r>
              <w:rPr>
                <w:rFonts w:ascii="Arial" w:cs="Arial" w:eastAsia="Arial" w:hAnsi="Arial"/>
                <w:sz w:val="16"/>
                <w:szCs w:val="16"/>
                <w:color w:val="auto"/>
              </w:rPr>
              <w:t>Treasury shares, net</w:t>
            </w:r>
          </w:p>
        </w:tc>
        <w:tc>
          <w:tcPr>
            <w:tcW w:w="7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(3,752)</w:t>
            </w:r>
          </w:p>
        </w:tc>
        <w:tc>
          <w:tcPr>
            <w:tcW w:w="12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(3,752)</w:t>
            </w: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00" w:type="dxa"/>
            <w:vAlign w:val="bottom"/>
            <w:gridSpan w:val="3"/>
          </w:tcPr>
          <w:p>
            <w:pPr>
              <w:jc w:val="right"/>
              <w:ind w:right="40"/>
              <w:spacing w:after="0"/>
              <w:rPr>
                <w:sz w:val="20"/>
                <w:szCs w:val="20"/>
                <w:color w:val="auto"/>
              </w:rPr>
            </w:pPr>
            <w:r>
              <w:rPr>
                <w:rFonts w:ascii="Arial" w:cs="Arial" w:eastAsia="Arial" w:hAnsi="Arial"/>
                <w:sz w:val="16"/>
                <w:szCs w:val="16"/>
                <w:color w:val="auto"/>
              </w:rPr>
              <w:t>(3,752)</w:t>
            </w:r>
          </w:p>
        </w:tc>
      </w:tr>
      <w:tr>
        <w:trPr>
          <w:trHeight w:val="203"/>
        </w:trPr>
        <w:tc>
          <w:tcPr>
            <w:tcW w:w="2920" w:type="dxa"/>
            <w:vAlign w:val="bottom"/>
            <w:shd w:val="clear" w:color="auto" w:fill="E5FFFF"/>
          </w:tcPr>
          <w:p>
            <w:pPr>
              <w:spacing w:after="0"/>
              <w:rPr>
                <w:sz w:val="20"/>
                <w:szCs w:val="20"/>
                <w:color w:val="auto"/>
              </w:rPr>
            </w:pPr>
            <w:r>
              <w:rPr>
                <w:rFonts w:ascii="Arial" w:cs="Arial" w:eastAsia="Arial" w:hAnsi="Arial"/>
                <w:sz w:val="16"/>
                <w:szCs w:val="16"/>
                <w:color w:val="auto"/>
              </w:rPr>
              <w:t>(Loss)/profit for the period</w:t>
            </w:r>
          </w:p>
        </w:tc>
        <w:tc>
          <w:tcPr>
            <w:tcW w:w="700" w:type="dxa"/>
            <w:vAlign w:val="bottom"/>
            <w:gridSpan w:val="2"/>
            <w:shd w:val="clear" w:color="auto" w:fill="E5FFFF"/>
          </w:tcPr>
          <w:p>
            <w:pPr>
              <w:jc w:val="right"/>
              <w:ind w:right="12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E5FFFF"/>
          </w:tcPr>
          <w:p>
            <w:pPr>
              <w:jc w:val="right"/>
              <w:ind w:right="12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E5FFFF"/>
          </w:tcPr>
          <w:p>
            <w:pPr>
              <w:jc w:val="right"/>
              <w:ind w:right="12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E5FFFF"/>
          </w:tcPr>
          <w:p>
            <w:pPr>
              <w:jc w:val="right"/>
              <w:ind w:right="12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E5FFFF"/>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E5FFFF"/>
          </w:tcPr>
          <w:p>
            <w:pPr>
              <w:jc w:val="right"/>
              <w:ind w:right="40"/>
              <w:spacing w:after="0"/>
              <w:rPr>
                <w:sz w:val="20"/>
                <w:szCs w:val="20"/>
                <w:color w:val="auto"/>
              </w:rPr>
            </w:pPr>
            <w:r>
              <w:rPr>
                <w:rFonts w:ascii="Arial" w:cs="Arial" w:eastAsia="Arial" w:hAnsi="Arial"/>
                <w:sz w:val="16"/>
                <w:szCs w:val="16"/>
                <w:color w:val="auto"/>
              </w:rPr>
              <w:t>(10,947)</w:t>
            </w:r>
          </w:p>
        </w:tc>
        <w:tc>
          <w:tcPr>
            <w:tcW w:w="1040" w:type="dxa"/>
            <w:vAlign w:val="bottom"/>
            <w:gridSpan w:val="2"/>
            <w:shd w:val="clear" w:color="auto" w:fill="E5FFFF"/>
          </w:tcPr>
          <w:p>
            <w:pPr>
              <w:jc w:val="right"/>
              <w:ind w:right="60"/>
              <w:spacing w:after="0"/>
              <w:rPr>
                <w:sz w:val="20"/>
                <w:szCs w:val="20"/>
                <w:color w:val="auto"/>
              </w:rPr>
            </w:pPr>
            <w:r>
              <w:rPr>
                <w:rFonts w:ascii="Arial" w:cs="Arial" w:eastAsia="Arial" w:hAnsi="Arial"/>
                <w:sz w:val="16"/>
                <w:szCs w:val="16"/>
                <w:color w:val="auto"/>
              </w:rPr>
              <w:t>(10,947)</w:t>
            </w:r>
          </w:p>
        </w:tc>
        <w:tc>
          <w:tcPr>
            <w:tcW w:w="8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16,846</w:t>
            </w:r>
          </w:p>
        </w:tc>
        <w:tc>
          <w:tcPr>
            <w:tcW w:w="100" w:type="dxa"/>
            <w:vAlign w:val="bottom"/>
            <w:shd w:val="clear" w:color="auto" w:fill="E5FFFF"/>
          </w:tcPr>
          <w:p>
            <w:pPr>
              <w:spacing w:after="0"/>
              <w:rPr>
                <w:sz w:val="17"/>
                <w:szCs w:val="17"/>
                <w:color w:val="auto"/>
              </w:rPr>
            </w:pPr>
          </w:p>
        </w:tc>
        <w:tc>
          <w:tcPr>
            <w:tcW w:w="82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5,899</w:t>
            </w:r>
          </w:p>
        </w:tc>
        <w:tc>
          <w:tcPr>
            <w:tcW w:w="80" w:type="dxa"/>
            <w:vAlign w:val="bottom"/>
            <w:shd w:val="clear" w:color="auto" w:fill="E5FFFF"/>
          </w:tcPr>
          <w:p>
            <w:pPr>
              <w:spacing w:after="0"/>
              <w:rPr>
                <w:sz w:val="17"/>
                <w:szCs w:val="17"/>
                <w:color w:val="auto"/>
              </w:rPr>
            </w:pPr>
          </w:p>
        </w:tc>
      </w:tr>
      <w:tr>
        <w:trPr>
          <w:trHeight w:val="203"/>
        </w:trPr>
        <w:tc>
          <w:tcPr>
            <w:tcW w:w="2920" w:type="dxa"/>
            <w:vAlign w:val="bottom"/>
          </w:tcPr>
          <w:p>
            <w:pPr>
              <w:spacing w:after="0"/>
              <w:rPr>
                <w:sz w:val="20"/>
                <w:szCs w:val="20"/>
                <w:color w:val="auto"/>
              </w:rPr>
            </w:pPr>
            <w:r>
              <w:rPr>
                <w:rFonts w:ascii="Arial" w:cs="Arial" w:eastAsia="Arial" w:hAnsi="Arial"/>
                <w:sz w:val="16"/>
                <w:szCs w:val="16"/>
                <w:color w:val="auto"/>
              </w:rPr>
              <w:t>Other comprehensive loss for the period</w:t>
            </w:r>
          </w:p>
        </w:tc>
        <w:tc>
          <w:tcPr>
            <w:tcW w:w="7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(1,239)</w:t>
            </w:r>
          </w:p>
        </w:tc>
        <w:tc>
          <w:tcPr>
            <w:tcW w:w="94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(1,239)</w:t>
            </w: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00" w:type="dxa"/>
            <w:vAlign w:val="bottom"/>
            <w:gridSpan w:val="3"/>
          </w:tcPr>
          <w:p>
            <w:pPr>
              <w:jc w:val="right"/>
              <w:ind w:right="40"/>
              <w:spacing w:after="0"/>
              <w:rPr>
                <w:sz w:val="20"/>
                <w:szCs w:val="20"/>
                <w:color w:val="auto"/>
              </w:rPr>
            </w:pPr>
            <w:r>
              <w:rPr>
                <w:rFonts w:ascii="Arial" w:cs="Arial" w:eastAsia="Arial" w:hAnsi="Arial"/>
                <w:sz w:val="16"/>
                <w:szCs w:val="16"/>
                <w:color w:val="auto"/>
              </w:rPr>
              <w:t>(1,239)</w:t>
            </w:r>
          </w:p>
        </w:tc>
      </w:tr>
      <w:tr>
        <w:trPr>
          <w:trHeight w:val="169"/>
        </w:trPr>
        <w:tc>
          <w:tcPr>
            <w:tcW w:w="2920" w:type="dxa"/>
            <w:vAlign w:val="bottom"/>
            <w:tcBorders>
              <w:top w:val="single" w:sz="8" w:color="E5FFFF"/>
            </w:tcBorders>
            <w:shd w:val="clear" w:color="auto" w:fill="E5FFFF"/>
          </w:tcPr>
          <w:p>
            <w:pPr>
              <w:spacing w:after="0" w:line="169" w:lineRule="exact"/>
              <w:rPr>
                <w:sz w:val="20"/>
                <w:szCs w:val="20"/>
                <w:color w:val="auto"/>
              </w:rPr>
            </w:pPr>
            <w:r>
              <w:rPr>
                <w:rFonts w:ascii="Arial" w:cs="Arial" w:eastAsia="Arial" w:hAnsi="Arial"/>
                <w:sz w:val="16"/>
                <w:szCs w:val="16"/>
                <w:b w:val="1"/>
                <w:bCs w:val="1"/>
                <w:color w:val="auto"/>
                <w:w w:val="98"/>
              </w:rPr>
              <w:t>Total comprehensive (loss)/income for</w:t>
            </w:r>
          </w:p>
        </w:tc>
        <w:tc>
          <w:tcPr>
            <w:tcW w:w="580" w:type="dxa"/>
            <w:vAlign w:val="bottom"/>
            <w:tcBorders>
              <w:top w:val="single" w:sz="8" w:color="auto"/>
            </w:tcBorders>
            <w:shd w:val="clear" w:color="auto" w:fill="E5FFFF"/>
          </w:tcPr>
          <w:p>
            <w:pPr>
              <w:spacing w:after="0"/>
              <w:rPr>
                <w:sz w:val="14"/>
                <w:szCs w:val="14"/>
                <w:color w:val="auto"/>
              </w:rPr>
            </w:pPr>
          </w:p>
        </w:tc>
        <w:tc>
          <w:tcPr>
            <w:tcW w:w="120" w:type="dxa"/>
            <w:vAlign w:val="bottom"/>
            <w:tcBorders>
              <w:top w:val="single" w:sz="8" w:color="E5FFFF"/>
            </w:tcBorders>
            <w:shd w:val="clear" w:color="auto" w:fill="E5FFFF"/>
          </w:tcPr>
          <w:p>
            <w:pPr>
              <w:spacing w:after="0"/>
              <w:rPr>
                <w:sz w:val="14"/>
                <w:szCs w:val="14"/>
                <w:color w:val="auto"/>
              </w:rPr>
            </w:pPr>
          </w:p>
        </w:tc>
        <w:tc>
          <w:tcPr>
            <w:tcW w:w="800" w:type="dxa"/>
            <w:vAlign w:val="bottom"/>
            <w:tcBorders>
              <w:top w:val="single" w:sz="8" w:color="auto"/>
            </w:tcBorders>
            <w:shd w:val="clear" w:color="auto" w:fill="E5FFFF"/>
          </w:tcPr>
          <w:p>
            <w:pPr>
              <w:spacing w:after="0"/>
              <w:rPr>
                <w:sz w:val="14"/>
                <w:szCs w:val="14"/>
                <w:color w:val="auto"/>
              </w:rPr>
            </w:pPr>
          </w:p>
        </w:tc>
        <w:tc>
          <w:tcPr>
            <w:tcW w:w="120" w:type="dxa"/>
            <w:vAlign w:val="bottom"/>
            <w:tcBorders>
              <w:top w:val="single" w:sz="8" w:color="E5FFFF"/>
            </w:tcBorders>
            <w:shd w:val="clear" w:color="auto" w:fill="E5FFFF"/>
          </w:tcPr>
          <w:p>
            <w:pPr>
              <w:spacing w:after="0"/>
              <w:rPr>
                <w:sz w:val="14"/>
                <w:szCs w:val="14"/>
                <w:color w:val="auto"/>
              </w:rPr>
            </w:pPr>
          </w:p>
        </w:tc>
        <w:tc>
          <w:tcPr>
            <w:tcW w:w="940" w:type="dxa"/>
            <w:vAlign w:val="bottom"/>
            <w:tcBorders>
              <w:top w:val="single" w:sz="8" w:color="auto"/>
            </w:tcBorders>
            <w:shd w:val="clear" w:color="auto" w:fill="E5FFFF"/>
          </w:tcPr>
          <w:p>
            <w:pPr>
              <w:spacing w:after="0"/>
              <w:rPr>
                <w:sz w:val="14"/>
                <w:szCs w:val="14"/>
                <w:color w:val="auto"/>
              </w:rPr>
            </w:pPr>
          </w:p>
        </w:tc>
        <w:tc>
          <w:tcPr>
            <w:tcW w:w="120" w:type="dxa"/>
            <w:vAlign w:val="bottom"/>
            <w:tcBorders>
              <w:top w:val="single" w:sz="8" w:color="E5FFFF"/>
            </w:tcBorders>
            <w:shd w:val="clear" w:color="auto" w:fill="E5FFFF"/>
          </w:tcPr>
          <w:p>
            <w:pPr>
              <w:spacing w:after="0"/>
              <w:rPr>
                <w:sz w:val="14"/>
                <w:szCs w:val="14"/>
                <w:color w:val="auto"/>
              </w:rPr>
            </w:pPr>
          </w:p>
        </w:tc>
        <w:tc>
          <w:tcPr>
            <w:tcW w:w="800" w:type="dxa"/>
            <w:vAlign w:val="bottom"/>
            <w:tcBorders>
              <w:top w:val="single" w:sz="8" w:color="auto"/>
            </w:tcBorders>
            <w:shd w:val="clear" w:color="auto" w:fill="E5FFFF"/>
          </w:tcPr>
          <w:p>
            <w:pPr>
              <w:spacing w:after="0"/>
              <w:rPr>
                <w:sz w:val="14"/>
                <w:szCs w:val="14"/>
                <w:color w:val="auto"/>
              </w:rPr>
            </w:pPr>
          </w:p>
        </w:tc>
        <w:tc>
          <w:tcPr>
            <w:tcW w:w="120" w:type="dxa"/>
            <w:vAlign w:val="bottom"/>
            <w:tcBorders>
              <w:top w:val="single" w:sz="8" w:color="E5FFFF"/>
            </w:tcBorders>
            <w:shd w:val="clear" w:color="auto" w:fill="E5FFFF"/>
          </w:tcPr>
          <w:p>
            <w:pPr>
              <w:spacing w:after="0"/>
              <w:rPr>
                <w:sz w:val="14"/>
                <w:szCs w:val="14"/>
                <w:color w:val="auto"/>
              </w:rPr>
            </w:pPr>
          </w:p>
        </w:tc>
        <w:tc>
          <w:tcPr>
            <w:tcW w:w="820" w:type="dxa"/>
            <w:vAlign w:val="bottom"/>
            <w:tcBorders>
              <w:top w:val="single" w:sz="8" w:color="auto"/>
            </w:tcBorders>
            <w:shd w:val="clear" w:color="auto" w:fill="E5FFFF"/>
          </w:tcPr>
          <w:p>
            <w:pPr>
              <w:spacing w:after="0"/>
              <w:rPr>
                <w:sz w:val="14"/>
                <w:szCs w:val="14"/>
                <w:color w:val="auto"/>
              </w:rPr>
            </w:pPr>
          </w:p>
        </w:tc>
        <w:tc>
          <w:tcPr>
            <w:tcW w:w="120" w:type="dxa"/>
            <w:vAlign w:val="bottom"/>
            <w:tcBorders>
              <w:top w:val="single" w:sz="8" w:color="E5FFFF"/>
            </w:tcBorders>
            <w:shd w:val="clear" w:color="auto" w:fill="E5FFFF"/>
          </w:tcPr>
          <w:p>
            <w:pPr>
              <w:spacing w:after="0"/>
              <w:rPr>
                <w:sz w:val="14"/>
                <w:szCs w:val="14"/>
                <w:color w:val="auto"/>
              </w:rPr>
            </w:pPr>
          </w:p>
        </w:tc>
        <w:tc>
          <w:tcPr>
            <w:tcW w:w="1160" w:type="dxa"/>
            <w:vAlign w:val="bottom"/>
            <w:tcBorders>
              <w:top w:val="single" w:sz="8" w:color="auto"/>
            </w:tcBorders>
            <w:shd w:val="clear" w:color="auto" w:fill="E5FFFF"/>
          </w:tcPr>
          <w:p>
            <w:pPr>
              <w:spacing w:after="0"/>
              <w:rPr>
                <w:sz w:val="14"/>
                <w:szCs w:val="14"/>
                <w:color w:val="auto"/>
              </w:rPr>
            </w:pPr>
          </w:p>
        </w:tc>
        <w:tc>
          <w:tcPr>
            <w:tcW w:w="100" w:type="dxa"/>
            <w:vAlign w:val="bottom"/>
            <w:tcBorders>
              <w:top w:val="single" w:sz="8" w:color="E5FFFF"/>
            </w:tcBorders>
            <w:shd w:val="clear" w:color="auto" w:fill="E5FFFF"/>
          </w:tcPr>
          <w:p>
            <w:pPr>
              <w:spacing w:after="0"/>
              <w:rPr>
                <w:sz w:val="14"/>
                <w:szCs w:val="14"/>
                <w:color w:val="auto"/>
              </w:rPr>
            </w:pPr>
          </w:p>
        </w:tc>
        <w:tc>
          <w:tcPr>
            <w:tcW w:w="920" w:type="dxa"/>
            <w:vAlign w:val="bottom"/>
            <w:tcBorders>
              <w:top w:val="single" w:sz="8" w:color="auto"/>
            </w:tcBorders>
            <w:shd w:val="clear" w:color="auto" w:fill="E5FFFF"/>
          </w:tcPr>
          <w:p>
            <w:pPr>
              <w:spacing w:after="0"/>
              <w:rPr>
                <w:sz w:val="14"/>
                <w:szCs w:val="14"/>
                <w:color w:val="auto"/>
              </w:rPr>
            </w:pPr>
          </w:p>
        </w:tc>
        <w:tc>
          <w:tcPr>
            <w:tcW w:w="120" w:type="dxa"/>
            <w:vAlign w:val="bottom"/>
            <w:tcBorders>
              <w:top w:val="single" w:sz="8" w:color="E5FFFF"/>
            </w:tcBorders>
            <w:shd w:val="clear" w:color="auto" w:fill="E5FFFF"/>
          </w:tcPr>
          <w:p>
            <w:pPr>
              <w:spacing w:after="0"/>
              <w:rPr>
                <w:sz w:val="14"/>
                <w:szCs w:val="14"/>
                <w:color w:val="auto"/>
              </w:rPr>
            </w:pPr>
          </w:p>
        </w:tc>
        <w:tc>
          <w:tcPr>
            <w:tcW w:w="800" w:type="dxa"/>
            <w:vAlign w:val="bottom"/>
            <w:tcBorders>
              <w:top w:val="single" w:sz="8" w:color="auto"/>
            </w:tcBorders>
            <w:shd w:val="clear" w:color="auto" w:fill="E5FFFF"/>
          </w:tcPr>
          <w:p>
            <w:pPr>
              <w:spacing w:after="0"/>
              <w:rPr>
                <w:sz w:val="14"/>
                <w:szCs w:val="14"/>
                <w:color w:val="auto"/>
              </w:rPr>
            </w:pPr>
          </w:p>
        </w:tc>
        <w:tc>
          <w:tcPr>
            <w:tcW w:w="100" w:type="dxa"/>
            <w:vAlign w:val="bottom"/>
            <w:tcBorders>
              <w:top w:val="single" w:sz="8" w:color="E5FFFF"/>
            </w:tcBorders>
            <w:shd w:val="clear" w:color="auto" w:fill="E5FFFF"/>
          </w:tcPr>
          <w:p>
            <w:pPr>
              <w:spacing w:after="0"/>
              <w:rPr>
                <w:sz w:val="14"/>
                <w:szCs w:val="14"/>
                <w:color w:val="auto"/>
              </w:rPr>
            </w:pPr>
          </w:p>
        </w:tc>
        <w:tc>
          <w:tcPr>
            <w:tcW w:w="800" w:type="dxa"/>
            <w:vAlign w:val="bottom"/>
            <w:tcBorders>
              <w:top w:val="single" w:sz="8" w:color="auto"/>
            </w:tcBorders>
            <w:shd w:val="clear" w:color="auto" w:fill="E5FFFF"/>
          </w:tcPr>
          <w:p>
            <w:pPr>
              <w:spacing w:after="0"/>
              <w:rPr>
                <w:sz w:val="14"/>
                <w:szCs w:val="14"/>
                <w:color w:val="auto"/>
              </w:rPr>
            </w:pPr>
          </w:p>
        </w:tc>
        <w:tc>
          <w:tcPr>
            <w:tcW w:w="20" w:type="dxa"/>
            <w:vAlign w:val="bottom"/>
            <w:tcBorders>
              <w:top w:val="single" w:sz="8" w:color="E5FFFF"/>
            </w:tcBorders>
            <w:shd w:val="clear" w:color="auto" w:fill="E5FFFF"/>
          </w:tcPr>
          <w:p>
            <w:pPr>
              <w:spacing w:after="0"/>
              <w:rPr>
                <w:sz w:val="14"/>
                <w:szCs w:val="14"/>
                <w:color w:val="auto"/>
              </w:rPr>
            </w:pPr>
          </w:p>
        </w:tc>
        <w:tc>
          <w:tcPr>
            <w:tcW w:w="80" w:type="dxa"/>
            <w:vAlign w:val="bottom"/>
            <w:tcBorders>
              <w:top w:val="single" w:sz="8" w:color="E5FFFF"/>
            </w:tcBorders>
            <w:shd w:val="clear" w:color="auto" w:fill="E5FFFF"/>
          </w:tcPr>
          <w:p>
            <w:pPr>
              <w:spacing w:after="0"/>
              <w:rPr>
                <w:sz w:val="14"/>
                <w:szCs w:val="14"/>
                <w:color w:val="auto"/>
              </w:rPr>
            </w:pPr>
          </w:p>
        </w:tc>
      </w:tr>
      <w:tr>
        <w:trPr>
          <w:trHeight w:val="216"/>
        </w:trPr>
        <w:tc>
          <w:tcPr>
            <w:tcW w:w="2920" w:type="dxa"/>
            <w:vAlign w:val="bottom"/>
            <w:shd w:val="clear" w:color="auto" w:fill="E5FFFF"/>
          </w:tcPr>
          <w:p>
            <w:pPr>
              <w:ind w:left="180"/>
              <w:spacing w:after="0"/>
              <w:rPr>
                <w:sz w:val="20"/>
                <w:szCs w:val="20"/>
                <w:color w:val="auto"/>
              </w:rPr>
            </w:pPr>
            <w:r>
              <w:rPr>
                <w:rFonts w:ascii="Arial" w:cs="Arial" w:eastAsia="Arial" w:hAnsi="Arial"/>
                <w:sz w:val="16"/>
                <w:szCs w:val="16"/>
                <w:b w:val="1"/>
                <w:bCs w:val="1"/>
                <w:color w:val="auto"/>
              </w:rPr>
              <w:t>the period</w:t>
            </w:r>
          </w:p>
        </w:tc>
        <w:tc>
          <w:tcPr>
            <w:tcW w:w="700" w:type="dxa"/>
            <w:vAlign w:val="bottom"/>
            <w:gridSpan w:val="2"/>
            <w:shd w:val="clear" w:color="auto" w:fill="E5FFFF"/>
          </w:tcPr>
          <w:p>
            <w:pPr>
              <w:jc w:val="right"/>
              <w:ind w:right="120"/>
              <w:spacing w:after="0"/>
              <w:rPr>
                <w:sz w:val="20"/>
                <w:szCs w:val="20"/>
                <w:color w:val="auto"/>
              </w:rPr>
            </w:pPr>
            <w:r>
              <w:rPr>
                <w:rFonts w:ascii="Arial" w:cs="Arial" w:eastAsia="Arial" w:hAnsi="Arial"/>
                <w:sz w:val="16"/>
                <w:szCs w:val="16"/>
                <w:b w:val="1"/>
                <w:bCs w:val="1"/>
                <w:color w:val="auto"/>
              </w:rPr>
              <w:t>—</w:t>
            </w:r>
          </w:p>
        </w:tc>
        <w:tc>
          <w:tcPr>
            <w:tcW w:w="920" w:type="dxa"/>
            <w:vAlign w:val="bottom"/>
            <w:gridSpan w:val="2"/>
            <w:shd w:val="clear" w:color="auto" w:fill="E5FFFF"/>
          </w:tcPr>
          <w:p>
            <w:pPr>
              <w:jc w:val="right"/>
              <w:ind w:right="120"/>
              <w:spacing w:after="0"/>
              <w:rPr>
                <w:sz w:val="20"/>
                <w:szCs w:val="20"/>
                <w:color w:val="auto"/>
              </w:rPr>
            </w:pPr>
            <w:r>
              <w:rPr>
                <w:rFonts w:ascii="Arial" w:cs="Arial" w:eastAsia="Arial" w:hAnsi="Arial"/>
                <w:sz w:val="16"/>
                <w:szCs w:val="16"/>
                <w:b w:val="1"/>
                <w:bCs w:val="1"/>
                <w:color w:val="auto"/>
              </w:rPr>
              <w:t>—</w:t>
            </w:r>
          </w:p>
        </w:tc>
        <w:tc>
          <w:tcPr>
            <w:tcW w:w="1060" w:type="dxa"/>
            <w:vAlign w:val="bottom"/>
            <w:gridSpan w:val="2"/>
            <w:shd w:val="clear" w:color="auto" w:fill="E5FFFF"/>
          </w:tcPr>
          <w:p>
            <w:pPr>
              <w:jc w:val="right"/>
              <w:ind w:right="120"/>
              <w:spacing w:after="0"/>
              <w:rPr>
                <w:sz w:val="20"/>
                <w:szCs w:val="20"/>
                <w:color w:val="auto"/>
              </w:rPr>
            </w:pPr>
            <w:r>
              <w:rPr>
                <w:rFonts w:ascii="Arial" w:cs="Arial" w:eastAsia="Arial" w:hAnsi="Arial"/>
                <w:sz w:val="16"/>
                <w:szCs w:val="16"/>
                <w:b w:val="1"/>
                <w:bCs w:val="1"/>
                <w:color w:val="auto"/>
              </w:rPr>
              <w:t>—</w:t>
            </w:r>
          </w:p>
        </w:tc>
        <w:tc>
          <w:tcPr>
            <w:tcW w:w="920" w:type="dxa"/>
            <w:vAlign w:val="bottom"/>
            <w:gridSpan w:val="2"/>
            <w:shd w:val="clear" w:color="auto" w:fill="E5FFFF"/>
          </w:tcPr>
          <w:p>
            <w:pPr>
              <w:jc w:val="right"/>
              <w:ind w:right="60"/>
              <w:spacing w:after="0"/>
              <w:rPr>
                <w:sz w:val="20"/>
                <w:szCs w:val="20"/>
                <w:color w:val="auto"/>
              </w:rPr>
            </w:pPr>
            <w:r>
              <w:rPr>
                <w:rFonts w:ascii="Arial" w:cs="Arial" w:eastAsia="Arial" w:hAnsi="Arial"/>
                <w:sz w:val="16"/>
                <w:szCs w:val="16"/>
                <w:b w:val="1"/>
                <w:bCs w:val="1"/>
                <w:color w:val="auto"/>
              </w:rPr>
              <w:t>(1,239)</w:t>
            </w:r>
          </w:p>
        </w:tc>
        <w:tc>
          <w:tcPr>
            <w:tcW w:w="940" w:type="dxa"/>
            <w:vAlign w:val="bottom"/>
            <w:gridSpan w:val="2"/>
            <w:shd w:val="clear" w:color="auto" w:fill="E5FFFF"/>
          </w:tcPr>
          <w:p>
            <w:pPr>
              <w:jc w:val="right"/>
              <w:ind w:right="39"/>
              <w:spacing w:after="0"/>
              <w:rPr>
                <w:sz w:val="20"/>
                <w:szCs w:val="20"/>
                <w:color w:val="auto"/>
              </w:rPr>
            </w:pPr>
            <w:r>
              <w:rPr>
                <w:rFonts w:ascii="Arial" w:cs="Arial" w:eastAsia="Arial" w:hAnsi="Arial"/>
                <w:sz w:val="16"/>
                <w:szCs w:val="16"/>
                <w:b w:val="1"/>
                <w:bCs w:val="1"/>
                <w:color w:val="auto"/>
              </w:rPr>
              <w:t>—</w:t>
            </w:r>
          </w:p>
        </w:tc>
        <w:tc>
          <w:tcPr>
            <w:tcW w:w="1260" w:type="dxa"/>
            <w:vAlign w:val="bottom"/>
            <w:gridSpan w:val="2"/>
            <w:shd w:val="clear" w:color="auto" w:fill="E5FFFF"/>
          </w:tcPr>
          <w:p>
            <w:pPr>
              <w:jc w:val="right"/>
              <w:ind w:right="40"/>
              <w:spacing w:after="0"/>
              <w:rPr>
                <w:sz w:val="20"/>
                <w:szCs w:val="20"/>
                <w:color w:val="auto"/>
              </w:rPr>
            </w:pPr>
            <w:r>
              <w:rPr>
                <w:rFonts w:ascii="Arial" w:cs="Arial" w:eastAsia="Arial" w:hAnsi="Arial"/>
                <w:sz w:val="16"/>
                <w:szCs w:val="16"/>
                <w:b w:val="1"/>
                <w:bCs w:val="1"/>
                <w:color w:val="auto"/>
              </w:rPr>
              <w:t>(10,947)</w:t>
            </w:r>
          </w:p>
        </w:tc>
        <w:tc>
          <w:tcPr>
            <w:tcW w:w="1040" w:type="dxa"/>
            <w:vAlign w:val="bottom"/>
            <w:gridSpan w:val="2"/>
            <w:shd w:val="clear" w:color="auto" w:fill="E5FFFF"/>
          </w:tcPr>
          <w:p>
            <w:pPr>
              <w:jc w:val="right"/>
              <w:ind w:right="60"/>
              <w:spacing w:after="0"/>
              <w:rPr>
                <w:sz w:val="20"/>
                <w:szCs w:val="20"/>
                <w:color w:val="auto"/>
              </w:rPr>
            </w:pPr>
            <w:r>
              <w:rPr>
                <w:rFonts w:ascii="Arial" w:cs="Arial" w:eastAsia="Arial" w:hAnsi="Arial"/>
                <w:sz w:val="16"/>
                <w:szCs w:val="16"/>
                <w:b w:val="1"/>
                <w:bCs w:val="1"/>
                <w:color w:val="auto"/>
              </w:rPr>
              <w:t>(12,186)</w:t>
            </w:r>
          </w:p>
        </w:tc>
        <w:tc>
          <w:tcPr>
            <w:tcW w:w="800" w:type="dxa"/>
            <w:vAlign w:val="bottom"/>
            <w:shd w:val="clear" w:color="auto" w:fill="E5FFFF"/>
          </w:tcPr>
          <w:p>
            <w:pPr>
              <w:jc w:val="right"/>
              <w:spacing w:after="0"/>
              <w:rPr>
                <w:sz w:val="20"/>
                <w:szCs w:val="20"/>
                <w:color w:val="auto"/>
              </w:rPr>
            </w:pPr>
            <w:r>
              <w:rPr>
                <w:rFonts w:ascii="Arial" w:cs="Arial" w:eastAsia="Arial" w:hAnsi="Arial"/>
                <w:sz w:val="16"/>
                <w:szCs w:val="16"/>
                <w:b w:val="1"/>
                <w:bCs w:val="1"/>
                <w:color w:val="auto"/>
              </w:rPr>
              <w:t>16,846</w:t>
            </w:r>
          </w:p>
        </w:tc>
        <w:tc>
          <w:tcPr>
            <w:tcW w:w="100" w:type="dxa"/>
            <w:vAlign w:val="bottom"/>
            <w:shd w:val="clear" w:color="auto" w:fill="E5FFFF"/>
          </w:tcPr>
          <w:p>
            <w:pPr>
              <w:spacing w:after="0"/>
              <w:rPr>
                <w:sz w:val="18"/>
                <w:szCs w:val="18"/>
                <w:color w:val="auto"/>
              </w:rPr>
            </w:pPr>
          </w:p>
        </w:tc>
        <w:tc>
          <w:tcPr>
            <w:tcW w:w="820" w:type="dxa"/>
            <w:vAlign w:val="bottom"/>
            <w:gridSpan w:val="2"/>
            <w:shd w:val="clear" w:color="auto" w:fill="E5FFFF"/>
          </w:tcPr>
          <w:p>
            <w:pPr>
              <w:jc w:val="right"/>
              <w:spacing w:after="0"/>
              <w:rPr>
                <w:sz w:val="20"/>
                <w:szCs w:val="20"/>
                <w:color w:val="auto"/>
              </w:rPr>
            </w:pPr>
            <w:r>
              <w:rPr>
                <w:rFonts w:ascii="Arial" w:cs="Arial" w:eastAsia="Arial" w:hAnsi="Arial"/>
                <w:sz w:val="16"/>
                <w:szCs w:val="16"/>
                <w:b w:val="1"/>
                <w:bCs w:val="1"/>
                <w:color w:val="auto"/>
              </w:rPr>
              <w:t>4,660</w:t>
            </w:r>
          </w:p>
        </w:tc>
        <w:tc>
          <w:tcPr>
            <w:tcW w:w="80" w:type="dxa"/>
            <w:vAlign w:val="bottom"/>
            <w:shd w:val="clear" w:color="auto" w:fill="E5FFFF"/>
          </w:tcPr>
          <w:p>
            <w:pPr>
              <w:spacing w:after="0"/>
              <w:rPr>
                <w:sz w:val="18"/>
                <w:szCs w:val="18"/>
                <w:color w:val="auto"/>
              </w:rPr>
            </w:pPr>
          </w:p>
        </w:tc>
      </w:tr>
      <w:tr>
        <w:trPr>
          <w:trHeight w:val="207"/>
        </w:trPr>
        <w:tc>
          <w:tcPr>
            <w:tcW w:w="2920" w:type="dxa"/>
            <w:vAlign w:val="bottom"/>
          </w:tcPr>
          <w:p>
            <w:pPr>
              <w:spacing w:after="0"/>
              <w:rPr>
                <w:sz w:val="20"/>
                <w:szCs w:val="20"/>
                <w:color w:val="auto"/>
              </w:rPr>
            </w:pPr>
            <w:r>
              <w:rPr>
                <w:rFonts w:ascii="Arial" w:cs="Arial" w:eastAsia="Arial" w:hAnsi="Arial"/>
                <w:sz w:val="16"/>
                <w:szCs w:val="16"/>
                <w:b w:val="1"/>
                <w:bCs w:val="1"/>
                <w:color w:val="auto"/>
              </w:rPr>
              <w:t>Balance as of March 31, 2019</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810</w:t>
            </w:r>
          </w:p>
        </w:tc>
        <w:tc>
          <w:tcPr>
            <w:tcW w:w="120" w:type="dxa"/>
            <w:vAlign w:val="bottom"/>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46</w:t>
            </w:r>
          </w:p>
        </w:tc>
        <w:tc>
          <w:tcPr>
            <w:tcW w:w="120" w:type="dxa"/>
            <w:vAlign w:val="bottom"/>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835,931</w:t>
            </w:r>
          </w:p>
        </w:tc>
        <w:tc>
          <w:tcPr>
            <w:tcW w:w="120" w:type="dxa"/>
            <w:vAlign w:val="bottom"/>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18,889</w:t>
            </w:r>
          </w:p>
        </w:tc>
        <w:tc>
          <w:tcPr>
            <w:tcW w:w="120" w:type="dxa"/>
            <w:vAlign w:val="bottom"/>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(7,018</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1,882</w:t>
            </w:r>
          </w:p>
        </w:tc>
        <w:tc>
          <w:tcPr>
            <w:tcW w:w="100" w:type="dxa"/>
            <w:vAlign w:val="bottom"/>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850,540</w:t>
            </w:r>
          </w:p>
        </w:tc>
        <w:tc>
          <w:tcPr>
            <w:tcW w:w="120" w:type="dxa"/>
            <w:vAlign w:val="bottom"/>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1,093,729</w:t>
            </w:r>
          </w:p>
        </w:tc>
        <w:tc>
          <w:tcPr>
            <w:tcW w:w="100" w:type="dxa"/>
            <w:vAlign w:val="bottom"/>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1,944,269</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29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7" w:lineRule="exact"/>
        <w:rPr>
          <w:sz w:val="20"/>
          <w:szCs w:val="20"/>
          <w:color w:val="auto"/>
        </w:rPr>
      </w:pPr>
    </w:p>
    <w:p>
      <w:pPr>
        <w:ind w:left="280" w:right="460" w:hanging="272"/>
        <w:spacing w:after="0" w:line="215" w:lineRule="auto"/>
        <w:tabs>
          <w:tab w:leader="none" w:pos="280" w:val="left"/>
        </w:tabs>
        <w:numPr>
          <w:ilvl w:val="0"/>
          <w:numId w:val="11"/>
        </w:numPr>
        <w:rPr>
          <w:rFonts w:ascii="Arial" w:cs="Arial" w:eastAsia="Arial" w:hAnsi="Arial"/>
          <w:sz w:val="18"/>
          <w:szCs w:val="18"/>
          <w:color w:val="auto"/>
          <w:vertAlign w:val="superscript"/>
        </w:rPr>
      </w:pPr>
      <w:r>
        <w:rPr>
          <w:rFonts w:ascii="Arial" w:cs="Arial" w:eastAsia="Arial" w:hAnsi="Arial"/>
          <w:sz w:val="14"/>
          <w:szCs w:val="14"/>
          <w:color w:val="auto"/>
        </w:rPr>
        <w:t xml:space="preserve">Adjusted so as to reflect certain amendments introduced due to the adoption of International Financial Reporting Standard (“IFRS”) 15 </w:t>
      </w:r>
      <w:r>
        <w:rPr>
          <w:rFonts w:ascii="Arial" w:cs="Arial" w:eastAsia="Arial" w:hAnsi="Arial"/>
          <w:sz w:val="14"/>
          <w:szCs w:val="14"/>
          <w:i w:val="1"/>
          <w:iCs w:val="1"/>
          <w:color w:val="auto"/>
        </w:rPr>
        <w:t>Revenue from Contracts with Customers</w:t>
      </w:r>
      <w:r>
        <w:rPr>
          <w:rFonts w:ascii="Arial" w:cs="Arial" w:eastAsia="Arial" w:hAnsi="Arial"/>
          <w:sz w:val="14"/>
          <w:szCs w:val="14"/>
          <w:color w:val="auto"/>
        </w:rPr>
        <w:t xml:space="preserve"> and IFRS 9 </w:t>
      </w:r>
      <w:r>
        <w:rPr>
          <w:rFonts w:ascii="Arial" w:cs="Arial" w:eastAsia="Arial" w:hAnsi="Arial"/>
          <w:sz w:val="14"/>
          <w:szCs w:val="14"/>
          <w:i w:val="1"/>
          <w:iCs w:val="1"/>
          <w:color w:val="auto"/>
        </w:rPr>
        <w:t>Financial Instruments</w:t>
      </w:r>
      <w:r>
        <w:rPr>
          <w:rFonts w:ascii="Arial" w:cs="Arial" w:eastAsia="Arial" w:hAnsi="Arial"/>
          <w:sz w:val="14"/>
          <w:szCs w:val="14"/>
          <w:color w:val="auto"/>
        </w:rPr>
        <w:t>, which became effective on January 1, 2018.</w:t>
      </w:r>
    </w:p>
    <w:p>
      <w:pPr>
        <w:spacing w:after="0" w:line="77" w:lineRule="exact"/>
        <w:rPr>
          <w:rFonts w:ascii="Arial" w:cs="Arial" w:eastAsia="Arial" w:hAnsi="Arial"/>
          <w:sz w:val="18"/>
          <w:szCs w:val="18"/>
          <w:color w:val="auto"/>
          <w:vertAlign w:val="superscript"/>
        </w:rPr>
      </w:pPr>
    </w:p>
    <w:p>
      <w:pPr>
        <w:ind w:left="280" w:hanging="272"/>
        <w:spacing w:after="0"/>
        <w:tabs>
          <w:tab w:leader="none" w:pos="280" w:val="left"/>
        </w:tabs>
        <w:numPr>
          <w:ilvl w:val="0"/>
          <w:numId w:val="11"/>
        </w:numPr>
        <w:rPr>
          <w:rFonts w:ascii="Arial" w:cs="Arial" w:eastAsia="Arial" w:hAnsi="Arial"/>
          <w:sz w:val="18"/>
          <w:szCs w:val="18"/>
          <w:color w:val="auto"/>
          <w:vertAlign w:val="superscript"/>
        </w:rPr>
      </w:pPr>
      <w:r>
        <w:rPr>
          <w:rFonts w:ascii="Arial" w:cs="Arial" w:eastAsia="Arial" w:hAnsi="Arial"/>
          <w:sz w:val="14"/>
          <w:szCs w:val="14"/>
          <w:color w:val="auto"/>
        </w:rPr>
        <w:t xml:space="preserve">Restated so as to reflect an adjustment introduced due to the adoption of IFRS 16 </w:t>
      </w:r>
      <w:r>
        <w:rPr>
          <w:rFonts w:ascii="Arial" w:cs="Arial" w:eastAsia="Arial" w:hAnsi="Arial"/>
          <w:sz w:val="14"/>
          <w:szCs w:val="14"/>
          <w:i w:val="1"/>
          <w:iCs w:val="1"/>
          <w:color w:val="auto"/>
        </w:rPr>
        <w:t>Leases</w:t>
      </w:r>
      <w:r>
        <w:rPr>
          <w:rFonts w:ascii="Arial" w:cs="Arial" w:eastAsia="Arial" w:hAnsi="Arial"/>
          <w:sz w:val="14"/>
          <w:szCs w:val="14"/>
          <w:color w:val="auto"/>
        </w:rPr>
        <w:t xml:space="preserve"> on January 1, 2019 (Note 2(a)).</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35901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359015" cy="29845"/>
                    </a:xfrm>
                    <a:prstGeom prst="rect">
                      <a:avLst/>
                    </a:prstGeom>
                    <a:noFill/>
                  </pic:spPr>
                </pic:pic>
              </a:graphicData>
            </a:graphic>
          </wp:anchor>
        </w:drawing>
      </w:r>
    </w:p>
    <w:p>
      <w:pPr>
        <w:sectPr>
          <w:pgSz w:w="11900" w:h="16838" w:orient="portrait"/>
          <w:cols w:equalWidth="0" w:num="1">
            <w:col w:w="11560"/>
          </w:cols>
          <w:pgMar w:left="160" w:top="262" w:right="179" w:bottom="1440" w:gutter="0" w:footer="0" w:header="0"/>
        </w:sectPr>
      </w:pPr>
    </w:p>
    <w:bookmarkStart w:id="29" w:name="page30"/>
    <w:bookmarkEnd w:id="29"/>
    <w:p>
      <w:pPr>
        <w:spacing w:after="0"/>
        <w:rPr>
          <w:sz w:val="20"/>
          <w:szCs w:val="20"/>
          <w:color w:val="auto"/>
        </w:rPr>
      </w:pPr>
      <w:r>
        <w:rPr>
          <w:rFonts w:ascii="Arial" w:cs="Arial" w:eastAsia="Arial" w:hAnsi="Arial"/>
          <w:sz w:val="16"/>
          <w:szCs w:val="16"/>
          <w:b w:val="1"/>
          <w:bCs w:val="1"/>
          <w:color w:val="auto"/>
        </w:rPr>
        <w:t>GasLog Ltd. and its Subsidiaries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Unaudited condensed consolidated statements of cash flows</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 the three months ended March 31, 2018 and 2019</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(Amounts expressed in thousands of U.S. Dollars)</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80" w:type="dxa"/>
            <w:vAlign w:val="bottom"/>
            <w:gridSpan w:val="4"/>
          </w:tcPr>
          <w:p>
            <w:pPr>
              <w:jc w:val="right"/>
              <w:ind w:right="780"/>
              <w:spacing w:after="0"/>
              <w:rPr>
                <w:sz w:val="20"/>
                <w:szCs w:val="20"/>
                <w:color w:val="auto"/>
              </w:rPr>
            </w:pPr>
            <w:r>
              <w:rPr>
                <w:rFonts w:ascii="Arial" w:cs="Arial" w:eastAsia="Arial" w:hAnsi="Arial"/>
                <w:sz w:val="16"/>
                <w:szCs w:val="16"/>
                <w:b w:val="1"/>
                <w:bCs w:val="1"/>
                <w:color w:val="auto"/>
              </w:rPr>
              <w:t>For the three months ended</w:t>
            </w:r>
          </w:p>
        </w:tc>
      </w:tr>
      <w:tr>
        <w:trPr>
          <w:trHeight w:val="213"/>
        </w:trPr>
        <w:tc>
          <w:tcPr>
            <w:tcW w:w="7240" w:type="dxa"/>
            <w:vAlign w:val="bottom"/>
          </w:tcPr>
          <w:p>
            <w:pPr>
              <w:spacing w:after="0"/>
              <w:rPr>
                <w:sz w:val="18"/>
                <w:szCs w:val="18"/>
                <w:color w:val="auto"/>
              </w:rPr>
            </w:pPr>
          </w:p>
        </w:tc>
        <w:tc>
          <w:tcPr>
            <w:tcW w:w="940" w:type="dxa"/>
            <w:vAlign w:val="bottom"/>
            <w:gridSpan w:val="2"/>
          </w:tcPr>
          <w:p>
            <w:pPr>
              <w:ind w:left="240"/>
              <w:spacing w:after="0"/>
              <w:rPr>
                <w:sz w:val="20"/>
                <w:szCs w:val="20"/>
                <w:color w:val="auto"/>
              </w:rPr>
            </w:pPr>
            <w:r>
              <w:rPr>
                <w:rFonts w:ascii="Arial" w:cs="Arial" w:eastAsia="Arial" w:hAnsi="Arial"/>
                <w:sz w:val="16"/>
                <w:szCs w:val="16"/>
                <w:b w:val="1"/>
                <w:bCs w:val="1"/>
                <w:color w:val="auto"/>
              </w:rPr>
              <w:t>Note</w:t>
            </w:r>
          </w:p>
        </w:tc>
        <w:tc>
          <w:tcPr>
            <w:tcW w:w="178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rPr>
              <w:t>March 31, 2018</w:t>
            </w:r>
          </w:p>
        </w:tc>
        <w:tc>
          <w:tcPr>
            <w:tcW w:w="160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March 31, 2019</w:t>
            </w:r>
          </w:p>
        </w:tc>
      </w:tr>
      <w:tr>
        <w:trPr>
          <w:trHeight w:val="185"/>
        </w:trPr>
        <w:tc>
          <w:tcPr>
            <w:tcW w:w="724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820" w:type="dxa"/>
            <w:vAlign w:val="bottom"/>
            <w:tcBorders>
              <w:top w:val="single" w:sz="8" w:color="auto"/>
            </w:tcBorders>
            <w:shd w:val="clear" w:color="auto" w:fill="E5FFFF"/>
          </w:tcPr>
          <w:p>
            <w:pPr>
              <w:spacing w:after="0"/>
              <w:rPr>
                <w:sz w:val="16"/>
                <w:szCs w:val="16"/>
                <w:color w:val="auto"/>
              </w:rPr>
            </w:pPr>
          </w:p>
        </w:tc>
        <w:tc>
          <w:tcPr>
            <w:tcW w:w="120" w:type="dxa"/>
            <w:vAlign w:val="bottom"/>
            <w:tcBorders>
              <w:top w:val="single" w:sz="8" w:color="E5FFFF"/>
            </w:tcBorders>
            <w:shd w:val="clear" w:color="auto" w:fill="E5FFFF"/>
          </w:tcPr>
          <w:p>
            <w:pPr>
              <w:spacing w:after="0"/>
              <w:rPr>
                <w:sz w:val="16"/>
                <w:szCs w:val="16"/>
                <w:color w:val="auto"/>
              </w:rPr>
            </w:pPr>
          </w:p>
        </w:tc>
        <w:tc>
          <w:tcPr>
            <w:tcW w:w="1500" w:type="dxa"/>
            <w:vAlign w:val="bottom"/>
            <w:tcBorders>
              <w:top w:val="single" w:sz="8" w:color="auto"/>
            </w:tcBorders>
            <w:shd w:val="clear" w:color="auto" w:fill="E5FFFF"/>
          </w:tcPr>
          <w:p>
            <w:pPr>
              <w:spacing w:after="0"/>
              <w:rPr>
                <w:sz w:val="16"/>
                <w:szCs w:val="16"/>
                <w:color w:val="auto"/>
              </w:rPr>
            </w:pPr>
          </w:p>
        </w:tc>
        <w:tc>
          <w:tcPr>
            <w:tcW w:w="280" w:type="dxa"/>
            <w:vAlign w:val="bottom"/>
            <w:tcBorders>
              <w:top w:val="single" w:sz="8" w:color="E5FFFF"/>
            </w:tcBorders>
            <w:shd w:val="clear" w:color="auto" w:fill="E5FFFF"/>
          </w:tcPr>
          <w:p>
            <w:pPr>
              <w:spacing w:after="0"/>
              <w:rPr>
                <w:sz w:val="16"/>
                <w:szCs w:val="16"/>
                <w:color w:val="auto"/>
              </w:rPr>
            </w:pPr>
          </w:p>
        </w:tc>
        <w:tc>
          <w:tcPr>
            <w:tcW w:w="1500" w:type="dxa"/>
            <w:vAlign w:val="bottom"/>
            <w:tcBorders>
              <w:top w:val="single" w:sz="8" w:color="auto"/>
            </w:tcBorders>
            <w:shd w:val="clear" w:color="auto" w:fill="E5FFFF"/>
          </w:tcPr>
          <w:p>
            <w:pPr>
              <w:spacing w:after="0"/>
              <w:rPr>
                <w:sz w:val="16"/>
                <w:szCs w:val="16"/>
                <w:color w:val="auto"/>
              </w:rPr>
            </w:pPr>
          </w:p>
        </w:tc>
        <w:tc>
          <w:tcPr>
            <w:tcW w:w="100" w:type="dxa"/>
            <w:vAlign w:val="bottom"/>
            <w:tcBorders>
              <w:top w:val="single" w:sz="8" w:color="E5FFFF"/>
            </w:tcBorders>
            <w:shd w:val="clear" w:color="auto" w:fill="E5FFFF"/>
          </w:tcPr>
          <w:p>
            <w:pPr>
              <w:spacing w:after="0"/>
              <w:rPr>
                <w:sz w:val="16"/>
                <w:szCs w:val="16"/>
                <w:color w:val="auto"/>
              </w:rPr>
            </w:pPr>
          </w:p>
        </w:tc>
      </w:tr>
      <w:tr>
        <w:trPr>
          <w:trHeight w:val="203"/>
        </w:trPr>
        <w:tc>
          <w:tcPr>
            <w:tcW w:w="7240" w:type="dxa"/>
            <w:vAlign w:val="bottom"/>
          </w:tcPr>
          <w:p>
            <w:pPr>
              <w:spacing w:after="0"/>
              <w:rPr>
                <w:sz w:val="20"/>
                <w:szCs w:val="20"/>
                <w:color w:val="auto"/>
              </w:rPr>
            </w:pPr>
            <w:r>
              <w:rPr>
                <w:rFonts w:ascii="Arial" w:cs="Arial" w:eastAsia="Arial" w:hAnsi="Arial"/>
                <w:sz w:val="16"/>
                <w:szCs w:val="16"/>
                <w:color w:val="auto"/>
              </w:rPr>
              <w:t>Profit for the period</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80" w:type="dxa"/>
            <w:vAlign w:val="bottom"/>
            <w:gridSpan w:val="2"/>
          </w:tcPr>
          <w:p>
            <w:pPr>
              <w:jc w:val="right"/>
              <w:ind w:right="280"/>
              <w:spacing w:after="0"/>
              <w:rPr>
                <w:sz w:val="20"/>
                <w:szCs w:val="20"/>
                <w:color w:val="auto"/>
              </w:rPr>
            </w:pPr>
            <w:r>
              <w:rPr>
                <w:rFonts w:ascii="Arial" w:cs="Arial" w:eastAsia="Arial" w:hAnsi="Arial"/>
                <w:sz w:val="16"/>
                <w:szCs w:val="16"/>
                <w:color w:val="auto"/>
              </w:rPr>
              <w:t>42,541</w:t>
            </w:r>
          </w:p>
        </w:tc>
        <w:tc>
          <w:tcPr>
            <w:tcW w:w="1600" w:type="dxa"/>
            <w:vAlign w:val="bottom"/>
            <w:gridSpan w:val="2"/>
          </w:tcPr>
          <w:p>
            <w:pPr>
              <w:jc w:val="right"/>
              <w:ind w:right="100"/>
              <w:spacing w:after="0"/>
              <w:rPr>
                <w:sz w:val="20"/>
                <w:szCs w:val="20"/>
                <w:color w:val="auto"/>
              </w:rPr>
            </w:pPr>
            <w:r>
              <w:rPr>
                <w:rFonts w:ascii="Arial" w:cs="Arial" w:eastAsia="Arial" w:hAnsi="Arial"/>
                <w:sz w:val="16"/>
                <w:szCs w:val="16"/>
                <w:color w:val="auto"/>
              </w:rPr>
              <w:t>5,899</w:t>
            </w:r>
          </w:p>
        </w:tc>
      </w:tr>
      <w:tr>
        <w:trPr>
          <w:trHeight w:val="203"/>
        </w:trPr>
        <w:tc>
          <w:tcPr>
            <w:tcW w:w="7240" w:type="dxa"/>
            <w:vAlign w:val="bottom"/>
            <w:shd w:val="clear" w:color="auto" w:fill="E5FFFF"/>
          </w:tcPr>
          <w:p>
            <w:pPr>
              <w:spacing w:after="0"/>
              <w:rPr>
                <w:sz w:val="20"/>
                <w:szCs w:val="20"/>
                <w:color w:val="auto"/>
              </w:rPr>
            </w:pPr>
            <w:r>
              <w:rPr>
                <w:rFonts w:ascii="Arial" w:cs="Arial" w:eastAsia="Arial" w:hAnsi="Arial"/>
                <w:sz w:val="16"/>
                <w:szCs w:val="16"/>
                <w:color w:val="auto"/>
              </w:rPr>
              <w:t>Adjustments for:</w:t>
            </w:r>
          </w:p>
        </w:tc>
        <w:tc>
          <w:tcPr>
            <w:tcW w:w="8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50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50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r>
      <w:tr>
        <w:trPr>
          <w:trHeight w:val="203"/>
        </w:trPr>
        <w:tc>
          <w:tcPr>
            <w:tcW w:w="7240" w:type="dxa"/>
            <w:vAlign w:val="bottom"/>
          </w:tcPr>
          <w:p>
            <w:pPr>
              <w:spacing w:after="0"/>
              <w:rPr>
                <w:sz w:val="20"/>
                <w:szCs w:val="20"/>
                <w:color w:val="auto"/>
              </w:rPr>
            </w:pPr>
            <w:r>
              <w:rPr>
                <w:rFonts w:ascii="Arial" w:cs="Arial" w:eastAsia="Arial" w:hAnsi="Arial"/>
                <w:sz w:val="16"/>
                <w:szCs w:val="16"/>
                <w:color w:val="auto"/>
              </w:rPr>
              <w:t>Depreciation</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80" w:type="dxa"/>
            <w:vAlign w:val="bottom"/>
            <w:gridSpan w:val="2"/>
          </w:tcPr>
          <w:p>
            <w:pPr>
              <w:jc w:val="right"/>
              <w:ind w:right="280"/>
              <w:spacing w:after="0"/>
              <w:rPr>
                <w:sz w:val="20"/>
                <w:szCs w:val="20"/>
                <w:color w:val="auto"/>
              </w:rPr>
            </w:pPr>
            <w:r>
              <w:rPr>
                <w:rFonts w:ascii="Arial" w:cs="Arial" w:eastAsia="Arial" w:hAnsi="Arial"/>
                <w:sz w:val="16"/>
                <w:szCs w:val="16"/>
                <w:color w:val="auto"/>
              </w:rPr>
              <w:t>35,529</w:t>
            </w:r>
          </w:p>
        </w:tc>
        <w:tc>
          <w:tcPr>
            <w:tcW w:w="1600" w:type="dxa"/>
            <w:vAlign w:val="bottom"/>
            <w:gridSpan w:val="2"/>
          </w:tcPr>
          <w:p>
            <w:pPr>
              <w:jc w:val="right"/>
              <w:ind w:right="100"/>
              <w:spacing w:after="0"/>
              <w:rPr>
                <w:sz w:val="20"/>
                <w:szCs w:val="20"/>
                <w:color w:val="auto"/>
              </w:rPr>
            </w:pPr>
            <w:r>
              <w:rPr>
                <w:rFonts w:ascii="Arial" w:cs="Arial" w:eastAsia="Arial" w:hAnsi="Arial"/>
                <w:sz w:val="16"/>
                <w:szCs w:val="16"/>
                <w:color w:val="auto"/>
              </w:rPr>
              <w:t>39,599</w:t>
            </w:r>
          </w:p>
        </w:tc>
      </w:tr>
      <w:tr>
        <w:trPr>
          <w:trHeight w:val="203"/>
        </w:trPr>
        <w:tc>
          <w:tcPr>
            <w:tcW w:w="7240" w:type="dxa"/>
            <w:vAlign w:val="bottom"/>
            <w:shd w:val="clear" w:color="auto" w:fill="E5FFFF"/>
          </w:tcPr>
          <w:p>
            <w:pPr>
              <w:spacing w:after="0"/>
              <w:rPr>
                <w:sz w:val="20"/>
                <w:szCs w:val="20"/>
                <w:color w:val="auto"/>
              </w:rPr>
            </w:pPr>
            <w:r>
              <w:rPr>
                <w:rFonts w:ascii="Arial" w:cs="Arial" w:eastAsia="Arial" w:hAnsi="Arial"/>
                <w:sz w:val="16"/>
                <w:szCs w:val="16"/>
                <w:color w:val="auto"/>
              </w:rPr>
              <w:t>Share of profit of associates</w:t>
            </w:r>
          </w:p>
        </w:tc>
        <w:tc>
          <w:tcPr>
            <w:tcW w:w="8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780" w:type="dxa"/>
            <w:vAlign w:val="bottom"/>
            <w:gridSpan w:val="2"/>
            <w:shd w:val="clear" w:color="auto" w:fill="E5FFFF"/>
          </w:tcPr>
          <w:p>
            <w:pPr>
              <w:jc w:val="right"/>
              <w:ind w:right="240"/>
              <w:spacing w:after="0"/>
              <w:rPr>
                <w:sz w:val="20"/>
                <w:szCs w:val="20"/>
                <w:color w:val="auto"/>
              </w:rPr>
            </w:pPr>
            <w:r>
              <w:rPr>
                <w:rFonts w:ascii="Arial" w:cs="Arial" w:eastAsia="Arial" w:hAnsi="Arial"/>
                <w:sz w:val="16"/>
                <w:szCs w:val="16"/>
                <w:color w:val="auto"/>
              </w:rPr>
              <w:t>(356)</w:t>
            </w:r>
          </w:p>
        </w:tc>
        <w:tc>
          <w:tcPr>
            <w:tcW w:w="1600" w:type="dxa"/>
            <w:vAlign w:val="bottom"/>
            <w:gridSpan w:val="2"/>
            <w:shd w:val="clear" w:color="auto" w:fill="E5FFFF"/>
          </w:tcPr>
          <w:p>
            <w:pPr>
              <w:jc w:val="right"/>
              <w:ind w:right="40"/>
              <w:spacing w:after="0"/>
              <w:rPr>
                <w:sz w:val="20"/>
                <w:szCs w:val="20"/>
                <w:color w:val="auto"/>
              </w:rPr>
            </w:pPr>
            <w:r>
              <w:rPr>
                <w:rFonts w:ascii="Arial" w:cs="Arial" w:eastAsia="Arial" w:hAnsi="Arial"/>
                <w:sz w:val="16"/>
                <w:szCs w:val="16"/>
                <w:color w:val="auto"/>
              </w:rPr>
              <w:t>(245)</w:t>
            </w:r>
          </w:p>
        </w:tc>
      </w:tr>
      <w:tr>
        <w:trPr>
          <w:trHeight w:val="203"/>
        </w:trPr>
        <w:tc>
          <w:tcPr>
            <w:tcW w:w="7240" w:type="dxa"/>
            <w:vAlign w:val="bottom"/>
          </w:tcPr>
          <w:p>
            <w:pPr>
              <w:spacing w:after="0"/>
              <w:rPr>
                <w:sz w:val="20"/>
                <w:szCs w:val="20"/>
                <w:color w:val="auto"/>
              </w:rPr>
            </w:pPr>
            <w:r>
              <w:rPr>
                <w:rFonts w:ascii="Arial" w:cs="Arial" w:eastAsia="Arial" w:hAnsi="Arial"/>
                <w:sz w:val="16"/>
                <w:szCs w:val="16"/>
                <w:color w:val="auto"/>
              </w:rPr>
              <w:t>Financial income</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80" w:type="dxa"/>
            <w:vAlign w:val="bottom"/>
            <w:gridSpan w:val="2"/>
          </w:tcPr>
          <w:p>
            <w:pPr>
              <w:jc w:val="right"/>
              <w:ind w:right="240"/>
              <w:spacing w:after="0"/>
              <w:rPr>
                <w:sz w:val="20"/>
                <w:szCs w:val="20"/>
                <w:color w:val="auto"/>
              </w:rPr>
            </w:pPr>
            <w:r>
              <w:rPr>
                <w:rFonts w:ascii="Arial" w:cs="Arial" w:eastAsia="Arial" w:hAnsi="Arial"/>
                <w:sz w:val="16"/>
                <w:szCs w:val="16"/>
                <w:color w:val="auto"/>
              </w:rPr>
              <w:t>(1,016)</w:t>
            </w:r>
          </w:p>
        </w:tc>
        <w:tc>
          <w:tcPr>
            <w:tcW w:w="1600" w:type="dxa"/>
            <w:vAlign w:val="bottom"/>
            <w:gridSpan w:val="2"/>
          </w:tcPr>
          <w:p>
            <w:pPr>
              <w:jc w:val="right"/>
              <w:ind w:right="40"/>
              <w:spacing w:after="0"/>
              <w:rPr>
                <w:sz w:val="20"/>
                <w:szCs w:val="20"/>
                <w:color w:val="auto"/>
              </w:rPr>
            </w:pPr>
            <w:r>
              <w:rPr>
                <w:rFonts w:ascii="Arial" w:cs="Arial" w:eastAsia="Arial" w:hAnsi="Arial"/>
                <w:sz w:val="16"/>
                <w:szCs w:val="16"/>
                <w:color w:val="auto"/>
              </w:rPr>
              <w:t>(1,459)</w:t>
            </w:r>
          </w:p>
        </w:tc>
      </w:tr>
      <w:tr>
        <w:trPr>
          <w:trHeight w:val="203"/>
        </w:trPr>
        <w:tc>
          <w:tcPr>
            <w:tcW w:w="7240" w:type="dxa"/>
            <w:vAlign w:val="bottom"/>
            <w:shd w:val="clear" w:color="auto" w:fill="E5FFFF"/>
          </w:tcPr>
          <w:p>
            <w:pPr>
              <w:spacing w:after="0"/>
              <w:rPr>
                <w:sz w:val="20"/>
                <w:szCs w:val="20"/>
                <w:color w:val="auto"/>
              </w:rPr>
            </w:pPr>
            <w:r>
              <w:rPr>
                <w:rFonts w:ascii="Arial" w:cs="Arial" w:eastAsia="Arial" w:hAnsi="Arial"/>
                <w:sz w:val="16"/>
                <w:szCs w:val="16"/>
                <w:color w:val="auto"/>
              </w:rPr>
              <w:t>Financial costs</w:t>
            </w:r>
          </w:p>
        </w:tc>
        <w:tc>
          <w:tcPr>
            <w:tcW w:w="8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78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36,597</w:t>
            </w:r>
          </w:p>
        </w:tc>
        <w:tc>
          <w:tcPr>
            <w:tcW w:w="160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45,507</w:t>
            </w:r>
          </w:p>
        </w:tc>
      </w:tr>
      <w:tr>
        <w:trPr>
          <w:trHeight w:val="203"/>
        </w:trPr>
        <w:tc>
          <w:tcPr>
            <w:tcW w:w="7240" w:type="dxa"/>
            <w:vAlign w:val="bottom"/>
          </w:tcPr>
          <w:p>
            <w:pPr>
              <w:spacing w:after="0"/>
              <w:rPr>
                <w:sz w:val="20"/>
                <w:szCs w:val="20"/>
                <w:color w:val="auto"/>
              </w:rPr>
            </w:pPr>
            <w:r>
              <w:rPr>
                <w:rFonts w:ascii="Arial" w:cs="Arial" w:eastAsia="Arial" w:hAnsi="Arial"/>
                <w:sz w:val="16"/>
                <w:szCs w:val="16"/>
                <w:color w:val="auto"/>
              </w:rPr>
              <w:t>Unrealized foreign exchange (gains)/losses on cash and cash equivalents</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80" w:type="dxa"/>
            <w:vAlign w:val="bottom"/>
            <w:gridSpan w:val="2"/>
          </w:tcPr>
          <w:p>
            <w:pPr>
              <w:jc w:val="right"/>
              <w:ind w:right="240"/>
              <w:spacing w:after="0"/>
              <w:rPr>
                <w:sz w:val="20"/>
                <w:szCs w:val="20"/>
                <w:color w:val="auto"/>
              </w:rPr>
            </w:pPr>
            <w:r>
              <w:rPr>
                <w:rFonts w:ascii="Arial" w:cs="Arial" w:eastAsia="Arial" w:hAnsi="Arial"/>
                <w:sz w:val="16"/>
                <w:szCs w:val="16"/>
                <w:color w:val="auto"/>
              </w:rPr>
              <w:t>(459)</w:t>
            </w:r>
          </w:p>
        </w:tc>
        <w:tc>
          <w:tcPr>
            <w:tcW w:w="1600" w:type="dxa"/>
            <w:vAlign w:val="bottom"/>
            <w:gridSpan w:val="2"/>
          </w:tcPr>
          <w:p>
            <w:pPr>
              <w:jc w:val="right"/>
              <w:ind w:right="100"/>
              <w:spacing w:after="0"/>
              <w:rPr>
                <w:sz w:val="20"/>
                <w:szCs w:val="20"/>
                <w:color w:val="auto"/>
              </w:rPr>
            </w:pPr>
            <w:r>
              <w:rPr>
                <w:rFonts w:ascii="Arial" w:cs="Arial" w:eastAsia="Arial" w:hAnsi="Arial"/>
                <w:sz w:val="16"/>
                <w:szCs w:val="16"/>
                <w:color w:val="auto"/>
              </w:rPr>
              <w:t>131</w:t>
            </w:r>
          </w:p>
        </w:tc>
      </w:tr>
      <w:tr>
        <w:trPr>
          <w:trHeight w:val="193"/>
        </w:trPr>
        <w:tc>
          <w:tcPr>
            <w:tcW w:w="7240" w:type="dxa"/>
            <w:vAlign w:val="bottom"/>
            <w:shd w:val="clear" w:color="auto" w:fill="E5FFFF"/>
          </w:tcPr>
          <w:p>
            <w:pPr>
              <w:spacing w:after="0"/>
              <w:rPr>
                <w:sz w:val="20"/>
                <w:szCs w:val="20"/>
                <w:color w:val="auto"/>
              </w:rPr>
            </w:pPr>
            <w:r>
              <w:rPr>
                <w:rFonts w:ascii="Arial" w:cs="Arial" w:eastAsia="Arial" w:hAnsi="Arial"/>
                <w:sz w:val="16"/>
                <w:szCs w:val="16"/>
                <w:color w:val="auto"/>
                <w:w w:val="99"/>
              </w:rPr>
              <w:t>Unrealized (gain)/loss on derivative financial instruments held for trading including ineffective portion of</w:t>
            </w:r>
          </w:p>
        </w:tc>
        <w:tc>
          <w:tcPr>
            <w:tcW w:w="820" w:type="dxa"/>
            <w:vAlign w:val="bottom"/>
            <w:shd w:val="clear" w:color="auto" w:fill="E5FFFF"/>
          </w:tcPr>
          <w:p>
            <w:pPr>
              <w:spacing w:after="0"/>
              <w:rPr>
                <w:sz w:val="16"/>
                <w:szCs w:val="16"/>
                <w:color w:val="auto"/>
              </w:rPr>
            </w:pPr>
          </w:p>
        </w:tc>
        <w:tc>
          <w:tcPr>
            <w:tcW w:w="120" w:type="dxa"/>
            <w:vAlign w:val="bottom"/>
            <w:shd w:val="clear" w:color="auto" w:fill="E5FFFF"/>
          </w:tcPr>
          <w:p>
            <w:pPr>
              <w:spacing w:after="0"/>
              <w:rPr>
                <w:sz w:val="16"/>
                <w:szCs w:val="16"/>
                <w:color w:val="auto"/>
              </w:rPr>
            </w:pPr>
          </w:p>
        </w:tc>
        <w:tc>
          <w:tcPr>
            <w:tcW w:w="1500" w:type="dxa"/>
            <w:vAlign w:val="bottom"/>
            <w:shd w:val="clear" w:color="auto" w:fill="E5FFFF"/>
          </w:tcPr>
          <w:p>
            <w:pPr>
              <w:spacing w:after="0"/>
              <w:rPr>
                <w:sz w:val="16"/>
                <w:szCs w:val="16"/>
                <w:color w:val="auto"/>
              </w:rPr>
            </w:pPr>
          </w:p>
        </w:tc>
        <w:tc>
          <w:tcPr>
            <w:tcW w:w="280" w:type="dxa"/>
            <w:vAlign w:val="bottom"/>
            <w:shd w:val="clear" w:color="auto" w:fill="E5FFFF"/>
          </w:tcPr>
          <w:p>
            <w:pPr>
              <w:spacing w:after="0"/>
              <w:rPr>
                <w:sz w:val="16"/>
                <w:szCs w:val="16"/>
                <w:color w:val="auto"/>
              </w:rPr>
            </w:pPr>
          </w:p>
        </w:tc>
        <w:tc>
          <w:tcPr>
            <w:tcW w:w="1500" w:type="dxa"/>
            <w:vAlign w:val="bottom"/>
            <w:shd w:val="clear" w:color="auto" w:fill="E5FFFF"/>
          </w:tcPr>
          <w:p>
            <w:pPr>
              <w:spacing w:after="0"/>
              <w:rPr>
                <w:sz w:val="16"/>
                <w:szCs w:val="16"/>
                <w:color w:val="auto"/>
              </w:rPr>
            </w:pPr>
          </w:p>
        </w:tc>
        <w:tc>
          <w:tcPr>
            <w:tcW w:w="100" w:type="dxa"/>
            <w:vAlign w:val="bottom"/>
            <w:shd w:val="clear" w:color="auto" w:fill="E5FFFF"/>
          </w:tcPr>
          <w:p>
            <w:pPr>
              <w:spacing w:after="0"/>
              <w:rPr>
                <w:sz w:val="16"/>
                <w:szCs w:val="16"/>
                <w:color w:val="auto"/>
              </w:rPr>
            </w:pPr>
          </w:p>
        </w:tc>
      </w:tr>
      <w:tr>
        <w:trPr>
          <w:trHeight w:val="212"/>
        </w:trPr>
        <w:tc>
          <w:tcPr>
            <w:tcW w:w="7240" w:type="dxa"/>
            <w:vAlign w:val="bottom"/>
            <w:shd w:val="clear" w:color="auto" w:fill="E5FFFF"/>
          </w:tcPr>
          <w:p>
            <w:pPr>
              <w:ind w:left="180"/>
              <w:spacing w:after="0"/>
              <w:rPr>
                <w:sz w:val="20"/>
                <w:szCs w:val="20"/>
                <w:color w:val="auto"/>
              </w:rPr>
            </w:pPr>
            <w:r>
              <w:rPr>
                <w:rFonts w:ascii="Arial" w:cs="Arial" w:eastAsia="Arial" w:hAnsi="Arial"/>
                <w:sz w:val="16"/>
                <w:szCs w:val="16"/>
                <w:color w:val="auto"/>
              </w:rPr>
              <w:t>cash flow hedges</w:t>
            </w:r>
          </w:p>
        </w:tc>
        <w:tc>
          <w:tcPr>
            <w:tcW w:w="820" w:type="dxa"/>
            <w:vAlign w:val="bottom"/>
            <w:shd w:val="clear" w:color="auto" w:fill="E5FFFF"/>
          </w:tcPr>
          <w:p>
            <w:pPr>
              <w:jc w:val="right"/>
              <w:ind w:right="119"/>
              <w:spacing w:after="0"/>
              <w:rPr>
                <w:sz w:val="20"/>
                <w:szCs w:val="20"/>
                <w:color w:val="auto"/>
              </w:rPr>
            </w:pPr>
            <w:r>
              <w:rPr>
                <w:rFonts w:ascii="Arial" w:cs="Arial" w:eastAsia="Arial" w:hAnsi="Arial"/>
                <w:sz w:val="16"/>
                <w:szCs w:val="16"/>
                <w:color w:val="auto"/>
              </w:rPr>
              <w:t>16</w:t>
            </w:r>
          </w:p>
        </w:tc>
        <w:tc>
          <w:tcPr>
            <w:tcW w:w="120" w:type="dxa"/>
            <w:vAlign w:val="bottom"/>
            <w:shd w:val="clear" w:color="auto" w:fill="E5FFFF"/>
          </w:tcPr>
          <w:p>
            <w:pPr>
              <w:spacing w:after="0"/>
              <w:rPr>
                <w:sz w:val="18"/>
                <w:szCs w:val="18"/>
                <w:color w:val="auto"/>
              </w:rPr>
            </w:pPr>
          </w:p>
        </w:tc>
        <w:tc>
          <w:tcPr>
            <w:tcW w:w="1780" w:type="dxa"/>
            <w:vAlign w:val="bottom"/>
            <w:gridSpan w:val="2"/>
            <w:shd w:val="clear" w:color="auto" w:fill="E5FFFF"/>
          </w:tcPr>
          <w:p>
            <w:pPr>
              <w:jc w:val="right"/>
              <w:ind w:right="240"/>
              <w:spacing w:after="0"/>
              <w:rPr>
                <w:sz w:val="20"/>
                <w:szCs w:val="20"/>
                <w:color w:val="auto"/>
              </w:rPr>
            </w:pPr>
            <w:r>
              <w:rPr>
                <w:rFonts w:ascii="Arial" w:cs="Arial" w:eastAsia="Arial" w:hAnsi="Arial"/>
                <w:sz w:val="16"/>
                <w:szCs w:val="16"/>
                <w:color w:val="auto"/>
              </w:rPr>
              <w:t>(16,898)</w:t>
            </w:r>
          </w:p>
        </w:tc>
        <w:tc>
          <w:tcPr>
            <w:tcW w:w="160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21,103</w:t>
            </w:r>
          </w:p>
        </w:tc>
      </w:tr>
      <w:tr>
        <w:trPr>
          <w:trHeight w:val="203"/>
        </w:trPr>
        <w:tc>
          <w:tcPr>
            <w:tcW w:w="7240" w:type="dxa"/>
            <w:vAlign w:val="bottom"/>
          </w:tcPr>
          <w:p>
            <w:pPr>
              <w:spacing w:after="0"/>
              <w:rPr>
                <w:sz w:val="20"/>
                <w:szCs w:val="20"/>
                <w:color w:val="auto"/>
              </w:rPr>
            </w:pPr>
            <w:r>
              <w:rPr>
                <w:rFonts w:ascii="Arial" w:cs="Arial" w:eastAsia="Arial" w:hAnsi="Arial"/>
                <w:sz w:val="16"/>
                <w:szCs w:val="16"/>
                <w:color w:val="auto"/>
              </w:rPr>
              <w:t>Share-based compensation</w:t>
            </w: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17"/>
                <w:szCs w:val="17"/>
                <w:color w:val="auto"/>
              </w:rPr>
            </w:pPr>
          </w:p>
        </w:tc>
        <w:tc>
          <w:tcPr>
            <w:tcW w:w="1780" w:type="dxa"/>
            <w:vAlign w:val="bottom"/>
            <w:gridSpan w:val="2"/>
          </w:tcPr>
          <w:p>
            <w:pPr>
              <w:jc w:val="right"/>
              <w:ind w:right="280"/>
              <w:spacing w:after="0"/>
              <w:rPr>
                <w:sz w:val="20"/>
                <w:szCs w:val="20"/>
                <w:color w:val="auto"/>
              </w:rPr>
            </w:pPr>
            <w:r>
              <w:rPr>
                <w:rFonts w:ascii="Arial" w:cs="Arial" w:eastAsia="Arial" w:hAnsi="Arial"/>
                <w:sz w:val="16"/>
                <w:szCs w:val="16"/>
                <w:color w:val="auto"/>
              </w:rPr>
              <w:t>1,186</w:t>
            </w:r>
          </w:p>
        </w:tc>
        <w:tc>
          <w:tcPr>
            <w:tcW w:w="1600" w:type="dxa"/>
            <w:vAlign w:val="bottom"/>
            <w:gridSpan w:val="2"/>
          </w:tcPr>
          <w:p>
            <w:pPr>
              <w:jc w:val="right"/>
              <w:ind w:right="100"/>
              <w:spacing w:after="0"/>
              <w:rPr>
                <w:sz w:val="20"/>
                <w:szCs w:val="20"/>
                <w:color w:val="auto"/>
              </w:rPr>
            </w:pPr>
            <w:r>
              <w:rPr>
                <w:rFonts w:ascii="Arial" w:cs="Arial" w:eastAsia="Arial" w:hAnsi="Arial"/>
                <w:sz w:val="16"/>
                <w:szCs w:val="16"/>
                <w:color w:val="auto"/>
              </w:rPr>
              <w:t>1,322</w:t>
            </w:r>
          </w:p>
        </w:tc>
      </w:tr>
      <w:tr>
        <w:trPr>
          <w:trHeight w:val="196"/>
        </w:trPr>
        <w:tc>
          <w:tcPr>
            <w:tcW w:w="7240" w:type="dxa"/>
            <w:vAlign w:val="bottom"/>
            <w:tcBorders>
              <w:top w:val="single" w:sz="8" w:color="E5FFFF"/>
            </w:tcBorders>
            <w:shd w:val="clear" w:color="auto" w:fill="E5FFFF"/>
          </w:tcPr>
          <w:p>
            <w:pPr>
              <w:spacing w:after="0"/>
              <w:rPr>
                <w:sz w:val="17"/>
                <w:szCs w:val="17"/>
                <w:color w:val="auto"/>
              </w:rPr>
            </w:pPr>
          </w:p>
        </w:tc>
        <w:tc>
          <w:tcPr>
            <w:tcW w:w="820" w:type="dxa"/>
            <w:vAlign w:val="bottom"/>
            <w:tcBorders>
              <w:top w:val="single" w:sz="8" w:color="E5FFFF"/>
            </w:tcBorders>
            <w:shd w:val="clear" w:color="auto" w:fill="E5FFFF"/>
          </w:tcPr>
          <w:p>
            <w:pPr>
              <w:spacing w:after="0"/>
              <w:rPr>
                <w:sz w:val="17"/>
                <w:szCs w:val="17"/>
                <w:color w:val="auto"/>
              </w:rPr>
            </w:pPr>
          </w:p>
        </w:tc>
        <w:tc>
          <w:tcPr>
            <w:tcW w:w="120" w:type="dxa"/>
            <w:vAlign w:val="bottom"/>
            <w:tcBorders>
              <w:top w:val="single" w:sz="8" w:color="E5FFFF"/>
            </w:tcBorders>
            <w:shd w:val="clear" w:color="auto" w:fill="E5FFFF"/>
          </w:tcPr>
          <w:p>
            <w:pPr>
              <w:spacing w:after="0"/>
              <w:rPr>
                <w:sz w:val="17"/>
                <w:szCs w:val="17"/>
                <w:color w:val="auto"/>
              </w:rPr>
            </w:pPr>
          </w:p>
        </w:tc>
        <w:tc>
          <w:tcPr>
            <w:tcW w:w="15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97,124</w:t>
            </w:r>
          </w:p>
        </w:tc>
        <w:tc>
          <w:tcPr>
            <w:tcW w:w="280" w:type="dxa"/>
            <w:vAlign w:val="bottom"/>
            <w:tcBorders>
              <w:top w:val="single" w:sz="8" w:color="E5FFFF"/>
            </w:tcBorders>
            <w:shd w:val="clear" w:color="auto" w:fill="E5FFFF"/>
          </w:tcPr>
          <w:p>
            <w:pPr>
              <w:spacing w:after="0"/>
              <w:rPr>
                <w:sz w:val="17"/>
                <w:szCs w:val="17"/>
                <w:color w:val="auto"/>
              </w:rPr>
            </w:pPr>
          </w:p>
        </w:tc>
        <w:tc>
          <w:tcPr>
            <w:tcW w:w="15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111,857</w:t>
            </w:r>
          </w:p>
        </w:tc>
        <w:tc>
          <w:tcPr>
            <w:tcW w:w="100" w:type="dxa"/>
            <w:vAlign w:val="bottom"/>
            <w:tcBorders>
              <w:top w:val="single" w:sz="8" w:color="E5FFFF"/>
            </w:tcBorders>
            <w:shd w:val="clear" w:color="auto" w:fill="E5FFFF"/>
          </w:tcPr>
          <w:p>
            <w:pPr>
              <w:spacing w:after="0"/>
              <w:rPr>
                <w:sz w:val="17"/>
                <w:szCs w:val="17"/>
                <w:color w:val="auto"/>
              </w:rPr>
            </w:pPr>
          </w:p>
        </w:tc>
      </w:tr>
      <w:tr>
        <w:trPr>
          <w:trHeight w:val="196"/>
        </w:trPr>
        <w:tc>
          <w:tcPr>
            <w:tcW w:w="7240" w:type="dxa"/>
            <w:vAlign w:val="bottom"/>
            <w:tcBorders>
              <w:bottom w:val="single" w:sz="8" w:color="E5FFFF"/>
            </w:tcBorders>
          </w:tcPr>
          <w:p>
            <w:pPr>
              <w:spacing w:after="0"/>
              <w:rPr>
                <w:sz w:val="20"/>
                <w:szCs w:val="20"/>
                <w:color w:val="auto"/>
              </w:rPr>
            </w:pPr>
            <w:r>
              <w:rPr>
                <w:rFonts w:ascii="Arial" w:cs="Arial" w:eastAsia="Arial" w:hAnsi="Arial"/>
                <w:sz w:val="16"/>
                <w:szCs w:val="16"/>
                <w:color w:val="auto"/>
              </w:rPr>
              <w:t>Movements in working capital</w:t>
            </w:r>
          </w:p>
        </w:tc>
        <w:tc>
          <w:tcPr>
            <w:tcW w:w="820" w:type="dxa"/>
            <w:vAlign w:val="bottom"/>
            <w:tcBorders>
              <w:bottom w:val="single" w:sz="8" w:color="E5FFFF"/>
            </w:tcBorders>
          </w:tcPr>
          <w:p>
            <w:pPr>
              <w:spacing w:after="0"/>
              <w:rPr>
                <w:sz w:val="17"/>
                <w:szCs w:val="17"/>
                <w:color w:val="auto"/>
              </w:rPr>
            </w:pPr>
          </w:p>
        </w:tc>
        <w:tc>
          <w:tcPr>
            <w:tcW w:w="120" w:type="dxa"/>
            <w:vAlign w:val="bottom"/>
            <w:tcBorders>
              <w:bottom w:val="single" w:sz="8" w:color="E5FFFF"/>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(13,692)</w:t>
            </w:r>
          </w:p>
        </w:tc>
        <w:tc>
          <w:tcPr>
            <w:tcW w:w="280" w:type="dxa"/>
            <w:vAlign w:val="bottom"/>
            <w:tcBorders>
              <w:bottom w:val="single" w:sz="8" w:color="E5FFFF"/>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(11,676)</w:t>
            </w:r>
          </w:p>
        </w:tc>
        <w:tc>
          <w:tcPr>
            <w:tcW w:w="100" w:type="dxa"/>
            <w:vAlign w:val="bottom"/>
            <w:tcBorders>
              <w:bottom w:val="single" w:sz="8" w:color="E5FFFF"/>
            </w:tcBorders>
          </w:tcPr>
          <w:p>
            <w:pPr>
              <w:spacing w:after="0"/>
              <w:rPr>
                <w:sz w:val="17"/>
                <w:szCs w:val="17"/>
                <w:color w:val="auto"/>
              </w:rPr>
            </w:pPr>
          </w:p>
        </w:tc>
      </w:tr>
      <w:tr>
        <w:trPr>
          <w:trHeight w:val="196"/>
        </w:trPr>
        <w:tc>
          <w:tcPr>
            <w:tcW w:w="724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Cash provided by operations</w:t>
            </w:r>
          </w:p>
        </w:tc>
        <w:tc>
          <w:tcPr>
            <w:tcW w:w="8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5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83,432</w:t>
            </w:r>
          </w:p>
        </w:tc>
        <w:tc>
          <w:tcPr>
            <w:tcW w:w="280" w:type="dxa"/>
            <w:vAlign w:val="bottom"/>
            <w:shd w:val="clear" w:color="auto" w:fill="E5FFFF"/>
          </w:tcPr>
          <w:p>
            <w:pPr>
              <w:spacing w:after="0"/>
              <w:rPr>
                <w:sz w:val="17"/>
                <w:szCs w:val="17"/>
                <w:color w:val="auto"/>
              </w:rPr>
            </w:pPr>
          </w:p>
        </w:tc>
        <w:tc>
          <w:tcPr>
            <w:tcW w:w="15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100,181</w:t>
            </w:r>
          </w:p>
        </w:tc>
        <w:tc>
          <w:tcPr>
            <w:tcW w:w="100" w:type="dxa"/>
            <w:vAlign w:val="bottom"/>
            <w:shd w:val="clear" w:color="auto" w:fill="E5FFFF"/>
          </w:tcPr>
          <w:p>
            <w:pPr>
              <w:spacing w:after="0"/>
              <w:rPr>
                <w:sz w:val="17"/>
                <w:szCs w:val="17"/>
                <w:color w:val="auto"/>
              </w:rPr>
            </w:pPr>
          </w:p>
        </w:tc>
      </w:tr>
      <w:tr>
        <w:trPr>
          <w:trHeight w:val="196"/>
        </w:trPr>
        <w:tc>
          <w:tcPr>
            <w:tcW w:w="7240" w:type="dxa"/>
            <w:vAlign w:val="bottom"/>
            <w:tcBorders>
              <w:bottom w:val="single" w:sz="8" w:color="E5FFFF"/>
            </w:tcBorders>
          </w:tcPr>
          <w:p>
            <w:pPr>
              <w:spacing w:after="0"/>
              <w:rPr>
                <w:sz w:val="20"/>
                <w:szCs w:val="20"/>
                <w:color w:val="auto"/>
              </w:rPr>
            </w:pPr>
            <w:r>
              <w:rPr>
                <w:rFonts w:ascii="Arial" w:cs="Arial" w:eastAsia="Arial" w:hAnsi="Arial"/>
                <w:sz w:val="16"/>
                <w:szCs w:val="16"/>
                <w:color w:val="auto"/>
              </w:rPr>
              <w:t>Interest paid</w:t>
            </w:r>
          </w:p>
        </w:tc>
        <w:tc>
          <w:tcPr>
            <w:tcW w:w="820" w:type="dxa"/>
            <w:vAlign w:val="bottom"/>
            <w:tcBorders>
              <w:bottom w:val="single" w:sz="8" w:color="E5FFFF"/>
            </w:tcBorders>
          </w:tcPr>
          <w:p>
            <w:pPr>
              <w:spacing w:after="0"/>
              <w:rPr>
                <w:sz w:val="17"/>
                <w:szCs w:val="17"/>
                <w:color w:val="auto"/>
              </w:rPr>
            </w:pPr>
          </w:p>
        </w:tc>
        <w:tc>
          <w:tcPr>
            <w:tcW w:w="120" w:type="dxa"/>
            <w:vAlign w:val="bottom"/>
            <w:tcBorders>
              <w:bottom w:val="single" w:sz="8" w:color="E5FFFF"/>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(40,154)</w:t>
            </w:r>
          </w:p>
        </w:tc>
        <w:tc>
          <w:tcPr>
            <w:tcW w:w="280" w:type="dxa"/>
            <w:vAlign w:val="bottom"/>
            <w:tcBorders>
              <w:bottom w:val="single" w:sz="8" w:color="E5FFFF"/>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(57,467)</w:t>
            </w:r>
          </w:p>
        </w:tc>
        <w:tc>
          <w:tcPr>
            <w:tcW w:w="100" w:type="dxa"/>
            <w:vAlign w:val="bottom"/>
            <w:tcBorders>
              <w:bottom w:val="single" w:sz="8" w:color="E5FFFF"/>
            </w:tcBorders>
          </w:tcPr>
          <w:p>
            <w:pPr>
              <w:spacing w:after="0"/>
              <w:rPr>
                <w:sz w:val="17"/>
                <w:szCs w:val="17"/>
                <w:color w:val="auto"/>
              </w:rPr>
            </w:pPr>
          </w:p>
        </w:tc>
      </w:tr>
      <w:tr>
        <w:trPr>
          <w:trHeight w:val="196"/>
        </w:trPr>
        <w:tc>
          <w:tcPr>
            <w:tcW w:w="724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Net cash provided by operating activities</w:t>
            </w:r>
          </w:p>
        </w:tc>
        <w:tc>
          <w:tcPr>
            <w:tcW w:w="8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5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43,278</w:t>
            </w:r>
          </w:p>
        </w:tc>
        <w:tc>
          <w:tcPr>
            <w:tcW w:w="280" w:type="dxa"/>
            <w:vAlign w:val="bottom"/>
            <w:shd w:val="clear" w:color="auto" w:fill="E5FFFF"/>
          </w:tcPr>
          <w:p>
            <w:pPr>
              <w:spacing w:after="0"/>
              <w:rPr>
                <w:sz w:val="17"/>
                <w:szCs w:val="17"/>
                <w:color w:val="auto"/>
              </w:rPr>
            </w:pPr>
          </w:p>
        </w:tc>
        <w:tc>
          <w:tcPr>
            <w:tcW w:w="15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42,714</w:t>
            </w:r>
          </w:p>
        </w:tc>
        <w:tc>
          <w:tcPr>
            <w:tcW w:w="100" w:type="dxa"/>
            <w:vAlign w:val="bottom"/>
            <w:shd w:val="clear" w:color="auto" w:fill="E5FFFF"/>
          </w:tcPr>
          <w:p>
            <w:pPr>
              <w:spacing w:after="0"/>
              <w:rPr>
                <w:sz w:val="17"/>
                <w:szCs w:val="17"/>
                <w:color w:val="auto"/>
              </w:rPr>
            </w:pPr>
          </w:p>
        </w:tc>
      </w:tr>
      <w:tr>
        <w:trPr>
          <w:trHeight w:val="183"/>
        </w:trPr>
        <w:tc>
          <w:tcPr>
            <w:tcW w:w="7240" w:type="dxa"/>
            <w:vAlign w:val="bottom"/>
          </w:tcPr>
          <w:p>
            <w:pPr>
              <w:spacing w:after="0" w:line="183" w:lineRule="exact"/>
              <w:rPr>
                <w:sz w:val="20"/>
                <w:szCs w:val="20"/>
                <w:color w:val="auto"/>
              </w:rPr>
            </w:pPr>
            <w:r>
              <w:rPr>
                <w:rFonts w:ascii="Arial" w:cs="Arial" w:eastAsia="Arial" w:hAnsi="Arial"/>
                <w:sz w:val="16"/>
                <w:szCs w:val="16"/>
                <w:b w:val="1"/>
                <w:bCs w:val="1"/>
                <w:color w:val="auto"/>
              </w:rPr>
              <w:t>Cash flows from investing activities:</w:t>
            </w: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7240" w:type="dxa"/>
            <w:vAlign w:val="bottom"/>
            <w:shd w:val="clear" w:color="auto" w:fill="E5FFFF"/>
          </w:tcPr>
          <w:p>
            <w:pPr>
              <w:spacing w:after="0"/>
              <w:rPr>
                <w:sz w:val="20"/>
                <w:szCs w:val="20"/>
                <w:color w:val="auto"/>
              </w:rPr>
            </w:pPr>
            <w:r>
              <w:rPr>
                <w:rFonts w:ascii="Arial" w:cs="Arial" w:eastAsia="Arial" w:hAnsi="Arial"/>
                <w:sz w:val="16"/>
                <w:szCs w:val="16"/>
                <w:color w:val="auto"/>
              </w:rPr>
              <w:t>Payments for tangible fixed assets and vessels under construction</w:t>
            </w:r>
          </w:p>
        </w:tc>
        <w:tc>
          <w:tcPr>
            <w:tcW w:w="8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780" w:type="dxa"/>
            <w:vAlign w:val="bottom"/>
            <w:gridSpan w:val="2"/>
            <w:shd w:val="clear" w:color="auto" w:fill="E5FFFF"/>
          </w:tcPr>
          <w:p>
            <w:pPr>
              <w:jc w:val="right"/>
              <w:ind w:right="240"/>
              <w:spacing w:after="0"/>
              <w:rPr>
                <w:sz w:val="20"/>
                <w:szCs w:val="20"/>
                <w:color w:val="auto"/>
              </w:rPr>
            </w:pPr>
            <w:r>
              <w:rPr>
                <w:rFonts w:ascii="Arial" w:cs="Arial" w:eastAsia="Arial" w:hAnsi="Arial"/>
                <w:sz w:val="16"/>
                <w:szCs w:val="16"/>
                <w:color w:val="auto"/>
              </w:rPr>
              <w:t>(547,021)</w:t>
            </w:r>
          </w:p>
        </w:tc>
        <w:tc>
          <w:tcPr>
            <w:tcW w:w="1600" w:type="dxa"/>
            <w:vAlign w:val="bottom"/>
            <w:gridSpan w:val="2"/>
            <w:shd w:val="clear" w:color="auto" w:fill="E5FFFF"/>
          </w:tcPr>
          <w:p>
            <w:pPr>
              <w:jc w:val="right"/>
              <w:ind w:right="40"/>
              <w:spacing w:after="0"/>
              <w:rPr>
                <w:sz w:val="20"/>
                <w:szCs w:val="20"/>
                <w:color w:val="auto"/>
              </w:rPr>
            </w:pPr>
            <w:r>
              <w:rPr>
                <w:rFonts w:ascii="Arial" w:cs="Arial" w:eastAsia="Arial" w:hAnsi="Arial"/>
                <w:sz w:val="16"/>
                <w:szCs w:val="16"/>
                <w:color w:val="auto"/>
              </w:rPr>
              <w:t>(220,549)</w:t>
            </w:r>
          </w:p>
        </w:tc>
      </w:tr>
      <w:tr>
        <w:trPr>
          <w:trHeight w:val="203"/>
        </w:trPr>
        <w:tc>
          <w:tcPr>
            <w:tcW w:w="7240" w:type="dxa"/>
            <w:vAlign w:val="bottom"/>
          </w:tcPr>
          <w:p>
            <w:pPr>
              <w:spacing w:after="0"/>
              <w:rPr>
                <w:sz w:val="20"/>
                <w:szCs w:val="20"/>
                <w:color w:val="auto"/>
              </w:rPr>
            </w:pPr>
            <w:r>
              <w:rPr>
                <w:rFonts w:ascii="Arial" w:cs="Arial" w:eastAsia="Arial" w:hAnsi="Arial"/>
                <w:sz w:val="16"/>
                <w:szCs w:val="16"/>
                <w:color w:val="auto"/>
              </w:rPr>
              <w:t>Return of capital expenditures</w:t>
            </w: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7"/>
                <w:szCs w:val="17"/>
                <w:color w:val="auto"/>
              </w:rPr>
            </w:pPr>
          </w:p>
        </w:tc>
        <w:tc>
          <w:tcPr>
            <w:tcW w:w="17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600" w:type="dxa"/>
            <w:vAlign w:val="bottom"/>
            <w:gridSpan w:val="2"/>
          </w:tcPr>
          <w:p>
            <w:pPr>
              <w:jc w:val="right"/>
              <w:ind w:right="100"/>
              <w:spacing w:after="0"/>
              <w:rPr>
                <w:sz w:val="20"/>
                <w:szCs w:val="20"/>
                <w:color w:val="auto"/>
              </w:rPr>
            </w:pPr>
            <w:r>
              <w:rPr>
                <w:rFonts w:ascii="Arial" w:cs="Arial" w:eastAsia="Arial" w:hAnsi="Arial"/>
                <w:sz w:val="16"/>
                <w:szCs w:val="16"/>
                <w:color w:val="auto"/>
              </w:rPr>
              <w:t>5,629</w:t>
            </w:r>
          </w:p>
        </w:tc>
      </w:tr>
      <w:tr>
        <w:trPr>
          <w:trHeight w:val="203"/>
        </w:trPr>
        <w:tc>
          <w:tcPr>
            <w:tcW w:w="7240" w:type="dxa"/>
            <w:vAlign w:val="bottom"/>
            <w:shd w:val="clear" w:color="auto" w:fill="E5FFFF"/>
          </w:tcPr>
          <w:p>
            <w:pPr>
              <w:spacing w:after="0"/>
              <w:rPr>
                <w:sz w:val="20"/>
                <w:szCs w:val="20"/>
                <w:color w:val="auto"/>
              </w:rPr>
            </w:pPr>
            <w:r>
              <w:rPr>
                <w:rFonts w:ascii="Arial" w:cs="Arial" w:eastAsia="Arial" w:hAnsi="Arial"/>
                <w:sz w:val="16"/>
                <w:szCs w:val="16"/>
                <w:color w:val="auto"/>
              </w:rPr>
              <w:t>Dividends received from associate</w:t>
            </w:r>
          </w:p>
        </w:tc>
        <w:tc>
          <w:tcPr>
            <w:tcW w:w="8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78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125</w:t>
            </w:r>
          </w:p>
        </w:tc>
        <w:tc>
          <w:tcPr>
            <w:tcW w:w="160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538</w:t>
            </w:r>
          </w:p>
        </w:tc>
      </w:tr>
      <w:tr>
        <w:trPr>
          <w:trHeight w:val="203"/>
        </w:trPr>
        <w:tc>
          <w:tcPr>
            <w:tcW w:w="7240" w:type="dxa"/>
            <w:vAlign w:val="bottom"/>
          </w:tcPr>
          <w:p>
            <w:pPr>
              <w:spacing w:after="0"/>
              <w:rPr>
                <w:sz w:val="20"/>
                <w:szCs w:val="20"/>
                <w:color w:val="auto"/>
              </w:rPr>
            </w:pPr>
            <w:r>
              <w:rPr>
                <w:rFonts w:ascii="Arial" w:cs="Arial" w:eastAsia="Arial" w:hAnsi="Arial"/>
                <w:sz w:val="16"/>
                <w:szCs w:val="16"/>
                <w:color w:val="auto"/>
              </w:rPr>
              <w:t>Purchase of short-term investments</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80" w:type="dxa"/>
            <w:vAlign w:val="bottom"/>
            <w:gridSpan w:val="2"/>
          </w:tcPr>
          <w:p>
            <w:pPr>
              <w:jc w:val="right"/>
              <w:ind w:right="240"/>
              <w:spacing w:after="0"/>
              <w:rPr>
                <w:sz w:val="20"/>
                <w:szCs w:val="20"/>
                <w:color w:val="auto"/>
              </w:rPr>
            </w:pPr>
            <w:r>
              <w:rPr>
                <w:rFonts w:ascii="Arial" w:cs="Arial" w:eastAsia="Arial" w:hAnsi="Arial"/>
                <w:sz w:val="16"/>
                <w:szCs w:val="16"/>
                <w:color w:val="auto"/>
              </w:rPr>
              <w:t>(10,000)</w:t>
            </w:r>
          </w:p>
        </w:tc>
        <w:tc>
          <w:tcPr>
            <w:tcW w:w="1600" w:type="dxa"/>
            <w:vAlign w:val="bottom"/>
            <w:gridSpan w:val="2"/>
          </w:tcPr>
          <w:p>
            <w:pPr>
              <w:jc w:val="right"/>
              <w:ind w:right="40"/>
              <w:spacing w:after="0"/>
              <w:rPr>
                <w:sz w:val="20"/>
                <w:szCs w:val="20"/>
                <w:color w:val="auto"/>
              </w:rPr>
            </w:pPr>
            <w:r>
              <w:rPr>
                <w:rFonts w:ascii="Arial" w:cs="Arial" w:eastAsia="Arial" w:hAnsi="Arial"/>
                <w:sz w:val="16"/>
                <w:szCs w:val="16"/>
                <w:color w:val="auto"/>
              </w:rPr>
              <w:t>(10,000)</w:t>
            </w:r>
          </w:p>
        </w:tc>
      </w:tr>
      <w:tr>
        <w:trPr>
          <w:trHeight w:val="202"/>
        </w:trPr>
        <w:tc>
          <w:tcPr>
            <w:tcW w:w="7240" w:type="dxa"/>
            <w:vAlign w:val="bottom"/>
            <w:shd w:val="clear" w:color="auto" w:fill="E5FFFF"/>
          </w:tcPr>
          <w:p>
            <w:pPr>
              <w:spacing w:after="0"/>
              <w:rPr>
                <w:sz w:val="20"/>
                <w:szCs w:val="20"/>
                <w:color w:val="auto"/>
              </w:rPr>
            </w:pPr>
            <w:r>
              <w:rPr>
                <w:rFonts w:ascii="Arial" w:cs="Arial" w:eastAsia="Arial" w:hAnsi="Arial"/>
                <w:sz w:val="16"/>
                <w:szCs w:val="16"/>
                <w:color w:val="auto"/>
              </w:rPr>
              <w:t>Maturity of short-term investments</w:t>
            </w:r>
          </w:p>
        </w:tc>
        <w:tc>
          <w:tcPr>
            <w:tcW w:w="8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78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w:t>
            </w:r>
          </w:p>
        </w:tc>
        <w:tc>
          <w:tcPr>
            <w:tcW w:w="160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25,000</w:t>
            </w:r>
          </w:p>
        </w:tc>
      </w:tr>
      <w:tr>
        <w:trPr>
          <w:trHeight w:val="203"/>
        </w:trPr>
        <w:tc>
          <w:tcPr>
            <w:tcW w:w="7240" w:type="dxa"/>
            <w:vAlign w:val="bottom"/>
          </w:tcPr>
          <w:p>
            <w:pPr>
              <w:spacing w:after="0"/>
              <w:rPr>
                <w:sz w:val="20"/>
                <w:szCs w:val="20"/>
                <w:color w:val="auto"/>
              </w:rPr>
            </w:pPr>
            <w:r>
              <w:rPr>
                <w:rFonts w:ascii="Arial" w:cs="Arial" w:eastAsia="Arial" w:hAnsi="Arial"/>
                <w:sz w:val="16"/>
                <w:szCs w:val="16"/>
                <w:color w:val="auto"/>
              </w:rPr>
              <w:t>Restricted cash</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80" w:type="dxa"/>
            <w:vAlign w:val="bottom"/>
            <w:gridSpan w:val="2"/>
          </w:tcPr>
          <w:p>
            <w:pPr>
              <w:jc w:val="right"/>
              <w:ind w:right="240"/>
              <w:spacing w:after="0"/>
              <w:rPr>
                <w:sz w:val="20"/>
                <w:szCs w:val="20"/>
                <w:color w:val="auto"/>
              </w:rPr>
            </w:pPr>
            <w:r>
              <w:rPr>
                <w:rFonts w:ascii="Arial" w:cs="Arial" w:eastAsia="Arial" w:hAnsi="Arial"/>
                <w:sz w:val="16"/>
                <w:szCs w:val="16"/>
                <w:color w:val="auto"/>
              </w:rPr>
              <w:t>(4,915)</w:t>
            </w:r>
          </w:p>
        </w:tc>
        <w:tc>
          <w:tcPr>
            <w:tcW w:w="16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03"/>
        </w:trPr>
        <w:tc>
          <w:tcPr>
            <w:tcW w:w="7240" w:type="dxa"/>
            <w:vAlign w:val="bottom"/>
            <w:shd w:val="clear" w:color="auto" w:fill="E5FFFF"/>
          </w:tcPr>
          <w:p>
            <w:pPr>
              <w:spacing w:after="0"/>
              <w:rPr>
                <w:sz w:val="20"/>
                <w:szCs w:val="20"/>
                <w:color w:val="auto"/>
              </w:rPr>
            </w:pPr>
            <w:r>
              <w:rPr>
                <w:rFonts w:ascii="Arial" w:cs="Arial" w:eastAsia="Arial" w:hAnsi="Arial"/>
                <w:sz w:val="16"/>
                <w:szCs w:val="16"/>
                <w:color w:val="auto"/>
              </w:rPr>
              <w:t>Financial income received</w:t>
            </w:r>
          </w:p>
        </w:tc>
        <w:tc>
          <w:tcPr>
            <w:tcW w:w="8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78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874</w:t>
            </w:r>
          </w:p>
        </w:tc>
        <w:tc>
          <w:tcPr>
            <w:tcW w:w="160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1,363</w:t>
            </w:r>
          </w:p>
        </w:tc>
      </w:tr>
      <w:tr>
        <w:trPr>
          <w:trHeight w:val="196"/>
        </w:trPr>
        <w:tc>
          <w:tcPr>
            <w:tcW w:w="724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Net cash used in investing activities</w:t>
            </w:r>
          </w:p>
        </w:tc>
        <w:tc>
          <w:tcPr>
            <w:tcW w:w="820" w:type="dxa"/>
            <w:vAlign w:val="bottom"/>
            <w:tcBorders>
              <w:bottom w:val="single" w:sz="8" w:color="E5FFFF"/>
            </w:tcBorders>
          </w:tcPr>
          <w:p>
            <w:pPr>
              <w:spacing w:after="0"/>
              <w:rPr>
                <w:sz w:val="17"/>
                <w:szCs w:val="17"/>
                <w:color w:val="auto"/>
              </w:rPr>
            </w:pPr>
          </w:p>
        </w:tc>
        <w:tc>
          <w:tcPr>
            <w:tcW w:w="120" w:type="dxa"/>
            <w:vAlign w:val="bottom"/>
            <w:tcBorders>
              <w:bottom w:val="single" w:sz="8" w:color="E5FFFF"/>
            </w:tcBorders>
          </w:tcPr>
          <w:p>
            <w:pPr>
              <w:spacing w:after="0"/>
              <w:rPr>
                <w:sz w:val="17"/>
                <w:szCs w:val="17"/>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(560,937)</w:t>
            </w:r>
          </w:p>
        </w:tc>
        <w:tc>
          <w:tcPr>
            <w:tcW w:w="280" w:type="dxa"/>
            <w:vAlign w:val="bottom"/>
            <w:tcBorders>
              <w:bottom w:val="single" w:sz="8" w:color="E5FFFF"/>
            </w:tcBorders>
          </w:tcPr>
          <w:p>
            <w:pPr>
              <w:spacing w:after="0"/>
              <w:rPr>
                <w:sz w:val="17"/>
                <w:szCs w:val="17"/>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(198,019)</w:t>
            </w:r>
          </w:p>
        </w:tc>
        <w:tc>
          <w:tcPr>
            <w:tcW w:w="100" w:type="dxa"/>
            <w:vAlign w:val="bottom"/>
            <w:tcBorders>
              <w:bottom w:val="single" w:sz="8" w:color="E5FFFF"/>
            </w:tcBorders>
          </w:tcPr>
          <w:p>
            <w:pPr>
              <w:spacing w:after="0"/>
              <w:rPr>
                <w:sz w:val="17"/>
                <w:szCs w:val="17"/>
                <w:color w:val="auto"/>
              </w:rPr>
            </w:pPr>
          </w:p>
        </w:tc>
      </w:tr>
      <w:tr>
        <w:trPr>
          <w:trHeight w:val="183"/>
        </w:trPr>
        <w:tc>
          <w:tcPr>
            <w:tcW w:w="7240" w:type="dxa"/>
            <w:vAlign w:val="bottom"/>
            <w:shd w:val="clear" w:color="auto" w:fill="E5FFFF"/>
          </w:tcPr>
          <w:p>
            <w:pPr>
              <w:spacing w:after="0" w:line="183" w:lineRule="exact"/>
              <w:rPr>
                <w:sz w:val="20"/>
                <w:szCs w:val="20"/>
                <w:color w:val="auto"/>
              </w:rPr>
            </w:pPr>
            <w:r>
              <w:rPr>
                <w:rFonts w:ascii="Arial" w:cs="Arial" w:eastAsia="Arial" w:hAnsi="Arial"/>
                <w:sz w:val="16"/>
                <w:szCs w:val="16"/>
                <w:b w:val="1"/>
                <w:bCs w:val="1"/>
                <w:color w:val="auto"/>
              </w:rPr>
              <w:t>Cash flows from financing activities:</w:t>
            </w:r>
          </w:p>
        </w:tc>
        <w:tc>
          <w:tcPr>
            <w:tcW w:w="820" w:type="dxa"/>
            <w:vAlign w:val="bottom"/>
            <w:shd w:val="clear" w:color="auto" w:fill="E5FFFF"/>
          </w:tcPr>
          <w:p>
            <w:pPr>
              <w:spacing w:after="0"/>
              <w:rPr>
                <w:sz w:val="15"/>
                <w:szCs w:val="15"/>
                <w:color w:val="auto"/>
              </w:rPr>
            </w:pPr>
          </w:p>
        </w:tc>
        <w:tc>
          <w:tcPr>
            <w:tcW w:w="120" w:type="dxa"/>
            <w:vAlign w:val="bottom"/>
            <w:shd w:val="clear" w:color="auto" w:fill="E5FFFF"/>
          </w:tcPr>
          <w:p>
            <w:pPr>
              <w:spacing w:after="0"/>
              <w:rPr>
                <w:sz w:val="15"/>
                <w:szCs w:val="15"/>
                <w:color w:val="auto"/>
              </w:rPr>
            </w:pPr>
          </w:p>
        </w:tc>
        <w:tc>
          <w:tcPr>
            <w:tcW w:w="1500" w:type="dxa"/>
            <w:vAlign w:val="bottom"/>
            <w:shd w:val="clear" w:color="auto" w:fill="E5FFFF"/>
          </w:tcPr>
          <w:p>
            <w:pPr>
              <w:spacing w:after="0"/>
              <w:rPr>
                <w:sz w:val="15"/>
                <w:szCs w:val="15"/>
                <w:color w:val="auto"/>
              </w:rPr>
            </w:pPr>
          </w:p>
        </w:tc>
        <w:tc>
          <w:tcPr>
            <w:tcW w:w="280" w:type="dxa"/>
            <w:vAlign w:val="bottom"/>
            <w:shd w:val="clear" w:color="auto" w:fill="E5FFFF"/>
          </w:tcPr>
          <w:p>
            <w:pPr>
              <w:spacing w:after="0"/>
              <w:rPr>
                <w:sz w:val="15"/>
                <w:szCs w:val="15"/>
                <w:color w:val="auto"/>
              </w:rPr>
            </w:pPr>
          </w:p>
        </w:tc>
        <w:tc>
          <w:tcPr>
            <w:tcW w:w="1500" w:type="dxa"/>
            <w:vAlign w:val="bottom"/>
            <w:shd w:val="clear" w:color="auto" w:fill="E5FFFF"/>
          </w:tcPr>
          <w:p>
            <w:pPr>
              <w:spacing w:after="0"/>
              <w:rPr>
                <w:sz w:val="15"/>
                <w:szCs w:val="15"/>
                <w:color w:val="auto"/>
              </w:rPr>
            </w:pPr>
          </w:p>
        </w:tc>
        <w:tc>
          <w:tcPr>
            <w:tcW w:w="100" w:type="dxa"/>
            <w:vAlign w:val="bottom"/>
            <w:shd w:val="clear" w:color="auto" w:fill="E5FFFF"/>
          </w:tcPr>
          <w:p>
            <w:pPr>
              <w:spacing w:after="0"/>
              <w:rPr>
                <w:sz w:val="15"/>
                <w:szCs w:val="15"/>
                <w:color w:val="auto"/>
              </w:rPr>
            </w:pPr>
          </w:p>
        </w:tc>
      </w:tr>
      <w:tr>
        <w:trPr>
          <w:trHeight w:val="203"/>
        </w:trPr>
        <w:tc>
          <w:tcPr>
            <w:tcW w:w="7240" w:type="dxa"/>
            <w:vAlign w:val="bottom"/>
          </w:tcPr>
          <w:p>
            <w:pPr>
              <w:spacing w:after="0"/>
              <w:rPr>
                <w:sz w:val="20"/>
                <w:szCs w:val="20"/>
                <w:color w:val="auto"/>
              </w:rPr>
            </w:pPr>
            <w:r>
              <w:rPr>
                <w:rFonts w:ascii="Arial" w:cs="Arial" w:eastAsia="Arial" w:hAnsi="Arial"/>
                <w:sz w:val="16"/>
                <w:szCs w:val="16"/>
                <w:color w:val="auto"/>
              </w:rPr>
              <w:t>Proceeds from bank loans and bonds</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80" w:type="dxa"/>
            <w:vAlign w:val="bottom"/>
            <w:gridSpan w:val="2"/>
          </w:tcPr>
          <w:p>
            <w:pPr>
              <w:jc w:val="right"/>
              <w:ind w:right="280"/>
              <w:spacing w:after="0"/>
              <w:rPr>
                <w:sz w:val="20"/>
                <w:szCs w:val="20"/>
                <w:color w:val="auto"/>
              </w:rPr>
            </w:pPr>
            <w:r>
              <w:rPr>
                <w:rFonts w:ascii="Arial" w:cs="Arial" w:eastAsia="Arial" w:hAnsi="Arial"/>
                <w:sz w:val="16"/>
                <w:szCs w:val="16"/>
                <w:color w:val="auto"/>
              </w:rPr>
              <w:t>498,225</w:t>
            </w:r>
          </w:p>
        </w:tc>
        <w:tc>
          <w:tcPr>
            <w:tcW w:w="1600" w:type="dxa"/>
            <w:vAlign w:val="bottom"/>
            <w:gridSpan w:val="2"/>
          </w:tcPr>
          <w:p>
            <w:pPr>
              <w:jc w:val="right"/>
              <w:ind w:right="100"/>
              <w:spacing w:after="0"/>
              <w:rPr>
                <w:sz w:val="20"/>
                <w:szCs w:val="20"/>
                <w:color w:val="auto"/>
              </w:rPr>
            </w:pPr>
            <w:r>
              <w:rPr>
                <w:rFonts w:ascii="Arial" w:cs="Arial" w:eastAsia="Arial" w:hAnsi="Arial"/>
                <w:sz w:val="16"/>
                <w:szCs w:val="16"/>
                <w:color w:val="auto"/>
              </w:rPr>
              <w:t>525,805</w:t>
            </w:r>
          </w:p>
        </w:tc>
      </w:tr>
      <w:tr>
        <w:trPr>
          <w:trHeight w:val="203"/>
        </w:trPr>
        <w:tc>
          <w:tcPr>
            <w:tcW w:w="7240" w:type="dxa"/>
            <w:vAlign w:val="bottom"/>
            <w:shd w:val="clear" w:color="auto" w:fill="E5FFFF"/>
          </w:tcPr>
          <w:p>
            <w:pPr>
              <w:spacing w:after="0"/>
              <w:rPr>
                <w:sz w:val="20"/>
                <w:szCs w:val="20"/>
                <w:color w:val="auto"/>
              </w:rPr>
            </w:pPr>
            <w:r>
              <w:rPr>
                <w:rFonts w:ascii="Arial" w:cs="Arial" w:eastAsia="Arial" w:hAnsi="Arial"/>
                <w:sz w:val="16"/>
                <w:szCs w:val="16"/>
                <w:color w:val="auto"/>
              </w:rPr>
              <w:t>Bank loan repayments</w:t>
            </w:r>
          </w:p>
        </w:tc>
        <w:tc>
          <w:tcPr>
            <w:tcW w:w="8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780" w:type="dxa"/>
            <w:vAlign w:val="bottom"/>
            <w:gridSpan w:val="2"/>
            <w:shd w:val="clear" w:color="auto" w:fill="E5FFFF"/>
          </w:tcPr>
          <w:p>
            <w:pPr>
              <w:jc w:val="right"/>
              <w:ind w:right="240"/>
              <w:spacing w:after="0"/>
              <w:rPr>
                <w:sz w:val="20"/>
                <w:szCs w:val="20"/>
                <w:color w:val="auto"/>
              </w:rPr>
            </w:pPr>
            <w:r>
              <w:rPr>
                <w:rFonts w:ascii="Arial" w:cs="Arial" w:eastAsia="Arial" w:hAnsi="Arial"/>
                <w:sz w:val="16"/>
                <w:szCs w:val="16"/>
                <w:color w:val="auto"/>
              </w:rPr>
              <w:t>(83,938)</w:t>
            </w:r>
          </w:p>
        </w:tc>
        <w:tc>
          <w:tcPr>
            <w:tcW w:w="1600" w:type="dxa"/>
            <w:vAlign w:val="bottom"/>
            <w:gridSpan w:val="2"/>
            <w:shd w:val="clear" w:color="auto" w:fill="E5FFFF"/>
          </w:tcPr>
          <w:p>
            <w:pPr>
              <w:jc w:val="right"/>
              <w:ind w:right="40"/>
              <w:spacing w:after="0"/>
              <w:rPr>
                <w:sz w:val="20"/>
                <w:szCs w:val="20"/>
                <w:color w:val="auto"/>
              </w:rPr>
            </w:pPr>
            <w:r>
              <w:rPr>
                <w:rFonts w:ascii="Arial" w:cs="Arial" w:eastAsia="Arial" w:hAnsi="Arial"/>
                <w:sz w:val="16"/>
                <w:szCs w:val="16"/>
                <w:color w:val="auto"/>
              </w:rPr>
              <w:t>(426,208)</w:t>
            </w:r>
          </w:p>
        </w:tc>
      </w:tr>
      <w:tr>
        <w:trPr>
          <w:trHeight w:val="203"/>
        </w:trPr>
        <w:tc>
          <w:tcPr>
            <w:tcW w:w="7240" w:type="dxa"/>
            <w:vAlign w:val="bottom"/>
          </w:tcPr>
          <w:p>
            <w:pPr>
              <w:spacing w:after="0"/>
              <w:rPr>
                <w:sz w:val="20"/>
                <w:szCs w:val="20"/>
                <w:color w:val="auto"/>
              </w:rPr>
            </w:pPr>
            <w:r>
              <w:rPr>
                <w:rFonts w:ascii="Arial" w:cs="Arial" w:eastAsia="Arial" w:hAnsi="Arial"/>
                <w:sz w:val="16"/>
                <w:szCs w:val="16"/>
                <w:color w:val="auto"/>
              </w:rPr>
              <w:t>Payment of loan issuance costs</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80" w:type="dxa"/>
            <w:vAlign w:val="bottom"/>
            <w:gridSpan w:val="2"/>
          </w:tcPr>
          <w:p>
            <w:pPr>
              <w:jc w:val="right"/>
              <w:ind w:right="240"/>
              <w:spacing w:after="0"/>
              <w:rPr>
                <w:sz w:val="20"/>
                <w:szCs w:val="20"/>
                <w:color w:val="auto"/>
              </w:rPr>
            </w:pPr>
            <w:r>
              <w:rPr>
                <w:rFonts w:ascii="Arial" w:cs="Arial" w:eastAsia="Arial" w:hAnsi="Arial"/>
                <w:sz w:val="16"/>
                <w:szCs w:val="16"/>
                <w:color w:val="auto"/>
              </w:rPr>
              <w:t>(6,753)</w:t>
            </w:r>
          </w:p>
        </w:tc>
        <w:tc>
          <w:tcPr>
            <w:tcW w:w="1600" w:type="dxa"/>
            <w:vAlign w:val="bottom"/>
            <w:gridSpan w:val="2"/>
          </w:tcPr>
          <w:p>
            <w:pPr>
              <w:jc w:val="right"/>
              <w:ind w:right="40"/>
              <w:spacing w:after="0"/>
              <w:rPr>
                <w:sz w:val="20"/>
                <w:szCs w:val="20"/>
                <w:color w:val="auto"/>
              </w:rPr>
            </w:pPr>
            <w:r>
              <w:rPr>
                <w:rFonts w:ascii="Arial" w:cs="Arial" w:eastAsia="Arial" w:hAnsi="Arial"/>
                <w:sz w:val="16"/>
                <w:szCs w:val="16"/>
                <w:color w:val="auto"/>
              </w:rPr>
              <w:t>(7,780)</w:t>
            </w:r>
          </w:p>
        </w:tc>
      </w:tr>
      <w:tr>
        <w:trPr>
          <w:trHeight w:val="193"/>
        </w:trPr>
        <w:tc>
          <w:tcPr>
            <w:tcW w:w="7240" w:type="dxa"/>
            <w:vAlign w:val="bottom"/>
            <w:shd w:val="clear" w:color="auto" w:fill="E5FFFF"/>
          </w:tcPr>
          <w:p>
            <w:pPr>
              <w:spacing w:after="0"/>
              <w:rPr>
                <w:sz w:val="20"/>
                <w:szCs w:val="20"/>
                <w:color w:val="auto"/>
              </w:rPr>
            </w:pPr>
            <w:r>
              <w:rPr>
                <w:rFonts w:ascii="Arial" w:cs="Arial" w:eastAsia="Arial" w:hAnsi="Arial"/>
                <w:sz w:val="16"/>
                <w:szCs w:val="16"/>
                <w:color w:val="auto"/>
              </w:rPr>
              <w:t>Proceeds from GasLog Partners’ public common unit offerings (net of underwriting discounts and</w:t>
            </w:r>
          </w:p>
        </w:tc>
        <w:tc>
          <w:tcPr>
            <w:tcW w:w="820" w:type="dxa"/>
            <w:vAlign w:val="bottom"/>
            <w:shd w:val="clear" w:color="auto" w:fill="E5FFFF"/>
          </w:tcPr>
          <w:p>
            <w:pPr>
              <w:spacing w:after="0"/>
              <w:rPr>
                <w:sz w:val="16"/>
                <w:szCs w:val="16"/>
                <w:color w:val="auto"/>
              </w:rPr>
            </w:pPr>
          </w:p>
        </w:tc>
        <w:tc>
          <w:tcPr>
            <w:tcW w:w="120" w:type="dxa"/>
            <w:vAlign w:val="bottom"/>
            <w:shd w:val="clear" w:color="auto" w:fill="E5FFFF"/>
          </w:tcPr>
          <w:p>
            <w:pPr>
              <w:spacing w:after="0"/>
              <w:rPr>
                <w:sz w:val="16"/>
                <w:szCs w:val="16"/>
                <w:color w:val="auto"/>
              </w:rPr>
            </w:pPr>
          </w:p>
        </w:tc>
        <w:tc>
          <w:tcPr>
            <w:tcW w:w="1500" w:type="dxa"/>
            <w:vAlign w:val="bottom"/>
            <w:shd w:val="clear" w:color="auto" w:fill="E5FFFF"/>
          </w:tcPr>
          <w:p>
            <w:pPr>
              <w:spacing w:after="0"/>
              <w:rPr>
                <w:sz w:val="16"/>
                <w:szCs w:val="16"/>
                <w:color w:val="auto"/>
              </w:rPr>
            </w:pPr>
          </w:p>
        </w:tc>
        <w:tc>
          <w:tcPr>
            <w:tcW w:w="280" w:type="dxa"/>
            <w:vAlign w:val="bottom"/>
            <w:shd w:val="clear" w:color="auto" w:fill="E5FFFF"/>
          </w:tcPr>
          <w:p>
            <w:pPr>
              <w:spacing w:after="0"/>
              <w:rPr>
                <w:sz w:val="16"/>
                <w:szCs w:val="16"/>
                <w:color w:val="auto"/>
              </w:rPr>
            </w:pPr>
          </w:p>
        </w:tc>
        <w:tc>
          <w:tcPr>
            <w:tcW w:w="1500" w:type="dxa"/>
            <w:vAlign w:val="bottom"/>
            <w:shd w:val="clear" w:color="auto" w:fill="E5FFFF"/>
          </w:tcPr>
          <w:p>
            <w:pPr>
              <w:spacing w:after="0"/>
              <w:rPr>
                <w:sz w:val="16"/>
                <w:szCs w:val="16"/>
                <w:color w:val="auto"/>
              </w:rPr>
            </w:pPr>
          </w:p>
        </w:tc>
        <w:tc>
          <w:tcPr>
            <w:tcW w:w="100" w:type="dxa"/>
            <w:vAlign w:val="bottom"/>
            <w:shd w:val="clear" w:color="auto" w:fill="E5FFFF"/>
          </w:tcPr>
          <w:p>
            <w:pPr>
              <w:spacing w:after="0"/>
              <w:rPr>
                <w:sz w:val="16"/>
                <w:szCs w:val="16"/>
                <w:color w:val="auto"/>
              </w:rPr>
            </w:pPr>
          </w:p>
        </w:tc>
      </w:tr>
      <w:tr>
        <w:trPr>
          <w:trHeight w:val="212"/>
        </w:trPr>
        <w:tc>
          <w:tcPr>
            <w:tcW w:w="7240" w:type="dxa"/>
            <w:vAlign w:val="bottom"/>
            <w:shd w:val="clear" w:color="auto" w:fill="E5FFFF"/>
          </w:tcPr>
          <w:p>
            <w:pPr>
              <w:ind w:left="180"/>
              <w:spacing w:after="0"/>
              <w:rPr>
                <w:sz w:val="20"/>
                <w:szCs w:val="20"/>
                <w:color w:val="auto"/>
              </w:rPr>
            </w:pPr>
            <w:r>
              <w:rPr>
                <w:rFonts w:ascii="Arial" w:cs="Arial" w:eastAsia="Arial" w:hAnsi="Arial"/>
                <w:sz w:val="16"/>
                <w:szCs w:val="16"/>
                <w:color w:val="auto"/>
              </w:rPr>
              <w:t>commissions)</w:t>
            </w:r>
          </w:p>
        </w:tc>
        <w:tc>
          <w:tcPr>
            <w:tcW w:w="82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78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111,544</w:t>
            </w:r>
          </w:p>
        </w:tc>
        <w:tc>
          <w:tcPr>
            <w:tcW w:w="160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w:t>
            </w:r>
          </w:p>
        </w:tc>
      </w:tr>
      <w:tr>
        <w:trPr>
          <w:trHeight w:val="203"/>
        </w:trPr>
        <w:tc>
          <w:tcPr>
            <w:tcW w:w="7240" w:type="dxa"/>
            <w:vAlign w:val="bottom"/>
          </w:tcPr>
          <w:p>
            <w:pPr>
              <w:spacing w:after="0"/>
              <w:rPr>
                <w:sz w:val="20"/>
                <w:szCs w:val="20"/>
                <w:color w:val="auto"/>
              </w:rPr>
            </w:pPr>
            <w:r>
              <w:rPr>
                <w:rFonts w:ascii="Arial" w:cs="Arial" w:eastAsia="Arial" w:hAnsi="Arial"/>
                <w:sz w:val="16"/>
                <w:szCs w:val="16"/>
                <w:color w:val="auto"/>
              </w:rPr>
              <w:t>Payment of equity raising costs</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80" w:type="dxa"/>
            <w:vAlign w:val="bottom"/>
            <w:gridSpan w:val="2"/>
          </w:tcPr>
          <w:p>
            <w:pPr>
              <w:jc w:val="right"/>
              <w:ind w:right="240"/>
              <w:spacing w:after="0"/>
              <w:rPr>
                <w:sz w:val="20"/>
                <w:szCs w:val="20"/>
                <w:color w:val="auto"/>
              </w:rPr>
            </w:pPr>
            <w:r>
              <w:rPr>
                <w:rFonts w:ascii="Arial" w:cs="Arial" w:eastAsia="Arial" w:hAnsi="Arial"/>
                <w:sz w:val="16"/>
                <w:szCs w:val="16"/>
                <w:color w:val="auto"/>
              </w:rPr>
              <w:t>(315)</w:t>
            </w:r>
          </w:p>
        </w:tc>
        <w:tc>
          <w:tcPr>
            <w:tcW w:w="1600" w:type="dxa"/>
            <w:vAlign w:val="bottom"/>
            <w:gridSpan w:val="2"/>
          </w:tcPr>
          <w:p>
            <w:pPr>
              <w:jc w:val="right"/>
              <w:ind w:right="40"/>
              <w:spacing w:after="0"/>
              <w:rPr>
                <w:sz w:val="20"/>
                <w:szCs w:val="20"/>
                <w:color w:val="auto"/>
              </w:rPr>
            </w:pPr>
            <w:r>
              <w:rPr>
                <w:rFonts w:ascii="Arial" w:cs="Arial" w:eastAsia="Arial" w:hAnsi="Arial"/>
                <w:sz w:val="16"/>
                <w:szCs w:val="16"/>
                <w:color w:val="auto"/>
              </w:rPr>
              <w:t>(668)</w:t>
            </w:r>
          </w:p>
        </w:tc>
      </w:tr>
      <w:tr>
        <w:trPr>
          <w:trHeight w:val="203"/>
        </w:trPr>
        <w:tc>
          <w:tcPr>
            <w:tcW w:w="7240" w:type="dxa"/>
            <w:vAlign w:val="bottom"/>
            <w:shd w:val="clear" w:color="auto" w:fill="E5FFFF"/>
          </w:tcPr>
          <w:p>
            <w:pPr>
              <w:spacing w:after="0"/>
              <w:rPr>
                <w:sz w:val="20"/>
                <w:szCs w:val="20"/>
                <w:color w:val="auto"/>
              </w:rPr>
            </w:pPr>
            <w:r>
              <w:rPr>
                <w:rFonts w:ascii="Arial" w:cs="Arial" w:eastAsia="Arial" w:hAnsi="Arial"/>
                <w:sz w:val="16"/>
                <w:szCs w:val="16"/>
                <w:color w:val="auto"/>
              </w:rPr>
              <w:t>Dividends paid</w:t>
            </w:r>
          </w:p>
        </w:tc>
        <w:tc>
          <w:tcPr>
            <w:tcW w:w="8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780" w:type="dxa"/>
            <w:vAlign w:val="bottom"/>
            <w:gridSpan w:val="2"/>
            <w:shd w:val="clear" w:color="auto" w:fill="E5FFFF"/>
          </w:tcPr>
          <w:p>
            <w:pPr>
              <w:jc w:val="right"/>
              <w:ind w:right="240"/>
              <w:spacing w:after="0"/>
              <w:rPr>
                <w:sz w:val="20"/>
                <w:szCs w:val="20"/>
                <w:color w:val="auto"/>
              </w:rPr>
            </w:pPr>
            <w:r>
              <w:rPr>
                <w:rFonts w:ascii="Arial" w:cs="Arial" w:eastAsia="Arial" w:hAnsi="Arial"/>
                <w:sz w:val="16"/>
                <w:szCs w:val="16"/>
                <w:color w:val="auto"/>
              </w:rPr>
              <w:t>(34,673)</w:t>
            </w:r>
          </w:p>
        </w:tc>
        <w:tc>
          <w:tcPr>
            <w:tcW w:w="1600" w:type="dxa"/>
            <w:vAlign w:val="bottom"/>
            <w:gridSpan w:val="2"/>
            <w:shd w:val="clear" w:color="auto" w:fill="E5FFFF"/>
          </w:tcPr>
          <w:p>
            <w:pPr>
              <w:jc w:val="right"/>
              <w:ind w:right="40"/>
              <w:spacing w:after="0"/>
              <w:rPr>
                <w:sz w:val="20"/>
                <w:szCs w:val="20"/>
                <w:color w:val="auto"/>
              </w:rPr>
            </w:pPr>
            <w:r>
              <w:rPr>
                <w:rFonts w:ascii="Arial" w:cs="Arial" w:eastAsia="Arial" w:hAnsi="Arial"/>
                <w:sz w:val="16"/>
                <w:szCs w:val="16"/>
                <w:color w:val="auto"/>
              </w:rPr>
              <w:t>(41,418)</w:t>
            </w:r>
          </w:p>
        </w:tc>
      </w:tr>
      <w:tr>
        <w:trPr>
          <w:trHeight w:val="203"/>
        </w:trPr>
        <w:tc>
          <w:tcPr>
            <w:tcW w:w="7240" w:type="dxa"/>
            <w:vAlign w:val="bottom"/>
          </w:tcPr>
          <w:p>
            <w:pPr>
              <w:spacing w:after="0"/>
              <w:rPr>
                <w:sz w:val="20"/>
                <w:szCs w:val="20"/>
                <w:color w:val="auto"/>
              </w:rPr>
            </w:pPr>
            <w:r>
              <w:rPr>
                <w:rFonts w:ascii="Arial" w:cs="Arial" w:eastAsia="Arial" w:hAnsi="Arial"/>
                <w:sz w:val="16"/>
                <w:szCs w:val="16"/>
                <w:color w:val="auto"/>
              </w:rPr>
              <w:t>Purchase of treasury shares</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80" w:type="dxa"/>
            <w:vAlign w:val="bottom"/>
            <w:gridSpan w:val="2"/>
          </w:tcPr>
          <w:p>
            <w:pPr>
              <w:jc w:val="right"/>
              <w:ind w:right="240"/>
              <w:spacing w:after="0"/>
              <w:rPr>
                <w:sz w:val="20"/>
                <w:szCs w:val="20"/>
                <w:color w:val="auto"/>
              </w:rPr>
            </w:pPr>
            <w:r>
              <w:rPr>
                <w:rFonts w:ascii="Arial" w:cs="Arial" w:eastAsia="Arial" w:hAnsi="Arial"/>
                <w:sz w:val="16"/>
                <w:szCs w:val="16"/>
                <w:color w:val="auto"/>
              </w:rPr>
              <w:t>(62)</w:t>
            </w:r>
          </w:p>
        </w:tc>
        <w:tc>
          <w:tcPr>
            <w:tcW w:w="1600" w:type="dxa"/>
            <w:vAlign w:val="bottom"/>
            <w:gridSpan w:val="2"/>
          </w:tcPr>
          <w:p>
            <w:pPr>
              <w:jc w:val="right"/>
              <w:ind w:right="40"/>
              <w:spacing w:after="0"/>
              <w:rPr>
                <w:sz w:val="20"/>
                <w:szCs w:val="20"/>
                <w:color w:val="auto"/>
              </w:rPr>
            </w:pPr>
            <w:r>
              <w:rPr>
                <w:rFonts w:ascii="Arial" w:cs="Arial" w:eastAsia="Arial" w:hAnsi="Arial"/>
                <w:sz w:val="16"/>
                <w:szCs w:val="16"/>
                <w:color w:val="auto"/>
              </w:rPr>
              <w:t>(3,751)</w:t>
            </w:r>
          </w:p>
        </w:tc>
      </w:tr>
      <w:tr>
        <w:trPr>
          <w:trHeight w:val="203"/>
        </w:trPr>
        <w:tc>
          <w:tcPr>
            <w:tcW w:w="7240" w:type="dxa"/>
            <w:vAlign w:val="bottom"/>
            <w:shd w:val="clear" w:color="auto" w:fill="E5FFFF"/>
          </w:tcPr>
          <w:p>
            <w:pPr>
              <w:spacing w:after="0"/>
              <w:rPr>
                <w:sz w:val="20"/>
                <w:szCs w:val="20"/>
                <w:color w:val="auto"/>
              </w:rPr>
            </w:pPr>
            <w:r>
              <w:rPr>
                <w:rFonts w:ascii="Arial" w:cs="Arial" w:eastAsia="Arial" w:hAnsi="Arial"/>
                <w:sz w:val="16"/>
                <w:szCs w:val="16"/>
                <w:color w:val="auto"/>
              </w:rPr>
              <w:t>Payments for lease liability</w:t>
            </w:r>
          </w:p>
        </w:tc>
        <w:tc>
          <w:tcPr>
            <w:tcW w:w="8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780" w:type="dxa"/>
            <w:vAlign w:val="bottom"/>
            <w:gridSpan w:val="2"/>
            <w:shd w:val="clear" w:color="auto" w:fill="E5FFFF"/>
          </w:tcPr>
          <w:p>
            <w:pPr>
              <w:jc w:val="right"/>
              <w:ind w:right="240"/>
              <w:spacing w:after="0"/>
              <w:rPr>
                <w:sz w:val="20"/>
                <w:szCs w:val="20"/>
                <w:color w:val="auto"/>
              </w:rPr>
            </w:pPr>
            <w:r>
              <w:rPr>
                <w:rFonts w:ascii="Arial" w:cs="Arial" w:eastAsia="Arial" w:hAnsi="Arial"/>
                <w:sz w:val="16"/>
                <w:szCs w:val="16"/>
                <w:color w:val="auto"/>
              </w:rPr>
              <w:t>(1,773)</w:t>
            </w:r>
          </w:p>
        </w:tc>
        <w:tc>
          <w:tcPr>
            <w:tcW w:w="1600" w:type="dxa"/>
            <w:vAlign w:val="bottom"/>
            <w:gridSpan w:val="2"/>
            <w:shd w:val="clear" w:color="auto" w:fill="E5FFFF"/>
          </w:tcPr>
          <w:p>
            <w:pPr>
              <w:jc w:val="right"/>
              <w:ind w:right="40"/>
              <w:spacing w:after="0"/>
              <w:rPr>
                <w:sz w:val="20"/>
                <w:szCs w:val="20"/>
                <w:color w:val="auto"/>
              </w:rPr>
            </w:pPr>
            <w:r>
              <w:rPr>
                <w:rFonts w:ascii="Arial" w:cs="Arial" w:eastAsia="Arial" w:hAnsi="Arial"/>
                <w:sz w:val="16"/>
                <w:szCs w:val="16"/>
                <w:color w:val="auto"/>
              </w:rPr>
              <w:t>(2,388)</w:t>
            </w:r>
          </w:p>
        </w:tc>
      </w:tr>
      <w:tr>
        <w:trPr>
          <w:trHeight w:val="196"/>
        </w:trPr>
        <w:tc>
          <w:tcPr>
            <w:tcW w:w="724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Net cash provided by financing activities</w:t>
            </w:r>
          </w:p>
        </w:tc>
        <w:tc>
          <w:tcPr>
            <w:tcW w:w="820" w:type="dxa"/>
            <w:vAlign w:val="bottom"/>
            <w:tcBorders>
              <w:bottom w:val="single" w:sz="8" w:color="E5FFFF"/>
            </w:tcBorders>
          </w:tcPr>
          <w:p>
            <w:pPr>
              <w:spacing w:after="0"/>
              <w:rPr>
                <w:sz w:val="17"/>
                <w:szCs w:val="17"/>
                <w:color w:val="auto"/>
              </w:rPr>
            </w:pPr>
          </w:p>
        </w:tc>
        <w:tc>
          <w:tcPr>
            <w:tcW w:w="120" w:type="dxa"/>
            <w:vAlign w:val="bottom"/>
            <w:tcBorders>
              <w:bottom w:val="single" w:sz="8" w:color="E5FFFF"/>
            </w:tcBorders>
          </w:tcPr>
          <w:p>
            <w:pPr>
              <w:spacing w:after="0"/>
              <w:rPr>
                <w:sz w:val="17"/>
                <w:szCs w:val="17"/>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482,255</w:t>
            </w:r>
          </w:p>
        </w:tc>
        <w:tc>
          <w:tcPr>
            <w:tcW w:w="280" w:type="dxa"/>
            <w:vAlign w:val="bottom"/>
            <w:tcBorders>
              <w:bottom w:val="single" w:sz="8" w:color="E5FFFF"/>
            </w:tcBorders>
          </w:tcPr>
          <w:p>
            <w:pPr>
              <w:spacing w:after="0"/>
              <w:rPr>
                <w:sz w:val="17"/>
                <w:szCs w:val="17"/>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43,592</w:t>
            </w:r>
          </w:p>
        </w:tc>
        <w:tc>
          <w:tcPr>
            <w:tcW w:w="100" w:type="dxa"/>
            <w:vAlign w:val="bottom"/>
            <w:tcBorders>
              <w:bottom w:val="single" w:sz="8" w:color="E5FFFF"/>
            </w:tcBorders>
          </w:tcPr>
          <w:p>
            <w:pPr>
              <w:spacing w:after="0"/>
              <w:rPr>
                <w:sz w:val="17"/>
                <w:szCs w:val="17"/>
                <w:color w:val="auto"/>
              </w:rPr>
            </w:pPr>
          </w:p>
        </w:tc>
      </w:tr>
      <w:tr>
        <w:trPr>
          <w:trHeight w:val="196"/>
        </w:trPr>
        <w:tc>
          <w:tcPr>
            <w:tcW w:w="7240" w:type="dxa"/>
            <w:vAlign w:val="bottom"/>
            <w:shd w:val="clear" w:color="auto" w:fill="E5FFFF"/>
          </w:tcPr>
          <w:p>
            <w:pPr>
              <w:spacing w:after="0"/>
              <w:rPr>
                <w:sz w:val="20"/>
                <w:szCs w:val="20"/>
                <w:color w:val="auto"/>
              </w:rPr>
            </w:pPr>
            <w:r>
              <w:rPr>
                <w:rFonts w:ascii="Arial" w:cs="Arial" w:eastAsia="Arial" w:hAnsi="Arial"/>
                <w:sz w:val="16"/>
                <w:szCs w:val="16"/>
                <w:color w:val="auto"/>
              </w:rPr>
              <w:t>Effects of exchange rate changes on cash and cash equivalents</w:t>
            </w:r>
          </w:p>
        </w:tc>
        <w:tc>
          <w:tcPr>
            <w:tcW w:w="8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5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459</w:t>
            </w:r>
          </w:p>
        </w:tc>
        <w:tc>
          <w:tcPr>
            <w:tcW w:w="280" w:type="dxa"/>
            <w:vAlign w:val="bottom"/>
            <w:shd w:val="clear" w:color="auto" w:fill="E5FFFF"/>
          </w:tcPr>
          <w:p>
            <w:pPr>
              <w:spacing w:after="0"/>
              <w:rPr>
                <w:sz w:val="17"/>
                <w:szCs w:val="17"/>
                <w:color w:val="auto"/>
              </w:rPr>
            </w:pPr>
          </w:p>
        </w:tc>
        <w:tc>
          <w:tcPr>
            <w:tcW w:w="15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(131)</w:t>
            </w:r>
          </w:p>
        </w:tc>
        <w:tc>
          <w:tcPr>
            <w:tcW w:w="100" w:type="dxa"/>
            <w:vAlign w:val="bottom"/>
            <w:shd w:val="clear" w:color="auto" w:fill="E5FFFF"/>
          </w:tcPr>
          <w:p>
            <w:pPr>
              <w:spacing w:after="0"/>
              <w:rPr>
                <w:sz w:val="17"/>
                <w:szCs w:val="17"/>
                <w:color w:val="auto"/>
              </w:rPr>
            </w:pPr>
          </w:p>
        </w:tc>
      </w:tr>
      <w:tr>
        <w:trPr>
          <w:trHeight w:val="196"/>
        </w:trPr>
        <w:tc>
          <w:tcPr>
            <w:tcW w:w="724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Decrease in cash and cash equivalents</w:t>
            </w:r>
          </w:p>
        </w:tc>
        <w:tc>
          <w:tcPr>
            <w:tcW w:w="820" w:type="dxa"/>
            <w:vAlign w:val="bottom"/>
            <w:tcBorders>
              <w:bottom w:val="single" w:sz="8" w:color="E5FFFF"/>
            </w:tcBorders>
          </w:tcPr>
          <w:p>
            <w:pPr>
              <w:spacing w:after="0"/>
              <w:rPr>
                <w:sz w:val="17"/>
                <w:szCs w:val="17"/>
                <w:color w:val="auto"/>
              </w:rPr>
            </w:pPr>
          </w:p>
        </w:tc>
        <w:tc>
          <w:tcPr>
            <w:tcW w:w="120" w:type="dxa"/>
            <w:vAlign w:val="bottom"/>
            <w:tcBorders>
              <w:bottom w:val="single" w:sz="8" w:color="E5FFFF"/>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(34,945)</w:t>
            </w:r>
          </w:p>
        </w:tc>
        <w:tc>
          <w:tcPr>
            <w:tcW w:w="280" w:type="dxa"/>
            <w:vAlign w:val="bottom"/>
            <w:tcBorders>
              <w:bottom w:val="single" w:sz="8" w:color="E5FFFF"/>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(111,844)</w:t>
            </w:r>
          </w:p>
        </w:tc>
        <w:tc>
          <w:tcPr>
            <w:tcW w:w="100" w:type="dxa"/>
            <w:vAlign w:val="bottom"/>
            <w:tcBorders>
              <w:bottom w:val="single" w:sz="8" w:color="E5FFFF"/>
            </w:tcBorders>
          </w:tcPr>
          <w:p>
            <w:pPr>
              <w:spacing w:after="0"/>
              <w:rPr>
                <w:sz w:val="17"/>
                <w:szCs w:val="17"/>
                <w:color w:val="auto"/>
              </w:rPr>
            </w:pPr>
          </w:p>
        </w:tc>
      </w:tr>
      <w:tr>
        <w:trPr>
          <w:trHeight w:val="196"/>
        </w:trPr>
        <w:tc>
          <w:tcPr>
            <w:tcW w:w="7240" w:type="dxa"/>
            <w:vAlign w:val="bottom"/>
            <w:shd w:val="clear" w:color="auto" w:fill="E5FFFF"/>
          </w:tcPr>
          <w:p>
            <w:pPr>
              <w:spacing w:after="0"/>
              <w:rPr>
                <w:sz w:val="20"/>
                <w:szCs w:val="20"/>
                <w:color w:val="auto"/>
              </w:rPr>
            </w:pPr>
            <w:r>
              <w:rPr>
                <w:rFonts w:ascii="Arial" w:cs="Arial" w:eastAsia="Arial" w:hAnsi="Arial"/>
                <w:sz w:val="16"/>
                <w:szCs w:val="16"/>
                <w:color w:val="auto"/>
              </w:rPr>
              <w:t>Cash and cash equivalents, beginning of the period</w:t>
            </w:r>
          </w:p>
        </w:tc>
        <w:tc>
          <w:tcPr>
            <w:tcW w:w="8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5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384,092</w:t>
            </w:r>
          </w:p>
        </w:tc>
        <w:tc>
          <w:tcPr>
            <w:tcW w:w="280" w:type="dxa"/>
            <w:vAlign w:val="bottom"/>
            <w:shd w:val="clear" w:color="auto" w:fill="E5FFFF"/>
          </w:tcPr>
          <w:p>
            <w:pPr>
              <w:spacing w:after="0"/>
              <w:rPr>
                <w:sz w:val="17"/>
                <w:szCs w:val="17"/>
                <w:color w:val="auto"/>
              </w:rPr>
            </w:pPr>
          </w:p>
        </w:tc>
        <w:tc>
          <w:tcPr>
            <w:tcW w:w="15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342,594</w:t>
            </w:r>
          </w:p>
        </w:tc>
        <w:tc>
          <w:tcPr>
            <w:tcW w:w="100" w:type="dxa"/>
            <w:vAlign w:val="bottom"/>
            <w:shd w:val="clear" w:color="auto" w:fill="E5FFFF"/>
          </w:tcPr>
          <w:p>
            <w:pPr>
              <w:spacing w:after="0"/>
              <w:rPr>
                <w:sz w:val="17"/>
                <w:szCs w:val="17"/>
                <w:color w:val="auto"/>
              </w:rPr>
            </w:pPr>
          </w:p>
        </w:tc>
      </w:tr>
      <w:tr>
        <w:trPr>
          <w:trHeight w:val="236"/>
        </w:trPr>
        <w:tc>
          <w:tcPr>
            <w:tcW w:w="724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Cash and cash equivalents, end of the period</w:t>
            </w:r>
          </w:p>
        </w:tc>
        <w:tc>
          <w:tcPr>
            <w:tcW w:w="820" w:type="dxa"/>
            <w:vAlign w:val="bottom"/>
            <w:tcBorders>
              <w:bottom w:val="single" w:sz="8" w:color="E5FFFF"/>
            </w:tcBorders>
          </w:tcPr>
          <w:p>
            <w:pPr>
              <w:spacing w:after="0"/>
              <w:rPr>
                <w:sz w:val="20"/>
                <w:szCs w:val="20"/>
                <w:color w:val="auto"/>
              </w:rPr>
            </w:pPr>
          </w:p>
        </w:tc>
        <w:tc>
          <w:tcPr>
            <w:tcW w:w="120" w:type="dxa"/>
            <w:vAlign w:val="bottom"/>
            <w:tcBorders>
              <w:bottom w:val="single" w:sz="8" w:color="E5FFFF"/>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349,147</w:t>
            </w:r>
          </w:p>
        </w:tc>
        <w:tc>
          <w:tcPr>
            <w:tcW w:w="280" w:type="dxa"/>
            <w:vAlign w:val="bottom"/>
            <w:tcBorders>
              <w:bottom w:val="single" w:sz="8" w:color="E5FFFF"/>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230,750</w:t>
            </w:r>
          </w:p>
        </w:tc>
        <w:tc>
          <w:tcPr>
            <w:tcW w:w="100" w:type="dxa"/>
            <w:vAlign w:val="bottom"/>
            <w:tcBorders>
              <w:bottom w:val="single" w:sz="8" w:color="E5FFFF"/>
            </w:tcBorders>
          </w:tcPr>
          <w:p>
            <w:pPr>
              <w:spacing w:after="0"/>
              <w:rPr>
                <w:sz w:val="20"/>
                <w:szCs w:val="20"/>
                <w:color w:val="auto"/>
              </w:rPr>
            </w:pPr>
          </w:p>
        </w:tc>
      </w:tr>
      <w:tr>
        <w:trPr>
          <w:trHeight w:val="196"/>
        </w:trPr>
        <w:tc>
          <w:tcPr>
            <w:tcW w:w="7240" w:type="dxa"/>
            <w:vAlign w:val="bottom"/>
            <w:shd w:val="clear" w:color="auto" w:fill="E5FFFF"/>
          </w:tcPr>
          <w:p>
            <w:pPr>
              <w:spacing w:after="0"/>
              <w:rPr>
                <w:sz w:val="17"/>
                <w:szCs w:val="17"/>
                <w:color w:val="auto"/>
              </w:rPr>
            </w:pPr>
          </w:p>
        </w:tc>
        <w:tc>
          <w:tcPr>
            <w:tcW w:w="8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50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50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r>
      <w:tr>
        <w:trPr>
          <w:trHeight w:val="203"/>
        </w:trPr>
        <w:tc>
          <w:tcPr>
            <w:tcW w:w="7240" w:type="dxa"/>
            <w:vAlign w:val="bottom"/>
          </w:tcPr>
          <w:p>
            <w:pPr>
              <w:spacing w:after="0"/>
              <w:rPr>
                <w:sz w:val="20"/>
                <w:szCs w:val="20"/>
                <w:color w:val="auto"/>
              </w:rPr>
            </w:pPr>
            <w:r>
              <w:rPr>
                <w:rFonts w:ascii="Arial" w:cs="Arial" w:eastAsia="Arial" w:hAnsi="Arial"/>
                <w:sz w:val="16"/>
                <w:szCs w:val="16"/>
                <w:b w:val="1"/>
                <w:bCs w:val="1"/>
                <w:color w:val="auto"/>
              </w:rPr>
              <w:t>Non-cash investing and financing activities</w:t>
            </w: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240" w:type="dxa"/>
            <w:vAlign w:val="bottom"/>
            <w:shd w:val="clear" w:color="auto" w:fill="E5FFFF"/>
          </w:tcPr>
          <w:p>
            <w:pPr>
              <w:spacing w:after="0"/>
              <w:rPr>
                <w:sz w:val="20"/>
                <w:szCs w:val="20"/>
                <w:color w:val="auto"/>
              </w:rPr>
            </w:pPr>
            <w:r>
              <w:rPr>
                <w:rFonts w:ascii="Arial" w:cs="Arial" w:eastAsia="Arial" w:hAnsi="Arial"/>
                <w:sz w:val="16"/>
                <w:szCs w:val="16"/>
                <w:color w:val="auto"/>
              </w:rPr>
              <w:t>Capital expenditures included in liabilities at the end of the period</w:t>
            </w:r>
          </w:p>
        </w:tc>
        <w:tc>
          <w:tcPr>
            <w:tcW w:w="8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78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6,085</w:t>
            </w:r>
          </w:p>
        </w:tc>
        <w:tc>
          <w:tcPr>
            <w:tcW w:w="160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15,550</w:t>
            </w:r>
          </w:p>
        </w:tc>
      </w:tr>
      <w:tr>
        <w:trPr>
          <w:trHeight w:val="203"/>
        </w:trPr>
        <w:tc>
          <w:tcPr>
            <w:tcW w:w="7240" w:type="dxa"/>
            <w:vAlign w:val="bottom"/>
          </w:tcPr>
          <w:p>
            <w:pPr>
              <w:spacing w:after="0"/>
              <w:rPr>
                <w:sz w:val="20"/>
                <w:szCs w:val="20"/>
                <w:color w:val="auto"/>
              </w:rPr>
            </w:pPr>
            <w:r>
              <w:rPr>
                <w:rFonts w:ascii="Arial" w:cs="Arial" w:eastAsia="Arial" w:hAnsi="Arial"/>
                <w:sz w:val="16"/>
                <w:szCs w:val="16"/>
                <w:color w:val="auto"/>
              </w:rPr>
              <w:t>Capital expenditures – Right-of-use assets</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600" w:type="dxa"/>
            <w:vAlign w:val="bottom"/>
            <w:gridSpan w:val="2"/>
          </w:tcPr>
          <w:p>
            <w:pPr>
              <w:jc w:val="right"/>
              <w:ind w:right="100"/>
              <w:spacing w:after="0"/>
              <w:rPr>
                <w:sz w:val="20"/>
                <w:szCs w:val="20"/>
                <w:color w:val="auto"/>
              </w:rPr>
            </w:pPr>
            <w:r>
              <w:rPr>
                <w:rFonts w:ascii="Arial" w:cs="Arial" w:eastAsia="Arial" w:hAnsi="Arial"/>
                <w:sz w:val="16"/>
                <w:szCs w:val="16"/>
                <w:color w:val="auto"/>
              </w:rPr>
              <w:t>107</w:t>
            </w:r>
          </w:p>
        </w:tc>
      </w:tr>
      <w:tr>
        <w:trPr>
          <w:trHeight w:val="203"/>
        </w:trPr>
        <w:tc>
          <w:tcPr>
            <w:tcW w:w="7240" w:type="dxa"/>
            <w:vAlign w:val="bottom"/>
            <w:shd w:val="clear" w:color="auto" w:fill="E5FFFF"/>
          </w:tcPr>
          <w:p>
            <w:pPr>
              <w:spacing w:after="0"/>
              <w:rPr>
                <w:sz w:val="20"/>
                <w:szCs w:val="20"/>
                <w:color w:val="auto"/>
              </w:rPr>
            </w:pPr>
            <w:r>
              <w:rPr>
                <w:rFonts w:ascii="Arial" w:cs="Arial" w:eastAsia="Arial" w:hAnsi="Arial"/>
                <w:sz w:val="16"/>
                <w:szCs w:val="16"/>
                <w:color w:val="auto"/>
              </w:rPr>
              <w:t>Equity raising costs included in liabilities at the end of the period</w:t>
            </w:r>
          </w:p>
        </w:tc>
        <w:tc>
          <w:tcPr>
            <w:tcW w:w="8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78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396</w:t>
            </w:r>
          </w:p>
        </w:tc>
        <w:tc>
          <w:tcPr>
            <w:tcW w:w="160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247</w:t>
            </w:r>
          </w:p>
        </w:tc>
      </w:tr>
      <w:tr>
        <w:trPr>
          <w:trHeight w:val="203"/>
        </w:trPr>
        <w:tc>
          <w:tcPr>
            <w:tcW w:w="7240" w:type="dxa"/>
            <w:vAlign w:val="bottom"/>
          </w:tcPr>
          <w:p>
            <w:pPr>
              <w:spacing w:after="0"/>
              <w:rPr>
                <w:sz w:val="20"/>
                <w:szCs w:val="20"/>
                <w:color w:val="auto"/>
              </w:rPr>
            </w:pPr>
            <w:r>
              <w:rPr>
                <w:rFonts w:ascii="Arial" w:cs="Arial" w:eastAsia="Arial" w:hAnsi="Arial"/>
                <w:sz w:val="16"/>
                <w:szCs w:val="16"/>
                <w:color w:val="auto"/>
              </w:rPr>
              <w:t>Loan issuance costs included in liabilities at the end of the period</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80" w:type="dxa"/>
            <w:vAlign w:val="bottom"/>
            <w:gridSpan w:val="2"/>
          </w:tcPr>
          <w:p>
            <w:pPr>
              <w:jc w:val="right"/>
              <w:ind w:right="280"/>
              <w:spacing w:after="0"/>
              <w:rPr>
                <w:sz w:val="20"/>
                <w:szCs w:val="20"/>
                <w:color w:val="auto"/>
              </w:rPr>
            </w:pPr>
            <w:r>
              <w:rPr>
                <w:rFonts w:ascii="Arial" w:cs="Arial" w:eastAsia="Arial" w:hAnsi="Arial"/>
                <w:sz w:val="16"/>
                <w:szCs w:val="16"/>
                <w:color w:val="auto"/>
              </w:rPr>
              <w:t>294</w:t>
            </w:r>
          </w:p>
        </w:tc>
        <w:tc>
          <w:tcPr>
            <w:tcW w:w="1600" w:type="dxa"/>
            <w:vAlign w:val="bottom"/>
            <w:gridSpan w:val="2"/>
          </w:tcPr>
          <w:p>
            <w:pPr>
              <w:jc w:val="right"/>
              <w:ind w:right="100"/>
              <w:spacing w:after="0"/>
              <w:rPr>
                <w:sz w:val="20"/>
                <w:szCs w:val="20"/>
                <w:color w:val="auto"/>
              </w:rPr>
            </w:pPr>
            <w:r>
              <w:rPr>
                <w:rFonts w:ascii="Arial" w:cs="Arial" w:eastAsia="Arial" w:hAnsi="Arial"/>
                <w:sz w:val="16"/>
                <w:szCs w:val="16"/>
                <w:color w:val="auto"/>
              </w:rPr>
              <w:t>251</w:t>
            </w:r>
          </w:p>
        </w:tc>
      </w:tr>
      <w:tr>
        <w:trPr>
          <w:trHeight w:val="203"/>
        </w:trPr>
        <w:tc>
          <w:tcPr>
            <w:tcW w:w="7240" w:type="dxa"/>
            <w:vAlign w:val="bottom"/>
            <w:shd w:val="clear" w:color="auto" w:fill="E5FFFF"/>
          </w:tcPr>
          <w:p>
            <w:pPr>
              <w:spacing w:after="0"/>
              <w:rPr>
                <w:sz w:val="20"/>
                <w:szCs w:val="20"/>
                <w:color w:val="auto"/>
              </w:rPr>
            </w:pPr>
            <w:r>
              <w:rPr>
                <w:rFonts w:ascii="Arial" w:cs="Arial" w:eastAsia="Arial" w:hAnsi="Arial"/>
                <w:sz w:val="16"/>
                <w:szCs w:val="16"/>
                <w:color w:val="auto"/>
              </w:rPr>
              <w:t>Liabilities related to leases at the end of the period</w:t>
            </w:r>
          </w:p>
        </w:tc>
        <w:tc>
          <w:tcPr>
            <w:tcW w:w="8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78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w:t>
            </w:r>
          </w:p>
        </w:tc>
        <w:tc>
          <w:tcPr>
            <w:tcW w:w="160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274</w:t>
            </w:r>
          </w:p>
        </w:tc>
      </w:tr>
    </w:tbl>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35901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359015" cy="29845"/>
                    </a:xfrm>
                    <a:prstGeom prst="rect">
                      <a:avLst/>
                    </a:prstGeom>
                    <a:noFill/>
                  </pic:spPr>
                </pic:pic>
              </a:graphicData>
            </a:graphic>
          </wp:anchor>
        </w:drawing>
      </w:r>
    </w:p>
    <w:p>
      <w:pPr>
        <w:sectPr>
          <w:pgSz w:w="11900" w:h="16838" w:orient="portrait"/>
          <w:cols w:equalWidth="0" w:num="1">
            <w:col w:w="11560"/>
          </w:cols>
          <w:pgMar w:left="160" w:top="262" w:right="179" w:bottom="1440" w:gutter="0" w:footer="0" w:header="0"/>
        </w:sectPr>
      </w:pPr>
    </w:p>
    <w:bookmarkStart w:id="30" w:name="page31"/>
    <w:bookmarkEnd w:id="30"/>
    <w:p>
      <w:pPr>
        <w:spacing w:after="0"/>
        <w:rPr>
          <w:sz w:val="20"/>
          <w:szCs w:val="20"/>
          <w:color w:val="auto"/>
        </w:rPr>
      </w:pPr>
      <w:r>
        <w:rPr>
          <w:rFonts w:ascii="Arial" w:cs="Arial" w:eastAsia="Arial" w:hAnsi="Arial"/>
          <w:sz w:val="16"/>
          <w:szCs w:val="16"/>
          <w:b w:val="1"/>
          <w:bCs w:val="1"/>
          <w:color w:val="auto"/>
        </w:rPr>
        <w:t>GasLog Ltd. and its Subsidiaries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Notes to the unaudited condensed consolidated financial statements</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 the three months ended March 31, 2018 and 2019</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(Amounts expressed in thousands of U.S. Dollars, except share and per share data)</w:t>
      </w: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 Organization and Operations</w:t>
      </w:r>
    </w:p>
    <w:p>
      <w:pPr>
        <w:spacing w:after="0" w:line="239" w:lineRule="exact"/>
        <w:rPr>
          <w:sz w:val="20"/>
          <w:szCs w:val="20"/>
          <w:color w:val="auto"/>
        </w:rPr>
      </w:pPr>
    </w:p>
    <w:p>
      <w:pPr>
        <w:ind w:right="80" w:firstLine="436"/>
        <w:spacing w:after="0" w:line="268" w:lineRule="auto"/>
        <w:rPr>
          <w:sz w:val="20"/>
          <w:szCs w:val="20"/>
          <w:color w:val="auto"/>
        </w:rPr>
      </w:pPr>
      <w:r>
        <w:rPr>
          <w:rFonts w:ascii="Arial" w:cs="Arial" w:eastAsia="Arial" w:hAnsi="Arial"/>
          <w:sz w:val="16"/>
          <w:szCs w:val="16"/>
          <w:color w:val="auto"/>
        </w:rPr>
        <w:t>GasLog Ltd. (“GasLog”) was incorporated in Bermuda on July 16, 2003. GasLog and its subsidiaries (the “Group”) are primarily engaged in the ownership, operation and management of vessels in the liquefied natural gas (“LNG”) market, providing maritime services for the transportation of LNG on a worldwide basis and LNG vessel management services. The Group conducts its operations through its vessel-owning subsidiaries and through its vessel management services subsidiary. The Group’s operations are carried out from offices in Piraeus, London, New York, Singapore and Monaco. The registered office of GasLog is Clarendon House, 2 Church Street, Hamilton HM 11, Bermuda. GasLog’s chairman, Peter G. Livanos, is GasLog’s largest shareholder through his ownership of Ceres Shipping Ltd. (“Ceres Shipping”), which controls Blenheim Holdings Ltd. As of March 31, 2019, entities controlled by members of the Livanos family, including GasLog’s chairman, are deemed to beneficially own approximately 40.19% of GasLog’s issued and outstanding common shares. As a result of his ownership of GasLog’s common shares, Mr. Livanos can effectively control the outcome of most matters on which GasLog’s shareholders are entitled to vote.</w:t>
      </w:r>
    </w:p>
    <w:p>
      <w:pPr>
        <w:spacing w:after="0" w:line="192" w:lineRule="exact"/>
        <w:rPr>
          <w:sz w:val="20"/>
          <w:szCs w:val="20"/>
          <w:color w:val="auto"/>
        </w:rPr>
      </w:pPr>
    </w:p>
    <w:p>
      <w:pPr>
        <w:ind w:right="160" w:firstLine="405"/>
        <w:spacing w:after="0" w:line="273" w:lineRule="auto"/>
        <w:rPr>
          <w:sz w:val="20"/>
          <w:szCs w:val="20"/>
          <w:color w:val="auto"/>
        </w:rPr>
      </w:pPr>
      <w:r>
        <w:rPr>
          <w:rFonts w:ascii="Arial" w:cs="Arial" w:eastAsia="Arial" w:hAnsi="Arial"/>
          <w:sz w:val="16"/>
          <w:szCs w:val="16"/>
          <w:color w:val="auto"/>
        </w:rPr>
        <w:t>As of March 31, 2019, GasLog held a 27.5% interest (including the 2% interest through general partner units) in GasLog Partners LP (“GasLog Partners” or the “Partnership”) and, as a result of its ownership of the general partner and the fact that the general partner elects the majority of the Partnership’s directors in accordance with the Partnership Agreement, GasLog has the ability to control the Partnership’s affairs and policies. Consequently, GasLog Partners is consolidated in the Group’s financial statements.</w:t>
      </w:r>
    </w:p>
    <w:p>
      <w:pPr>
        <w:spacing w:after="0" w:line="189" w:lineRule="exact"/>
        <w:rPr>
          <w:sz w:val="20"/>
          <w:szCs w:val="20"/>
          <w:color w:val="auto"/>
        </w:rPr>
      </w:pPr>
    </w:p>
    <w:p>
      <w:pPr>
        <w:ind w:right="120" w:firstLine="436"/>
        <w:spacing w:after="0" w:line="293" w:lineRule="auto"/>
        <w:rPr>
          <w:sz w:val="20"/>
          <w:szCs w:val="20"/>
          <w:color w:val="auto"/>
        </w:rPr>
      </w:pPr>
      <w:r>
        <w:rPr>
          <w:rFonts w:ascii="Arial" w:cs="Arial" w:eastAsia="Arial" w:hAnsi="Arial"/>
          <w:sz w:val="16"/>
          <w:szCs w:val="16"/>
          <w:color w:val="auto"/>
        </w:rPr>
        <w:t>The accompanying unaudited condensed consolidated financial statements include the financial statements of GasLog and its subsidiaries. Unless indicated otherwise, the subsidiaries listed below are 100% held (either directly or indirectly) by GasLog. As of March 31, 2019, the Group’s structure is as follows: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vMerge w:val="restart"/>
          </w:tcPr>
          <w:p>
            <w:pPr>
              <w:ind w:left="520"/>
              <w:spacing w:after="0"/>
              <w:rPr>
                <w:sz w:val="20"/>
                <w:szCs w:val="20"/>
                <w:color w:val="auto"/>
              </w:rPr>
            </w:pPr>
            <w:r>
              <w:rPr>
                <w:rFonts w:ascii="Arial" w:cs="Arial" w:eastAsia="Arial" w:hAnsi="Arial"/>
                <w:sz w:val="14"/>
                <w:szCs w:val="14"/>
                <w:b w:val="1"/>
                <w:bCs w:val="1"/>
                <w:color w:val="auto"/>
              </w:rPr>
              <w:t>Place of</w:t>
            </w:r>
          </w:p>
        </w:tc>
        <w:tc>
          <w:tcPr>
            <w:tcW w:w="120" w:type="dxa"/>
            <w:vAlign w:val="bottom"/>
          </w:tcPr>
          <w:p>
            <w:pPr>
              <w:spacing w:after="0"/>
              <w:rPr>
                <w:sz w:val="14"/>
                <w:szCs w:val="14"/>
                <w:color w:val="auto"/>
              </w:rPr>
            </w:pPr>
          </w:p>
        </w:tc>
        <w:tc>
          <w:tcPr>
            <w:tcW w:w="1160" w:type="dxa"/>
            <w:vAlign w:val="bottom"/>
            <w:vMerge w:val="restart"/>
          </w:tcPr>
          <w:p>
            <w:pPr>
              <w:jc w:val="center"/>
              <w:ind w:left="48"/>
              <w:spacing w:after="0"/>
              <w:rPr>
                <w:sz w:val="20"/>
                <w:szCs w:val="20"/>
                <w:color w:val="auto"/>
              </w:rPr>
            </w:pPr>
            <w:r>
              <w:rPr>
                <w:rFonts w:ascii="Arial" w:cs="Arial" w:eastAsia="Arial" w:hAnsi="Arial"/>
                <w:sz w:val="14"/>
                <w:szCs w:val="14"/>
                <w:b w:val="1"/>
                <w:bCs w:val="1"/>
                <w:color w:val="auto"/>
                <w:w w:val="92"/>
              </w:rPr>
              <w:t>Date of</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Cargo</w:t>
            </w: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5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gridSpan w:val="2"/>
            <w:vMerge w:val="restart"/>
          </w:tcPr>
          <w:p>
            <w:pPr>
              <w:ind w:left="480"/>
              <w:spacing w:after="0"/>
              <w:rPr>
                <w:sz w:val="20"/>
                <w:szCs w:val="20"/>
                <w:color w:val="auto"/>
              </w:rPr>
            </w:pPr>
            <w:r>
              <w:rPr>
                <w:rFonts w:ascii="Arial" w:cs="Arial" w:eastAsia="Arial" w:hAnsi="Arial"/>
                <w:sz w:val="14"/>
                <w:szCs w:val="14"/>
                <w:b w:val="1"/>
                <w:bCs w:val="1"/>
                <w:color w:val="auto"/>
                <w:w w:val="95"/>
              </w:rPr>
              <w:t>Principal activities</w:t>
            </w:r>
          </w:p>
        </w:tc>
        <w:tc>
          <w:tcPr>
            <w:tcW w:w="60" w:type="dxa"/>
            <w:vAlign w:val="bottom"/>
          </w:tcPr>
          <w:p>
            <w:pPr>
              <w:spacing w:after="0"/>
              <w:rPr>
                <w:sz w:val="12"/>
                <w:szCs w:val="12"/>
                <w:color w:val="auto"/>
              </w:rPr>
            </w:pPr>
          </w:p>
        </w:tc>
        <w:tc>
          <w:tcPr>
            <w:tcW w:w="10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capacity</w:t>
            </w:r>
          </w:p>
        </w:tc>
        <w:tc>
          <w:tcPr>
            <w:tcW w:w="16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5"/>
              </w:rPr>
              <w:t>Vessel</w:t>
            </w:r>
          </w:p>
        </w:tc>
        <w:tc>
          <w:tcPr>
            <w:tcW w:w="138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4"/>
              </w:rPr>
              <w:t>Delivery date</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780" w:type="dxa"/>
            <w:vAlign w:val="bottom"/>
            <w:gridSpan w:val="2"/>
            <w:vMerge w:val="continue"/>
          </w:tcPr>
          <w:p>
            <w:pPr>
              <w:spacing w:after="0"/>
              <w:rPr>
                <w:sz w:val="14"/>
                <w:szCs w:val="14"/>
                <w:color w:val="auto"/>
              </w:rPr>
            </w:pPr>
          </w:p>
        </w:tc>
        <w:tc>
          <w:tcPr>
            <w:tcW w:w="1520" w:type="dxa"/>
            <w:vAlign w:val="bottom"/>
          </w:tcPr>
          <w:p>
            <w:pPr>
              <w:ind w:left="340"/>
              <w:spacing w:after="0"/>
              <w:rPr>
                <w:sz w:val="20"/>
                <w:szCs w:val="20"/>
                <w:color w:val="auto"/>
              </w:rPr>
            </w:pPr>
            <w:r>
              <w:rPr>
                <w:rFonts w:ascii="Arial" w:cs="Arial" w:eastAsia="Arial" w:hAnsi="Arial"/>
                <w:sz w:val="14"/>
                <w:szCs w:val="14"/>
                <w:b w:val="1"/>
                <w:bCs w:val="1"/>
                <w:color w:val="auto"/>
              </w:rPr>
              <w:t>incorporation</w:t>
            </w:r>
          </w:p>
        </w:tc>
        <w:tc>
          <w:tcPr>
            <w:tcW w:w="120" w:type="dxa"/>
            <w:vAlign w:val="bottom"/>
          </w:tcPr>
          <w:p>
            <w:pPr>
              <w:spacing w:after="0"/>
              <w:rPr>
                <w:sz w:val="14"/>
                <w:szCs w:val="14"/>
                <w:color w:val="auto"/>
              </w:rPr>
            </w:pPr>
          </w:p>
        </w:tc>
        <w:tc>
          <w:tcPr>
            <w:tcW w:w="1160" w:type="dxa"/>
            <w:vAlign w:val="bottom"/>
          </w:tcPr>
          <w:p>
            <w:pPr>
              <w:jc w:val="center"/>
              <w:ind w:left="48"/>
              <w:spacing w:after="0"/>
              <w:rPr>
                <w:sz w:val="20"/>
                <w:szCs w:val="20"/>
                <w:color w:val="auto"/>
              </w:rPr>
            </w:pPr>
            <w:r>
              <w:rPr>
                <w:rFonts w:ascii="Arial" w:cs="Arial" w:eastAsia="Arial" w:hAnsi="Arial"/>
                <w:sz w:val="14"/>
                <w:szCs w:val="14"/>
                <w:b w:val="1"/>
                <w:bCs w:val="1"/>
                <w:color w:val="auto"/>
                <w:w w:val="93"/>
              </w:rPr>
              <w:t>incorporation</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(cbm)</w:t>
            </w:r>
          </w:p>
        </w:tc>
        <w:tc>
          <w:tcPr>
            <w:tcW w:w="1600" w:type="dxa"/>
            <w:vAlign w:val="bottom"/>
            <w:gridSpan w:val="2"/>
            <w:vMerge w:val="continue"/>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66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Subsidiaries:</w:t>
            </w:r>
          </w:p>
        </w:tc>
        <w:tc>
          <w:tcPr>
            <w:tcW w:w="120" w:type="dxa"/>
            <w:vAlign w:val="bottom"/>
          </w:tcPr>
          <w:p>
            <w:pPr>
              <w:spacing w:after="0"/>
              <w:rPr>
                <w:sz w:val="12"/>
                <w:szCs w:val="12"/>
                <w:color w:val="auto"/>
              </w:rPr>
            </w:pPr>
          </w:p>
        </w:tc>
        <w:tc>
          <w:tcPr>
            <w:tcW w:w="15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80" w:type="dxa"/>
            <w:vAlign w:val="bottom"/>
            <w:gridSpan w:val="2"/>
            <w:shd w:val="clear" w:color="auto" w:fill="E5FFFF"/>
          </w:tcPr>
          <w:p>
            <w:pPr>
              <w:spacing w:after="0" w:line="149" w:lineRule="exact"/>
              <w:rPr>
                <w:sz w:val="20"/>
                <w:szCs w:val="20"/>
                <w:color w:val="auto"/>
              </w:rPr>
            </w:pPr>
            <w:r>
              <w:rPr>
                <w:rFonts w:ascii="Arial" w:cs="Arial" w:eastAsia="Arial" w:hAnsi="Arial"/>
                <w:sz w:val="14"/>
                <w:szCs w:val="14"/>
                <w:color w:val="auto"/>
              </w:rPr>
              <w:t>GasLog Investments Ltd.</w:t>
            </w:r>
          </w:p>
        </w:tc>
        <w:tc>
          <w:tcPr>
            <w:tcW w:w="152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BVI</w:t>
            </w:r>
          </w:p>
        </w:tc>
        <w:tc>
          <w:tcPr>
            <w:tcW w:w="1280" w:type="dxa"/>
            <w:vAlign w:val="bottom"/>
            <w:gridSpan w:val="2"/>
            <w:shd w:val="clear" w:color="auto" w:fill="E5FFFF"/>
          </w:tcPr>
          <w:p>
            <w:pPr>
              <w:ind w:left="120"/>
              <w:spacing w:after="0" w:line="149" w:lineRule="exact"/>
              <w:rPr>
                <w:sz w:val="20"/>
                <w:szCs w:val="20"/>
                <w:color w:val="auto"/>
              </w:rPr>
            </w:pPr>
            <w:r>
              <w:rPr>
                <w:rFonts w:ascii="Arial" w:cs="Arial" w:eastAsia="Arial" w:hAnsi="Arial"/>
                <w:sz w:val="14"/>
                <w:szCs w:val="14"/>
                <w:color w:val="auto"/>
              </w:rPr>
              <w:t>July 2003</w:t>
            </w:r>
          </w:p>
        </w:tc>
        <w:tc>
          <w:tcPr>
            <w:tcW w:w="120" w:type="dxa"/>
            <w:vAlign w:val="bottom"/>
            <w:shd w:val="clear" w:color="auto" w:fill="E5FFFF"/>
          </w:tcPr>
          <w:p>
            <w:pPr>
              <w:spacing w:after="0"/>
              <w:rPr>
                <w:sz w:val="12"/>
                <w:szCs w:val="12"/>
                <w:color w:val="auto"/>
              </w:rPr>
            </w:pPr>
          </w:p>
        </w:tc>
        <w:tc>
          <w:tcPr>
            <w:tcW w:w="1800" w:type="dxa"/>
            <w:vAlign w:val="bottom"/>
            <w:gridSpan w:val="3"/>
            <w:shd w:val="clear" w:color="auto" w:fill="E5FFFF"/>
          </w:tcPr>
          <w:p>
            <w:pPr>
              <w:ind w:left="120"/>
              <w:spacing w:after="0" w:line="149" w:lineRule="exact"/>
              <w:rPr>
                <w:sz w:val="20"/>
                <w:szCs w:val="20"/>
                <w:color w:val="auto"/>
              </w:rPr>
            </w:pPr>
            <w:r>
              <w:rPr>
                <w:rFonts w:ascii="Arial" w:cs="Arial" w:eastAsia="Arial" w:hAnsi="Arial"/>
                <w:sz w:val="14"/>
                <w:szCs w:val="14"/>
                <w:color w:val="auto"/>
              </w:rPr>
              <w:t>Holding company</w:t>
            </w:r>
          </w:p>
        </w:tc>
        <w:tc>
          <w:tcPr>
            <w:tcW w:w="60" w:type="dxa"/>
            <w:vAlign w:val="bottom"/>
            <w:shd w:val="clear" w:color="auto" w:fill="E5FFFF"/>
          </w:tcPr>
          <w:p>
            <w:pPr>
              <w:spacing w:after="0"/>
              <w:rPr>
                <w:sz w:val="12"/>
                <w:szCs w:val="12"/>
                <w:color w:val="auto"/>
              </w:rPr>
            </w:pPr>
          </w:p>
        </w:tc>
        <w:tc>
          <w:tcPr>
            <w:tcW w:w="1020" w:type="dxa"/>
            <w:vAlign w:val="bottom"/>
            <w:gridSpan w:val="2"/>
            <w:shd w:val="clear" w:color="auto" w:fill="E5FFFF"/>
          </w:tcPr>
          <w:p>
            <w:pPr>
              <w:jc w:val="center"/>
              <w:ind w:right="120"/>
              <w:spacing w:after="0" w:line="149" w:lineRule="exact"/>
              <w:rPr>
                <w:sz w:val="20"/>
                <w:szCs w:val="20"/>
                <w:color w:val="auto"/>
              </w:rPr>
            </w:pPr>
            <w:r>
              <w:rPr>
                <w:rFonts w:ascii="Arial" w:cs="Arial" w:eastAsia="Arial" w:hAnsi="Arial"/>
                <w:sz w:val="14"/>
                <w:szCs w:val="14"/>
                <w:color w:val="auto"/>
                <w:w w:val="99"/>
              </w:rPr>
              <w:t>—</w:t>
            </w:r>
          </w:p>
        </w:tc>
        <w:tc>
          <w:tcPr>
            <w:tcW w:w="1600" w:type="dxa"/>
            <w:vAlign w:val="bottom"/>
            <w:gridSpan w:val="2"/>
            <w:shd w:val="clear" w:color="auto" w:fill="E5FFFF"/>
          </w:tcPr>
          <w:p>
            <w:pPr>
              <w:jc w:val="center"/>
              <w:ind w:right="100"/>
              <w:spacing w:after="0" w:line="149" w:lineRule="exact"/>
              <w:rPr>
                <w:sz w:val="20"/>
                <w:szCs w:val="20"/>
                <w:color w:val="auto"/>
              </w:rPr>
            </w:pPr>
            <w:r>
              <w:rPr>
                <w:rFonts w:ascii="Arial" w:cs="Arial" w:eastAsia="Arial" w:hAnsi="Arial"/>
                <w:sz w:val="14"/>
                <w:szCs w:val="14"/>
                <w:color w:val="auto"/>
                <w:w w:val="99"/>
              </w:rPr>
              <w:t>—</w:t>
            </w:r>
          </w:p>
        </w:tc>
        <w:tc>
          <w:tcPr>
            <w:tcW w:w="1380" w:type="dxa"/>
            <w:vAlign w:val="bottom"/>
            <w:gridSpan w:val="2"/>
            <w:shd w:val="clear" w:color="auto" w:fill="E5FFFF"/>
          </w:tcPr>
          <w:p>
            <w:pPr>
              <w:jc w:val="center"/>
              <w:ind w:right="1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80" w:type="dxa"/>
            <w:vAlign w:val="bottom"/>
            <w:gridSpan w:val="2"/>
          </w:tcPr>
          <w:p>
            <w:pPr>
              <w:spacing w:after="0" w:line="149" w:lineRule="exact"/>
              <w:rPr>
                <w:sz w:val="20"/>
                <w:szCs w:val="20"/>
                <w:color w:val="auto"/>
              </w:rPr>
            </w:pPr>
            <w:r>
              <w:rPr>
                <w:rFonts w:ascii="Arial" w:cs="Arial" w:eastAsia="Arial" w:hAnsi="Arial"/>
                <w:sz w:val="14"/>
                <w:szCs w:val="14"/>
                <w:color w:val="auto"/>
              </w:rPr>
              <w:t>GasLog Carriers Ltd. (“GasLog Carriers”)</w:t>
            </w:r>
          </w:p>
        </w:tc>
        <w:tc>
          <w:tcPr>
            <w:tcW w:w="1520" w:type="dxa"/>
            <w:vAlign w:val="bottom"/>
          </w:tcPr>
          <w:p>
            <w:pPr>
              <w:spacing w:after="0" w:line="149" w:lineRule="exact"/>
              <w:rPr>
                <w:sz w:val="20"/>
                <w:szCs w:val="20"/>
                <w:color w:val="auto"/>
              </w:rPr>
            </w:pPr>
            <w:r>
              <w:rPr>
                <w:rFonts w:ascii="Arial" w:cs="Arial" w:eastAsia="Arial" w:hAnsi="Arial"/>
                <w:sz w:val="14"/>
                <w:szCs w:val="14"/>
                <w:color w:val="auto"/>
              </w:rPr>
              <w:t>Bermuda</w:t>
            </w:r>
          </w:p>
        </w:tc>
        <w:tc>
          <w:tcPr>
            <w:tcW w:w="12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February 2008</w:t>
            </w:r>
          </w:p>
        </w:tc>
        <w:tc>
          <w:tcPr>
            <w:tcW w:w="120" w:type="dxa"/>
            <w:vAlign w:val="bottom"/>
          </w:tcPr>
          <w:p>
            <w:pPr>
              <w:spacing w:after="0"/>
              <w:rPr>
                <w:sz w:val="12"/>
                <w:szCs w:val="12"/>
                <w:color w:val="auto"/>
              </w:rPr>
            </w:pPr>
          </w:p>
        </w:tc>
        <w:tc>
          <w:tcPr>
            <w:tcW w:w="180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Holding company</w:t>
            </w:r>
          </w:p>
        </w:tc>
        <w:tc>
          <w:tcPr>
            <w:tcW w:w="60" w:type="dxa"/>
            <w:vAlign w:val="bottom"/>
          </w:tcPr>
          <w:p>
            <w:pPr>
              <w:spacing w:after="0"/>
              <w:rPr>
                <w:sz w:val="12"/>
                <w:szCs w:val="12"/>
                <w:color w:val="auto"/>
              </w:rPr>
            </w:pPr>
          </w:p>
        </w:tc>
        <w:tc>
          <w:tcPr>
            <w:tcW w:w="102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9"/>
              </w:rPr>
              <w:t>—</w:t>
            </w:r>
          </w:p>
        </w:tc>
        <w:tc>
          <w:tcPr>
            <w:tcW w:w="16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9"/>
              </w:rPr>
              <w:t>—</w:t>
            </w:r>
          </w:p>
        </w:tc>
        <w:tc>
          <w:tcPr>
            <w:tcW w:w="13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80" w:type="dxa"/>
            <w:vAlign w:val="bottom"/>
            <w:gridSpan w:val="2"/>
            <w:shd w:val="clear" w:color="auto" w:fill="E5FFFF"/>
          </w:tcPr>
          <w:p>
            <w:pPr>
              <w:spacing w:after="0" w:line="149" w:lineRule="exact"/>
              <w:rPr>
                <w:sz w:val="20"/>
                <w:szCs w:val="20"/>
                <w:color w:val="auto"/>
              </w:rPr>
            </w:pPr>
            <w:r>
              <w:rPr>
                <w:rFonts w:ascii="Arial" w:cs="Arial" w:eastAsia="Arial" w:hAnsi="Arial"/>
                <w:sz w:val="14"/>
                <w:szCs w:val="14"/>
                <w:color w:val="auto"/>
              </w:rPr>
              <w:t>GasLog Shipping Company Ltd.</w:t>
            </w:r>
          </w:p>
        </w:tc>
        <w:tc>
          <w:tcPr>
            <w:tcW w:w="152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Bermuda</w:t>
            </w:r>
          </w:p>
        </w:tc>
        <w:tc>
          <w:tcPr>
            <w:tcW w:w="1280" w:type="dxa"/>
            <w:vAlign w:val="bottom"/>
            <w:gridSpan w:val="2"/>
            <w:shd w:val="clear" w:color="auto" w:fill="E5FFFF"/>
          </w:tcPr>
          <w:p>
            <w:pPr>
              <w:ind w:left="120"/>
              <w:spacing w:after="0" w:line="149" w:lineRule="exact"/>
              <w:rPr>
                <w:sz w:val="20"/>
                <w:szCs w:val="20"/>
                <w:color w:val="auto"/>
              </w:rPr>
            </w:pPr>
            <w:r>
              <w:rPr>
                <w:rFonts w:ascii="Arial" w:cs="Arial" w:eastAsia="Arial" w:hAnsi="Arial"/>
                <w:sz w:val="14"/>
                <w:szCs w:val="14"/>
                <w:color w:val="auto"/>
              </w:rPr>
              <w:t>January 2006</w:t>
            </w:r>
          </w:p>
        </w:tc>
        <w:tc>
          <w:tcPr>
            <w:tcW w:w="120" w:type="dxa"/>
            <w:vAlign w:val="bottom"/>
            <w:shd w:val="clear" w:color="auto" w:fill="E5FFFF"/>
          </w:tcPr>
          <w:p>
            <w:pPr>
              <w:spacing w:after="0"/>
              <w:rPr>
                <w:sz w:val="12"/>
                <w:szCs w:val="12"/>
                <w:color w:val="auto"/>
              </w:rPr>
            </w:pPr>
          </w:p>
        </w:tc>
        <w:tc>
          <w:tcPr>
            <w:tcW w:w="1800" w:type="dxa"/>
            <w:vAlign w:val="bottom"/>
            <w:gridSpan w:val="3"/>
            <w:shd w:val="clear" w:color="auto" w:fill="E5FFFF"/>
          </w:tcPr>
          <w:p>
            <w:pPr>
              <w:ind w:left="120"/>
              <w:spacing w:after="0" w:line="149" w:lineRule="exact"/>
              <w:rPr>
                <w:sz w:val="20"/>
                <w:szCs w:val="20"/>
                <w:color w:val="auto"/>
              </w:rPr>
            </w:pPr>
            <w:r>
              <w:rPr>
                <w:rFonts w:ascii="Arial" w:cs="Arial" w:eastAsia="Arial" w:hAnsi="Arial"/>
                <w:sz w:val="14"/>
                <w:szCs w:val="14"/>
                <w:color w:val="auto"/>
              </w:rPr>
              <w:t>Holding company</w:t>
            </w:r>
          </w:p>
        </w:tc>
        <w:tc>
          <w:tcPr>
            <w:tcW w:w="60" w:type="dxa"/>
            <w:vAlign w:val="bottom"/>
            <w:shd w:val="clear" w:color="auto" w:fill="E5FFFF"/>
          </w:tcPr>
          <w:p>
            <w:pPr>
              <w:spacing w:after="0"/>
              <w:rPr>
                <w:sz w:val="12"/>
                <w:szCs w:val="12"/>
                <w:color w:val="auto"/>
              </w:rPr>
            </w:pPr>
          </w:p>
        </w:tc>
        <w:tc>
          <w:tcPr>
            <w:tcW w:w="1020" w:type="dxa"/>
            <w:vAlign w:val="bottom"/>
            <w:gridSpan w:val="2"/>
            <w:shd w:val="clear" w:color="auto" w:fill="E5FFFF"/>
          </w:tcPr>
          <w:p>
            <w:pPr>
              <w:jc w:val="center"/>
              <w:ind w:right="120"/>
              <w:spacing w:after="0" w:line="149" w:lineRule="exact"/>
              <w:rPr>
                <w:sz w:val="20"/>
                <w:szCs w:val="20"/>
                <w:color w:val="auto"/>
              </w:rPr>
            </w:pPr>
            <w:r>
              <w:rPr>
                <w:rFonts w:ascii="Arial" w:cs="Arial" w:eastAsia="Arial" w:hAnsi="Arial"/>
                <w:sz w:val="14"/>
                <w:szCs w:val="14"/>
                <w:color w:val="auto"/>
                <w:w w:val="99"/>
              </w:rPr>
              <w:t>—</w:t>
            </w:r>
          </w:p>
        </w:tc>
        <w:tc>
          <w:tcPr>
            <w:tcW w:w="1600" w:type="dxa"/>
            <w:vAlign w:val="bottom"/>
            <w:gridSpan w:val="2"/>
            <w:shd w:val="clear" w:color="auto" w:fill="E5FFFF"/>
          </w:tcPr>
          <w:p>
            <w:pPr>
              <w:jc w:val="center"/>
              <w:ind w:right="100"/>
              <w:spacing w:after="0" w:line="149" w:lineRule="exact"/>
              <w:rPr>
                <w:sz w:val="20"/>
                <w:szCs w:val="20"/>
                <w:color w:val="auto"/>
              </w:rPr>
            </w:pPr>
            <w:r>
              <w:rPr>
                <w:rFonts w:ascii="Arial" w:cs="Arial" w:eastAsia="Arial" w:hAnsi="Arial"/>
                <w:sz w:val="14"/>
                <w:szCs w:val="14"/>
                <w:color w:val="auto"/>
                <w:w w:val="99"/>
              </w:rPr>
              <w:t>—</w:t>
            </w:r>
          </w:p>
        </w:tc>
        <w:tc>
          <w:tcPr>
            <w:tcW w:w="1380" w:type="dxa"/>
            <w:vAlign w:val="bottom"/>
            <w:gridSpan w:val="2"/>
            <w:shd w:val="clear" w:color="auto" w:fill="E5FFFF"/>
          </w:tcPr>
          <w:p>
            <w:pPr>
              <w:jc w:val="center"/>
              <w:ind w:right="1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80" w:type="dxa"/>
            <w:vAlign w:val="bottom"/>
            <w:gridSpan w:val="2"/>
          </w:tcPr>
          <w:p>
            <w:pPr>
              <w:spacing w:after="0" w:line="149" w:lineRule="exact"/>
              <w:rPr>
                <w:sz w:val="20"/>
                <w:szCs w:val="20"/>
                <w:color w:val="auto"/>
              </w:rPr>
            </w:pPr>
            <w:r>
              <w:rPr>
                <w:rFonts w:ascii="Arial" w:cs="Arial" w:eastAsia="Arial" w:hAnsi="Arial"/>
                <w:sz w:val="14"/>
                <w:szCs w:val="14"/>
                <w:color w:val="auto"/>
              </w:rPr>
              <w:t>GasLog Partners GP LLC</w:t>
            </w:r>
          </w:p>
        </w:tc>
        <w:tc>
          <w:tcPr>
            <w:tcW w:w="1520" w:type="dxa"/>
            <w:vAlign w:val="bottom"/>
          </w:tcPr>
          <w:p>
            <w:pPr>
              <w:spacing w:after="0" w:line="149" w:lineRule="exact"/>
              <w:rPr>
                <w:sz w:val="20"/>
                <w:szCs w:val="20"/>
                <w:color w:val="auto"/>
              </w:rPr>
            </w:pPr>
            <w:r>
              <w:rPr>
                <w:rFonts w:ascii="Arial" w:cs="Arial" w:eastAsia="Arial" w:hAnsi="Arial"/>
                <w:sz w:val="14"/>
                <w:szCs w:val="14"/>
                <w:color w:val="auto"/>
              </w:rPr>
              <w:t>Marshall Islands</w:t>
            </w:r>
          </w:p>
        </w:tc>
        <w:tc>
          <w:tcPr>
            <w:tcW w:w="12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January 2014</w:t>
            </w:r>
          </w:p>
        </w:tc>
        <w:tc>
          <w:tcPr>
            <w:tcW w:w="120" w:type="dxa"/>
            <w:vAlign w:val="bottom"/>
          </w:tcPr>
          <w:p>
            <w:pPr>
              <w:spacing w:after="0"/>
              <w:rPr>
                <w:sz w:val="12"/>
                <w:szCs w:val="12"/>
                <w:color w:val="auto"/>
              </w:rPr>
            </w:pPr>
          </w:p>
        </w:tc>
        <w:tc>
          <w:tcPr>
            <w:tcW w:w="180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Holding company</w:t>
            </w:r>
          </w:p>
        </w:tc>
        <w:tc>
          <w:tcPr>
            <w:tcW w:w="60" w:type="dxa"/>
            <w:vAlign w:val="bottom"/>
          </w:tcPr>
          <w:p>
            <w:pPr>
              <w:spacing w:after="0"/>
              <w:rPr>
                <w:sz w:val="12"/>
                <w:szCs w:val="12"/>
                <w:color w:val="auto"/>
              </w:rPr>
            </w:pPr>
          </w:p>
        </w:tc>
        <w:tc>
          <w:tcPr>
            <w:tcW w:w="102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9"/>
              </w:rPr>
              <w:t>—</w:t>
            </w:r>
          </w:p>
        </w:tc>
        <w:tc>
          <w:tcPr>
            <w:tcW w:w="16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9"/>
              </w:rPr>
              <w:t>—</w:t>
            </w:r>
          </w:p>
        </w:tc>
        <w:tc>
          <w:tcPr>
            <w:tcW w:w="13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80" w:type="dxa"/>
            <w:vAlign w:val="bottom"/>
            <w:gridSpan w:val="2"/>
            <w:shd w:val="clear" w:color="auto" w:fill="E5FFFF"/>
          </w:tcPr>
          <w:p>
            <w:pPr>
              <w:spacing w:after="0" w:line="149" w:lineRule="exact"/>
              <w:rPr>
                <w:sz w:val="20"/>
                <w:szCs w:val="20"/>
                <w:color w:val="auto"/>
              </w:rPr>
            </w:pPr>
            <w:r>
              <w:rPr>
                <w:rFonts w:ascii="Arial" w:cs="Arial" w:eastAsia="Arial" w:hAnsi="Arial"/>
                <w:sz w:val="14"/>
                <w:szCs w:val="14"/>
                <w:color w:val="auto"/>
              </w:rPr>
              <w:t>GasLog Cyprus Investments Ltd.</w:t>
            </w:r>
          </w:p>
        </w:tc>
        <w:tc>
          <w:tcPr>
            <w:tcW w:w="152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Cyprus</w:t>
            </w:r>
          </w:p>
        </w:tc>
        <w:tc>
          <w:tcPr>
            <w:tcW w:w="1280" w:type="dxa"/>
            <w:vAlign w:val="bottom"/>
            <w:gridSpan w:val="2"/>
            <w:shd w:val="clear" w:color="auto" w:fill="E5FFFF"/>
          </w:tcPr>
          <w:p>
            <w:pPr>
              <w:ind w:left="120"/>
              <w:spacing w:after="0" w:line="149" w:lineRule="exact"/>
              <w:rPr>
                <w:sz w:val="20"/>
                <w:szCs w:val="20"/>
                <w:color w:val="auto"/>
              </w:rPr>
            </w:pPr>
            <w:r>
              <w:rPr>
                <w:rFonts w:ascii="Arial" w:cs="Arial" w:eastAsia="Arial" w:hAnsi="Arial"/>
                <w:sz w:val="14"/>
                <w:szCs w:val="14"/>
                <w:color w:val="auto"/>
              </w:rPr>
              <w:t>December 2016</w:t>
            </w:r>
          </w:p>
        </w:tc>
        <w:tc>
          <w:tcPr>
            <w:tcW w:w="120" w:type="dxa"/>
            <w:vAlign w:val="bottom"/>
            <w:shd w:val="clear" w:color="auto" w:fill="E5FFFF"/>
          </w:tcPr>
          <w:p>
            <w:pPr>
              <w:spacing w:after="0"/>
              <w:rPr>
                <w:sz w:val="12"/>
                <w:szCs w:val="12"/>
                <w:color w:val="auto"/>
              </w:rPr>
            </w:pPr>
          </w:p>
        </w:tc>
        <w:tc>
          <w:tcPr>
            <w:tcW w:w="1800" w:type="dxa"/>
            <w:vAlign w:val="bottom"/>
            <w:gridSpan w:val="3"/>
            <w:shd w:val="clear" w:color="auto" w:fill="E5FFFF"/>
          </w:tcPr>
          <w:p>
            <w:pPr>
              <w:ind w:left="120"/>
              <w:spacing w:after="0" w:line="149" w:lineRule="exact"/>
              <w:rPr>
                <w:sz w:val="20"/>
                <w:szCs w:val="20"/>
                <w:color w:val="auto"/>
              </w:rPr>
            </w:pPr>
            <w:r>
              <w:rPr>
                <w:rFonts w:ascii="Arial" w:cs="Arial" w:eastAsia="Arial" w:hAnsi="Arial"/>
                <w:sz w:val="14"/>
                <w:szCs w:val="14"/>
                <w:color w:val="auto"/>
              </w:rPr>
              <w:t>Holding company</w:t>
            </w:r>
          </w:p>
        </w:tc>
        <w:tc>
          <w:tcPr>
            <w:tcW w:w="60" w:type="dxa"/>
            <w:vAlign w:val="bottom"/>
            <w:shd w:val="clear" w:color="auto" w:fill="E5FFFF"/>
          </w:tcPr>
          <w:p>
            <w:pPr>
              <w:spacing w:after="0"/>
              <w:rPr>
                <w:sz w:val="12"/>
                <w:szCs w:val="12"/>
                <w:color w:val="auto"/>
              </w:rPr>
            </w:pPr>
          </w:p>
        </w:tc>
        <w:tc>
          <w:tcPr>
            <w:tcW w:w="920" w:type="dxa"/>
            <w:vAlign w:val="bottom"/>
            <w:shd w:val="clear" w:color="auto" w:fill="E5FFFF"/>
          </w:tcPr>
          <w:p>
            <w:pPr>
              <w:spacing w:after="0"/>
              <w:rPr>
                <w:sz w:val="12"/>
                <w:szCs w:val="12"/>
                <w:color w:val="auto"/>
              </w:rPr>
            </w:pPr>
          </w:p>
        </w:tc>
        <w:tc>
          <w:tcPr>
            <w:tcW w:w="100" w:type="dxa"/>
            <w:vAlign w:val="bottom"/>
            <w:shd w:val="clear" w:color="auto" w:fill="E5FFFF"/>
          </w:tcPr>
          <w:p>
            <w:pPr>
              <w:spacing w:after="0"/>
              <w:rPr>
                <w:sz w:val="12"/>
                <w:szCs w:val="12"/>
                <w:color w:val="auto"/>
              </w:rPr>
            </w:pPr>
          </w:p>
        </w:tc>
        <w:tc>
          <w:tcPr>
            <w:tcW w:w="1500" w:type="dxa"/>
            <w:vAlign w:val="bottom"/>
            <w:shd w:val="clear" w:color="auto" w:fill="E5FFFF"/>
          </w:tcPr>
          <w:p>
            <w:pPr>
              <w:spacing w:after="0"/>
              <w:rPr>
                <w:sz w:val="12"/>
                <w:szCs w:val="12"/>
                <w:color w:val="auto"/>
              </w:rPr>
            </w:pPr>
          </w:p>
        </w:tc>
        <w:tc>
          <w:tcPr>
            <w:tcW w:w="100" w:type="dxa"/>
            <w:vAlign w:val="bottom"/>
            <w:shd w:val="clear" w:color="auto" w:fill="E5FFFF"/>
          </w:tcPr>
          <w:p>
            <w:pPr>
              <w:spacing w:after="0"/>
              <w:rPr>
                <w:sz w:val="12"/>
                <w:szCs w:val="12"/>
                <w:color w:val="auto"/>
              </w:rPr>
            </w:pPr>
          </w:p>
        </w:tc>
        <w:tc>
          <w:tcPr>
            <w:tcW w:w="1280" w:type="dxa"/>
            <w:vAlign w:val="bottom"/>
            <w:shd w:val="clear" w:color="auto" w:fill="E5FFFF"/>
          </w:tcPr>
          <w:p>
            <w:pPr>
              <w:spacing w:after="0"/>
              <w:rPr>
                <w:sz w:val="12"/>
                <w:szCs w:val="12"/>
                <w:color w:val="auto"/>
              </w:rPr>
            </w:pPr>
          </w:p>
        </w:tc>
        <w:tc>
          <w:tcPr>
            <w:tcW w:w="100" w:type="dxa"/>
            <w:vAlign w:val="bottom"/>
            <w:shd w:val="clear" w:color="auto" w:fill="E5FF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80" w:type="dxa"/>
            <w:vAlign w:val="bottom"/>
            <w:gridSpan w:val="2"/>
          </w:tcPr>
          <w:p>
            <w:pPr>
              <w:spacing w:after="0" w:line="149" w:lineRule="exact"/>
              <w:rPr>
                <w:sz w:val="20"/>
                <w:szCs w:val="20"/>
                <w:color w:val="auto"/>
              </w:rPr>
            </w:pPr>
            <w:r>
              <w:rPr>
                <w:rFonts w:ascii="Arial" w:cs="Arial" w:eastAsia="Arial" w:hAnsi="Arial"/>
                <w:sz w:val="14"/>
                <w:szCs w:val="14"/>
                <w:color w:val="auto"/>
              </w:rPr>
              <w:t>GasLog Services UK Ltd.</w:t>
            </w:r>
          </w:p>
        </w:tc>
        <w:tc>
          <w:tcPr>
            <w:tcW w:w="1520" w:type="dxa"/>
            <w:vAlign w:val="bottom"/>
          </w:tcPr>
          <w:p>
            <w:pPr>
              <w:spacing w:after="0" w:line="149" w:lineRule="exact"/>
              <w:rPr>
                <w:sz w:val="20"/>
                <w:szCs w:val="20"/>
                <w:color w:val="auto"/>
              </w:rPr>
            </w:pPr>
            <w:r>
              <w:rPr>
                <w:rFonts w:ascii="Arial" w:cs="Arial" w:eastAsia="Arial" w:hAnsi="Arial"/>
                <w:sz w:val="14"/>
                <w:szCs w:val="14"/>
                <w:color w:val="auto"/>
              </w:rPr>
              <w:t>England and Wales</w:t>
            </w:r>
          </w:p>
        </w:tc>
        <w:tc>
          <w:tcPr>
            <w:tcW w:w="12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May 2014</w:t>
            </w:r>
          </w:p>
        </w:tc>
        <w:tc>
          <w:tcPr>
            <w:tcW w:w="120" w:type="dxa"/>
            <w:vAlign w:val="bottom"/>
          </w:tcPr>
          <w:p>
            <w:pPr>
              <w:spacing w:after="0"/>
              <w:rPr>
                <w:sz w:val="12"/>
                <w:szCs w:val="12"/>
                <w:color w:val="auto"/>
              </w:rPr>
            </w:pPr>
          </w:p>
        </w:tc>
        <w:tc>
          <w:tcPr>
            <w:tcW w:w="180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Service company</w:t>
            </w:r>
          </w:p>
        </w:tc>
        <w:tc>
          <w:tcPr>
            <w:tcW w:w="60" w:type="dxa"/>
            <w:vAlign w:val="bottom"/>
          </w:tcPr>
          <w:p>
            <w:pPr>
              <w:spacing w:after="0"/>
              <w:rPr>
                <w:sz w:val="12"/>
                <w:szCs w:val="12"/>
                <w:color w:val="auto"/>
              </w:rPr>
            </w:pPr>
          </w:p>
        </w:tc>
        <w:tc>
          <w:tcPr>
            <w:tcW w:w="102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9"/>
              </w:rPr>
              <w:t>—</w:t>
            </w:r>
          </w:p>
        </w:tc>
        <w:tc>
          <w:tcPr>
            <w:tcW w:w="16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9"/>
              </w:rPr>
              <w:t>—</w:t>
            </w:r>
          </w:p>
        </w:tc>
        <w:tc>
          <w:tcPr>
            <w:tcW w:w="13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80" w:type="dxa"/>
            <w:vAlign w:val="bottom"/>
            <w:gridSpan w:val="2"/>
            <w:shd w:val="clear" w:color="auto" w:fill="E5FFFF"/>
          </w:tcPr>
          <w:p>
            <w:pPr>
              <w:spacing w:after="0" w:line="149" w:lineRule="exact"/>
              <w:rPr>
                <w:sz w:val="20"/>
                <w:szCs w:val="20"/>
                <w:color w:val="auto"/>
              </w:rPr>
            </w:pPr>
            <w:r>
              <w:rPr>
                <w:rFonts w:ascii="Arial" w:cs="Arial" w:eastAsia="Arial" w:hAnsi="Arial"/>
                <w:sz w:val="14"/>
                <w:szCs w:val="14"/>
                <w:color w:val="auto"/>
              </w:rPr>
              <w:t>GasLog Services US Inc.</w:t>
            </w:r>
          </w:p>
        </w:tc>
        <w:tc>
          <w:tcPr>
            <w:tcW w:w="152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Delaware</w:t>
            </w:r>
          </w:p>
        </w:tc>
        <w:tc>
          <w:tcPr>
            <w:tcW w:w="1280" w:type="dxa"/>
            <w:vAlign w:val="bottom"/>
            <w:gridSpan w:val="2"/>
            <w:shd w:val="clear" w:color="auto" w:fill="E5FFFF"/>
          </w:tcPr>
          <w:p>
            <w:pPr>
              <w:ind w:left="120"/>
              <w:spacing w:after="0" w:line="149" w:lineRule="exact"/>
              <w:rPr>
                <w:sz w:val="20"/>
                <w:szCs w:val="20"/>
                <w:color w:val="auto"/>
              </w:rPr>
            </w:pPr>
            <w:r>
              <w:rPr>
                <w:rFonts w:ascii="Arial" w:cs="Arial" w:eastAsia="Arial" w:hAnsi="Arial"/>
                <w:sz w:val="14"/>
                <w:szCs w:val="14"/>
                <w:color w:val="auto"/>
              </w:rPr>
              <w:t>May 2014</w:t>
            </w:r>
          </w:p>
        </w:tc>
        <w:tc>
          <w:tcPr>
            <w:tcW w:w="120" w:type="dxa"/>
            <w:vAlign w:val="bottom"/>
            <w:shd w:val="clear" w:color="auto" w:fill="E5FFFF"/>
          </w:tcPr>
          <w:p>
            <w:pPr>
              <w:spacing w:after="0"/>
              <w:rPr>
                <w:sz w:val="12"/>
                <w:szCs w:val="12"/>
                <w:color w:val="auto"/>
              </w:rPr>
            </w:pPr>
          </w:p>
        </w:tc>
        <w:tc>
          <w:tcPr>
            <w:tcW w:w="1800" w:type="dxa"/>
            <w:vAlign w:val="bottom"/>
            <w:gridSpan w:val="3"/>
            <w:shd w:val="clear" w:color="auto" w:fill="E5FFFF"/>
          </w:tcPr>
          <w:p>
            <w:pPr>
              <w:ind w:left="120"/>
              <w:spacing w:after="0" w:line="149" w:lineRule="exact"/>
              <w:rPr>
                <w:sz w:val="20"/>
                <w:szCs w:val="20"/>
                <w:color w:val="auto"/>
              </w:rPr>
            </w:pPr>
            <w:r>
              <w:rPr>
                <w:rFonts w:ascii="Arial" w:cs="Arial" w:eastAsia="Arial" w:hAnsi="Arial"/>
                <w:sz w:val="14"/>
                <w:szCs w:val="14"/>
                <w:color w:val="auto"/>
              </w:rPr>
              <w:t>Service company</w:t>
            </w:r>
          </w:p>
        </w:tc>
        <w:tc>
          <w:tcPr>
            <w:tcW w:w="60" w:type="dxa"/>
            <w:vAlign w:val="bottom"/>
            <w:shd w:val="clear" w:color="auto" w:fill="E5FFFF"/>
          </w:tcPr>
          <w:p>
            <w:pPr>
              <w:spacing w:after="0"/>
              <w:rPr>
                <w:sz w:val="12"/>
                <w:szCs w:val="12"/>
                <w:color w:val="auto"/>
              </w:rPr>
            </w:pPr>
          </w:p>
        </w:tc>
        <w:tc>
          <w:tcPr>
            <w:tcW w:w="1020" w:type="dxa"/>
            <w:vAlign w:val="bottom"/>
            <w:gridSpan w:val="2"/>
            <w:shd w:val="clear" w:color="auto" w:fill="E5FFFF"/>
          </w:tcPr>
          <w:p>
            <w:pPr>
              <w:jc w:val="center"/>
              <w:ind w:right="120"/>
              <w:spacing w:after="0" w:line="149" w:lineRule="exact"/>
              <w:rPr>
                <w:sz w:val="20"/>
                <w:szCs w:val="20"/>
                <w:color w:val="auto"/>
              </w:rPr>
            </w:pPr>
            <w:r>
              <w:rPr>
                <w:rFonts w:ascii="Arial" w:cs="Arial" w:eastAsia="Arial" w:hAnsi="Arial"/>
                <w:sz w:val="14"/>
                <w:szCs w:val="14"/>
                <w:color w:val="auto"/>
                <w:w w:val="99"/>
              </w:rPr>
              <w:t>—</w:t>
            </w:r>
          </w:p>
        </w:tc>
        <w:tc>
          <w:tcPr>
            <w:tcW w:w="1600" w:type="dxa"/>
            <w:vAlign w:val="bottom"/>
            <w:gridSpan w:val="2"/>
            <w:shd w:val="clear" w:color="auto" w:fill="E5FFFF"/>
          </w:tcPr>
          <w:p>
            <w:pPr>
              <w:jc w:val="center"/>
              <w:ind w:right="100"/>
              <w:spacing w:after="0" w:line="149" w:lineRule="exact"/>
              <w:rPr>
                <w:sz w:val="20"/>
                <w:szCs w:val="20"/>
                <w:color w:val="auto"/>
              </w:rPr>
            </w:pPr>
            <w:r>
              <w:rPr>
                <w:rFonts w:ascii="Arial" w:cs="Arial" w:eastAsia="Arial" w:hAnsi="Arial"/>
                <w:sz w:val="14"/>
                <w:szCs w:val="14"/>
                <w:color w:val="auto"/>
                <w:w w:val="99"/>
              </w:rPr>
              <w:t>—</w:t>
            </w:r>
          </w:p>
        </w:tc>
        <w:tc>
          <w:tcPr>
            <w:tcW w:w="1380" w:type="dxa"/>
            <w:vAlign w:val="bottom"/>
            <w:gridSpan w:val="2"/>
            <w:shd w:val="clear" w:color="auto" w:fill="E5FFFF"/>
          </w:tcPr>
          <w:p>
            <w:pPr>
              <w:jc w:val="center"/>
              <w:ind w:right="1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80" w:type="dxa"/>
            <w:vAlign w:val="bottom"/>
            <w:gridSpan w:val="2"/>
          </w:tcPr>
          <w:p>
            <w:pPr>
              <w:spacing w:after="0" w:line="149" w:lineRule="exact"/>
              <w:rPr>
                <w:sz w:val="20"/>
                <w:szCs w:val="20"/>
                <w:color w:val="auto"/>
              </w:rPr>
            </w:pPr>
            <w:r>
              <w:rPr>
                <w:rFonts w:ascii="Arial" w:cs="Arial" w:eastAsia="Arial" w:hAnsi="Arial"/>
                <w:sz w:val="14"/>
                <w:szCs w:val="14"/>
                <w:color w:val="auto"/>
              </w:rPr>
              <w:t>GasLog Asia Pte Ltd.</w:t>
            </w:r>
          </w:p>
        </w:tc>
        <w:tc>
          <w:tcPr>
            <w:tcW w:w="1520" w:type="dxa"/>
            <w:vAlign w:val="bottom"/>
          </w:tcPr>
          <w:p>
            <w:pPr>
              <w:spacing w:after="0" w:line="149" w:lineRule="exact"/>
              <w:rPr>
                <w:sz w:val="20"/>
                <w:szCs w:val="20"/>
                <w:color w:val="auto"/>
              </w:rPr>
            </w:pPr>
            <w:r>
              <w:rPr>
                <w:rFonts w:ascii="Arial" w:cs="Arial" w:eastAsia="Arial" w:hAnsi="Arial"/>
                <w:sz w:val="14"/>
                <w:szCs w:val="14"/>
                <w:color w:val="auto"/>
              </w:rPr>
              <w:t>Singapore</w:t>
            </w:r>
          </w:p>
        </w:tc>
        <w:tc>
          <w:tcPr>
            <w:tcW w:w="12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May 2015</w:t>
            </w:r>
          </w:p>
        </w:tc>
        <w:tc>
          <w:tcPr>
            <w:tcW w:w="120" w:type="dxa"/>
            <w:vAlign w:val="bottom"/>
          </w:tcPr>
          <w:p>
            <w:pPr>
              <w:spacing w:after="0"/>
              <w:rPr>
                <w:sz w:val="12"/>
                <w:szCs w:val="12"/>
                <w:color w:val="auto"/>
              </w:rPr>
            </w:pPr>
          </w:p>
        </w:tc>
        <w:tc>
          <w:tcPr>
            <w:tcW w:w="180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Service company</w:t>
            </w:r>
          </w:p>
        </w:tc>
        <w:tc>
          <w:tcPr>
            <w:tcW w:w="60" w:type="dxa"/>
            <w:vAlign w:val="bottom"/>
          </w:tcPr>
          <w:p>
            <w:pPr>
              <w:spacing w:after="0"/>
              <w:rPr>
                <w:sz w:val="12"/>
                <w:szCs w:val="12"/>
                <w:color w:val="auto"/>
              </w:rPr>
            </w:pPr>
          </w:p>
        </w:tc>
        <w:tc>
          <w:tcPr>
            <w:tcW w:w="102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9"/>
              </w:rPr>
              <w:t>—</w:t>
            </w:r>
          </w:p>
        </w:tc>
        <w:tc>
          <w:tcPr>
            <w:tcW w:w="16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9"/>
              </w:rPr>
              <w:t>—</w:t>
            </w:r>
          </w:p>
        </w:tc>
        <w:tc>
          <w:tcPr>
            <w:tcW w:w="13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780" w:type="dxa"/>
            <w:vAlign w:val="bottom"/>
            <w:gridSpan w:val="2"/>
            <w:shd w:val="clear" w:color="auto" w:fill="E5FFFF"/>
          </w:tcPr>
          <w:p>
            <w:pPr>
              <w:spacing w:after="0" w:line="130" w:lineRule="exact"/>
              <w:rPr>
                <w:sz w:val="20"/>
                <w:szCs w:val="20"/>
                <w:color w:val="auto"/>
              </w:rPr>
            </w:pPr>
            <w:r>
              <w:rPr>
                <w:rFonts w:ascii="Arial" w:cs="Arial" w:eastAsia="Arial" w:hAnsi="Arial"/>
                <w:sz w:val="14"/>
                <w:szCs w:val="14"/>
                <w:color w:val="auto"/>
              </w:rPr>
              <w:t>GasLog LNG Services Ltd.</w:t>
            </w:r>
          </w:p>
        </w:tc>
        <w:tc>
          <w:tcPr>
            <w:tcW w:w="1520" w:type="dxa"/>
            <w:vAlign w:val="bottom"/>
            <w:shd w:val="clear" w:color="auto" w:fill="E5FFFF"/>
          </w:tcPr>
          <w:p>
            <w:pPr>
              <w:spacing w:after="0" w:line="130" w:lineRule="exact"/>
              <w:rPr>
                <w:sz w:val="20"/>
                <w:szCs w:val="20"/>
                <w:color w:val="auto"/>
              </w:rPr>
            </w:pPr>
            <w:r>
              <w:rPr>
                <w:rFonts w:ascii="Arial" w:cs="Arial" w:eastAsia="Arial" w:hAnsi="Arial"/>
                <w:sz w:val="14"/>
                <w:szCs w:val="14"/>
                <w:color w:val="auto"/>
              </w:rPr>
              <w:t>Bermuda</w:t>
            </w:r>
          </w:p>
        </w:tc>
        <w:tc>
          <w:tcPr>
            <w:tcW w:w="1280" w:type="dxa"/>
            <w:vAlign w:val="bottom"/>
            <w:gridSpan w:val="2"/>
            <w:shd w:val="clear" w:color="auto" w:fill="E5FFFF"/>
          </w:tcPr>
          <w:p>
            <w:pPr>
              <w:ind w:left="120"/>
              <w:spacing w:after="0" w:line="130" w:lineRule="exact"/>
              <w:rPr>
                <w:sz w:val="20"/>
                <w:szCs w:val="20"/>
                <w:color w:val="auto"/>
              </w:rPr>
            </w:pPr>
            <w:r>
              <w:rPr>
                <w:rFonts w:ascii="Arial" w:cs="Arial" w:eastAsia="Arial" w:hAnsi="Arial"/>
                <w:sz w:val="14"/>
                <w:szCs w:val="14"/>
                <w:color w:val="auto"/>
              </w:rPr>
              <w:t>August 2004</w:t>
            </w:r>
          </w:p>
        </w:tc>
        <w:tc>
          <w:tcPr>
            <w:tcW w:w="120" w:type="dxa"/>
            <w:vAlign w:val="bottom"/>
            <w:shd w:val="clear" w:color="auto" w:fill="E5FFFF"/>
          </w:tcPr>
          <w:p>
            <w:pPr>
              <w:spacing w:after="0"/>
              <w:rPr>
                <w:sz w:val="11"/>
                <w:szCs w:val="11"/>
                <w:color w:val="auto"/>
              </w:rPr>
            </w:pPr>
          </w:p>
        </w:tc>
        <w:tc>
          <w:tcPr>
            <w:tcW w:w="1800" w:type="dxa"/>
            <w:vAlign w:val="bottom"/>
            <w:gridSpan w:val="3"/>
            <w:shd w:val="clear" w:color="auto" w:fill="E5FFFF"/>
          </w:tcPr>
          <w:p>
            <w:pPr>
              <w:ind w:left="120"/>
              <w:spacing w:after="0" w:line="130" w:lineRule="exact"/>
              <w:rPr>
                <w:sz w:val="20"/>
                <w:szCs w:val="20"/>
                <w:color w:val="auto"/>
              </w:rPr>
            </w:pPr>
            <w:r>
              <w:rPr>
                <w:rFonts w:ascii="Arial" w:cs="Arial" w:eastAsia="Arial" w:hAnsi="Arial"/>
                <w:sz w:val="14"/>
                <w:szCs w:val="14"/>
                <w:color w:val="auto"/>
              </w:rPr>
              <w:t>Vessel management</w:t>
            </w:r>
          </w:p>
        </w:tc>
        <w:tc>
          <w:tcPr>
            <w:tcW w:w="60" w:type="dxa"/>
            <w:vAlign w:val="bottom"/>
            <w:shd w:val="clear" w:color="auto" w:fill="E5FFFF"/>
          </w:tcPr>
          <w:p>
            <w:pPr>
              <w:spacing w:after="0"/>
              <w:rPr>
                <w:sz w:val="11"/>
                <w:szCs w:val="11"/>
                <w:color w:val="auto"/>
              </w:rPr>
            </w:pPr>
          </w:p>
        </w:tc>
        <w:tc>
          <w:tcPr>
            <w:tcW w:w="1020" w:type="dxa"/>
            <w:vAlign w:val="bottom"/>
            <w:gridSpan w:val="2"/>
            <w:shd w:val="clear" w:color="auto" w:fill="E5FFFF"/>
          </w:tcPr>
          <w:p>
            <w:pPr>
              <w:jc w:val="center"/>
              <w:ind w:right="120"/>
              <w:spacing w:after="0" w:line="130" w:lineRule="exact"/>
              <w:rPr>
                <w:sz w:val="20"/>
                <w:szCs w:val="20"/>
                <w:color w:val="auto"/>
              </w:rPr>
            </w:pPr>
            <w:r>
              <w:rPr>
                <w:rFonts w:ascii="Arial" w:cs="Arial" w:eastAsia="Arial" w:hAnsi="Arial"/>
                <w:sz w:val="14"/>
                <w:szCs w:val="14"/>
                <w:color w:val="auto"/>
                <w:w w:val="99"/>
              </w:rPr>
              <w:t>—</w:t>
            </w:r>
          </w:p>
        </w:tc>
        <w:tc>
          <w:tcPr>
            <w:tcW w:w="1600" w:type="dxa"/>
            <w:vAlign w:val="bottom"/>
            <w:gridSpan w:val="2"/>
            <w:shd w:val="clear" w:color="auto" w:fill="E5FFFF"/>
          </w:tcPr>
          <w:p>
            <w:pPr>
              <w:jc w:val="center"/>
              <w:ind w:right="100"/>
              <w:spacing w:after="0" w:line="130" w:lineRule="exact"/>
              <w:rPr>
                <w:sz w:val="20"/>
                <w:szCs w:val="20"/>
                <w:color w:val="auto"/>
              </w:rPr>
            </w:pPr>
            <w:r>
              <w:rPr>
                <w:rFonts w:ascii="Arial" w:cs="Arial" w:eastAsia="Arial" w:hAnsi="Arial"/>
                <w:sz w:val="14"/>
                <w:szCs w:val="14"/>
                <w:color w:val="auto"/>
                <w:w w:val="99"/>
              </w:rPr>
              <w:t>—</w:t>
            </w:r>
          </w:p>
        </w:tc>
        <w:tc>
          <w:tcPr>
            <w:tcW w:w="1380" w:type="dxa"/>
            <w:vAlign w:val="bottom"/>
            <w:gridSpan w:val="2"/>
            <w:shd w:val="clear" w:color="auto" w:fill="E5FFFF"/>
          </w:tcPr>
          <w:p>
            <w:pPr>
              <w:jc w:val="center"/>
              <w:ind w:right="100"/>
              <w:spacing w:after="0" w:line="130"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660" w:type="dxa"/>
            <w:vAlign w:val="bottom"/>
            <w:shd w:val="clear" w:color="auto" w:fill="E5FFFF"/>
          </w:tcPr>
          <w:p>
            <w:pPr>
              <w:spacing w:after="0"/>
              <w:rPr>
                <w:sz w:val="14"/>
                <w:szCs w:val="14"/>
                <w:color w:val="auto"/>
              </w:rPr>
            </w:pPr>
          </w:p>
        </w:tc>
        <w:tc>
          <w:tcPr>
            <w:tcW w:w="120" w:type="dxa"/>
            <w:vAlign w:val="bottom"/>
            <w:shd w:val="clear" w:color="auto" w:fill="E5FFFF"/>
          </w:tcPr>
          <w:p>
            <w:pPr>
              <w:spacing w:after="0"/>
              <w:rPr>
                <w:sz w:val="14"/>
                <w:szCs w:val="14"/>
                <w:color w:val="auto"/>
              </w:rPr>
            </w:pPr>
          </w:p>
        </w:tc>
        <w:tc>
          <w:tcPr>
            <w:tcW w:w="1520" w:type="dxa"/>
            <w:vAlign w:val="bottom"/>
            <w:shd w:val="clear" w:color="auto" w:fill="E5FFFF"/>
          </w:tcPr>
          <w:p>
            <w:pPr>
              <w:spacing w:after="0"/>
              <w:rPr>
                <w:sz w:val="14"/>
                <w:szCs w:val="14"/>
                <w:color w:val="auto"/>
              </w:rPr>
            </w:pPr>
          </w:p>
        </w:tc>
        <w:tc>
          <w:tcPr>
            <w:tcW w:w="120" w:type="dxa"/>
            <w:vAlign w:val="bottom"/>
            <w:shd w:val="clear" w:color="auto" w:fill="E5FFFF"/>
          </w:tcPr>
          <w:p>
            <w:pPr>
              <w:spacing w:after="0"/>
              <w:rPr>
                <w:sz w:val="14"/>
                <w:szCs w:val="14"/>
                <w:color w:val="auto"/>
              </w:rPr>
            </w:pPr>
          </w:p>
        </w:tc>
        <w:tc>
          <w:tcPr>
            <w:tcW w:w="1160" w:type="dxa"/>
            <w:vAlign w:val="bottom"/>
            <w:shd w:val="clear" w:color="auto" w:fill="E5FFFF"/>
          </w:tcPr>
          <w:p>
            <w:pPr>
              <w:spacing w:after="0"/>
              <w:rPr>
                <w:sz w:val="14"/>
                <w:szCs w:val="14"/>
                <w:color w:val="auto"/>
              </w:rPr>
            </w:pPr>
          </w:p>
        </w:tc>
        <w:tc>
          <w:tcPr>
            <w:tcW w:w="120" w:type="dxa"/>
            <w:vAlign w:val="bottom"/>
            <w:shd w:val="clear" w:color="auto" w:fill="E5FFFF"/>
          </w:tcPr>
          <w:p>
            <w:pPr>
              <w:spacing w:after="0"/>
              <w:rPr>
                <w:sz w:val="14"/>
                <w:szCs w:val="14"/>
                <w:color w:val="auto"/>
              </w:rPr>
            </w:pPr>
          </w:p>
        </w:tc>
        <w:tc>
          <w:tcPr>
            <w:tcW w:w="1800" w:type="dxa"/>
            <w:vAlign w:val="bottom"/>
            <w:gridSpan w:val="3"/>
            <w:shd w:val="clear" w:color="auto" w:fill="E5FFFF"/>
          </w:tcPr>
          <w:p>
            <w:pPr>
              <w:ind w:left="120"/>
              <w:spacing w:after="0"/>
              <w:rPr>
                <w:sz w:val="20"/>
                <w:szCs w:val="20"/>
                <w:color w:val="auto"/>
              </w:rPr>
            </w:pPr>
            <w:r>
              <w:rPr>
                <w:rFonts w:ascii="Arial" w:cs="Arial" w:eastAsia="Arial" w:hAnsi="Arial"/>
                <w:sz w:val="14"/>
                <w:szCs w:val="14"/>
                <w:color w:val="auto"/>
              </w:rPr>
              <w:t>services</w:t>
            </w:r>
          </w:p>
        </w:tc>
        <w:tc>
          <w:tcPr>
            <w:tcW w:w="60" w:type="dxa"/>
            <w:vAlign w:val="bottom"/>
            <w:shd w:val="clear" w:color="auto" w:fill="E5FFFF"/>
          </w:tcPr>
          <w:p>
            <w:pPr>
              <w:spacing w:after="0"/>
              <w:rPr>
                <w:sz w:val="14"/>
                <w:szCs w:val="14"/>
                <w:color w:val="auto"/>
              </w:rPr>
            </w:pPr>
          </w:p>
        </w:tc>
        <w:tc>
          <w:tcPr>
            <w:tcW w:w="920" w:type="dxa"/>
            <w:vAlign w:val="bottom"/>
            <w:shd w:val="clear" w:color="auto" w:fill="E5FFFF"/>
          </w:tcPr>
          <w:p>
            <w:pPr>
              <w:spacing w:after="0"/>
              <w:rPr>
                <w:sz w:val="14"/>
                <w:szCs w:val="14"/>
                <w:color w:val="auto"/>
              </w:rPr>
            </w:pPr>
          </w:p>
        </w:tc>
        <w:tc>
          <w:tcPr>
            <w:tcW w:w="100" w:type="dxa"/>
            <w:vAlign w:val="bottom"/>
            <w:shd w:val="clear" w:color="auto" w:fill="E5FFFF"/>
          </w:tcPr>
          <w:p>
            <w:pPr>
              <w:spacing w:after="0"/>
              <w:rPr>
                <w:sz w:val="14"/>
                <w:szCs w:val="14"/>
                <w:color w:val="auto"/>
              </w:rPr>
            </w:pPr>
          </w:p>
        </w:tc>
        <w:tc>
          <w:tcPr>
            <w:tcW w:w="1500" w:type="dxa"/>
            <w:vAlign w:val="bottom"/>
            <w:shd w:val="clear" w:color="auto" w:fill="E5FFFF"/>
          </w:tcPr>
          <w:p>
            <w:pPr>
              <w:spacing w:after="0"/>
              <w:rPr>
                <w:sz w:val="14"/>
                <w:szCs w:val="14"/>
                <w:color w:val="auto"/>
              </w:rPr>
            </w:pPr>
          </w:p>
        </w:tc>
        <w:tc>
          <w:tcPr>
            <w:tcW w:w="100" w:type="dxa"/>
            <w:vAlign w:val="bottom"/>
            <w:shd w:val="clear" w:color="auto" w:fill="E5FFFF"/>
          </w:tcPr>
          <w:p>
            <w:pPr>
              <w:spacing w:after="0"/>
              <w:rPr>
                <w:sz w:val="14"/>
                <w:szCs w:val="14"/>
                <w:color w:val="auto"/>
              </w:rPr>
            </w:pPr>
          </w:p>
        </w:tc>
        <w:tc>
          <w:tcPr>
            <w:tcW w:w="1280" w:type="dxa"/>
            <w:vAlign w:val="bottom"/>
            <w:shd w:val="clear" w:color="auto" w:fill="E5FFFF"/>
          </w:tcPr>
          <w:p>
            <w:pPr>
              <w:spacing w:after="0"/>
              <w:rPr>
                <w:sz w:val="14"/>
                <w:szCs w:val="14"/>
                <w:color w:val="auto"/>
              </w:rPr>
            </w:pPr>
          </w:p>
        </w:tc>
        <w:tc>
          <w:tcPr>
            <w:tcW w:w="100" w:type="dxa"/>
            <w:vAlign w:val="bottom"/>
            <w:shd w:val="clear" w:color="auto" w:fill="E5FF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780" w:type="dxa"/>
            <w:vAlign w:val="bottom"/>
            <w:gridSpan w:val="2"/>
          </w:tcPr>
          <w:p>
            <w:pPr>
              <w:spacing w:after="0" w:line="149" w:lineRule="exact"/>
              <w:rPr>
                <w:sz w:val="20"/>
                <w:szCs w:val="20"/>
                <w:color w:val="auto"/>
              </w:rPr>
            </w:pPr>
            <w:r>
              <w:rPr>
                <w:rFonts w:ascii="Arial" w:cs="Arial" w:eastAsia="Arial" w:hAnsi="Arial"/>
                <w:sz w:val="14"/>
                <w:szCs w:val="14"/>
                <w:color w:val="auto"/>
              </w:rPr>
              <w:t>GasLog Monaco S.A.M.</w:t>
            </w:r>
          </w:p>
        </w:tc>
        <w:tc>
          <w:tcPr>
            <w:tcW w:w="1520" w:type="dxa"/>
            <w:vAlign w:val="bottom"/>
          </w:tcPr>
          <w:p>
            <w:pPr>
              <w:spacing w:after="0" w:line="149" w:lineRule="exact"/>
              <w:rPr>
                <w:sz w:val="20"/>
                <w:szCs w:val="20"/>
                <w:color w:val="auto"/>
              </w:rPr>
            </w:pPr>
            <w:r>
              <w:rPr>
                <w:rFonts w:ascii="Arial" w:cs="Arial" w:eastAsia="Arial" w:hAnsi="Arial"/>
                <w:sz w:val="14"/>
                <w:szCs w:val="14"/>
                <w:color w:val="auto"/>
              </w:rPr>
              <w:t>Monaco</w:t>
            </w:r>
          </w:p>
        </w:tc>
        <w:tc>
          <w:tcPr>
            <w:tcW w:w="12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February 2010</w:t>
            </w:r>
          </w:p>
        </w:tc>
        <w:tc>
          <w:tcPr>
            <w:tcW w:w="120" w:type="dxa"/>
            <w:vAlign w:val="bottom"/>
          </w:tcPr>
          <w:p>
            <w:pPr>
              <w:spacing w:after="0"/>
              <w:rPr>
                <w:sz w:val="12"/>
                <w:szCs w:val="12"/>
                <w:color w:val="auto"/>
              </w:rPr>
            </w:pPr>
          </w:p>
        </w:tc>
        <w:tc>
          <w:tcPr>
            <w:tcW w:w="180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Service company</w:t>
            </w:r>
          </w:p>
        </w:tc>
        <w:tc>
          <w:tcPr>
            <w:tcW w:w="60" w:type="dxa"/>
            <w:vAlign w:val="bottom"/>
          </w:tcPr>
          <w:p>
            <w:pPr>
              <w:spacing w:after="0"/>
              <w:rPr>
                <w:sz w:val="12"/>
                <w:szCs w:val="12"/>
                <w:color w:val="auto"/>
              </w:rPr>
            </w:pPr>
          </w:p>
        </w:tc>
        <w:tc>
          <w:tcPr>
            <w:tcW w:w="102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9"/>
              </w:rPr>
              <w:t>—</w:t>
            </w:r>
          </w:p>
        </w:tc>
        <w:tc>
          <w:tcPr>
            <w:tcW w:w="16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9"/>
              </w:rPr>
              <w:t>—</w:t>
            </w:r>
          </w:p>
        </w:tc>
        <w:tc>
          <w:tcPr>
            <w:tcW w:w="13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80" w:type="dxa"/>
            <w:vAlign w:val="bottom"/>
            <w:gridSpan w:val="2"/>
            <w:shd w:val="clear" w:color="auto" w:fill="E5FFFF"/>
          </w:tcPr>
          <w:p>
            <w:pPr>
              <w:spacing w:after="0" w:line="149" w:lineRule="exact"/>
              <w:rPr>
                <w:sz w:val="20"/>
                <w:szCs w:val="20"/>
                <w:color w:val="auto"/>
              </w:rPr>
            </w:pPr>
            <w:r>
              <w:rPr>
                <w:rFonts w:ascii="Arial" w:cs="Arial" w:eastAsia="Arial" w:hAnsi="Arial"/>
                <w:sz w:val="14"/>
                <w:szCs w:val="14"/>
                <w:color w:val="auto"/>
              </w:rPr>
              <w:t>GAS-one Ltd.</w:t>
            </w:r>
          </w:p>
        </w:tc>
        <w:tc>
          <w:tcPr>
            <w:tcW w:w="152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Bermuda</w:t>
            </w:r>
          </w:p>
        </w:tc>
        <w:tc>
          <w:tcPr>
            <w:tcW w:w="1280" w:type="dxa"/>
            <w:vAlign w:val="bottom"/>
            <w:gridSpan w:val="2"/>
            <w:shd w:val="clear" w:color="auto" w:fill="E5FFFF"/>
          </w:tcPr>
          <w:p>
            <w:pPr>
              <w:ind w:left="120"/>
              <w:spacing w:after="0" w:line="149" w:lineRule="exact"/>
              <w:rPr>
                <w:sz w:val="20"/>
                <w:szCs w:val="20"/>
                <w:color w:val="auto"/>
              </w:rPr>
            </w:pPr>
            <w:r>
              <w:rPr>
                <w:rFonts w:ascii="Arial" w:cs="Arial" w:eastAsia="Arial" w:hAnsi="Arial"/>
                <w:sz w:val="14"/>
                <w:szCs w:val="14"/>
                <w:color w:val="auto"/>
              </w:rPr>
              <w:t>February 2008</w:t>
            </w:r>
          </w:p>
        </w:tc>
        <w:tc>
          <w:tcPr>
            <w:tcW w:w="120" w:type="dxa"/>
            <w:vAlign w:val="bottom"/>
            <w:shd w:val="clear" w:color="auto" w:fill="E5FFFF"/>
          </w:tcPr>
          <w:p>
            <w:pPr>
              <w:spacing w:after="0"/>
              <w:rPr>
                <w:sz w:val="12"/>
                <w:szCs w:val="12"/>
                <w:color w:val="auto"/>
              </w:rPr>
            </w:pPr>
          </w:p>
        </w:tc>
        <w:tc>
          <w:tcPr>
            <w:tcW w:w="1800" w:type="dxa"/>
            <w:vAlign w:val="bottom"/>
            <w:gridSpan w:val="3"/>
            <w:shd w:val="clear" w:color="auto" w:fill="E5FFFF"/>
          </w:tcPr>
          <w:p>
            <w:pPr>
              <w:ind w:left="120"/>
              <w:spacing w:after="0" w:line="149" w:lineRule="exact"/>
              <w:rPr>
                <w:sz w:val="20"/>
                <w:szCs w:val="20"/>
                <w:color w:val="auto"/>
              </w:rPr>
            </w:pPr>
            <w:r>
              <w:rPr>
                <w:rFonts w:ascii="Arial" w:cs="Arial" w:eastAsia="Arial" w:hAnsi="Arial"/>
                <w:sz w:val="14"/>
                <w:szCs w:val="14"/>
                <w:color w:val="auto"/>
              </w:rPr>
              <w:t>Vessel-owning company</w:t>
            </w:r>
          </w:p>
        </w:tc>
        <w:tc>
          <w:tcPr>
            <w:tcW w:w="980" w:type="dxa"/>
            <w:vAlign w:val="bottom"/>
            <w:gridSpan w:val="2"/>
            <w:shd w:val="clear" w:color="auto" w:fill="E5FFFF"/>
          </w:tcPr>
          <w:p>
            <w:pPr>
              <w:jc w:val="right"/>
              <w:ind w:right="388"/>
              <w:spacing w:after="0" w:line="149" w:lineRule="exact"/>
              <w:rPr>
                <w:sz w:val="20"/>
                <w:szCs w:val="20"/>
                <w:color w:val="auto"/>
              </w:rPr>
            </w:pPr>
            <w:r>
              <w:rPr>
                <w:rFonts w:ascii="Arial" w:cs="Arial" w:eastAsia="Arial" w:hAnsi="Arial"/>
                <w:sz w:val="14"/>
                <w:szCs w:val="14"/>
                <w:color w:val="auto"/>
                <w:w w:val="98"/>
              </w:rPr>
              <w:t>155,000</w:t>
            </w:r>
          </w:p>
        </w:tc>
        <w:tc>
          <w:tcPr>
            <w:tcW w:w="100" w:type="dxa"/>
            <w:vAlign w:val="bottom"/>
            <w:shd w:val="clear" w:color="auto" w:fill="E5FFFF"/>
          </w:tcPr>
          <w:p>
            <w:pPr>
              <w:spacing w:after="0"/>
              <w:rPr>
                <w:sz w:val="12"/>
                <w:szCs w:val="12"/>
                <w:color w:val="auto"/>
              </w:rPr>
            </w:pPr>
          </w:p>
        </w:tc>
        <w:tc>
          <w:tcPr>
            <w:tcW w:w="1600" w:type="dxa"/>
            <w:vAlign w:val="bottom"/>
            <w:gridSpan w:val="2"/>
            <w:shd w:val="clear" w:color="auto" w:fill="E5FFFF"/>
          </w:tcPr>
          <w:p>
            <w:pPr>
              <w:jc w:val="center"/>
              <w:ind w:right="100"/>
              <w:spacing w:after="0" w:line="149" w:lineRule="exact"/>
              <w:rPr>
                <w:sz w:val="20"/>
                <w:szCs w:val="20"/>
                <w:color w:val="auto"/>
              </w:rPr>
            </w:pPr>
            <w:r>
              <w:rPr>
                <w:rFonts w:ascii="Arial" w:cs="Arial" w:eastAsia="Arial" w:hAnsi="Arial"/>
                <w:sz w:val="14"/>
                <w:szCs w:val="14"/>
                <w:i w:val="1"/>
                <w:iCs w:val="1"/>
                <w:color w:val="auto"/>
                <w:w w:val="91"/>
              </w:rPr>
              <w:t>GasLog Savannah</w:t>
            </w:r>
          </w:p>
        </w:tc>
        <w:tc>
          <w:tcPr>
            <w:tcW w:w="1380" w:type="dxa"/>
            <w:vAlign w:val="bottom"/>
            <w:gridSpan w:val="2"/>
            <w:shd w:val="clear" w:color="auto" w:fill="E5FFFF"/>
          </w:tcPr>
          <w:p>
            <w:pPr>
              <w:jc w:val="center"/>
              <w:ind w:right="100"/>
              <w:spacing w:after="0" w:line="149" w:lineRule="exact"/>
              <w:rPr>
                <w:sz w:val="20"/>
                <w:szCs w:val="20"/>
                <w:color w:val="auto"/>
              </w:rPr>
            </w:pPr>
            <w:r>
              <w:rPr>
                <w:rFonts w:ascii="Arial" w:cs="Arial" w:eastAsia="Arial" w:hAnsi="Arial"/>
                <w:sz w:val="14"/>
                <w:szCs w:val="14"/>
                <w:color w:val="auto"/>
                <w:w w:val="97"/>
              </w:rPr>
              <w:t>May 2010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80" w:type="dxa"/>
            <w:vAlign w:val="bottom"/>
            <w:gridSpan w:val="2"/>
          </w:tcPr>
          <w:p>
            <w:pPr>
              <w:spacing w:after="0" w:line="149" w:lineRule="exact"/>
              <w:rPr>
                <w:sz w:val="20"/>
                <w:szCs w:val="20"/>
                <w:color w:val="auto"/>
              </w:rPr>
            </w:pPr>
            <w:r>
              <w:rPr>
                <w:rFonts w:ascii="Arial" w:cs="Arial" w:eastAsia="Arial" w:hAnsi="Arial"/>
                <w:sz w:val="14"/>
                <w:szCs w:val="14"/>
                <w:color w:val="auto"/>
              </w:rPr>
              <w:t>GAS-two Ltd.</w:t>
            </w:r>
          </w:p>
        </w:tc>
        <w:tc>
          <w:tcPr>
            <w:tcW w:w="1520" w:type="dxa"/>
            <w:vAlign w:val="bottom"/>
          </w:tcPr>
          <w:p>
            <w:pPr>
              <w:spacing w:after="0" w:line="149" w:lineRule="exact"/>
              <w:rPr>
                <w:sz w:val="20"/>
                <w:szCs w:val="20"/>
                <w:color w:val="auto"/>
              </w:rPr>
            </w:pPr>
            <w:r>
              <w:rPr>
                <w:rFonts w:ascii="Arial" w:cs="Arial" w:eastAsia="Arial" w:hAnsi="Arial"/>
                <w:sz w:val="14"/>
                <w:szCs w:val="14"/>
                <w:color w:val="auto"/>
              </w:rPr>
              <w:t>Bermuda</w:t>
            </w:r>
          </w:p>
        </w:tc>
        <w:tc>
          <w:tcPr>
            <w:tcW w:w="12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February 2008</w:t>
            </w:r>
          </w:p>
        </w:tc>
        <w:tc>
          <w:tcPr>
            <w:tcW w:w="120" w:type="dxa"/>
            <w:vAlign w:val="bottom"/>
          </w:tcPr>
          <w:p>
            <w:pPr>
              <w:spacing w:after="0"/>
              <w:rPr>
                <w:sz w:val="12"/>
                <w:szCs w:val="12"/>
                <w:color w:val="auto"/>
              </w:rPr>
            </w:pPr>
          </w:p>
        </w:tc>
        <w:tc>
          <w:tcPr>
            <w:tcW w:w="180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Vessel-owning company</w:t>
            </w:r>
          </w:p>
        </w:tc>
        <w:tc>
          <w:tcPr>
            <w:tcW w:w="980" w:type="dxa"/>
            <w:vAlign w:val="bottom"/>
            <w:gridSpan w:val="2"/>
          </w:tcPr>
          <w:p>
            <w:pPr>
              <w:jc w:val="right"/>
              <w:ind w:right="388"/>
              <w:spacing w:after="0" w:line="149" w:lineRule="exact"/>
              <w:rPr>
                <w:sz w:val="20"/>
                <w:szCs w:val="20"/>
                <w:color w:val="auto"/>
              </w:rPr>
            </w:pPr>
            <w:r>
              <w:rPr>
                <w:rFonts w:ascii="Arial" w:cs="Arial" w:eastAsia="Arial" w:hAnsi="Arial"/>
                <w:sz w:val="14"/>
                <w:szCs w:val="14"/>
                <w:color w:val="auto"/>
                <w:w w:val="98"/>
              </w:rPr>
              <w:t>155,000</w:t>
            </w:r>
          </w:p>
        </w:tc>
        <w:tc>
          <w:tcPr>
            <w:tcW w:w="100" w:type="dxa"/>
            <w:vAlign w:val="bottom"/>
          </w:tcPr>
          <w:p>
            <w:pPr>
              <w:spacing w:after="0"/>
              <w:rPr>
                <w:sz w:val="12"/>
                <w:szCs w:val="12"/>
                <w:color w:val="auto"/>
              </w:rPr>
            </w:pPr>
          </w:p>
        </w:tc>
        <w:tc>
          <w:tcPr>
            <w:tcW w:w="1600" w:type="dxa"/>
            <w:vAlign w:val="bottom"/>
            <w:gridSpan w:val="2"/>
          </w:tcPr>
          <w:p>
            <w:pPr>
              <w:jc w:val="center"/>
              <w:ind w:right="100"/>
              <w:spacing w:after="0" w:line="149" w:lineRule="exact"/>
              <w:rPr>
                <w:sz w:val="20"/>
                <w:szCs w:val="20"/>
                <w:color w:val="auto"/>
              </w:rPr>
            </w:pPr>
            <w:r>
              <w:rPr>
                <w:rFonts w:ascii="Arial" w:cs="Arial" w:eastAsia="Arial" w:hAnsi="Arial"/>
                <w:sz w:val="14"/>
                <w:szCs w:val="14"/>
                <w:i w:val="1"/>
                <w:iCs w:val="1"/>
                <w:color w:val="auto"/>
                <w:w w:val="90"/>
              </w:rPr>
              <w:t>GasLog Singapore</w:t>
            </w:r>
          </w:p>
        </w:tc>
        <w:tc>
          <w:tcPr>
            <w:tcW w:w="13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3"/>
              </w:rPr>
              <w:t>July 2010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80" w:type="dxa"/>
            <w:vAlign w:val="bottom"/>
            <w:gridSpan w:val="2"/>
            <w:shd w:val="clear" w:color="auto" w:fill="E5FFFF"/>
          </w:tcPr>
          <w:p>
            <w:pPr>
              <w:spacing w:after="0" w:line="149" w:lineRule="exact"/>
              <w:rPr>
                <w:sz w:val="20"/>
                <w:szCs w:val="20"/>
                <w:color w:val="auto"/>
              </w:rPr>
            </w:pPr>
            <w:r>
              <w:rPr>
                <w:rFonts w:ascii="Arial" w:cs="Arial" w:eastAsia="Arial" w:hAnsi="Arial"/>
                <w:sz w:val="14"/>
                <w:szCs w:val="14"/>
                <w:color w:val="auto"/>
              </w:rPr>
              <w:t>GAS-six Ltd.</w:t>
            </w:r>
          </w:p>
        </w:tc>
        <w:tc>
          <w:tcPr>
            <w:tcW w:w="152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Bermuda</w:t>
            </w:r>
          </w:p>
        </w:tc>
        <w:tc>
          <w:tcPr>
            <w:tcW w:w="1280" w:type="dxa"/>
            <w:vAlign w:val="bottom"/>
            <w:gridSpan w:val="2"/>
            <w:shd w:val="clear" w:color="auto" w:fill="E5FFFF"/>
          </w:tcPr>
          <w:p>
            <w:pPr>
              <w:ind w:left="120"/>
              <w:spacing w:after="0" w:line="149" w:lineRule="exact"/>
              <w:rPr>
                <w:sz w:val="20"/>
                <w:szCs w:val="20"/>
                <w:color w:val="auto"/>
              </w:rPr>
            </w:pPr>
            <w:r>
              <w:rPr>
                <w:rFonts w:ascii="Arial" w:cs="Arial" w:eastAsia="Arial" w:hAnsi="Arial"/>
                <w:sz w:val="14"/>
                <w:szCs w:val="14"/>
                <w:color w:val="auto"/>
              </w:rPr>
              <w:t>February 2011</w:t>
            </w:r>
          </w:p>
        </w:tc>
        <w:tc>
          <w:tcPr>
            <w:tcW w:w="120" w:type="dxa"/>
            <w:vAlign w:val="bottom"/>
            <w:shd w:val="clear" w:color="auto" w:fill="E5FFFF"/>
          </w:tcPr>
          <w:p>
            <w:pPr>
              <w:spacing w:after="0"/>
              <w:rPr>
                <w:sz w:val="12"/>
                <w:szCs w:val="12"/>
                <w:color w:val="auto"/>
              </w:rPr>
            </w:pPr>
          </w:p>
        </w:tc>
        <w:tc>
          <w:tcPr>
            <w:tcW w:w="1800" w:type="dxa"/>
            <w:vAlign w:val="bottom"/>
            <w:gridSpan w:val="3"/>
            <w:shd w:val="clear" w:color="auto" w:fill="E5FFFF"/>
          </w:tcPr>
          <w:p>
            <w:pPr>
              <w:ind w:left="120"/>
              <w:spacing w:after="0" w:line="149" w:lineRule="exact"/>
              <w:rPr>
                <w:sz w:val="20"/>
                <w:szCs w:val="20"/>
                <w:color w:val="auto"/>
              </w:rPr>
            </w:pPr>
            <w:r>
              <w:rPr>
                <w:rFonts w:ascii="Arial" w:cs="Arial" w:eastAsia="Arial" w:hAnsi="Arial"/>
                <w:sz w:val="14"/>
                <w:szCs w:val="14"/>
                <w:color w:val="auto"/>
              </w:rPr>
              <w:t>Vessel-owning company</w:t>
            </w:r>
          </w:p>
        </w:tc>
        <w:tc>
          <w:tcPr>
            <w:tcW w:w="980" w:type="dxa"/>
            <w:vAlign w:val="bottom"/>
            <w:gridSpan w:val="2"/>
            <w:shd w:val="clear" w:color="auto" w:fill="E5FFFF"/>
          </w:tcPr>
          <w:p>
            <w:pPr>
              <w:jc w:val="right"/>
              <w:ind w:right="388"/>
              <w:spacing w:after="0" w:line="149" w:lineRule="exact"/>
              <w:rPr>
                <w:sz w:val="20"/>
                <w:szCs w:val="20"/>
                <w:color w:val="auto"/>
              </w:rPr>
            </w:pPr>
            <w:r>
              <w:rPr>
                <w:rFonts w:ascii="Arial" w:cs="Arial" w:eastAsia="Arial" w:hAnsi="Arial"/>
                <w:sz w:val="14"/>
                <w:szCs w:val="14"/>
                <w:color w:val="auto"/>
                <w:w w:val="98"/>
              </w:rPr>
              <w:t>155,000</w:t>
            </w:r>
          </w:p>
        </w:tc>
        <w:tc>
          <w:tcPr>
            <w:tcW w:w="100" w:type="dxa"/>
            <w:vAlign w:val="bottom"/>
            <w:shd w:val="clear" w:color="auto" w:fill="E5FFFF"/>
          </w:tcPr>
          <w:p>
            <w:pPr>
              <w:spacing w:after="0"/>
              <w:rPr>
                <w:sz w:val="12"/>
                <w:szCs w:val="12"/>
                <w:color w:val="auto"/>
              </w:rPr>
            </w:pPr>
          </w:p>
        </w:tc>
        <w:tc>
          <w:tcPr>
            <w:tcW w:w="1600" w:type="dxa"/>
            <w:vAlign w:val="bottom"/>
            <w:gridSpan w:val="2"/>
            <w:shd w:val="clear" w:color="auto" w:fill="E5FFFF"/>
          </w:tcPr>
          <w:p>
            <w:pPr>
              <w:jc w:val="center"/>
              <w:ind w:right="100"/>
              <w:spacing w:after="0" w:line="149" w:lineRule="exact"/>
              <w:rPr>
                <w:sz w:val="20"/>
                <w:szCs w:val="20"/>
                <w:color w:val="auto"/>
              </w:rPr>
            </w:pPr>
            <w:r>
              <w:rPr>
                <w:rFonts w:ascii="Arial" w:cs="Arial" w:eastAsia="Arial" w:hAnsi="Arial"/>
                <w:sz w:val="14"/>
                <w:szCs w:val="14"/>
                <w:i w:val="1"/>
                <w:iCs w:val="1"/>
                <w:color w:val="auto"/>
                <w:w w:val="89"/>
              </w:rPr>
              <w:t>GasLog Skagen</w:t>
            </w:r>
          </w:p>
        </w:tc>
        <w:tc>
          <w:tcPr>
            <w:tcW w:w="1380" w:type="dxa"/>
            <w:vAlign w:val="bottom"/>
            <w:gridSpan w:val="2"/>
            <w:shd w:val="clear" w:color="auto" w:fill="E5FFFF"/>
          </w:tcPr>
          <w:p>
            <w:pPr>
              <w:jc w:val="center"/>
              <w:ind w:right="100"/>
              <w:spacing w:after="0" w:line="149" w:lineRule="exact"/>
              <w:rPr>
                <w:sz w:val="20"/>
                <w:szCs w:val="20"/>
                <w:color w:val="auto"/>
              </w:rPr>
            </w:pPr>
            <w:r>
              <w:rPr>
                <w:rFonts w:ascii="Arial" w:cs="Arial" w:eastAsia="Arial" w:hAnsi="Arial"/>
                <w:sz w:val="14"/>
                <w:szCs w:val="14"/>
                <w:color w:val="auto"/>
                <w:w w:val="93"/>
              </w:rPr>
              <w:t>July 2013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80" w:type="dxa"/>
            <w:vAlign w:val="bottom"/>
            <w:gridSpan w:val="2"/>
          </w:tcPr>
          <w:p>
            <w:pPr>
              <w:spacing w:after="0" w:line="149" w:lineRule="exact"/>
              <w:rPr>
                <w:sz w:val="20"/>
                <w:szCs w:val="20"/>
                <w:color w:val="auto"/>
              </w:rPr>
            </w:pPr>
            <w:r>
              <w:rPr>
                <w:rFonts w:ascii="Arial" w:cs="Arial" w:eastAsia="Arial" w:hAnsi="Arial"/>
                <w:sz w:val="14"/>
                <w:szCs w:val="14"/>
                <w:color w:val="auto"/>
              </w:rPr>
              <w:t>GAS-nine Ltd.</w:t>
            </w:r>
          </w:p>
        </w:tc>
        <w:tc>
          <w:tcPr>
            <w:tcW w:w="1520" w:type="dxa"/>
            <w:vAlign w:val="bottom"/>
          </w:tcPr>
          <w:p>
            <w:pPr>
              <w:spacing w:after="0" w:line="149" w:lineRule="exact"/>
              <w:rPr>
                <w:sz w:val="20"/>
                <w:szCs w:val="20"/>
                <w:color w:val="auto"/>
              </w:rPr>
            </w:pPr>
            <w:r>
              <w:rPr>
                <w:rFonts w:ascii="Arial" w:cs="Arial" w:eastAsia="Arial" w:hAnsi="Arial"/>
                <w:sz w:val="14"/>
                <w:szCs w:val="14"/>
                <w:color w:val="auto"/>
              </w:rPr>
              <w:t>Bermuda</w:t>
            </w:r>
          </w:p>
        </w:tc>
        <w:tc>
          <w:tcPr>
            <w:tcW w:w="12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June 2011</w:t>
            </w:r>
          </w:p>
        </w:tc>
        <w:tc>
          <w:tcPr>
            <w:tcW w:w="120" w:type="dxa"/>
            <w:vAlign w:val="bottom"/>
          </w:tcPr>
          <w:p>
            <w:pPr>
              <w:spacing w:after="0"/>
              <w:rPr>
                <w:sz w:val="12"/>
                <w:szCs w:val="12"/>
                <w:color w:val="auto"/>
              </w:rPr>
            </w:pPr>
          </w:p>
        </w:tc>
        <w:tc>
          <w:tcPr>
            <w:tcW w:w="180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Vessel-owning company</w:t>
            </w:r>
          </w:p>
        </w:tc>
        <w:tc>
          <w:tcPr>
            <w:tcW w:w="980" w:type="dxa"/>
            <w:vAlign w:val="bottom"/>
            <w:gridSpan w:val="2"/>
          </w:tcPr>
          <w:p>
            <w:pPr>
              <w:jc w:val="right"/>
              <w:ind w:right="388"/>
              <w:spacing w:after="0" w:line="149" w:lineRule="exact"/>
              <w:rPr>
                <w:sz w:val="20"/>
                <w:szCs w:val="20"/>
                <w:color w:val="auto"/>
              </w:rPr>
            </w:pPr>
            <w:r>
              <w:rPr>
                <w:rFonts w:ascii="Arial" w:cs="Arial" w:eastAsia="Arial" w:hAnsi="Arial"/>
                <w:sz w:val="14"/>
                <w:szCs w:val="14"/>
                <w:color w:val="auto"/>
                <w:w w:val="98"/>
              </w:rPr>
              <w:t>155,000</w:t>
            </w:r>
          </w:p>
        </w:tc>
        <w:tc>
          <w:tcPr>
            <w:tcW w:w="100" w:type="dxa"/>
            <w:vAlign w:val="bottom"/>
          </w:tcPr>
          <w:p>
            <w:pPr>
              <w:spacing w:after="0"/>
              <w:rPr>
                <w:sz w:val="12"/>
                <w:szCs w:val="12"/>
                <w:color w:val="auto"/>
              </w:rPr>
            </w:pPr>
          </w:p>
        </w:tc>
        <w:tc>
          <w:tcPr>
            <w:tcW w:w="1600" w:type="dxa"/>
            <w:vAlign w:val="bottom"/>
            <w:gridSpan w:val="2"/>
          </w:tcPr>
          <w:p>
            <w:pPr>
              <w:jc w:val="center"/>
              <w:ind w:right="100"/>
              <w:spacing w:after="0" w:line="149" w:lineRule="exact"/>
              <w:rPr>
                <w:sz w:val="20"/>
                <w:szCs w:val="20"/>
                <w:color w:val="auto"/>
              </w:rPr>
            </w:pPr>
            <w:r>
              <w:rPr>
                <w:rFonts w:ascii="Arial" w:cs="Arial" w:eastAsia="Arial" w:hAnsi="Arial"/>
                <w:sz w:val="14"/>
                <w:szCs w:val="14"/>
                <w:i w:val="1"/>
                <w:iCs w:val="1"/>
                <w:color w:val="auto"/>
                <w:w w:val="92"/>
              </w:rPr>
              <w:t>GasLog Saratoga</w:t>
            </w:r>
          </w:p>
        </w:tc>
        <w:tc>
          <w:tcPr>
            <w:tcW w:w="13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2"/>
              </w:rPr>
              <w:t>December 2014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80" w:type="dxa"/>
            <w:vAlign w:val="bottom"/>
            <w:gridSpan w:val="2"/>
            <w:shd w:val="clear" w:color="auto" w:fill="E5FFFF"/>
          </w:tcPr>
          <w:p>
            <w:pPr>
              <w:spacing w:after="0" w:line="149" w:lineRule="exact"/>
              <w:rPr>
                <w:sz w:val="20"/>
                <w:szCs w:val="20"/>
                <w:color w:val="auto"/>
              </w:rPr>
            </w:pPr>
            <w:r>
              <w:rPr>
                <w:rFonts w:ascii="Arial" w:cs="Arial" w:eastAsia="Arial" w:hAnsi="Arial"/>
                <w:sz w:val="14"/>
                <w:szCs w:val="14"/>
                <w:color w:val="auto"/>
              </w:rPr>
              <w:t>GAS-ten Ltd.</w:t>
            </w:r>
          </w:p>
        </w:tc>
        <w:tc>
          <w:tcPr>
            <w:tcW w:w="152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Bermuda</w:t>
            </w:r>
          </w:p>
        </w:tc>
        <w:tc>
          <w:tcPr>
            <w:tcW w:w="1280" w:type="dxa"/>
            <w:vAlign w:val="bottom"/>
            <w:gridSpan w:val="2"/>
            <w:shd w:val="clear" w:color="auto" w:fill="E5FFFF"/>
          </w:tcPr>
          <w:p>
            <w:pPr>
              <w:ind w:left="120"/>
              <w:spacing w:after="0" w:line="149" w:lineRule="exact"/>
              <w:rPr>
                <w:sz w:val="20"/>
                <w:szCs w:val="20"/>
                <w:color w:val="auto"/>
              </w:rPr>
            </w:pPr>
            <w:r>
              <w:rPr>
                <w:rFonts w:ascii="Arial" w:cs="Arial" w:eastAsia="Arial" w:hAnsi="Arial"/>
                <w:sz w:val="14"/>
                <w:szCs w:val="14"/>
                <w:color w:val="auto"/>
              </w:rPr>
              <w:t>June 2011</w:t>
            </w:r>
          </w:p>
        </w:tc>
        <w:tc>
          <w:tcPr>
            <w:tcW w:w="120" w:type="dxa"/>
            <w:vAlign w:val="bottom"/>
            <w:shd w:val="clear" w:color="auto" w:fill="E5FFFF"/>
          </w:tcPr>
          <w:p>
            <w:pPr>
              <w:spacing w:after="0"/>
              <w:rPr>
                <w:sz w:val="12"/>
                <w:szCs w:val="12"/>
                <w:color w:val="auto"/>
              </w:rPr>
            </w:pPr>
          </w:p>
        </w:tc>
        <w:tc>
          <w:tcPr>
            <w:tcW w:w="1800" w:type="dxa"/>
            <w:vAlign w:val="bottom"/>
            <w:gridSpan w:val="3"/>
            <w:shd w:val="clear" w:color="auto" w:fill="E5FFFF"/>
          </w:tcPr>
          <w:p>
            <w:pPr>
              <w:ind w:left="120"/>
              <w:spacing w:after="0" w:line="149" w:lineRule="exact"/>
              <w:rPr>
                <w:sz w:val="20"/>
                <w:szCs w:val="20"/>
                <w:color w:val="auto"/>
              </w:rPr>
            </w:pPr>
            <w:r>
              <w:rPr>
                <w:rFonts w:ascii="Arial" w:cs="Arial" w:eastAsia="Arial" w:hAnsi="Arial"/>
                <w:sz w:val="14"/>
                <w:szCs w:val="14"/>
                <w:color w:val="auto"/>
              </w:rPr>
              <w:t>Vessel-owning company</w:t>
            </w:r>
          </w:p>
        </w:tc>
        <w:tc>
          <w:tcPr>
            <w:tcW w:w="980" w:type="dxa"/>
            <w:vAlign w:val="bottom"/>
            <w:gridSpan w:val="2"/>
            <w:shd w:val="clear" w:color="auto" w:fill="E5FFFF"/>
          </w:tcPr>
          <w:p>
            <w:pPr>
              <w:jc w:val="right"/>
              <w:ind w:right="388"/>
              <w:spacing w:after="0" w:line="149" w:lineRule="exact"/>
              <w:rPr>
                <w:sz w:val="20"/>
                <w:szCs w:val="20"/>
                <w:color w:val="auto"/>
              </w:rPr>
            </w:pPr>
            <w:r>
              <w:rPr>
                <w:rFonts w:ascii="Arial" w:cs="Arial" w:eastAsia="Arial" w:hAnsi="Arial"/>
                <w:sz w:val="14"/>
                <w:szCs w:val="14"/>
                <w:color w:val="auto"/>
                <w:w w:val="98"/>
              </w:rPr>
              <w:t>155,000</w:t>
            </w:r>
          </w:p>
        </w:tc>
        <w:tc>
          <w:tcPr>
            <w:tcW w:w="100" w:type="dxa"/>
            <w:vAlign w:val="bottom"/>
            <w:shd w:val="clear" w:color="auto" w:fill="E5FFFF"/>
          </w:tcPr>
          <w:p>
            <w:pPr>
              <w:spacing w:after="0"/>
              <w:rPr>
                <w:sz w:val="12"/>
                <w:szCs w:val="12"/>
                <w:color w:val="auto"/>
              </w:rPr>
            </w:pPr>
          </w:p>
        </w:tc>
        <w:tc>
          <w:tcPr>
            <w:tcW w:w="1600" w:type="dxa"/>
            <w:vAlign w:val="bottom"/>
            <w:gridSpan w:val="2"/>
            <w:shd w:val="clear" w:color="auto" w:fill="E5FFFF"/>
          </w:tcPr>
          <w:p>
            <w:pPr>
              <w:jc w:val="center"/>
              <w:ind w:right="100"/>
              <w:spacing w:after="0" w:line="149" w:lineRule="exact"/>
              <w:rPr>
                <w:sz w:val="20"/>
                <w:szCs w:val="20"/>
                <w:color w:val="auto"/>
              </w:rPr>
            </w:pPr>
            <w:r>
              <w:rPr>
                <w:rFonts w:ascii="Arial" w:cs="Arial" w:eastAsia="Arial" w:hAnsi="Arial"/>
                <w:sz w:val="14"/>
                <w:szCs w:val="14"/>
                <w:i w:val="1"/>
                <w:iCs w:val="1"/>
                <w:color w:val="auto"/>
                <w:w w:val="92"/>
              </w:rPr>
              <w:t>GasLog Salem</w:t>
            </w:r>
          </w:p>
        </w:tc>
        <w:tc>
          <w:tcPr>
            <w:tcW w:w="1380" w:type="dxa"/>
            <w:vAlign w:val="bottom"/>
            <w:gridSpan w:val="2"/>
            <w:shd w:val="clear" w:color="auto" w:fill="E5FFFF"/>
          </w:tcPr>
          <w:p>
            <w:pPr>
              <w:jc w:val="center"/>
              <w:ind w:right="100"/>
              <w:spacing w:after="0" w:line="149" w:lineRule="exact"/>
              <w:rPr>
                <w:sz w:val="20"/>
                <w:szCs w:val="20"/>
                <w:color w:val="auto"/>
              </w:rPr>
            </w:pPr>
            <w:r>
              <w:rPr>
                <w:rFonts w:ascii="Arial" w:cs="Arial" w:eastAsia="Arial" w:hAnsi="Arial"/>
                <w:sz w:val="14"/>
                <w:szCs w:val="14"/>
                <w:color w:val="auto"/>
              </w:rPr>
              <w:t>April 2015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80" w:type="dxa"/>
            <w:vAlign w:val="bottom"/>
            <w:gridSpan w:val="2"/>
          </w:tcPr>
          <w:p>
            <w:pPr>
              <w:spacing w:after="0" w:line="149" w:lineRule="exact"/>
              <w:rPr>
                <w:sz w:val="20"/>
                <w:szCs w:val="20"/>
                <w:color w:val="auto"/>
              </w:rPr>
            </w:pPr>
            <w:r>
              <w:rPr>
                <w:rFonts w:ascii="Arial" w:cs="Arial" w:eastAsia="Arial" w:hAnsi="Arial"/>
                <w:sz w:val="14"/>
                <w:szCs w:val="14"/>
                <w:color w:val="auto"/>
              </w:rPr>
              <w:t>GAS-twelve Ltd.</w:t>
            </w:r>
          </w:p>
        </w:tc>
        <w:tc>
          <w:tcPr>
            <w:tcW w:w="1520" w:type="dxa"/>
            <w:vAlign w:val="bottom"/>
          </w:tcPr>
          <w:p>
            <w:pPr>
              <w:spacing w:after="0" w:line="149" w:lineRule="exact"/>
              <w:rPr>
                <w:sz w:val="20"/>
                <w:szCs w:val="20"/>
                <w:color w:val="auto"/>
              </w:rPr>
            </w:pPr>
            <w:r>
              <w:rPr>
                <w:rFonts w:ascii="Arial" w:cs="Arial" w:eastAsia="Arial" w:hAnsi="Arial"/>
                <w:sz w:val="14"/>
                <w:szCs w:val="14"/>
                <w:color w:val="auto"/>
              </w:rPr>
              <w:t>Bermuda</w:t>
            </w:r>
          </w:p>
        </w:tc>
        <w:tc>
          <w:tcPr>
            <w:tcW w:w="12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December 2012</w:t>
            </w:r>
          </w:p>
        </w:tc>
        <w:tc>
          <w:tcPr>
            <w:tcW w:w="120" w:type="dxa"/>
            <w:vAlign w:val="bottom"/>
          </w:tcPr>
          <w:p>
            <w:pPr>
              <w:spacing w:after="0"/>
              <w:rPr>
                <w:sz w:val="12"/>
                <w:szCs w:val="12"/>
                <w:color w:val="auto"/>
              </w:rPr>
            </w:pPr>
          </w:p>
        </w:tc>
        <w:tc>
          <w:tcPr>
            <w:tcW w:w="180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Vessel-owning company</w:t>
            </w:r>
          </w:p>
        </w:tc>
        <w:tc>
          <w:tcPr>
            <w:tcW w:w="980" w:type="dxa"/>
            <w:vAlign w:val="bottom"/>
            <w:gridSpan w:val="2"/>
          </w:tcPr>
          <w:p>
            <w:pPr>
              <w:jc w:val="right"/>
              <w:ind w:right="388"/>
              <w:spacing w:after="0" w:line="149" w:lineRule="exact"/>
              <w:rPr>
                <w:sz w:val="20"/>
                <w:szCs w:val="20"/>
                <w:color w:val="auto"/>
              </w:rPr>
            </w:pPr>
            <w:r>
              <w:rPr>
                <w:rFonts w:ascii="Arial" w:cs="Arial" w:eastAsia="Arial" w:hAnsi="Arial"/>
                <w:sz w:val="14"/>
                <w:szCs w:val="14"/>
                <w:color w:val="auto"/>
                <w:w w:val="98"/>
              </w:rPr>
              <w:t>174,000</w:t>
            </w:r>
          </w:p>
        </w:tc>
        <w:tc>
          <w:tcPr>
            <w:tcW w:w="100" w:type="dxa"/>
            <w:vAlign w:val="bottom"/>
          </w:tcPr>
          <w:p>
            <w:pPr>
              <w:spacing w:after="0"/>
              <w:rPr>
                <w:sz w:val="12"/>
                <w:szCs w:val="12"/>
                <w:color w:val="auto"/>
              </w:rPr>
            </w:pPr>
          </w:p>
        </w:tc>
        <w:tc>
          <w:tcPr>
            <w:tcW w:w="1600" w:type="dxa"/>
            <w:vAlign w:val="bottom"/>
            <w:gridSpan w:val="2"/>
          </w:tcPr>
          <w:p>
            <w:pPr>
              <w:jc w:val="center"/>
              <w:ind w:right="100"/>
              <w:spacing w:after="0" w:line="149" w:lineRule="exact"/>
              <w:rPr>
                <w:sz w:val="20"/>
                <w:szCs w:val="20"/>
                <w:color w:val="auto"/>
              </w:rPr>
            </w:pPr>
            <w:r>
              <w:rPr>
                <w:rFonts w:ascii="Arial" w:cs="Arial" w:eastAsia="Arial" w:hAnsi="Arial"/>
                <w:sz w:val="14"/>
                <w:szCs w:val="14"/>
                <w:i w:val="1"/>
                <w:iCs w:val="1"/>
                <w:color w:val="auto"/>
                <w:w w:val="94"/>
              </w:rPr>
              <w:t>GasLog Glasgow</w:t>
            </w:r>
          </w:p>
        </w:tc>
        <w:tc>
          <w:tcPr>
            <w:tcW w:w="13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1"/>
              </w:rPr>
              <w:t>June 2016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80" w:type="dxa"/>
            <w:vAlign w:val="bottom"/>
            <w:gridSpan w:val="2"/>
            <w:shd w:val="clear" w:color="auto" w:fill="E5FFFF"/>
          </w:tcPr>
          <w:p>
            <w:pPr>
              <w:spacing w:after="0" w:line="149" w:lineRule="exact"/>
              <w:rPr>
                <w:sz w:val="20"/>
                <w:szCs w:val="20"/>
                <w:color w:val="auto"/>
              </w:rPr>
            </w:pPr>
            <w:r>
              <w:rPr>
                <w:rFonts w:ascii="Arial" w:cs="Arial" w:eastAsia="Arial" w:hAnsi="Arial"/>
                <w:sz w:val="14"/>
                <w:szCs w:val="14"/>
                <w:color w:val="auto"/>
              </w:rPr>
              <w:t>GAS-fifteen Ltd.</w:t>
            </w:r>
          </w:p>
        </w:tc>
        <w:tc>
          <w:tcPr>
            <w:tcW w:w="152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Bermuda</w:t>
            </w:r>
          </w:p>
        </w:tc>
        <w:tc>
          <w:tcPr>
            <w:tcW w:w="1280" w:type="dxa"/>
            <w:vAlign w:val="bottom"/>
            <w:gridSpan w:val="2"/>
            <w:shd w:val="clear" w:color="auto" w:fill="E5FFFF"/>
          </w:tcPr>
          <w:p>
            <w:pPr>
              <w:ind w:left="120"/>
              <w:spacing w:after="0" w:line="149" w:lineRule="exact"/>
              <w:rPr>
                <w:sz w:val="20"/>
                <w:szCs w:val="20"/>
                <w:color w:val="auto"/>
              </w:rPr>
            </w:pPr>
            <w:r>
              <w:rPr>
                <w:rFonts w:ascii="Arial" w:cs="Arial" w:eastAsia="Arial" w:hAnsi="Arial"/>
                <w:sz w:val="14"/>
                <w:szCs w:val="14"/>
                <w:color w:val="auto"/>
              </w:rPr>
              <w:t>August 2013</w:t>
            </w:r>
          </w:p>
        </w:tc>
        <w:tc>
          <w:tcPr>
            <w:tcW w:w="120" w:type="dxa"/>
            <w:vAlign w:val="bottom"/>
            <w:shd w:val="clear" w:color="auto" w:fill="E5FFFF"/>
          </w:tcPr>
          <w:p>
            <w:pPr>
              <w:spacing w:after="0"/>
              <w:rPr>
                <w:sz w:val="12"/>
                <w:szCs w:val="12"/>
                <w:color w:val="auto"/>
              </w:rPr>
            </w:pPr>
          </w:p>
        </w:tc>
        <w:tc>
          <w:tcPr>
            <w:tcW w:w="1800" w:type="dxa"/>
            <w:vAlign w:val="bottom"/>
            <w:gridSpan w:val="3"/>
            <w:shd w:val="clear" w:color="auto" w:fill="E5FFFF"/>
          </w:tcPr>
          <w:p>
            <w:pPr>
              <w:ind w:left="120"/>
              <w:spacing w:after="0" w:line="149" w:lineRule="exact"/>
              <w:rPr>
                <w:sz w:val="20"/>
                <w:szCs w:val="20"/>
                <w:color w:val="auto"/>
              </w:rPr>
            </w:pPr>
            <w:r>
              <w:rPr>
                <w:rFonts w:ascii="Arial" w:cs="Arial" w:eastAsia="Arial" w:hAnsi="Arial"/>
                <w:sz w:val="14"/>
                <w:szCs w:val="14"/>
                <w:color w:val="auto"/>
              </w:rPr>
              <w:t>Vessel-owning company</w:t>
            </w:r>
          </w:p>
        </w:tc>
        <w:tc>
          <w:tcPr>
            <w:tcW w:w="980" w:type="dxa"/>
            <w:vAlign w:val="bottom"/>
            <w:gridSpan w:val="2"/>
            <w:shd w:val="clear" w:color="auto" w:fill="E5FFFF"/>
          </w:tcPr>
          <w:p>
            <w:pPr>
              <w:jc w:val="right"/>
              <w:ind w:right="388"/>
              <w:spacing w:after="0" w:line="149" w:lineRule="exact"/>
              <w:rPr>
                <w:sz w:val="20"/>
                <w:szCs w:val="20"/>
                <w:color w:val="auto"/>
              </w:rPr>
            </w:pPr>
            <w:r>
              <w:rPr>
                <w:rFonts w:ascii="Arial" w:cs="Arial" w:eastAsia="Arial" w:hAnsi="Arial"/>
                <w:sz w:val="14"/>
                <w:szCs w:val="14"/>
                <w:color w:val="auto"/>
                <w:w w:val="98"/>
              </w:rPr>
              <w:t>153,600</w:t>
            </w:r>
          </w:p>
        </w:tc>
        <w:tc>
          <w:tcPr>
            <w:tcW w:w="100" w:type="dxa"/>
            <w:vAlign w:val="bottom"/>
            <w:shd w:val="clear" w:color="auto" w:fill="E5FFFF"/>
          </w:tcPr>
          <w:p>
            <w:pPr>
              <w:spacing w:after="0"/>
              <w:rPr>
                <w:sz w:val="12"/>
                <w:szCs w:val="12"/>
                <w:color w:val="auto"/>
              </w:rPr>
            </w:pPr>
          </w:p>
        </w:tc>
        <w:tc>
          <w:tcPr>
            <w:tcW w:w="1600" w:type="dxa"/>
            <w:vAlign w:val="bottom"/>
            <w:gridSpan w:val="2"/>
            <w:shd w:val="clear" w:color="auto" w:fill="E5FFFF"/>
          </w:tcPr>
          <w:p>
            <w:pPr>
              <w:jc w:val="center"/>
              <w:ind w:right="100"/>
              <w:spacing w:after="0" w:line="149" w:lineRule="exact"/>
              <w:rPr>
                <w:sz w:val="20"/>
                <w:szCs w:val="20"/>
                <w:color w:val="auto"/>
              </w:rPr>
            </w:pPr>
            <w:r>
              <w:rPr>
                <w:rFonts w:ascii="Arial" w:cs="Arial" w:eastAsia="Arial" w:hAnsi="Arial"/>
                <w:sz w:val="14"/>
                <w:szCs w:val="14"/>
                <w:i w:val="1"/>
                <w:iCs w:val="1"/>
                <w:color w:val="auto"/>
                <w:w w:val="90"/>
              </w:rPr>
              <w:t>GasLog Chelsea</w:t>
            </w:r>
          </w:p>
        </w:tc>
        <w:tc>
          <w:tcPr>
            <w:tcW w:w="1380" w:type="dxa"/>
            <w:vAlign w:val="bottom"/>
            <w:gridSpan w:val="2"/>
            <w:shd w:val="clear" w:color="auto" w:fill="E5FFFF"/>
          </w:tcPr>
          <w:p>
            <w:pPr>
              <w:jc w:val="center"/>
              <w:ind w:right="100"/>
              <w:spacing w:after="0" w:line="149" w:lineRule="exact"/>
              <w:rPr>
                <w:sz w:val="20"/>
                <w:szCs w:val="20"/>
                <w:color w:val="auto"/>
              </w:rPr>
            </w:pPr>
            <w:r>
              <w:rPr>
                <w:rFonts w:ascii="Arial" w:cs="Arial" w:eastAsia="Arial" w:hAnsi="Arial"/>
                <w:sz w:val="14"/>
                <w:szCs w:val="14"/>
                <w:color w:val="auto"/>
                <w:w w:val="94"/>
              </w:rPr>
              <w:t>October 2013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80" w:type="dxa"/>
            <w:vAlign w:val="bottom"/>
            <w:gridSpan w:val="2"/>
          </w:tcPr>
          <w:p>
            <w:pPr>
              <w:spacing w:after="0" w:line="149" w:lineRule="exact"/>
              <w:rPr>
                <w:sz w:val="20"/>
                <w:szCs w:val="20"/>
                <w:color w:val="auto"/>
              </w:rPr>
            </w:pPr>
            <w:r>
              <w:rPr>
                <w:rFonts w:ascii="Arial" w:cs="Arial" w:eastAsia="Arial" w:hAnsi="Arial"/>
                <w:sz w:val="14"/>
                <w:szCs w:val="14"/>
                <w:color w:val="auto"/>
              </w:rPr>
              <w:t>GAS-eighteen Ltd.</w:t>
            </w:r>
          </w:p>
        </w:tc>
        <w:tc>
          <w:tcPr>
            <w:tcW w:w="1520" w:type="dxa"/>
            <w:vAlign w:val="bottom"/>
          </w:tcPr>
          <w:p>
            <w:pPr>
              <w:spacing w:after="0" w:line="149" w:lineRule="exact"/>
              <w:rPr>
                <w:sz w:val="20"/>
                <w:szCs w:val="20"/>
                <w:color w:val="auto"/>
              </w:rPr>
            </w:pPr>
            <w:r>
              <w:rPr>
                <w:rFonts w:ascii="Arial" w:cs="Arial" w:eastAsia="Arial" w:hAnsi="Arial"/>
                <w:sz w:val="14"/>
                <w:szCs w:val="14"/>
                <w:color w:val="auto"/>
              </w:rPr>
              <w:t>Bermuda</w:t>
            </w:r>
          </w:p>
        </w:tc>
        <w:tc>
          <w:tcPr>
            <w:tcW w:w="12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January 2014</w:t>
            </w:r>
          </w:p>
        </w:tc>
        <w:tc>
          <w:tcPr>
            <w:tcW w:w="120" w:type="dxa"/>
            <w:vAlign w:val="bottom"/>
          </w:tcPr>
          <w:p>
            <w:pPr>
              <w:spacing w:after="0"/>
              <w:rPr>
                <w:sz w:val="12"/>
                <w:szCs w:val="12"/>
                <w:color w:val="auto"/>
              </w:rPr>
            </w:pPr>
          </w:p>
        </w:tc>
        <w:tc>
          <w:tcPr>
            <w:tcW w:w="180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Vessel-owning company</w:t>
            </w:r>
          </w:p>
        </w:tc>
        <w:tc>
          <w:tcPr>
            <w:tcW w:w="980" w:type="dxa"/>
            <w:vAlign w:val="bottom"/>
            <w:gridSpan w:val="2"/>
          </w:tcPr>
          <w:p>
            <w:pPr>
              <w:jc w:val="right"/>
              <w:ind w:right="388"/>
              <w:spacing w:after="0" w:line="149" w:lineRule="exact"/>
              <w:rPr>
                <w:sz w:val="20"/>
                <w:szCs w:val="20"/>
                <w:color w:val="auto"/>
              </w:rPr>
            </w:pPr>
            <w:r>
              <w:rPr>
                <w:rFonts w:ascii="Arial" w:cs="Arial" w:eastAsia="Arial" w:hAnsi="Arial"/>
                <w:sz w:val="14"/>
                <w:szCs w:val="14"/>
                <w:color w:val="auto"/>
                <w:w w:val="98"/>
              </w:rPr>
              <w:t>145,000</w:t>
            </w:r>
          </w:p>
        </w:tc>
        <w:tc>
          <w:tcPr>
            <w:tcW w:w="100" w:type="dxa"/>
            <w:vAlign w:val="bottom"/>
          </w:tcPr>
          <w:p>
            <w:pPr>
              <w:spacing w:after="0"/>
              <w:rPr>
                <w:sz w:val="12"/>
                <w:szCs w:val="12"/>
                <w:color w:val="auto"/>
              </w:rPr>
            </w:pPr>
          </w:p>
        </w:tc>
        <w:tc>
          <w:tcPr>
            <w:tcW w:w="1600" w:type="dxa"/>
            <w:vAlign w:val="bottom"/>
            <w:gridSpan w:val="2"/>
          </w:tcPr>
          <w:p>
            <w:pPr>
              <w:jc w:val="center"/>
              <w:ind w:right="100"/>
              <w:spacing w:after="0" w:line="149" w:lineRule="exact"/>
              <w:rPr>
                <w:sz w:val="20"/>
                <w:szCs w:val="20"/>
                <w:color w:val="auto"/>
              </w:rPr>
            </w:pPr>
            <w:r>
              <w:rPr>
                <w:rFonts w:ascii="Arial" w:cs="Arial" w:eastAsia="Arial" w:hAnsi="Arial"/>
                <w:sz w:val="14"/>
                <w:szCs w:val="14"/>
                <w:i w:val="1"/>
                <w:iCs w:val="1"/>
                <w:color w:val="auto"/>
                <w:w w:val="90"/>
              </w:rPr>
              <w:t>Methane Lydon Volney</w:t>
            </w:r>
          </w:p>
        </w:tc>
        <w:tc>
          <w:tcPr>
            <w:tcW w:w="13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rPr>
              <w:t>April 2014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80" w:type="dxa"/>
            <w:vAlign w:val="bottom"/>
            <w:gridSpan w:val="2"/>
            <w:shd w:val="clear" w:color="auto" w:fill="E5FFFF"/>
          </w:tcPr>
          <w:p>
            <w:pPr>
              <w:spacing w:after="0" w:line="149" w:lineRule="exact"/>
              <w:rPr>
                <w:sz w:val="20"/>
                <w:szCs w:val="20"/>
                <w:color w:val="auto"/>
              </w:rPr>
            </w:pPr>
            <w:r>
              <w:rPr>
                <w:rFonts w:ascii="Arial" w:cs="Arial" w:eastAsia="Arial" w:hAnsi="Arial"/>
                <w:sz w:val="14"/>
                <w:szCs w:val="14"/>
                <w:color w:val="auto"/>
              </w:rPr>
              <w:t>GAS-twenty two Ltd.</w:t>
            </w:r>
          </w:p>
        </w:tc>
        <w:tc>
          <w:tcPr>
            <w:tcW w:w="152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Bermuda</w:t>
            </w:r>
          </w:p>
        </w:tc>
        <w:tc>
          <w:tcPr>
            <w:tcW w:w="1280" w:type="dxa"/>
            <w:vAlign w:val="bottom"/>
            <w:gridSpan w:val="2"/>
            <w:shd w:val="clear" w:color="auto" w:fill="E5FFFF"/>
          </w:tcPr>
          <w:p>
            <w:pPr>
              <w:ind w:left="120"/>
              <w:spacing w:after="0" w:line="149" w:lineRule="exact"/>
              <w:rPr>
                <w:sz w:val="20"/>
                <w:szCs w:val="20"/>
                <w:color w:val="auto"/>
              </w:rPr>
            </w:pPr>
            <w:r>
              <w:rPr>
                <w:rFonts w:ascii="Arial" w:cs="Arial" w:eastAsia="Arial" w:hAnsi="Arial"/>
                <w:sz w:val="14"/>
                <w:szCs w:val="14"/>
                <w:color w:val="auto"/>
              </w:rPr>
              <w:t>May 2014</w:t>
            </w:r>
          </w:p>
        </w:tc>
        <w:tc>
          <w:tcPr>
            <w:tcW w:w="120" w:type="dxa"/>
            <w:vAlign w:val="bottom"/>
            <w:shd w:val="clear" w:color="auto" w:fill="E5FFFF"/>
          </w:tcPr>
          <w:p>
            <w:pPr>
              <w:spacing w:after="0"/>
              <w:rPr>
                <w:sz w:val="12"/>
                <w:szCs w:val="12"/>
                <w:color w:val="auto"/>
              </w:rPr>
            </w:pPr>
          </w:p>
        </w:tc>
        <w:tc>
          <w:tcPr>
            <w:tcW w:w="1800" w:type="dxa"/>
            <w:vAlign w:val="bottom"/>
            <w:gridSpan w:val="3"/>
            <w:shd w:val="clear" w:color="auto" w:fill="E5FFFF"/>
          </w:tcPr>
          <w:p>
            <w:pPr>
              <w:ind w:left="120"/>
              <w:spacing w:after="0" w:line="149" w:lineRule="exact"/>
              <w:rPr>
                <w:sz w:val="20"/>
                <w:szCs w:val="20"/>
                <w:color w:val="auto"/>
              </w:rPr>
            </w:pPr>
            <w:r>
              <w:rPr>
                <w:rFonts w:ascii="Arial" w:cs="Arial" w:eastAsia="Arial" w:hAnsi="Arial"/>
                <w:sz w:val="14"/>
                <w:szCs w:val="14"/>
                <w:color w:val="auto"/>
              </w:rPr>
              <w:t>Vessel-owning company</w:t>
            </w:r>
          </w:p>
        </w:tc>
        <w:tc>
          <w:tcPr>
            <w:tcW w:w="980" w:type="dxa"/>
            <w:vAlign w:val="bottom"/>
            <w:gridSpan w:val="2"/>
            <w:shd w:val="clear" w:color="auto" w:fill="E5FFFF"/>
          </w:tcPr>
          <w:p>
            <w:pPr>
              <w:jc w:val="right"/>
              <w:ind w:right="388"/>
              <w:spacing w:after="0" w:line="149" w:lineRule="exact"/>
              <w:rPr>
                <w:sz w:val="20"/>
                <w:szCs w:val="20"/>
                <w:color w:val="auto"/>
              </w:rPr>
            </w:pPr>
            <w:r>
              <w:rPr>
                <w:rFonts w:ascii="Arial" w:cs="Arial" w:eastAsia="Arial" w:hAnsi="Arial"/>
                <w:sz w:val="14"/>
                <w:szCs w:val="14"/>
                <w:color w:val="auto"/>
                <w:w w:val="98"/>
              </w:rPr>
              <w:t>174,000</w:t>
            </w:r>
          </w:p>
        </w:tc>
        <w:tc>
          <w:tcPr>
            <w:tcW w:w="100" w:type="dxa"/>
            <w:vAlign w:val="bottom"/>
            <w:shd w:val="clear" w:color="auto" w:fill="E5FFFF"/>
          </w:tcPr>
          <w:p>
            <w:pPr>
              <w:spacing w:after="0"/>
              <w:rPr>
                <w:sz w:val="12"/>
                <w:szCs w:val="12"/>
                <w:color w:val="auto"/>
              </w:rPr>
            </w:pPr>
          </w:p>
        </w:tc>
        <w:tc>
          <w:tcPr>
            <w:tcW w:w="1600" w:type="dxa"/>
            <w:vAlign w:val="bottom"/>
            <w:gridSpan w:val="2"/>
            <w:shd w:val="clear" w:color="auto" w:fill="E5FFFF"/>
          </w:tcPr>
          <w:p>
            <w:pPr>
              <w:jc w:val="center"/>
              <w:ind w:right="100"/>
              <w:spacing w:after="0" w:line="149" w:lineRule="exact"/>
              <w:rPr>
                <w:sz w:val="20"/>
                <w:szCs w:val="20"/>
                <w:color w:val="auto"/>
              </w:rPr>
            </w:pPr>
            <w:r>
              <w:rPr>
                <w:rFonts w:ascii="Arial" w:cs="Arial" w:eastAsia="Arial" w:hAnsi="Arial"/>
                <w:sz w:val="14"/>
                <w:szCs w:val="14"/>
                <w:i w:val="1"/>
                <w:iCs w:val="1"/>
                <w:color w:val="auto"/>
                <w:w w:val="90"/>
              </w:rPr>
              <w:t>GasLog Genoa</w:t>
            </w:r>
          </w:p>
        </w:tc>
        <w:tc>
          <w:tcPr>
            <w:tcW w:w="1380" w:type="dxa"/>
            <w:vAlign w:val="bottom"/>
            <w:gridSpan w:val="2"/>
            <w:shd w:val="clear" w:color="auto" w:fill="E5FFFF"/>
          </w:tcPr>
          <w:p>
            <w:pPr>
              <w:jc w:val="center"/>
              <w:ind w:right="80"/>
              <w:spacing w:after="0" w:line="149" w:lineRule="exact"/>
              <w:rPr>
                <w:sz w:val="20"/>
                <w:szCs w:val="20"/>
                <w:color w:val="auto"/>
              </w:rPr>
            </w:pPr>
            <w:r>
              <w:rPr>
                <w:rFonts w:ascii="Arial" w:cs="Arial" w:eastAsia="Arial" w:hAnsi="Arial"/>
                <w:sz w:val="14"/>
                <w:szCs w:val="14"/>
                <w:color w:val="auto"/>
                <w:w w:val="94"/>
              </w:rPr>
              <w:t>March 2018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80" w:type="dxa"/>
            <w:vAlign w:val="bottom"/>
            <w:gridSpan w:val="2"/>
          </w:tcPr>
          <w:p>
            <w:pPr>
              <w:spacing w:after="0" w:line="149" w:lineRule="exact"/>
              <w:rPr>
                <w:sz w:val="20"/>
                <w:szCs w:val="20"/>
                <w:color w:val="auto"/>
              </w:rPr>
            </w:pPr>
            <w:r>
              <w:rPr>
                <w:rFonts w:ascii="Arial" w:cs="Arial" w:eastAsia="Arial" w:hAnsi="Arial"/>
                <w:sz w:val="14"/>
                <w:szCs w:val="14"/>
                <w:color w:val="auto"/>
              </w:rPr>
              <w:t>GAS-twenty three Ltd.</w:t>
            </w:r>
          </w:p>
        </w:tc>
        <w:tc>
          <w:tcPr>
            <w:tcW w:w="1520" w:type="dxa"/>
            <w:vAlign w:val="bottom"/>
          </w:tcPr>
          <w:p>
            <w:pPr>
              <w:spacing w:after="0" w:line="149" w:lineRule="exact"/>
              <w:rPr>
                <w:sz w:val="20"/>
                <w:szCs w:val="20"/>
                <w:color w:val="auto"/>
              </w:rPr>
            </w:pPr>
            <w:r>
              <w:rPr>
                <w:rFonts w:ascii="Arial" w:cs="Arial" w:eastAsia="Arial" w:hAnsi="Arial"/>
                <w:sz w:val="14"/>
                <w:szCs w:val="14"/>
                <w:color w:val="auto"/>
              </w:rPr>
              <w:t>Bermuda</w:t>
            </w:r>
          </w:p>
        </w:tc>
        <w:tc>
          <w:tcPr>
            <w:tcW w:w="12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May 2014</w:t>
            </w:r>
          </w:p>
        </w:tc>
        <w:tc>
          <w:tcPr>
            <w:tcW w:w="120" w:type="dxa"/>
            <w:vAlign w:val="bottom"/>
          </w:tcPr>
          <w:p>
            <w:pPr>
              <w:spacing w:after="0"/>
              <w:rPr>
                <w:sz w:val="12"/>
                <w:szCs w:val="12"/>
                <w:color w:val="auto"/>
              </w:rPr>
            </w:pPr>
          </w:p>
        </w:tc>
        <w:tc>
          <w:tcPr>
            <w:tcW w:w="180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Vessel-owning company</w:t>
            </w:r>
          </w:p>
        </w:tc>
        <w:tc>
          <w:tcPr>
            <w:tcW w:w="980" w:type="dxa"/>
            <w:vAlign w:val="bottom"/>
            <w:gridSpan w:val="2"/>
          </w:tcPr>
          <w:p>
            <w:pPr>
              <w:jc w:val="right"/>
              <w:ind w:right="388"/>
              <w:spacing w:after="0" w:line="149" w:lineRule="exact"/>
              <w:rPr>
                <w:sz w:val="20"/>
                <w:szCs w:val="20"/>
                <w:color w:val="auto"/>
              </w:rPr>
            </w:pPr>
            <w:r>
              <w:rPr>
                <w:rFonts w:ascii="Arial" w:cs="Arial" w:eastAsia="Arial" w:hAnsi="Arial"/>
                <w:sz w:val="14"/>
                <w:szCs w:val="14"/>
                <w:color w:val="auto"/>
                <w:w w:val="98"/>
              </w:rPr>
              <w:t>174,000</w:t>
            </w:r>
          </w:p>
        </w:tc>
        <w:tc>
          <w:tcPr>
            <w:tcW w:w="100" w:type="dxa"/>
            <w:vAlign w:val="bottom"/>
          </w:tcPr>
          <w:p>
            <w:pPr>
              <w:spacing w:after="0"/>
              <w:rPr>
                <w:sz w:val="12"/>
                <w:szCs w:val="12"/>
                <w:color w:val="auto"/>
              </w:rPr>
            </w:pPr>
          </w:p>
        </w:tc>
        <w:tc>
          <w:tcPr>
            <w:tcW w:w="1600" w:type="dxa"/>
            <w:vAlign w:val="bottom"/>
            <w:gridSpan w:val="2"/>
          </w:tcPr>
          <w:p>
            <w:pPr>
              <w:jc w:val="center"/>
              <w:ind w:right="100"/>
              <w:spacing w:after="0" w:line="149" w:lineRule="exact"/>
              <w:rPr>
                <w:sz w:val="20"/>
                <w:szCs w:val="20"/>
                <w:color w:val="auto"/>
              </w:rPr>
            </w:pPr>
            <w:r>
              <w:rPr>
                <w:rFonts w:ascii="Arial" w:cs="Arial" w:eastAsia="Arial" w:hAnsi="Arial"/>
                <w:sz w:val="14"/>
                <w:szCs w:val="14"/>
                <w:i w:val="1"/>
                <w:iCs w:val="1"/>
                <w:color w:val="auto"/>
                <w:w w:val="94"/>
              </w:rPr>
              <w:t>GasLog Gladstone</w:t>
            </w:r>
          </w:p>
        </w:tc>
        <w:tc>
          <w:tcPr>
            <w:tcW w:w="138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4"/>
              </w:rPr>
              <w:t>March 2019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80" w:type="dxa"/>
            <w:vAlign w:val="bottom"/>
            <w:gridSpan w:val="2"/>
            <w:shd w:val="clear" w:color="auto" w:fill="E5FFFF"/>
          </w:tcPr>
          <w:p>
            <w:pPr>
              <w:spacing w:after="0" w:line="149" w:lineRule="exact"/>
              <w:rPr>
                <w:sz w:val="20"/>
                <w:szCs w:val="20"/>
                <w:color w:val="auto"/>
              </w:rPr>
            </w:pPr>
            <w:r>
              <w:rPr>
                <w:rFonts w:ascii="Arial" w:cs="Arial" w:eastAsia="Arial" w:hAnsi="Arial"/>
                <w:sz w:val="14"/>
                <w:szCs w:val="14"/>
                <w:color w:val="auto"/>
              </w:rPr>
              <w:t>GAS-twenty four Ltd.</w:t>
            </w:r>
          </w:p>
        </w:tc>
        <w:tc>
          <w:tcPr>
            <w:tcW w:w="152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Bermuda</w:t>
            </w:r>
          </w:p>
        </w:tc>
        <w:tc>
          <w:tcPr>
            <w:tcW w:w="1280" w:type="dxa"/>
            <w:vAlign w:val="bottom"/>
            <w:gridSpan w:val="2"/>
            <w:shd w:val="clear" w:color="auto" w:fill="E5FFFF"/>
          </w:tcPr>
          <w:p>
            <w:pPr>
              <w:ind w:left="120"/>
              <w:spacing w:after="0" w:line="149" w:lineRule="exact"/>
              <w:rPr>
                <w:sz w:val="20"/>
                <w:szCs w:val="20"/>
                <w:color w:val="auto"/>
              </w:rPr>
            </w:pPr>
            <w:r>
              <w:rPr>
                <w:rFonts w:ascii="Arial" w:cs="Arial" w:eastAsia="Arial" w:hAnsi="Arial"/>
                <w:sz w:val="14"/>
                <w:szCs w:val="14"/>
                <w:color w:val="auto"/>
              </w:rPr>
              <w:t>June 2014</w:t>
            </w:r>
          </w:p>
        </w:tc>
        <w:tc>
          <w:tcPr>
            <w:tcW w:w="120" w:type="dxa"/>
            <w:vAlign w:val="bottom"/>
            <w:shd w:val="clear" w:color="auto" w:fill="E5FFFF"/>
          </w:tcPr>
          <w:p>
            <w:pPr>
              <w:spacing w:after="0"/>
              <w:rPr>
                <w:sz w:val="12"/>
                <w:szCs w:val="12"/>
                <w:color w:val="auto"/>
              </w:rPr>
            </w:pPr>
          </w:p>
        </w:tc>
        <w:tc>
          <w:tcPr>
            <w:tcW w:w="1800" w:type="dxa"/>
            <w:vAlign w:val="bottom"/>
            <w:gridSpan w:val="3"/>
            <w:shd w:val="clear" w:color="auto" w:fill="E5FFFF"/>
          </w:tcPr>
          <w:p>
            <w:pPr>
              <w:ind w:left="120"/>
              <w:spacing w:after="0" w:line="149" w:lineRule="exact"/>
              <w:rPr>
                <w:sz w:val="20"/>
                <w:szCs w:val="20"/>
                <w:color w:val="auto"/>
              </w:rPr>
            </w:pPr>
            <w:r>
              <w:rPr>
                <w:rFonts w:ascii="Arial" w:cs="Arial" w:eastAsia="Arial" w:hAnsi="Arial"/>
                <w:sz w:val="14"/>
                <w:szCs w:val="14"/>
                <w:color w:val="auto"/>
              </w:rPr>
              <w:t>Vessel-owning company</w:t>
            </w:r>
          </w:p>
        </w:tc>
        <w:tc>
          <w:tcPr>
            <w:tcW w:w="980" w:type="dxa"/>
            <w:vAlign w:val="bottom"/>
            <w:gridSpan w:val="2"/>
            <w:shd w:val="clear" w:color="auto" w:fill="E5FFFF"/>
          </w:tcPr>
          <w:p>
            <w:pPr>
              <w:jc w:val="right"/>
              <w:ind w:right="388"/>
              <w:spacing w:after="0" w:line="149" w:lineRule="exact"/>
              <w:rPr>
                <w:sz w:val="20"/>
                <w:szCs w:val="20"/>
                <w:color w:val="auto"/>
              </w:rPr>
            </w:pPr>
            <w:r>
              <w:rPr>
                <w:rFonts w:ascii="Arial" w:cs="Arial" w:eastAsia="Arial" w:hAnsi="Arial"/>
                <w:sz w:val="14"/>
                <w:szCs w:val="14"/>
                <w:color w:val="auto"/>
                <w:w w:val="98"/>
              </w:rPr>
              <w:t>174,000</w:t>
            </w:r>
          </w:p>
        </w:tc>
        <w:tc>
          <w:tcPr>
            <w:tcW w:w="100" w:type="dxa"/>
            <w:vAlign w:val="bottom"/>
            <w:shd w:val="clear" w:color="auto" w:fill="E5FFFF"/>
          </w:tcPr>
          <w:p>
            <w:pPr>
              <w:spacing w:after="0"/>
              <w:rPr>
                <w:sz w:val="12"/>
                <w:szCs w:val="12"/>
                <w:color w:val="auto"/>
              </w:rPr>
            </w:pPr>
          </w:p>
        </w:tc>
        <w:tc>
          <w:tcPr>
            <w:tcW w:w="1600" w:type="dxa"/>
            <w:vAlign w:val="bottom"/>
            <w:gridSpan w:val="2"/>
            <w:shd w:val="clear" w:color="auto" w:fill="E5FFFF"/>
          </w:tcPr>
          <w:p>
            <w:pPr>
              <w:jc w:val="center"/>
              <w:ind w:right="100"/>
              <w:spacing w:after="0" w:line="149" w:lineRule="exact"/>
              <w:rPr>
                <w:sz w:val="20"/>
                <w:szCs w:val="20"/>
                <w:color w:val="auto"/>
              </w:rPr>
            </w:pPr>
            <w:r>
              <w:rPr>
                <w:rFonts w:ascii="Arial" w:cs="Arial" w:eastAsia="Arial" w:hAnsi="Arial"/>
                <w:sz w:val="14"/>
                <w:szCs w:val="14"/>
                <w:i w:val="1"/>
                <w:iCs w:val="1"/>
                <w:color w:val="auto"/>
                <w:w w:val="93"/>
              </w:rPr>
              <w:t>GasLog Houston</w:t>
            </w:r>
          </w:p>
        </w:tc>
        <w:tc>
          <w:tcPr>
            <w:tcW w:w="1380" w:type="dxa"/>
            <w:vAlign w:val="bottom"/>
            <w:gridSpan w:val="2"/>
            <w:shd w:val="clear" w:color="auto" w:fill="E5FFFF"/>
          </w:tcPr>
          <w:p>
            <w:pPr>
              <w:jc w:val="center"/>
              <w:ind w:right="100"/>
              <w:spacing w:after="0" w:line="149" w:lineRule="exact"/>
              <w:rPr>
                <w:sz w:val="20"/>
                <w:szCs w:val="20"/>
                <w:color w:val="auto"/>
              </w:rPr>
            </w:pPr>
            <w:r>
              <w:rPr>
                <w:rFonts w:ascii="Arial" w:cs="Arial" w:eastAsia="Arial" w:hAnsi="Arial"/>
                <w:sz w:val="14"/>
                <w:szCs w:val="14"/>
                <w:color w:val="auto"/>
                <w:w w:val="89"/>
              </w:rPr>
              <w:t>January 2018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80" w:type="dxa"/>
            <w:vAlign w:val="bottom"/>
            <w:gridSpan w:val="2"/>
          </w:tcPr>
          <w:p>
            <w:pPr>
              <w:spacing w:after="0" w:line="149" w:lineRule="exact"/>
              <w:rPr>
                <w:sz w:val="20"/>
                <w:szCs w:val="20"/>
                <w:color w:val="auto"/>
              </w:rPr>
            </w:pPr>
            <w:r>
              <w:rPr>
                <w:rFonts w:ascii="Arial" w:cs="Arial" w:eastAsia="Arial" w:hAnsi="Arial"/>
                <w:sz w:val="14"/>
                <w:szCs w:val="14"/>
                <w:color w:val="auto"/>
              </w:rPr>
              <w:t>GAS-twenty five Ltd.</w:t>
            </w:r>
          </w:p>
        </w:tc>
        <w:tc>
          <w:tcPr>
            <w:tcW w:w="1520" w:type="dxa"/>
            <w:vAlign w:val="bottom"/>
          </w:tcPr>
          <w:p>
            <w:pPr>
              <w:spacing w:after="0" w:line="149" w:lineRule="exact"/>
              <w:rPr>
                <w:sz w:val="20"/>
                <w:szCs w:val="20"/>
                <w:color w:val="auto"/>
              </w:rPr>
            </w:pPr>
            <w:r>
              <w:rPr>
                <w:rFonts w:ascii="Arial" w:cs="Arial" w:eastAsia="Arial" w:hAnsi="Arial"/>
                <w:sz w:val="14"/>
                <w:szCs w:val="14"/>
                <w:color w:val="auto"/>
              </w:rPr>
              <w:t>Bermuda</w:t>
            </w:r>
          </w:p>
        </w:tc>
        <w:tc>
          <w:tcPr>
            <w:tcW w:w="12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June 2014</w:t>
            </w:r>
          </w:p>
        </w:tc>
        <w:tc>
          <w:tcPr>
            <w:tcW w:w="120" w:type="dxa"/>
            <w:vAlign w:val="bottom"/>
          </w:tcPr>
          <w:p>
            <w:pPr>
              <w:spacing w:after="0"/>
              <w:rPr>
                <w:sz w:val="12"/>
                <w:szCs w:val="12"/>
                <w:color w:val="auto"/>
              </w:rPr>
            </w:pPr>
          </w:p>
        </w:tc>
        <w:tc>
          <w:tcPr>
            <w:tcW w:w="180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Vessel-owning company</w:t>
            </w:r>
          </w:p>
        </w:tc>
        <w:tc>
          <w:tcPr>
            <w:tcW w:w="980" w:type="dxa"/>
            <w:vAlign w:val="bottom"/>
            <w:gridSpan w:val="2"/>
          </w:tcPr>
          <w:p>
            <w:pPr>
              <w:jc w:val="right"/>
              <w:ind w:right="388"/>
              <w:spacing w:after="0" w:line="149" w:lineRule="exact"/>
              <w:rPr>
                <w:sz w:val="20"/>
                <w:szCs w:val="20"/>
                <w:color w:val="auto"/>
              </w:rPr>
            </w:pPr>
            <w:r>
              <w:rPr>
                <w:rFonts w:ascii="Arial" w:cs="Arial" w:eastAsia="Arial" w:hAnsi="Arial"/>
                <w:sz w:val="14"/>
                <w:szCs w:val="14"/>
                <w:color w:val="auto"/>
                <w:w w:val="98"/>
              </w:rPr>
              <w:t>174,000</w:t>
            </w:r>
          </w:p>
        </w:tc>
        <w:tc>
          <w:tcPr>
            <w:tcW w:w="100" w:type="dxa"/>
            <w:vAlign w:val="bottom"/>
          </w:tcPr>
          <w:p>
            <w:pPr>
              <w:spacing w:after="0"/>
              <w:rPr>
                <w:sz w:val="12"/>
                <w:szCs w:val="12"/>
                <w:color w:val="auto"/>
              </w:rPr>
            </w:pPr>
          </w:p>
        </w:tc>
        <w:tc>
          <w:tcPr>
            <w:tcW w:w="1600" w:type="dxa"/>
            <w:vAlign w:val="bottom"/>
            <w:gridSpan w:val="2"/>
          </w:tcPr>
          <w:p>
            <w:pPr>
              <w:jc w:val="center"/>
              <w:ind w:right="100"/>
              <w:spacing w:after="0" w:line="149" w:lineRule="exact"/>
              <w:rPr>
                <w:sz w:val="20"/>
                <w:szCs w:val="20"/>
                <w:color w:val="auto"/>
              </w:rPr>
            </w:pPr>
            <w:r>
              <w:rPr>
                <w:rFonts w:ascii="Arial" w:cs="Arial" w:eastAsia="Arial" w:hAnsi="Arial"/>
                <w:sz w:val="14"/>
                <w:szCs w:val="14"/>
                <w:i w:val="1"/>
                <w:iCs w:val="1"/>
                <w:color w:val="auto"/>
                <w:w w:val="92"/>
              </w:rPr>
              <w:t>GasLog Hong Kong</w:t>
            </w:r>
          </w:p>
        </w:tc>
        <w:tc>
          <w:tcPr>
            <w:tcW w:w="138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4"/>
              </w:rPr>
              <w:t>March 2018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80" w:type="dxa"/>
            <w:vAlign w:val="bottom"/>
            <w:gridSpan w:val="2"/>
            <w:shd w:val="clear" w:color="auto" w:fill="E5FFFF"/>
          </w:tcPr>
          <w:p>
            <w:pPr>
              <w:spacing w:after="0" w:line="149" w:lineRule="exact"/>
              <w:rPr>
                <w:sz w:val="20"/>
                <w:szCs w:val="20"/>
                <w:color w:val="auto"/>
              </w:rPr>
            </w:pPr>
            <w:r>
              <w:rPr>
                <w:rFonts w:ascii="Arial" w:cs="Arial" w:eastAsia="Arial" w:hAnsi="Arial"/>
                <w:sz w:val="14"/>
                <w:szCs w:val="14"/>
                <w:color w:val="auto"/>
              </w:rPr>
              <w:t>GAS-twenty six Ltd.</w:t>
            </w:r>
          </w:p>
        </w:tc>
        <w:tc>
          <w:tcPr>
            <w:tcW w:w="152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Bermuda</w:t>
            </w:r>
          </w:p>
        </w:tc>
        <w:tc>
          <w:tcPr>
            <w:tcW w:w="1280" w:type="dxa"/>
            <w:vAlign w:val="bottom"/>
            <w:gridSpan w:val="2"/>
            <w:shd w:val="clear" w:color="auto" w:fill="E5FFFF"/>
          </w:tcPr>
          <w:p>
            <w:pPr>
              <w:ind w:left="120"/>
              <w:spacing w:after="0" w:line="149" w:lineRule="exact"/>
              <w:rPr>
                <w:sz w:val="20"/>
                <w:szCs w:val="20"/>
                <w:color w:val="auto"/>
              </w:rPr>
            </w:pPr>
            <w:r>
              <w:rPr>
                <w:rFonts w:ascii="Arial" w:cs="Arial" w:eastAsia="Arial" w:hAnsi="Arial"/>
                <w:sz w:val="14"/>
                <w:szCs w:val="14"/>
                <w:color w:val="auto"/>
              </w:rPr>
              <w:t>January 2015</w:t>
            </w:r>
          </w:p>
        </w:tc>
        <w:tc>
          <w:tcPr>
            <w:tcW w:w="120" w:type="dxa"/>
            <w:vAlign w:val="bottom"/>
            <w:shd w:val="clear" w:color="auto" w:fill="E5FFFF"/>
          </w:tcPr>
          <w:p>
            <w:pPr>
              <w:spacing w:after="0"/>
              <w:rPr>
                <w:sz w:val="12"/>
                <w:szCs w:val="12"/>
                <w:color w:val="auto"/>
              </w:rPr>
            </w:pPr>
          </w:p>
        </w:tc>
        <w:tc>
          <w:tcPr>
            <w:tcW w:w="1800" w:type="dxa"/>
            <w:vAlign w:val="bottom"/>
            <w:gridSpan w:val="3"/>
            <w:shd w:val="clear" w:color="auto" w:fill="E5FFFF"/>
          </w:tcPr>
          <w:p>
            <w:pPr>
              <w:ind w:left="120"/>
              <w:spacing w:after="0" w:line="149" w:lineRule="exact"/>
              <w:rPr>
                <w:sz w:val="20"/>
                <w:szCs w:val="20"/>
                <w:color w:val="auto"/>
              </w:rPr>
            </w:pPr>
            <w:r>
              <w:rPr>
                <w:rFonts w:ascii="Arial" w:cs="Arial" w:eastAsia="Arial" w:hAnsi="Arial"/>
                <w:sz w:val="14"/>
                <w:szCs w:val="14"/>
                <w:color w:val="auto"/>
              </w:rPr>
              <w:t>Lease asset company</w:t>
            </w:r>
          </w:p>
        </w:tc>
        <w:tc>
          <w:tcPr>
            <w:tcW w:w="980" w:type="dxa"/>
            <w:vAlign w:val="bottom"/>
            <w:gridSpan w:val="2"/>
            <w:shd w:val="clear" w:color="auto" w:fill="E5FFFF"/>
          </w:tcPr>
          <w:p>
            <w:pPr>
              <w:jc w:val="right"/>
              <w:ind w:right="388"/>
              <w:spacing w:after="0" w:line="149" w:lineRule="exact"/>
              <w:rPr>
                <w:sz w:val="20"/>
                <w:szCs w:val="20"/>
                <w:color w:val="auto"/>
              </w:rPr>
            </w:pPr>
            <w:r>
              <w:rPr>
                <w:rFonts w:ascii="Arial" w:cs="Arial" w:eastAsia="Arial" w:hAnsi="Arial"/>
                <w:sz w:val="14"/>
                <w:szCs w:val="14"/>
                <w:color w:val="auto"/>
                <w:w w:val="98"/>
              </w:rPr>
              <w:t>170,000</w:t>
            </w:r>
          </w:p>
        </w:tc>
        <w:tc>
          <w:tcPr>
            <w:tcW w:w="100" w:type="dxa"/>
            <w:vAlign w:val="bottom"/>
            <w:shd w:val="clear" w:color="auto" w:fill="E5FFFF"/>
          </w:tcPr>
          <w:p>
            <w:pPr>
              <w:spacing w:after="0"/>
              <w:rPr>
                <w:sz w:val="12"/>
                <w:szCs w:val="12"/>
                <w:color w:val="auto"/>
              </w:rPr>
            </w:pPr>
          </w:p>
        </w:tc>
        <w:tc>
          <w:tcPr>
            <w:tcW w:w="1600" w:type="dxa"/>
            <w:vAlign w:val="bottom"/>
            <w:gridSpan w:val="2"/>
            <w:shd w:val="clear" w:color="auto" w:fill="E5FFFF"/>
          </w:tcPr>
          <w:p>
            <w:pPr>
              <w:jc w:val="center"/>
              <w:ind w:right="100"/>
              <w:spacing w:after="0" w:line="149" w:lineRule="exact"/>
              <w:rPr>
                <w:sz w:val="20"/>
                <w:szCs w:val="20"/>
                <w:color w:val="auto"/>
              </w:rPr>
            </w:pPr>
            <w:r>
              <w:rPr>
                <w:rFonts w:ascii="Arial" w:cs="Arial" w:eastAsia="Arial" w:hAnsi="Arial"/>
                <w:sz w:val="14"/>
                <w:szCs w:val="14"/>
                <w:i w:val="1"/>
                <w:iCs w:val="1"/>
                <w:color w:val="auto"/>
                <w:w w:val="95"/>
              </w:rPr>
              <w:t>Methane Julia Louise</w:t>
            </w:r>
          </w:p>
        </w:tc>
        <w:tc>
          <w:tcPr>
            <w:tcW w:w="1380" w:type="dxa"/>
            <w:vAlign w:val="bottom"/>
            <w:gridSpan w:val="2"/>
            <w:shd w:val="clear" w:color="auto" w:fill="E5FFFF"/>
          </w:tcPr>
          <w:p>
            <w:pPr>
              <w:jc w:val="center"/>
              <w:ind w:right="80"/>
              <w:spacing w:after="0" w:line="149" w:lineRule="exact"/>
              <w:rPr>
                <w:sz w:val="20"/>
                <w:szCs w:val="20"/>
                <w:color w:val="auto"/>
              </w:rPr>
            </w:pPr>
            <w:r>
              <w:rPr>
                <w:rFonts w:ascii="Arial" w:cs="Arial" w:eastAsia="Arial" w:hAnsi="Arial"/>
                <w:sz w:val="14"/>
                <w:szCs w:val="14"/>
                <w:color w:val="auto"/>
                <w:w w:val="94"/>
              </w:rPr>
              <w:t>March 2015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80" w:type="dxa"/>
            <w:vAlign w:val="bottom"/>
            <w:gridSpan w:val="2"/>
          </w:tcPr>
          <w:p>
            <w:pPr>
              <w:spacing w:after="0" w:line="149" w:lineRule="exact"/>
              <w:rPr>
                <w:sz w:val="20"/>
                <w:szCs w:val="20"/>
                <w:color w:val="auto"/>
              </w:rPr>
            </w:pPr>
            <w:r>
              <w:rPr>
                <w:rFonts w:ascii="Arial" w:cs="Arial" w:eastAsia="Arial" w:hAnsi="Arial"/>
                <w:sz w:val="14"/>
                <w:szCs w:val="14"/>
                <w:color w:val="auto"/>
              </w:rPr>
              <w:t>GAS-twenty eight Ltd.</w:t>
            </w:r>
          </w:p>
        </w:tc>
        <w:tc>
          <w:tcPr>
            <w:tcW w:w="1520" w:type="dxa"/>
            <w:vAlign w:val="bottom"/>
          </w:tcPr>
          <w:p>
            <w:pPr>
              <w:spacing w:after="0" w:line="149" w:lineRule="exact"/>
              <w:rPr>
                <w:sz w:val="20"/>
                <w:szCs w:val="20"/>
                <w:color w:val="auto"/>
              </w:rPr>
            </w:pPr>
            <w:r>
              <w:rPr>
                <w:rFonts w:ascii="Arial" w:cs="Arial" w:eastAsia="Arial" w:hAnsi="Arial"/>
                <w:sz w:val="14"/>
                <w:szCs w:val="14"/>
                <w:color w:val="auto"/>
              </w:rPr>
              <w:t>Bermuda</w:t>
            </w:r>
          </w:p>
        </w:tc>
        <w:tc>
          <w:tcPr>
            <w:tcW w:w="12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September 2016</w:t>
            </w:r>
          </w:p>
        </w:tc>
        <w:tc>
          <w:tcPr>
            <w:tcW w:w="120" w:type="dxa"/>
            <w:vAlign w:val="bottom"/>
          </w:tcPr>
          <w:p>
            <w:pPr>
              <w:spacing w:after="0"/>
              <w:rPr>
                <w:sz w:val="12"/>
                <w:szCs w:val="12"/>
                <w:color w:val="auto"/>
              </w:rPr>
            </w:pPr>
          </w:p>
        </w:tc>
        <w:tc>
          <w:tcPr>
            <w:tcW w:w="180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Vessel-owning company</w:t>
            </w:r>
          </w:p>
        </w:tc>
        <w:tc>
          <w:tcPr>
            <w:tcW w:w="980" w:type="dxa"/>
            <w:vAlign w:val="bottom"/>
            <w:gridSpan w:val="2"/>
          </w:tcPr>
          <w:p>
            <w:pPr>
              <w:jc w:val="right"/>
              <w:ind w:right="388"/>
              <w:spacing w:after="0" w:line="149" w:lineRule="exact"/>
              <w:rPr>
                <w:sz w:val="20"/>
                <w:szCs w:val="20"/>
                <w:color w:val="auto"/>
              </w:rPr>
            </w:pPr>
            <w:r>
              <w:rPr>
                <w:rFonts w:ascii="Arial" w:cs="Arial" w:eastAsia="Arial" w:hAnsi="Arial"/>
                <w:sz w:val="14"/>
                <w:szCs w:val="14"/>
                <w:color w:val="auto"/>
                <w:w w:val="98"/>
              </w:rPr>
              <w:t>180,000</w:t>
            </w:r>
          </w:p>
        </w:tc>
        <w:tc>
          <w:tcPr>
            <w:tcW w:w="100" w:type="dxa"/>
            <w:vAlign w:val="bottom"/>
          </w:tcPr>
          <w:p>
            <w:pPr>
              <w:spacing w:after="0"/>
              <w:rPr>
                <w:sz w:val="12"/>
                <w:szCs w:val="12"/>
                <w:color w:val="auto"/>
              </w:rPr>
            </w:pPr>
          </w:p>
        </w:tc>
        <w:tc>
          <w:tcPr>
            <w:tcW w:w="16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6"/>
              </w:rPr>
              <w:t>Hull No. 2213</w:t>
            </w:r>
          </w:p>
        </w:tc>
        <w:tc>
          <w:tcPr>
            <w:tcW w:w="13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8"/>
              </w:rPr>
              <w:t>Q2 2020</w:t>
            </w:r>
            <w:r>
              <w:rPr>
                <w:rFonts w:ascii="Arial" w:cs="Arial" w:eastAsia="Arial" w:hAnsi="Arial"/>
                <w:sz w:val="17"/>
                <w:szCs w:val="17"/>
                <w:color w:val="auto"/>
                <w:w w:val="88"/>
                <w:vertAlign w:val="superscript"/>
              </w:rPr>
              <w:t>(1)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80" w:type="dxa"/>
            <w:vAlign w:val="bottom"/>
            <w:gridSpan w:val="2"/>
            <w:shd w:val="clear" w:color="auto" w:fill="E5FFFF"/>
          </w:tcPr>
          <w:p>
            <w:pPr>
              <w:spacing w:after="0" w:line="149" w:lineRule="exact"/>
              <w:rPr>
                <w:sz w:val="20"/>
                <w:szCs w:val="20"/>
                <w:color w:val="auto"/>
              </w:rPr>
            </w:pPr>
            <w:r>
              <w:rPr>
                <w:rFonts w:ascii="Arial" w:cs="Arial" w:eastAsia="Arial" w:hAnsi="Arial"/>
                <w:sz w:val="14"/>
                <w:szCs w:val="14"/>
                <w:color w:val="auto"/>
              </w:rPr>
              <w:t>GAS-twenty nine Ltd.</w:t>
            </w:r>
          </w:p>
        </w:tc>
        <w:tc>
          <w:tcPr>
            <w:tcW w:w="152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Bermuda</w:t>
            </w:r>
          </w:p>
        </w:tc>
        <w:tc>
          <w:tcPr>
            <w:tcW w:w="1280" w:type="dxa"/>
            <w:vAlign w:val="bottom"/>
            <w:gridSpan w:val="2"/>
            <w:shd w:val="clear" w:color="auto" w:fill="E5FFFF"/>
          </w:tcPr>
          <w:p>
            <w:pPr>
              <w:ind w:left="120"/>
              <w:spacing w:after="0" w:line="149" w:lineRule="exact"/>
              <w:rPr>
                <w:sz w:val="20"/>
                <w:szCs w:val="20"/>
                <w:color w:val="auto"/>
              </w:rPr>
            </w:pPr>
            <w:r>
              <w:rPr>
                <w:rFonts w:ascii="Arial" w:cs="Arial" w:eastAsia="Arial" w:hAnsi="Arial"/>
                <w:sz w:val="14"/>
                <w:szCs w:val="14"/>
                <w:color w:val="auto"/>
              </w:rPr>
              <w:t>September 2016</w:t>
            </w:r>
          </w:p>
        </w:tc>
        <w:tc>
          <w:tcPr>
            <w:tcW w:w="120" w:type="dxa"/>
            <w:vAlign w:val="bottom"/>
            <w:shd w:val="clear" w:color="auto" w:fill="E5FFFF"/>
          </w:tcPr>
          <w:p>
            <w:pPr>
              <w:spacing w:after="0"/>
              <w:rPr>
                <w:sz w:val="12"/>
                <w:szCs w:val="12"/>
                <w:color w:val="auto"/>
              </w:rPr>
            </w:pPr>
          </w:p>
        </w:tc>
        <w:tc>
          <w:tcPr>
            <w:tcW w:w="1800" w:type="dxa"/>
            <w:vAlign w:val="bottom"/>
            <w:gridSpan w:val="3"/>
            <w:shd w:val="clear" w:color="auto" w:fill="E5FFFF"/>
          </w:tcPr>
          <w:p>
            <w:pPr>
              <w:ind w:left="120"/>
              <w:spacing w:after="0" w:line="149" w:lineRule="exact"/>
              <w:rPr>
                <w:sz w:val="20"/>
                <w:szCs w:val="20"/>
                <w:color w:val="auto"/>
              </w:rPr>
            </w:pPr>
            <w:r>
              <w:rPr>
                <w:rFonts w:ascii="Arial" w:cs="Arial" w:eastAsia="Arial" w:hAnsi="Arial"/>
                <w:sz w:val="14"/>
                <w:szCs w:val="14"/>
                <w:color w:val="auto"/>
              </w:rPr>
              <w:t>Vessel-owning company</w:t>
            </w:r>
          </w:p>
        </w:tc>
        <w:tc>
          <w:tcPr>
            <w:tcW w:w="980" w:type="dxa"/>
            <w:vAlign w:val="bottom"/>
            <w:gridSpan w:val="2"/>
            <w:shd w:val="clear" w:color="auto" w:fill="E5FFFF"/>
          </w:tcPr>
          <w:p>
            <w:pPr>
              <w:jc w:val="right"/>
              <w:ind w:right="388"/>
              <w:spacing w:after="0" w:line="149" w:lineRule="exact"/>
              <w:rPr>
                <w:sz w:val="20"/>
                <w:szCs w:val="20"/>
                <w:color w:val="auto"/>
              </w:rPr>
            </w:pPr>
            <w:r>
              <w:rPr>
                <w:rFonts w:ascii="Arial" w:cs="Arial" w:eastAsia="Arial" w:hAnsi="Arial"/>
                <w:sz w:val="14"/>
                <w:szCs w:val="14"/>
                <w:color w:val="auto"/>
                <w:w w:val="98"/>
              </w:rPr>
              <w:t>180,000</w:t>
            </w:r>
          </w:p>
        </w:tc>
        <w:tc>
          <w:tcPr>
            <w:tcW w:w="100" w:type="dxa"/>
            <w:vAlign w:val="bottom"/>
            <w:shd w:val="clear" w:color="auto" w:fill="E5FFFF"/>
          </w:tcPr>
          <w:p>
            <w:pPr>
              <w:spacing w:after="0"/>
              <w:rPr>
                <w:sz w:val="12"/>
                <w:szCs w:val="12"/>
                <w:color w:val="auto"/>
              </w:rPr>
            </w:pPr>
          </w:p>
        </w:tc>
        <w:tc>
          <w:tcPr>
            <w:tcW w:w="1600" w:type="dxa"/>
            <w:vAlign w:val="bottom"/>
            <w:gridSpan w:val="2"/>
            <w:shd w:val="clear" w:color="auto" w:fill="E5FFFF"/>
          </w:tcPr>
          <w:p>
            <w:pPr>
              <w:jc w:val="center"/>
              <w:ind w:right="100"/>
              <w:spacing w:after="0" w:line="149" w:lineRule="exact"/>
              <w:rPr>
                <w:sz w:val="20"/>
                <w:szCs w:val="20"/>
                <w:color w:val="auto"/>
              </w:rPr>
            </w:pPr>
            <w:r>
              <w:rPr>
                <w:rFonts w:ascii="Arial" w:cs="Arial" w:eastAsia="Arial" w:hAnsi="Arial"/>
                <w:sz w:val="14"/>
                <w:szCs w:val="14"/>
                <w:i w:val="1"/>
                <w:iCs w:val="1"/>
                <w:color w:val="auto"/>
                <w:w w:val="90"/>
              </w:rPr>
              <w:t>GasLog Warsaw</w:t>
            </w:r>
          </w:p>
        </w:tc>
        <w:tc>
          <w:tcPr>
            <w:tcW w:w="1380" w:type="dxa"/>
            <w:vAlign w:val="bottom"/>
            <w:gridSpan w:val="2"/>
            <w:shd w:val="clear" w:color="auto" w:fill="E5FFFF"/>
          </w:tcPr>
          <w:p>
            <w:pPr>
              <w:jc w:val="center"/>
              <w:ind w:right="100"/>
              <w:spacing w:after="0" w:line="149" w:lineRule="exact"/>
              <w:rPr>
                <w:sz w:val="20"/>
                <w:szCs w:val="20"/>
                <w:color w:val="auto"/>
              </w:rPr>
            </w:pPr>
            <w:r>
              <w:rPr>
                <w:rFonts w:ascii="Arial" w:cs="Arial" w:eastAsia="Arial" w:hAnsi="Arial"/>
                <w:sz w:val="14"/>
                <w:szCs w:val="14"/>
                <w:color w:val="auto"/>
                <w:w w:val="88"/>
              </w:rPr>
              <w:t>Q3 2019</w:t>
            </w:r>
            <w:r>
              <w:rPr>
                <w:rFonts w:ascii="Arial" w:cs="Arial" w:eastAsia="Arial" w:hAnsi="Arial"/>
                <w:sz w:val="17"/>
                <w:szCs w:val="17"/>
                <w:color w:val="auto"/>
                <w:w w:val="88"/>
                <w:vertAlign w:val="superscript"/>
              </w:rPr>
              <w:t>(1)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80" w:type="dxa"/>
            <w:vAlign w:val="bottom"/>
            <w:gridSpan w:val="2"/>
          </w:tcPr>
          <w:p>
            <w:pPr>
              <w:spacing w:after="0" w:line="149" w:lineRule="exact"/>
              <w:rPr>
                <w:sz w:val="20"/>
                <w:szCs w:val="20"/>
                <w:color w:val="auto"/>
              </w:rPr>
            </w:pPr>
            <w:r>
              <w:rPr>
                <w:rFonts w:ascii="Arial" w:cs="Arial" w:eastAsia="Arial" w:hAnsi="Arial"/>
                <w:sz w:val="14"/>
                <w:szCs w:val="14"/>
                <w:color w:val="auto"/>
              </w:rPr>
              <w:t>GAS-thirty Ltd.</w:t>
            </w:r>
          </w:p>
        </w:tc>
        <w:tc>
          <w:tcPr>
            <w:tcW w:w="1520" w:type="dxa"/>
            <w:vAlign w:val="bottom"/>
          </w:tcPr>
          <w:p>
            <w:pPr>
              <w:spacing w:after="0" w:line="149" w:lineRule="exact"/>
              <w:rPr>
                <w:sz w:val="20"/>
                <w:szCs w:val="20"/>
                <w:color w:val="auto"/>
              </w:rPr>
            </w:pPr>
            <w:r>
              <w:rPr>
                <w:rFonts w:ascii="Arial" w:cs="Arial" w:eastAsia="Arial" w:hAnsi="Arial"/>
                <w:sz w:val="14"/>
                <w:szCs w:val="14"/>
                <w:color w:val="auto"/>
              </w:rPr>
              <w:t>Bermuda</w:t>
            </w:r>
          </w:p>
        </w:tc>
        <w:tc>
          <w:tcPr>
            <w:tcW w:w="12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December 2017</w:t>
            </w:r>
          </w:p>
        </w:tc>
        <w:tc>
          <w:tcPr>
            <w:tcW w:w="120" w:type="dxa"/>
            <w:vAlign w:val="bottom"/>
          </w:tcPr>
          <w:p>
            <w:pPr>
              <w:spacing w:after="0"/>
              <w:rPr>
                <w:sz w:val="12"/>
                <w:szCs w:val="12"/>
                <w:color w:val="auto"/>
              </w:rPr>
            </w:pPr>
          </w:p>
        </w:tc>
        <w:tc>
          <w:tcPr>
            <w:tcW w:w="180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Vessel-owning company</w:t>
            </w:r>
          </w:p>
        </w:tc>
        <w:tc>
          <w:tcPr>
            <w:tcW w:w="980" w:type="dxa"/>
            <w:vAlign w:val="bottom"/>
            <w:gridSpan w:val="2"/>
          </w:tcPr>
          <w:p>
            <w:pPr>
              <w:jc w:val="right"/>
              <w:ind w:right="388"/>
              <w:spacing w:after="0" w:line="149" w:lineRule="exact"/>
              <w:rPr>
                <w:sz w:val="20"/>
                <w:szCs w:val="20"/>
                <w:color w:val="auto"/>
              </w:rPr>
            </w:pPr>
            <w:r>
              <w:rPr>
                <w:rFonts w:ascii="Arial" w:cs="Arial" w:eastAsia="Arial" w:hAnsi="Arial"/>
                <w:sz w:val="14"/>
                <w:szCs w:val="14"/>
                <w:color w:val="auto"/>
                <w:w w:val="98"/>
              </w:rPr>
              <w:t>180,000</w:t>
            </w:r>
          </w:p>
        </w:tc>
        <w:tc>
          <w:tcPr>
            <w:tcW w:w="100" w:type="dxa"/>
            <w:vAlign w:val="bottom"/>
          </w:tcPr>
          <w:p>
            <w:pPr>
              <w:spacing w:after="0"/>
              <w:rPr>
                <w:sz w:val="12"/>
                <w:szCs w:val="12"/>
                <w:color w:val="auto"/>
              </w:rPr>
            </w:pPr>
          </w:p>
        </w:tc>
        <w:tc>
          <w:tcPr>
            <w:tcW w:w="16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6"/>
              </w:rPr>
              <w:t>Hull No. 2262</w:t>
            </w:r>
          </w:p>
        </w:tc>
        <w:tc>
          <w:tcPr>
            <w:tcW w:w="13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8"/>
              </w:rPr>
              <w:t>Q3 2020</w:t>
            </w:r>
            <w:r>
              <w:rPr>
                <w:rFonts w:ascii="Arial" w:cs="Arial" w:eastAsia="Arial" w:hAnsi="Arial"/>
                <w:sz w:val="17"/>
                <w:szCs w:val="17"/>
                <w:color w:val="auto"/>
                <w:w w:val="88"/>
                <w:vertAlign w:val="superscript"/>
              </w:rPr>
              <w:t>(1)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80" w:type="dxa"/>
            <w:vAlign w:val="bottom"/>
            <w:gridSpan w:val="2"/>
            <w:shd w:val="clear" w:color="auto" w:fill="E5FFFF"/>
          </w:tcPr>
          <w:p>
            <w:pPr>
              <w:spacing w:after="0" w:line="149" w:lineRule="exact"/>
              <w:rPr>
                <w:sz w:val="20"/>
                <w:szCs w:val="20"/>
                <w:color w:val="auto"/>
              </w:rPr>
            </w:pPr>
            <w:r>
              <w:rPr>
                <w:rFonts w:ascii="Arial" w:cs="Arial" w:eastAsia="Arial" w:hAnsi="Arial"/>
                <w:sz w:val="14"/>
                <w:szCs w:val="14"/>
                <w:color w:val="auto"/>
              </w:rPr>
              <w:t>GAS-thirty one Ltd.</w:t>
            </w:r>
          </w:p>
        </w:tc>
        <w:tc>
          <w:tcPr>
            <w:tcW w:w="152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Bermuda</w:t>
            </w:r>
          </w:p>
        </w:tc>
        <w:tc>
          <w:tcPr>
            <w:tcW w:w="1280" w:type="dxa"/>
            <w:vAlign w:val="bottom"/>
            <w:gridSpan w:val="2"/>
            <w:shd w:val="clear" w:color="auto" w:fill="E5FFFF"/>
          </w:tcPr>
          <w:p>
            <w:pPr>
              <w:ind w:left="120"/>
              <w:spacing w:after="0" w:line="149" w:lineRule="exact"/>
              <w:rPr>
                <w:sz w:val="20"/>
                <w:szCs w:val="20"/>
                <w:color w:val="auto"/>
              </w:rPr>
            </w:pPr>
            <w:r>
              <w:rPr>
                <w:rFonts w:ascii="Arial" w:cs="Arial" w:eastAsia="Arial" w:hAnsi="Arial"/>
                <w:sz w:val="14"/>
                <w:szCs w:val="14"/>
                <w:color w:val="auto"/>
              </w:rPr>
              <w:t>December 2017</w:t>
            </w:r>
          </w:p>
        </w:tc>
        <w:tc>
          <w:tcPr>
            <w:tcW w:w="120" w:type="dxa"/>
            <w:vAlign w:val="bottom"/>
            <w:shd w:val="clear" w:color="auto" w:fill="E5FFFF"/>
          </w:tcPr>
          <w:p>
            <w:pPr>
              <w:spacing w:after="0"/>
              <w:rPr>
                <w:sz w:val="12"/>
                <w:szCs w:val="12"/>
                <w:color w:val="auto"/>
              </w:rPr>
            </w:pPr>
          </w:p>
        </w:tc>
        <w:tc>
          <w:tcPr>
            <w:tcW w:w="1800" w:type="dxa"/>
            <w:vAlign w:val="bottom"/>
            <w:gridSpan w:val="3"/>
            <w:shd w:val="clear" w:color="auto" w:fill="E5FFFF"/>
          </w:tcPr>
          <w:p>
            <w:pPr>
              <w:ind w:left="120"/>
              <w:spacing w:after="0" w:line="149" w:lineRule="exact"/>
              <w:rPr>
                <w:sz w:val="20"/>
                <w:szCs w:val="20"/>
                <w:color w:val="auto"/>
              </w:rPr>
            </w:pPr>
            <w:r>
              <w:rPr>
                <w:rFonts w:ascii="Arial" w:cs="Arial" w:eastAsia="Arial" w:hAnsi="Arial"/>
                <w:sz w:val="14"/>
                <w:szCs w:val="14"/>
                <w:color w:val="auto"/>
              </w:rPr>
              <w:t>Vessel-owning company</w:t>
            </w:r>
          </w:p>
        </w:tc>
        <w:tc>
          <w:tcPr>
            <w:tcW w:w="980" w:type="dxa"/>
            <w:vAlign w:val="bottom"/>
            <w:gridSpan w:val="2"/>
            <w:shd w:val="clear" w:color="auto" w:fill="E5FFFF"/>
          </w:tcPr>
          <w:p>
            <w:pPr>
              <w:jc w:val="right"/>
              <w:ind w:right="388"/>
              <w:spacing w:after="0" w:line="149" w:lineRule="exact"/>
              <w:rPr>
                <w:sz w:val="20"/>
                <w:szCs w:val="20"/>
                <w:color w:val="auto"/>
              </w:rPr>
            </w:pPr>
            <w:r>
              <w:rPr>
                <w:rFonts w:ascii="Arial" w:cs="Arial" w:eastAsia="Arial" w:hAnsi="Arial"/>
                <w:sz w:val="14"/>
                <w:szCs w:val="14"/>
                <w:color w:val="auto"/>
                <w:w w:val="98"/>
              </w:rPr>
              <w:t>180,000</w:t>
            </w:r>
          </w:p>
        </w:tc>
        <w:tc>
          <w:tcPr>
            <w:tcW w:w="100" w:type="dxa"/>
            <w:vAlign w:val="bottom"/>
            <w:shd w:val="clear" w:color="auto" w:fill="E5FFFF"/>
          </w:tcPr>
          <w:p>
            <w:pPr>
              <w:spacing w:after="0"/>
              <w:rPr>
                <w:sz w:val="12"/>
                <w:szCs w:val="12"/>
                <w:color w:val="auto"/>
              </w:rPr>
            </w:pPr>
          </w:p>
        </w:tc>
        <w:tc>
          <w:tcPr>
            <w:tcW w:w="1600" w:type="dxa"/>
            <w:vAlign w:val="bottom"/>
            <w:gridSpan w:val="2"/>
            <w:shd w:val="clear" w:color="auto" w:fill="E5FFFF"/>
          </w:tcPr>
          <w:p>
            <w:pPr>
              <w:jc w:val="center"/>
              <w:ind w:right="100"/>
              <w:spacing w:after="0" w:line="149" w:lineRule="exact"/>
              <w:rPr>
                <w:sz w:val="20"/>
                <w:szCs w:val="20"/>
                <w:color w:val="auto"/>
              </w:rPr>
            </w:pPr>
            <w:r>
              <w:rPr>
                <w:rFonts w:ascii="Arial" w:cs="Arial" w:eastAsia="Arial" w:hAnsi="Arial"/>
                <w:sz w:val="14"/>
                <w:szCs w:val="14"/>
                <w:color w:val="auto"/>
                <w:w w:val="96"/>
              </w:rPr>
              <w:t>Hull No. 2274</w:t>
            </w:r>
          </w:p>
        </w:tc>
        <w:tc>
          <w:tcPr>
            <w:tcW w:w="1380" w:type="dxa"/>
            <w:vAlign w:val="bottom"/>
            <w:gridSpan w:val="2"/>
            <w:shd w:val="clear" w:color="auto" w:fill="E5FFFF"/>
          </w:tcPr>
          <w:p>
            <w:pPr>
              <w:jc w:val="center"/>
              <w:ind w:right="100"/>
              <w:spacing w:after="0" w:line="149" w:lineRule="exact"/>
              <w:rPr>
                <w:sz w:val="20"/>
                <w:szCs w:val="20"/>
                <w:color w:val="auto"/>
              </w:rPr>
            </w:pPr>
            <w:r>
              <w:rPr>
                <w:rFonts w:ascii="Arial" w:cs="Arial" w:eastAsia="Arial" w:hAnsi="Arial"/>
                <w:sz w:val="14"/>
                <w:szCs w:val="14"/>
                <w:color w:val="auto"/>
                <w:w w:val="88"/>
              </w:rPr>
              <w:t>Q2 2020</w:t>
            </w:r>
            <w:r>
              <w:rPr>
                <w:rFonts w:ascii="Arial" w:cs="Arial" w:eastAsia="Arial" w:hAnsi="Arial"/>
                <w:sz w:val="17"/>
                <w:szCs w:val="17"/>
                <w:color w:val="auto"/>
                <w:w w:val="88"/>
                <w:vertAlign w:val="superscript"/>
              </w:rPr>
              <w:t>(1)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80" w:type="dxa"/>
            <w:vAlign w:val="bottom"/>
            <w:gridSpan w:val="2"/>
          </w:tcPr>
          <w:p>
            <w:pPr>
              <w:spacing w:after="0" w:line="149" w:lineRule="exact"/>
              <w:rPr>
                <w:sz w:val="20"/>
                <w:szCs w:val="20"/>
                <w:color w:val="auto"/>
              </w:rPr>
            </w:pPr>
            <w:r>
              <w:rPr>
                <w:rFonts w:ascii="Arial" w:cs="Arial" w:eastAsia="Arial" w:hAnsi="Arial"/>
                <w:sz w:val="14"/>
                <w:szCs w:val="14"/>
                <w:color w:val="auto"/>
              </w:rPr>
              <w:t>GAS-thirty two Ltd.</w:t>
            </w:r>
          </w:p>
        </w:tc>
        <w:tc>
          <w:tcPr>
            <w:tcW w:w="1520" w:type="dxa"/>
            <w:vAlign w:val="bottom"/>
          </w:tcPr>
          <w:p>
            <w:pPr>
              <w:spacing w:after="0" w:line="149" w:lineRule="exact"/>
              <w:rPr>
                <w:sz w:val="20"/>
                <w:szCs w:val="20"/>
                <w:color w:val="auto"/>
              </w:rPr>
            </w:pPr>
            <w:r>
              <w:rPr>
                <w:rFonts w:ascii="Arial" w:cs="Arial" w:eastAsia="Arial" w:hAnsi="Arial"/>
                <w:sz w:val="14"/>
                <w:szCs w:val="14"/>
                <w:color w:val="auto"/>
              </w:rPr>
              <w:t>Bermuda</w:t>
            </w:r>
          </w:p>
        </w:tc>
        <w:tc>
          <w:tcPr>
            <w:tcW w:w="12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December 2017</w:t>
            </w:r>
          </w:p>
        </w:tc>
        <w:tc>
          <w:tcPr>
            <w:tcW w:w="120" w:type="dxa"/>
            <w:vAlign w:val="bottom"/>
          </w:tcPr>
          <w:p>
            <w:pPr>
              <w:spacing w:after="0"/>
              <w:rPr>
                <w:sz w:val="12"/>
                <w:szCs w:val="12"/>
                <w:color w:val="auto"/>
              </w:rPr>
            </w:pPr>
          </w:p>
        </w:tc>
        <w:tc>
          <w:tcPr>
            <w:tcW w:w="180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Vessel-owning company</w:t>
            </w:r>
          </w:p>
        </w:tc>
        <w:tc>
          <w:tcPr>
            <w:tcW w:w="980" w:type="dxa"/>
            <w:vAlign w:val="bottom"/>
            <w:gridSpan w:val="2"/>
          </w:tcPr>
          <w:p>
            <w:pPr>
              <w:jc w:val="right"/>
              <w:ind w:right="388"/>
              <w:spacing w:after="0" w:line="149" w:lineRule="exact"/>
              <w:rPr>
                <w:sz w:val="20"/>
                <w:szCs w:val="20"/>
                <w:color w:val="auto"/>
              </w:rPr>
            </w:pPr>
            <w:r>
              <w:rPr>
                <w:rFonts w:ascii="Arial" w:cs="Arial" w:eastAsia="Arial" w:hAnsi="Arial"/>
                <w:sz w:val="14"/>
                <w:szCs w:val="14"/>
                <w:color w:val="auto"/>
                <w:w w:val="98"/>
              </w:rPr>
              <w:t>174,000</w:t>
            </w:r>
          </w:p>
        </w:tc>
        <w:tc>
          <w:tcPr>
            <w:tcW w:w="100" w:type="dxa"/>
            <w:vAlign w:val="bottom"/>
          </w:tcPr>
          <w:p>
            <w:pPr>
              <w:spacing w:after="0"/>
              <w:rPr>
                <w:sz w:val="12"/>
                <w:szCs w:val="12"/>
                <w:color w:val="auto"/>
              </w:rPr>
            </w:pPr>
          </w:p>
        </w:tc>
        <w:tc>
          <w:tcPr>
            <w:tcW w:w="16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6"/>
              </w:rPr>
              <w:t>Hull No. 2300</w:t>
            </w:r>
          </w:p>
        </w:tc>
        <w:tc>
          <w:tcPr>
            <w:tcW w:w="13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8"/>
              </w:rPr>
              <w:t>Q4 2020</w:t>
            </w:r>
            <w:r>
              <w:rPr>
                <w:rFonts w:ascii="Arial" w:cs="Arial" w:eastAsia="Arial" w:hAnsi="Arial"/>
                <w:sz w:val="17"/>
                <w:szCs w:val="17"/>
                <w:color w:val="auto"/>
                <w:w w:val="88"/>
                <w:vertAlign w:val="superscript"/>
              </w:rPr>
              <w:t>(1)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80" w:type="dxa"/>
            <w:vAlign w:val="bottom"/>
            <w:gridSpan w:val="2"/>
            <w:shd w:val="clear" w:color="auto" w:fill="E5FFFF"/>
          </w:tcPr>
          <w:p>
            <w:pPr>
              <w:spacing w:after="0" w:line="149" w:lineRule="exact"/>
              <w:rPr>
                <w:sz w:val="20"/>
                <w:szCs w:val="20"/>
                <w:color w:val="auto"/>
              </w:rPr>
            </w:pPr>
            <w:r>
              <w:rPr>
                <w:rFonts w:ascii="Arial" w:cs="Arial" w:eastAsia="Arial" w:hAnsi="Arial"/>
                <w:sz w:val="14"/>
                <w:szCs w:val="14"/>
                <w:color w:val="auto"/>
              </w:rPr>
              <w:t>GAS-thirty three Ltd.</w:t>
            </w:r>
          </w:p>
        </w:tc>
        <w:tc>
          <w:tcPr>
            <w:tcW w:w="152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Bermuda</w:t>
            </w:r>
          </w:p>
        </w:tc>
        <w:tc>
          <w:tcPr>
            <w:tcW w:w="1280" w:type="dxa"/>
            <w:vAlign w:val="bottom"/>
            <w:gridSpan w:val="2"/>
            <w:shd w:val="clear" w:color="auto" w:fill="E5FFFF"/>
          </w:tcPr>
          <w:p>
            <w:pPr>
              <w:ind w:left="120"/>
              <w:spacing w:after="0" w:line="149" w:lineRule="exact"/>
              <w:rPr>
                <w:sz w:val="20"/>
                <w:szCs w:val="20"/>
                <w:color w:val="auto"/>
              </w:rPr>
            </w:pPr>
            <w:r>
              <w:rPr>
                <w:rFonts w:ascii="Arial" w:cs="Arial" w:eastAsia="Arial" w:hAnsi="Arial"/>
                <w:sz w:val="14"/>
                <w:szCs w:val="14"/>
                <w:color w:val="auto"/>
              </w:rPr>
              <w:t>May 2018</w:t>
            </w:r>
          </w:p>
        </w:tc>
        <w:tc>
          <w:tcPr>
            <w:tcW w:w="120" w:type="dxa"/>
            <w:vAlign w:val="bottom"/>
            <w:shd w:val="clear" w:color="auto" w:fill="E5FFFF"/>
          </w:tcPr>
          <w:p>
            <w:pPr>
              <w:spacing w:after="0"/>
              <w:rPr>
                <w:sz w:val="12"/>
                <w:szCs w:val="12"/>
                <w:color w:val="auto"/>
              </w:rPr>
            </w:pPr>
          </w:p>
        </w:tc>
        <w:tc>
          <w:tcPr>
            <w:tcW w:w="1800" w:type="dxa"/>
            <w:vAlign w:val="bottom"/>
            <w:gridSpan w:val="3"/>
            <w:shd w:val="clear" w:color="auto" w:fill="E5FFFF"/>
          </w:tcPr>
          <w:p>
            <w:pPr>
              <w:ind w:left="120"/>
              <w:spacing w:after="0" w:line="149" w:lineRule="exact"/>
              <w:rPr>
                <w:sz w:val="20"/>
                <w:szCs w:val="20"/>
                <w:color w:val="auto"/>
              </w:rPr>
            </w:pPr>
            <w:r>
              <w:rPr>
                <w:rFonts w:ascii="Arial" w:cs="Arial" w:eastAsia="Arial" w:hAnsi="Arial"/>
                <w:sz w:val="14"/>
                <w:szCs w:val="14"/>
                <w:color w:val="auto"/>
              </w:rPr>
              <w:t>Vessel-owning company</w:t>
            </w:r>
          </w:p>
        </w:tc>
        <w:tc>
          <w:tcPr>
            <w:tcW w:w="980" w:type="dxa"/>
            <w:vAlign w:val="bottom"/>
            <w:gridSpan w:val="2"/>
            <w:shd w:val="clear" w:color="auto" w:fill="E5FFFF"/>
          </w:tcPr>
          <w:p>
            <w:pPr>
              <w:jc w:val="right"/>
              <w:ind w:right="388"/>
              <w:spacing w:after="0" w:line="149" w:lineRule="exact"/>
              <w:rPr>
                <w:sz w:val="20"/>
                <w:szCs w:val="20"/>
                <w:color w:val="auto"/>
              </w:rPr>
            </w:pPr>
            <w:r>
              <w:rPr>
                <w:rFonts w:ascii="Arial" w:cs="Arial" w:eastAsia="Arial" w:hAnsi="Arial"/>
                <w:sz w:val="14"/>
                <w:szCs w:val="14"/>
                <w:color w:val="auto"/>
                <w:w w:val="98"/>
              </w:rPr>
              <w:t>174,000</w:t>
            </w:r>
          </w:p>
        </w:tc>
        <w:tc>
          <w:tcPr>
            <w:tcW w:w="100" w:type="dxa"/>
            <w:vAlign w:val="bottom"/>
            <w:shd w:val="clear" w:color="auto" w:fill="E5FFFF"/>
          </w:tcPr>
          <w:p>
            <w:pPr>
              <w:spacing w:after="0"/>
              <w:rPr>
                <w:sz w:val="12"/>
                <w:szCs w:val="12"/>
                <w:color w:val="auto"/>
              </w:rPr>
            </w:pPr>
          </w:p>
        </w:tc>
        <w:tc>
          <w:tcPr>
            <w:tcW w:w="1600" w:type="dxa"/>
            <w:vAlign w:val="bottom"/>
            <w:gridSpan w:val="2"/>
            <w:shd w:val="clear" w:color="auto" w:fill="E5FFFF"/>
          </w:tcPr>
          <w:p>
            <w:pPr>
              <w:jc w:val="center"/>
              <w:ind w:right="100"/>
              <w:spacing w:after="0" w:line="149" w:lineRule="exact"/>
              <w:rPr>
                <w:sz w:val="20"/>
                <w:szCs w:val="20"/>
                <w:color w:val="auto"/>
              </w:rPr>
            </w:pPr>
            <w:r>
              <w:rPr>
                <w:rFonts w:ascii="Arial" w:cs="Arial" w:eastAsia="Arial" w:hAnsi="Arial"/>
                <w:sz w:val="14"/>
                <w:szCs w:val="14"/>
                <w:color w:val="auto"/>
                <w:w w:val="96"/>
              </w:rPr>
              <w:t>Hull No. 2301</w:t>
            </w:r>
          </w:p>
        </w:tc>
        <w:tc>
          <w:tcPr>
            <w:tcW w:w="1380" w:type="dxa"/>
            <w:vAlign w:val="bottom"/>
            <w:gridSpan w:val="2"/>
            <w:shd w:val="clear" w:color="auto" w:fill="E5FFFF"/>
          </w:tcPr>
          <w:p>
            <w:pPr>
              <w:jc w:val="center"/>
              <w:ind w:right="100"/>
              <w:spacing w:after="0" w:line="149" w:lineRule="exact"/>
              <w:rPr>
                <w:sz w:val="20"/>
                <w:szCs w:val="20"/>
                <w:color w:val="auto"/>
              </w:rPr>
            </w:pPr>
            <w:r>
              <w:rPr>
                <w:rFonts w:ascii="Arial" w:cs="Arial" w:eastAsia="Arial" w:hAnsi="Arial"/>
                <w:sz w:val="14"/>
                <w:szCs w:val="14"/>
                <w:color w:val="auto"/>
                <w:w w:val="88"/>
              </w:rPr>
              <w:t>Q4 2020</w:t>
            </w:r>
            <w:r>
              <w:rPr>
                <w:rFonts w:ascii="Arial" w:cs="Arial" w:eastAsia="Arial" w:hAnsi="Arial"/>
                <w:sz w:val="17"/>
                <w:szCs w:val="17"/>
                <w:color w:val="auto"/>
                <w:w w:val="88"/>
                <w:vertAlign w:val="superscript"/>
              </w:rPr>
              <w:t>(1)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80" w:type="dxa"/>
            <w:vAlign w:val="bottom"/>
            <w:gridSpan w:val="2"/>
          </w:tcPr>
          <w:p>
            <w:pPr>
              <w:spacing w:after="0" w:line="149" w:lineRule="exact"/>
              <w:rPr>
                <w:sz w:val="20"/>
                <w:szCs w:val="20"/>
                <w:color w:val="auto"/>
              </w:rPr>
            </w:pPr>
            <w:r>
              <w:rPr>
                <w:rFonts w:ascii="Arial" w:cs="Arial" w:eastAsia="Arial" w:hAnsi="Arial"/>
                <w:sz w:val="14"/>
                <w:szCs w:val="14"/>
                <w:color w:val="auto"/>
              </w:rPr>
              <w:t>GAS-thirty four Ltd.</w:t>
            </w:r>
          </w:p>
        </w:tc>
        <w:tc>
          <w:tcPr>
            <w:tcW w:w="1520" w:type="dxa"/>
            <w:vAlign w:val="bottom"/>
          </w:tcPr>
          <w:p>
            <w:pPr>
              <w:spacing w:after="0" w:line="149" w:lineRule="exact"/>
              <w:rPr>
                <w:sz w:val="20"/>
                <w:szCs w:val="20"/>
                <w:color w:val="auto"/>
              </w:rPr>
            </w:pPr>
            <w:r>
              <w:rPr>
                <w:rFonts w:ascii="Arial" w:cs="Arial" w:eastAsia="Arial" w:hAnsi="Arial"/>
                <w:sz w:val="14"/>
                <w:szCs w:val="14"/>
                <w:color w:val="auto"/>
              </w:rPr>
              <w:t>Bermuda</w:t>
            </w:r>
          </w:p>
        </w:tc>
        <w:tc>
          <w:tcPr>
            <w:tcW w:w="12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May 2018</w:t>
            </w:r>
          </w:p>
        </w:tc>
        <w:tc>
          <w:tcPr>
            <w:tcW w:w="120" w:type="dxa"/>
            <w:vAlign w:val="bottom"/>
          </w:tcPr>
          <w:p>
            <w:pPr>
              <w:spacing w:after="0"/>
              <w:rPr>
                <w:sz w:val="12"/>
                <w:szCs w:val="12"/>
                <w:color w:val="auto"/>
              </w:rPr>
            </w:pPr>
          </w:p>
        </w:tc>
        <w:tc>
          <w:tcPr>
            <w:tcW w:w="180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Vessel-owning company</w:t>
            </w:r>
          </w:p>
        </w:tc>
        <w:tc>
          <w:tcPr>
            <w:tcW w:w="980" w:type="dxa"/>
            <w:vAlign w:val="bottom"/>
            <w:gridSpan w:val="2"/>
          </w:tcPr>
          <w:p>
            <w:pPr>
              <w:jc w:val="right"/>
              <w:ind w:right="388"/>
              <w:spacing w:after="0" w:line="149" w:lineRule="exact"/>
              <w:rPr>
                <w:sz w:val="20"/>
                <w:szCs w:val="20"/>
                <w:color w:val="auto"/>
              </w:rPr>
            </w:pPr>
            <w:r>
              <w:rPr>
                <w:rFonts w:ascii="Arial" w:cs="Arial" w:eastAsia="Arial" w:hAnsi="Arial"/>
                <w:sz w:val="14"/>
                <w:szCs w:val="14"/>
                <w:color w:val="auto"/>
                <w:w w:val="98"/>
              </w:rPr>
              <w:t>180,000</w:t>
            </w:r>
          </w:p>
        </w:tc>
        <w:tc>
          <w:tcPr>
            <w:tcW w:w="100" w:type="dxa"/>
            <w:vAlign w:val="bottom"/>
          </w:tcPr>
          <w:p>
            <w:pPr>
              <w:spacing w:after="0"/>
              <w:rPr>
                <w:sz w:val="12"/>
                <w:szCs w:val="12"/>
                <w:color w:val="auto"/>
              </w:rPr>
            </w:pPr>
          </w:p>
        </w:tc>
        <w:tc>
          <w:tcPr>
            <w:tcW w:w="16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6"/>
              </w:rPr>
              <w:t>Hull No. 2311</w:t>
            </w:r>
          </w:p>
        </w:tc>
        <w:tc>
          <w:tcPr>
            <w:tcW w:w="13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8"/>
              </w:rPr>
              <w:t>Q2 2021</w:t>
            </w:r>
            <w:r>
              <w:rPr>
                <w:rFonts w:ascii="Arial" w:cs="Arial" w:eastAsia="Arial" w:hAnsi="Arial"/>
                <w:sz w:val="17"/>
                <w:szCs w:val="17"/>
                <w:color w:val="auto"/>
                <w:w w:val="88"/>
                <w:vertAlign w:val="superscript"/>
              </w:rPr>
              <w:t>(1)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80" w:type="dxa"/>
            <w:vAlign w:val="bottom"/>
            <w:gridSpan w:val="2"/>
            <w:shd w:val="clear" w:color="auto" w:fill="E5FFFF"/>
          </w:tcPr>
          <w:p>
            <w:pPr>
              <w:spacing w:after="0" w:line="149" w:lineRule="exact"/>
              <w:rPr>
                <w:sz w:val="20"/>
                <w:szCs w:val="20"/>
                <w:color w:val="auto"/>
              </w:rPr>
            </w:pPr>
            <w:r>
              <w:rPr>
                <w:rFonts w:ascii="Arial" w:cs="Arial" w:eastAsia="Arial" w:hAnsi="Arial"/>
                <w:sz w:val="14"/>
                <w:szCs w:val="14"/>
                <w:color w:val="auto"/>
              </w:rPr>
              <w:t>GAS-thirty five Ltd.</w:t>
            </w:r>
          </w:p>
        </w:tc>
        <w:tc>
          <w:tcPr>
            <w:tcW w:w="152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Bermuda</w:t>
            </w:r>
          </w:p>
        </w:tc>
        <w:tc>
          <w:tcPr>
            <w:tcW w:w="1280" w:type="dxa"/>
            <w:vAlign w:val="bottom"/>
            <w:gridSpan w:val="2"/>
            <w:shd w:val="clear" w:color="auto" w:fill="E5FFFF"/>
          </w:tcPr>
          <w:p>
            <w:pPr>
              <w:ind w:left="120"/>
              <w:spacing w:after="0" w:line="149" w:lineRule="exact"/>
              <w:rPr>
                <w:sz w:val="20"/>
                <w:szCs w:val="20"/>
                <w:color w:val="auto"/>
              </w:rPr>
            </w:pPr>
            <w:r>
              <w:rPr>
                <w:rFonts w:ascii="Arial" w:cs="Arial" w:eastAsia="Arial" w:hAnsi="Arial"/>
                <w:sz w:val="14"/>
                <w:szCs w:val="14"/>
                <w:color w:val="auto"/>
              </w:rPr>
              <w:t>December 2018</w:t>
            </w:r>
          </w:p>
        </w:tc>
        <w:tc>
          <w:tcPr>
            <w:tcW w:w="120" w:type="dxa"/>
            <w:vAlign w:val="bottom"/>
            <w:shd w:val="clear" w:color="auto" w:fill="E5FFFF"/>
          </w:tcPr>
          <w:p>
            <w:pPr>
              <w:spacing w:after="0"/>
              <w:rPr>
                <w:sz w:val="12"/>
                <w:szCs w:val="12"/>
                <w:color w:val="auto"/>
              </w:rPr>
            </w:pPr>
          </w:p>
        </w:tc>
        <w:tc>
          <w:tcPr>
            <w:tcW w:w="1800" w:type="dxa"/>
            <w:vAlign w:val="bottom"/>
            <w:gridSpan w:val="3"/>
            <w:shd w:val="clear" w:color="auto" w:fill="E5FFFF"/>
          </w:tcPr>
          <w:p>
            <w:pPr>
              <w:ind w:left="120"/>
              <w:spacing w:after="0" w:line="149" w:lineRule="exact"/>
              <w:rPr>
                <w:sz w:val="20"/>
                <w:szCs w:val="20"/>
                <w:color w:val="auto"/>
              </w:rPr>
            </w:pPr>
            <w:r>
              <w:rPr>
                <w:rFonts w:ascii="Arial" w:cs="Arial" w:eastAsia="Arial" w:hAnsi="Arial"/>
                <w:sz w:val="14"/>
                <w:szCs w:val="14"/>
                <w:color w:val="auto"/>
              </w:rPr>
              <w:t>Vessel-owning company</w:t>
            </w:r>
          </w:p>
        </w:tc>
        <w:tc>
          <w:tcPr>
            <w:tcW w:w="980" w:type="dxa"/>
            <w:vAlign w:val="bottom"/>
            <w:gridSpan w:val="2"/>
            <w:shd w:val="clear" w:color="auto" w:fill="E5FFFF"/>
          </w:tcPr>
          <w:p>
            <w:pPr>
              <w:jc w:val="right"/>
              <w:ind w:right="388"/>
              <w:spacing w:after="0" w:line="149" w:lineRule="exact"/>
              <w:rPr>
                <w:sz w:val="20"/>
                <w:szCs w:val="20"/>
                <w:color w:val="auto"/>
              </w:rPr>
            </w:pPr>
            <w:r>
              <w:rPr>
                <w:rFonts w:ascii="Arial" w:cs="Arial" w:eastAsia="Arial" w:hAnsi="Arial"/>
                <w:sz w:val="14"/>
                <w:szCs w:val="14"/>
                <w:color w:val="auto"/>
                <w:w w:val="98"/>
              </w:rPr>
              <w:t>180,000</w:t>
            </w:r>
          </w:p>
        </w:tc>
        <w:tc>
          <w:tcPr>
            <w:tcW w:w="100" w:type="dxa"/>
            <w:vAlign w:val="bottom"/>
            <w:shd w:val="clear" w:color="auto" w:fill="E5FFFF"/>
          </w:tcPr>
          <w:p>
            <w:pPr>
              <w:spacing w:after="0"/>
              <w:rPr>
                <w:sz w:val="12"/>
                <w:szCs w:val="12"/>
                <w:color w:val="auto"/>
              </w:rPr>
            </w:pPr>
          </w:p>
        </w:tc>
        <w:tc>
          <w:tcPr>
            <w:tcW w:w="1600" w:type="dxa"/>
            <w:vAlign w:val="bottom"/>
            <w:gridSpan w:val="2"/>
            <w:shd w:val="clear" w:color="auto" w:fill="E5FFFF"/>
          </w:tcPr>
          <w:p>
            <w:pPr>
              <w:jc w:val="center"/>
              <w:ind w:right="100"/>
              <w:spacing w:after="0" w:line="149" w:lineRule="exact"/>
              <w:rPr>
                <w:sz w:val="20"/>
                <w:szCs w:val="20"/>
                <w:color w:val="auto"/>
              </w:rPr>
            </w:pPr>
            <w:r>
              <w:rPr>
                <w:rFonts w:ascii="Arial" w:cs="Arial" w:eastAsia="Arial" w:hAnsi="Arial"/>
                <w:sz w:val="14"/>
                <w:szCs w:val="14"/>
                <w:color w:val="auto"/>
                <w:w w:val="96"/>
              </w:rPr>
              <w:t>Hull No. 2312</w:t>
            </w:r>
          </w:p>
        </w:tc>
        <w:tc>
          <w:tcPr>
            <w:tcW w:w="1380" w:type="dxa"/>
            <w:vAlign w:val="bottom"/>
            <w:gridSpan w:val="2"/>
            <w:shd w:val="clear" w:color="auto" w:fill="E5FFFF"/>
          </w:tcPr>
          <w:p>
            <w:pPr>
              <w:jc w:val="center"/>
              <w:ind w:right="100"/>
              <w:spacing w:after="0" w:line="149" w:lineRule="exact"/>
              <w:rPr>
                <w:sz w:val="20"/>
                <w:szCs w:val="20"/>
                <w:color w:val="auto"/>
              </w:rPr>
            </w:pPr>
            <w:r>
              <w:rPr>
                <w:rFonts w:ascii="Arial" w:cs="Arial" w:eastAsia="Arial" w:hAnsi="Arial"/>
                <w:sz w:val="14"/>
                <w:szCs w:val="14"/>
                <w:color w:val="auto"/>
                <w:w w:val="88"/>
              </w:rPr>
              <w:t>Q3 2021</w:t>
            </w:r>
            <w:r>
              <w:rPr>
                <w:rFonts w:ascii="Arial" w:cs="Arial" w:eastAsia="Arial" w:hAnsi="Arial"/>
                <w:sz w:val="17"/>
                <w:szCs w:val="17"/>
                <w:color w:val="auto"/>
                <w:w w:val="88"/>
                <w:vertAlign w:val="superscript"/>
              </w:rPr>
              <w:t>(1)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80" w:type="dxa"/>
            <w:vAlign w:val="bottom"/>
            <w:gridSpan w:val="2"/>
          </w:tcPr>
          <w:p>
            <w:pPr>
              <w:spacing w:after="0" w:line="149" w:lineRule="exact"/>
              <w:rPr>
                <w:sz w:val="20"/>
                <w:szCs w:val="20"/>
                <w:color w:val="auto"/>
              </w:rPr>
            </w:pPr>
            <w:r>
              <w:rPr>
                <w:rFonts w:ascii="Arial" w:cs="Arial" w:eastAsia="Arial" w:hAnsi="Arial"/>
                <w:sz w:val="14"/>
                <w:szCs w:val="14"/>
                <w:color w:val="auto"/>
              </w:rPr>
              <w:t>GAS-thirty six Ltd.</w:t>
            </w:r>
          </w:p>
        </w:tc>
        <w:tc>
          <w:tcPr>
            <w:tcW w:w="1520" w:type="dxa"/>
            <w:vAlign w:val="bottom"/>
          </w:tcPr>
          <w:p>
            <w:pPr>
              <w:spacing w:after="0" w:line="149" w:lineRule="exact"/>
              <w:rPr>
                <w:sz w:val="20"/>
                <w:szCs w:val="20"/>
                <w:color w:val="auto"/>
              </w:rPr>
            </w:pPr>
            <w:r>
              <w:rPr>
                <w:rFonts w:ascii="Arial" w:cs="Arial" w:eastAsia="Arial" w:hAnsi="Arial"/>
                <w:sz w:val="14"/>
                <w:szCs w:val="14"/>
                <w:color w:val="auto"/>
              </w:rPr>
              <w:t>Bermuda</w:t>
            </w:r>
          </w:p>
        </w:tc>
        <w:tc>
          <w:tcPr>
            <w:tcW w:w="12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December 2018</w:t>
            </w:r>
          </w:p>
        </w:tc>
        <w:tc>
          <w:tcPr>
            <w:tcW w:w="120" w:type="dxa"/>
            <w:vAlign w:val="bottom"/>
          </w:tcPr>
          <w:p>
            <w:pPr>
              <w:spacing w:after="0"/>
              <w:rPr>
                <w:sz w:val="12"/>
                <w:szCs w:val="12"/>
                <w:color w:val="auto"/>
              </w:rPr>
            </w:pPr>
          </w:p>
        </w:tc>
        <w:tc>
          <w:tcPr>
            <w:tcW w:w="180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Dormant</w:t>
            </w:r>
          </w:p>
        </w:tc>
        <w:tc>
          <w:tcPr>
            <w:tcW w:w="60" w:type="dxa"/>
            <w:vAlign w:val="bottom"/>
          </w:tcPr>
          <w:p>
            <w:pPr>
              <w:spacing w:after="0"/>
              <w:rPr>
                <w:sz w:val="12"/>
                <w:szCs w:val="12"/>
                <w:color w:val="auto"/>
              </w:rPr>
            </w:pPr>
          </w:p>
        </w:tc>
        <w:tc>
          <w:tcPr>
            <w:tcW w:w="102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9"/>
              </w:rPr>
              <w:t>—</w:t>
            </w:r>
          </w:p>
        </w:tc>
        <w:tc>
          <w:tcPr>
            <w:tcW w:w="16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9"/>
              </w:rPr>
              <w:t>—</w:t>
            </w:r>
          </w:p>
        </w:tc>
        <w:tc>
          <w:tcPr>
            <w:tcW w:w="13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80" w:type="dxa"/>
            <w:vAlign w:val="bottom"/>
            <w:gridSpan w:val="2"/>
            <w:shd w:val="clear" w:color="auto" w:fill="E5FFFF"/>
          </w:tcPr>
          <w:p>
            <w:pPr>
              <w:spacing w:after="0" w:line="149" w:lineRule="exact"/>
              <w:rPr>
                <w:sz w:val="20"/>
                <w:szCs w:val="20"/>
                <w:color w:val="auto"/>
              </w:rPr>
            </w:pPr>
            <w:r>
              <w:rPr>
                <w:rFonts w:ascii="Arial" w:cs="Arial" w:eastAsia="Arial" w:hAnsi="Arial"/>
                <w:sz w:val="14"/>
                <w:szCs w:val="14"/>
                <w:color w:val="auto"/>
              </w:rPr>
              <w:t>GAS-thirty seven Ltd.</w:t>
            </w:r>
          </w:p>
        </w:tc>
        <w:tc>
          <w:tcPr>
            <w:tcW w:w="152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Bermuda</w:t>
            </w:r>
          </w:p>
        </w:tc>
        <w:tc>
          <w:tcPr>
            <w:tcW w:w="1280" w:type="dxa"/>
            <w:vAlign w:val="bottom"/>
            <w:gridSpan w:val="2"/>
            <w:shd w:val="clear" w:color="auto" w:fill="E5FFFF"/>
          </w:tcPr>
          <w:p>
            <w:pPr>
              <w:ind w:left="120"/>
              <w:spacing w:after="0" w:line="149" w:lineRule="exact"/>
              <w:rPr>
                <w:sz w:val="20"/>
                <w:szCs w:val="20"/>
                <w:color w:val="auto"/>
              </w:rPr>
            </w:pPr>
            <w:r>
              <w:rPr>
                <w:rFonts w:ascii="Arial" w:cs="Arial" w:eastAsia="Arial" w:hAnsi="Arial"/>
                <w:sz w:val="14"/>
                <w:szCs w:val="14"/>
                <w:color w:val="auto"/>
              </w:rPr>
              <w:t>December 2018</w:t>
            </w:r>
          </w:p>
        </w:tc>
        <w:tc>
          <w:tcPr>
            <w:tcW w:w="120" w:type="dxa"/>
            <w:vAlign w:val="bottom"/>
            <w:shd w:val="clear" w:color="auto" w:fill="E5FFFF"/>
          </w:tcPr>
          <w:p>
            <w:pPr>
              <w:spacing w:after="0"/>
              <w:rPr>
                <w:sz w:val="12"/>
                <w:szCs w:val="12"/>
                <w:color w:val="auto"/>
              </w:rPr>
            </w:pPr>
          </w:p>
        </w:tc>
        <w:tc>
          <w:tcPr>
            <w:tcW w:w="1800" w:type="dxa"/>
            <w:vAlign w:val="bottom"/>
            <w:gridSpan w:val="3"/>
            <w:shd w:val="clear" w:color="auto" w:fill="E5FFFF"/>
          </w:tcPr>
          <w:p>
            <w:pPr>
              <w:ind w:left="120"/>
              <w:spacing w:after="0" w:line="149" w:lineRule="exact"/>
              <w:rPr>
                <w:sz w:val="20"/>
                <w:szCs w:val="20"/>
                <w:color w:val="auto"/>
              </w:rPr>
            </w:pPr>
            <w:r>
              <w:rPr>
                <w:rFonts w:ascii="Arial" w:cs="Arial" w:eastAsia="Arial" w:hAnsi="Arial"/>
                <w:sz w:val="14"/>
                <w:szCs w:val="14"/>
                <w:color w:val="auto"/>
              </w:rPr>
              <w:t>Dormant</w:t>
            </w:r>
          </w:p>
        </w:tc>
        <w:tc>
          <w:tcPr>
            <w:tcW w:w="60" w:type="dxa"/>
            <w:vAlign w:val="bottom"/>
            <w:shd w:val="clear" w:color="auto" w:fill="E5FFFF"/>
          </w:tcPr>
          <w:p>
            <w:pPr>
              <w:spacing w:after="0"/>
              <w:rPr>
                <w:sz w:val="12"/>
                <w:szCs w:val="12"/>
                <w:color w:val="auto"/>
              </w:rPr>
            </w:pPr>
          </w:p>
        </w:tc>
        <w:tc>
          <w:tcPr>
            <w:tcW w:w="1020" w:type="dxa"/>
            <w:vAlign w:val="bottom"/>
            <w:gridSpan w:val="2"/>
            <w:shd w:val="clear" w:color="auto" w:fill="E5FFFF"/>
          </w:tcPr>
          <w:p>
            <w:pPr>
              <w:jc w:val="center"/>
              <w:ind w:right="120"/>
              <w:spacing w:after="0" w:line="149" w:lineRule="exact"/>
              <w:rPr>
                <w:sz w:val="20"/>
                <w:szCs w:val="20"/>
                <w:color w:val="auto"/>
              </w:rPr>
            </w:pPr>
            <w:r>
              <w:rPr>
                <w:rFonts w:ascii="Arial" w:cs="Arial" w:eastAsia="Arial" w:hAnsi="Arial"/>
                <w:sz w:val="14"/>
                <w:szCs w:val="14"/>
                <w:color w:val="auto"/>
                <w:w w:val="99"/>
              </w:rPr>
              <w:t>—</w:t>
            </w:r>
          </w:p>
        </w:tc>
        <w:tc>
          <w:tcPr>
            <w:tcW w:w="1600" w:type="dxa"/>
            <w:vAlign w:val="bottom"/>
            <w:gridSpan w:val="2"/>
            <w:shd w:val="clear" w:color="auto" w:fill="E5FFFF"/>
          </w:tcPr>
          <w:p>
            <w:pPr>
              <w:jc w:val="center"/>
              <w:ind w:right="100"/>
              <w:spacing w:after="0" w:line="149" w:lineRule="exact"/>
              <w:rPr>
                <w:sz w:val="20"/>
                <w:szCs w:val="20"/>
                <w:color w:val="auto"/>
              </w:rPr>
            </w:pPr>
            <w:r>
              <w:rPr>
                <w:rFonts w:ascii="Arial" w:cs="Arial" w:eastAsia="Arial" w:hAnsi="Arial"/>
                <w:sz w:val="14"/>
                <w:szCs w:val="14"/>
                <w:color w:val="auto"/>
                <w:w w:val="99"/>
              </w:rPr>
              <w:t>—</w:t>
            </w:r>
          </w:p>
        </w:tc>
        <w:tc>
          <w:tcPr>
            <w:tcW w:w="1380" w:type="dxa"/>
            <w:vAlign w:val="bottom"/>
            <w:gridSpan w:val="2"/>
            <w:shd w:val="clear" w:color="auto" w:fill="E5FFFF"/>
          </w:tcPr>
          <w:p>
            <w:pPr>
              <w:jc w:val="center"/>
              <w:ind w:right="1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80" w:type="dxa"/>
            <w:vAlign w:val="bottom"/>
            <w:gridSpan w:val="2"/>
          </w:tcPr>
          <w:p>
            <w:pPr>
              <w:spacing w:after="0" w:line="149" w:lineRule="exact"/>
              <w:rPr>
                <w:sz w:val="20"/>
                <w:szCs w:val="20"/>
                <w:color w:val="auto"/>
              </w:rPr>
            </w:pPr>
            <w:r>
              <w:rPr>
                <w:rFonts w:ascii="Arial" w:cs="Arial" w:eastAsia="Arial" w:hAnsi="Arial"/>
                <w:sz w:val="14"/>
                <w:szCs w:val="14"/>
                <w:color w:val="auto"/>
              </w:rPr>
              <w:t>GasLog Shipping Limited</w:t>
            </w:r>
          </w:p>
        </w:tc>
        <w:tc>
          <w:tcPr>
            <w:tcW w:w="1520" w:type="dxa"/>
            <w:vAlign w:val="bottom"/>
          </w:tcPr>
          <w:p>
            <w:pPr>
              <w:spacing w:after="0" w:line="149" w:lineRule="exact"/>
              <w:rPr>
                <w:sz w:val="20"/>
                <w:szCs w:val="20"/>
                <w:color w:val="auto"/>
              </w:rPr>
            </w:pPr>
            <w:r>
              <w:rPr>
                <w:rFonts w:ascii="Arial" w:cs="Arial" w:eastAsia="Arial" w:hAnsi="Arial"/>
                <w:sz w:val="14"/>
                <w:szCs w:val="14"/>
                <w:color w:val="auto"/>
              </w:rPr>
              <w:t>BVI</w:t>
            </w:r>
          </w:p>
        </w:tc>
        <w:tc>
          <w:tcPr>
            <w:tcW w:w="12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July 2003</w:t>
            </w:r>
          </w:p>
        </w:tc>
        <w:tc>
          <w:tcPr>
            <w:tcW w:w="120" w:type="dxa"/>
            <w:vAlign w:val="bottom"/>
          </w:tcPr>
          <w:p>
            <w:pPr>
              <w:spacing w:after="0"/>
              <w:rPr>
                <w:sz w:val="12"/>
                <w:szCs w:val="12"/>
                <w:color w:val="auto"/>
              </w:rPr>
            </w:pPr>
          </w:p>
        </w:tc>
        <w:tc>
          <w:tcPr>
            <w:tcW w:w="180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Dormant</w:t>
            </w:r>
          </w:p>
        </w:tc>
        <w:tc>
          <w:tcPr>
            <w:tcW w:w="60" w:type="dxa"/>
            <w:vAlign w:val="bottom"/>
          </w:tcPr>
          <w:p>
            <w:pPr>
              <w:spacing w:after="0"/>
              <w:rPr>
                <w:sz w:val="12"/>
                <w:szCs w:val="12"/>
                <w:color w:val="auto"/>
              </w:rPr>
            </w:pPr>
          </w:p>
        </w:tc>
        <w:tc>
          <w:tcPr>
            <w:tcW w:w="102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9"/>
              </w:rPr>
              <w:t>—</w:t>
            </w:r>
          </w:p>
        </w:tc>
        <w:tc>
          <w:tcPr>
            <w:tcW w:w="16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9"/>
              </w:rPr>
              <w:t>—</w:t>
            </w:r>
          </w:p>
        </w:tc>
        <w:tc>
          <w:tcPr>
            <w:tcW w:w="13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80" w:type="dxa"/>
            <w:vAlign w:val="bottom"/>
            <w:gridSpan w:val="2"/>
            <w:shd w:val="clear" w:color="auto" w:fill="E5FFFF"/>
          </w:tcPr>
          <w:p>
            <w:pPr>
              <w:spacing w:after="0" w:line="149" w:lineRule="exact"/>
              <w:rPr>
                <w:sz w:val="20"/>
                <w:szCs w:val="20"/>
                <w:color w:val="auto"/>
              </w:rPr>
            </w:pPr>
            <w:r>
              <w:rPr>
                <w:rFonts w:ascii="Arial" w:cs="Arial" w:eastAsia="Arial" w:hAnsi="Arial"/>
                <w:sz w:val="14"/>
                <w:szCs w:val="14"/>
                <w:b w:val="1"/>
                <w:bCs w:val="1"/>
                <w:color w:val="auto"/>
              </w:rPr>
              <w:t>27.5% interest subsidiaries:</w:t>
            </w:r>
          </w:p>
        </w:tc>
        <w:tc>
          <w:tcPr>
            <w:tcW w:w="1520" w:type="dxa"/>
            <w:vAlign w:val="bottom"/>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1160" w:type="dxa"/>
            <w:vAlign w:val="bottom"/>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1620" w:type="dxa"/>
            <w:vAlign w:val="bottom"/>
            <w:shd w:val="clear" w:color="auto" w:fill="E5FFFF"/>
          </w:tcPr>
          <w:p>
            <w:pPr>
              <w:spacing w:after="0"/>
              <w:rPr>
                <w:sz w:val="12"/>
                <w:szCs w:val="12"/>
                <w:color w:val="auto"/>
              </w:rPr>
            </w:pPr>
          </w:p>
        </w:tc>
        <w:tc>
          <w:tcPr>
            <w:tcW w:w="60" w:type="dxa"/>
            <w:vAlign w:val="bottom"/>
            <w:shd w:val="clear" w:color="auto" w:fill="E5FFFF"/>
          </w:tcPr>
          <w:p>
            <w:pPr>
              <w:spacing w:after="0"/>
              <w:rPr>
                <w:sz w:val="12"/>
                <w:szCs w:val="12"/>
                <w:color w:val="auto"/>
              </w:rPr>
            </w:pPr>
          </w:p>
        </w:tc>
        <w:tc>
          <w:tcPr>
            <w:tcW w:w="60" w:type="dxa"/>
            <w:vAlign w:val="bottom"/>
            <w:shd w:val="clear" w:color="auto" w:fill="E5FFFF"/>
          </w:tcPr>
          <w:p>
            <w:pPr>
              <w:spacing w:after="0"/>
              <w:rPr>
                <w:sz w:val="12"/>
                <w:szCs w:val="12"/>
                <w:color w:val="auto"/>
              </w:rPr>
            </w:pPr>
          </w:p>
        </w:tc>
        <w:tc>
          <w:tcPr>
            <w:tcW w:w="920" w:type="dxa"/>
            <w:vAlign w:val="bottom"/>
            <w:shd w:val="clear" w:color="auto" w:fill="E5FFFF"/>
          </w:tcPr>
          <w:p>
            <w:pPr>
              <w:spacing w:after="0"/>
              <w:rPr>
                <w:sz w:val="12"/>
                <w:szCs w:val="12"/>
                <w:color w:val="auto"/>
              </w:rPr>
            </w:pPr>
          </w:p>
        </w:tc>
        <w:tc>
          <w:tcPr>
            <w:tcW w:w="100" w:type="dxa"/>
            <w:vAlign w:val="bottom"/>
            <w:shd w:val="clear" w:color="auto" w:fill="E5FFFF"/>
          </w:tcPr>
          <w:p>
            <w:pPr>
              <w:spacing w:after="0"/>
              <w:rPr>
                <w:sz w:val="12"/>
                <w:szCs w:val="12"/>
                <w:color w:val="auto"/>
              </w:rPr>
            </w:pPr>
          </w:p>
        </w:tc>
        <w:tc>
          <w:tcPr>
            <w:tcW w:w="1500" w:type="dxa"/>
            <w:vAlign w:val="bottom"/>
            <w:shd w:val="clear" w:color="auto" w:fill="E5FFFF"/>
          </w:tcPr>
          <w:p>
            <w:pPr>
              <w:spacing w:after="0"/>
              <w:rPr>
                <w:sz w:val="12"/>
                <w:szCs w:val="12"/>
                <w:color w:val="auto"/>
              </w:rPr>
            </w:pPr>
          </w:p>
        </w:tc>
        <w:tc>
          <w:tcPr>
            <w:tcW w:w="100" w:type="dxa"/>
            <w:vAlign w:val="bottom"/>
            <w:shd w:val="clear" w:color="auto" w:fill="E5FFFF"/>
          </w:tcPr>
          <w:p>
            <w:pPr>
              <w:spacing w:after="0"/>
              <w:rPr>
                <w:sz w:val="12"/>
                <w:szCs w:val="12"/>
                <w:color w:val="auto"/>
              </w:rPr>
            </w:pPr>
          </w:p>
        </w:tc>
        <w:tc>
          <w:tcPr>
            <w:tcW w:w="1280" w:type="dxa"/>
            <w:vAlign w:val="bottom"/>
            <w:shd w:val="clear" w:color="auto" w:fill="E5FFFF"/>
          </w:tcPr>
          <w:p>
            <w:pPr>
              <w:spacing w:after="0"/>
              <w:rPr>
                <w:sz w:val="12"/>
                <w:szCs w:val="12"/>
                <w:color w:val="auto"/>
              </w:rPr>
            </w:pPr>
          </w:p>
        </w:tc>
        <w:tc>
          <w:tcPr>
            <w:tcW w:w="100" w:type="dxa"/>
            <w:vAlign w:val="bottom"/>
            <w:shd w:val="clear" w:color="auto" w:fill="E5FF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80" w:type="dxa"/>
            <w:vAlign w:val="bottom"/>
            <w:gridSpan w:val="2"/>
          </w:tcPr>
          <w:p>
            <w:pPr>
              <w:spacing w:after="0" w:line="149" w:lineRule="exact"/>
              <w:rPr>
                <w:sz w:val="20"/>
                <w:szCs w:val="20"/>
                <w:color w:val="auto"/>
              </w:rPr>
            </w:pPr>
            <w:r>
              <w:rPr>
                <w:rFonts w:ascii="Arial" w:cs="Arial" w:eastAsia="Arial" w:hAnsi="Arial"/>
                <w:sz w:val="14"/>
                <w:szCs w:val="14"/>
                <w:color w:val="auto"/>
              </w:rPr>
              <w:t>GasLog Partners LP</w:t>
            </w:r>
          </w:p>
        </w:tc>
        <w:tc>
          <w:tcPr>
            <w:tcW w:w="1520" w:type="dxa"/>
            <w:vAlign w:val="bottom"/>
          </w:tcPr>
          <w:p>
            <w:pPr>
              <w:spacing w:after="0" w:line="149" w:lineRule="exact"/>
              <w:rPr>
                <w:sz w:val="20"/>
                <w:szCs w:val="20"/>
                <w:color w:val="auto"/>
              </w:rPr>
            </w:pPr>
            <w:r>
              <w:rPr>
                <w:rFonts w:ascii="Arial" w:cs="Arial" w:eastAsia="Arial" w:hAnsi="Arial"/>
                <w:sz w:val="14"/>
                <w:szCs w:val="14"/>
                <w:color w:val="auto"/>
              </w:rPr>
              <w:t>Marshall Islands</w:t>
            </w:r>
          </w:p>
        </w:tc>
        <w:tc>
          <w:tcPr>
            <w:tcW w:w="12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January 2014</w:t>
            </w:r>
          </w:p>
        </w:tc>
        <w:tc>
          <w:tcPr>
            <w:tcW w:w="120" w:type="dxa"/>
            <w:vAlign w:val="bottom"/>
          </w:tcPr>
          <w:p>
            <w:pPr>
              <w:spacing w:after="0"/>
              <w:rPr>
                <w:sz w:val="12"/>
                <w:szCs w:val="12"/>
                <w:color w:val="auto"/>
              </w:rPr>
            </w:pPr>
          </w:p>
        </w:tc>
        <w:tc>
          <w:tcPr>
            <w:tcW w:w="180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Holding company</w:t>
            </w:r>
          </w:p>
        </w:tc>
        <w:tc>
          <w:tcPr>
            <w:tcW w:w="60" w:type="dxa"/>
            <w:vAlign w:val="bottom"/>
          </w:tcPr>
          <w:p>
            <w:pPr>
              <w:spacing w:after="0"/>
              <w:rPr>
                <w:sz w:val="12"/>
                <w:szCs w:val="12"/>
                <w:color w:val="auto"/>
              </w:rPr>
            </w:pPr>
          </w:p>
        </w:tc>
        <w:tc>
          <w:tcPr>
            <w:tcW w:w="102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9"/>
              </w:rPr>
              <w:t>—</w:t>
            </w:r>
          </w:p>
        </w:tc>
        <w:tc>
          <w:tcPr>
            <w:tcW w:w="16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9"/>
              </w:rPr>
              <w:t>—</w:t>
            </w:r>
          </w:p>
        </w:tc>
        <w:tc>
          <w:tcPr>
            <w:tcW w:w="13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80" w:type="dxa"/>
            <w:vAlign w:val="bottom"/>
            <w:gridSpan w:val="2"/>
            <w:shd w:val="clear" w:color="auto" w:fill="E5FFFF"/>
          </w:tcPr>
          <w:p>
            <w:pPr>
              <w:spacing w:after="0" w:line="149" w:lineRule="exact"/>
              <w:rPr>
                <w:sz w:val="20"/>
                <w:szCs w:val="20"/>
                <w:color w:val="auto"/>
              </w:rPr>
            </w:pPr>
            <w:r>
              <w:rPr>
                <w:rFonts w:ascii="Arial" w:cs="Arial" w:eastAsia="Arial" w:hAnsi="Arial"/>
                <w:sz w:val="14"/>
                <w:szCs w:val="14"/>
                <w:color w:val="auto"/>
              </w:rPr>
              <w:t>GasLog Partners Holdings LLC</w:t>
            </w:r>
          </w:p>
        </w:tc>
        <w:tc>
          <w:tcPr>
            <w:tcW w:w="152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Marshall Islands</w:t>
            </w:r>
          </w:p>
        </w:tc>
        <w:tc>
          <w:tcPr>
            <w:tcW w:w="1280" w:type="dxa"/>
            <w:vAlign w:val="bottom"/>
            <w:gridSpan w:val="2"/>
            <w:shd w:val="clear" w:color="auto" w:fill="E5FFFF"/>
          </w:tcPr>
          <w:p>
            <w:pPr>
              <w:ind w:left="120"/>
              <w:spacing w:after="0" w:line="149" w:lineRule="exact"/>
              <w:rPr>
                <w:sz w:val="20"/>
                <w:szCs w:val="20"/>
                <w:color w:val="auto"/>
              </w:rPr>
            </w:pPr>
            <w:r>
              <w:rPr>
                <w:rFonts w:ascii="Arial" w:cs="Arial" w:eastAsia="Arial" w:hAnsi="Arial"/>
                <w:sz w:val="14"/>
                <w:szCs w:val="14"/>
                <w:color w:val="auto"/>
              </w:rPr>
              <w:t>April 2014</w:t>
            </w:r>
          </w:p>
        </w:tc>
        <w:tc>
          <w:tcPr>
            <w:tcW w:w="120" w:type="dxa"/>
            <w:vAlign w:val="bottom"/>
            <w:shd w:val="clear" w:color="auto" w:fill="E5FFFF"/>
          </w:tcPr>
          <w:p>
            <w:pPr>
              <w:spacing w:after="0"/>
              <w:rPr>
                <w:sz w:val="12"/>
                <w:szCs w:val="12"/>
                <w:color w:val="auto"/>
              </w:rPr>
            </w:pPr>
          </w:p>
        </w:tc>
        <w:tc>
          <w:tcPr>
            <w:tcW w:w="1800" w:type="dxa"/>
            <w:vAlign w:val="bottom"/>
            <w:gridSpan w:val="3"/>
            <w:shd w:val="clear" w:color="auto" w:fill="E5FFFF"/>
          </w:tcPr>
          <w:p>
            <w:pPr>
              <w:ind w:left="120"/>
              <w:spacing w:after="0" w:line="149" w:lineRule="exact"/>
              <w:rPr>
                <w:sz w:val="20"/>
                <w:szCs w:val="20"/>
                <w:color w:val="auto"/>
              </w:rPr>
            </w:pPr>
            <w:r>
              <w:rPr>
                <w:rFonts w:ascii="Arial" w:cs="Arial" w:eastAsia="Arial" w:hAnsi="Arial"/>
                <w:sz w:val="14"/>
                <w:szCs w:val="14"/>
                <w:color w:val="auto"/>
              </w:rPr>
              <w:t>Holding company</w:t>
            </w:r>
          </w:p>
        </w:tc>
        <w:tc>
          <w:tcPr>
            <w:tcW w:w="60" w:type="dxa"/>
            <w:vAlign w:val="bottom"/>
            <w:shd w:val="clear" w:color="auto" w:fill="E5FFFF"/>
          </w:tcPr>
          <w:p>
            <w:pPr>
              <w:spacing w:after="0"/>
              <w:rPr>
                <w:sz w:val="12"/>
                <w:szCs w:val="12"/>
                <w:color w:val="auto"/>
              </w:rPr>
            </w:pPr>
          </w:p>
        </w:tc>
        <w:tc>
          <w:tcPr>
            <w:tcW w:w="1020" w:type="dxa"/>
            <w:vAlign w:val="bottom"/>
            <w:gridSpan w:val="2"/>
            <w:shd w:val="clear" w:color="auto" w:fill="E5FFFF"/>
          </w:tcPr>
          <w:p>
            <w:pPr>
              <w:jc w:val="center"/>
              <w:ind w:right="120"/>
              <w:spacing w:after="0" w:line="149" w:lineRule="exact"/>
              <w:rPr>
                <w:sz w:val="20"/>
                <w:szCs w:val="20"/>
                <w:color w:val="auto"/>
              </w:rPr>
            </w:pPr>
            <w:r>
              <w:rPr>
                <w:rFonts w:ascii="Arial" w:cs="Arial" w:eastAsia="Arial" w:hAnsi="Arial"/>
                <w:sz w:val="14"/>
                <w:szCs w:val="14"/>
                <w:color w:val="auto"/>
                <w:w w:val="99"/>
              </w:rPr>
              <w:t>—</w:t>
            </w:r>
          </w:p>
        </w:tc>
        <w:tc>
          <w:tcPr>
            <w:tcW w:w="1600" w:type="dxa"/>
            <w:vAlign w:val="bottom"/>
            <w:gridSpan w:val="2"/>
            <w:shd w:val="clear" w:color="auto" w:fill="E5FFFF"/>
          </w:tcPr>
          <w:p>
            <w:pPr>
              <w:jc w:val="center"/>
              <w:ind w:right="100"/>
              <w:spacing w:after="0" w:line="149" w:lineRule="exact"/>
              <w:rPr>
                <w:sz w:val="20"/>
                <w:szCs w:val="20"/>
                <w:color w:val="auto"/>
              </w:rPr>
            </w:pPr>
            <w:r>
              <w:rPr>
                <w:rFonts w:ascii="Arial" w:cs="Arial" w:eastAsia="Arial" w:hAnsi="Arial"/>
                <w:sz w:val="14"/>
                <w:szCs w:val="14"/>
                <w:color w:val="auto"/>
                <w:w w:val="99"/>
              </w:rPr>
              <w:t>—</w:t>
            </w:r>
          </w:p>
        </w:tc>
        <w:tc>
          <w:tcPr>
            <w:tcW w:w="1380" w:type="dxa"/>
            <w:vAlign w:val="bottom"/>
            <w:gridSpan w:val="2"/>
            <w:shd w:val="clear" w:color="auto" w:fill="E5FFFF"/>
          </w:tcPr>
          <w:p>
            <w:pPr>
              <w:jc w:val="center"/>
              <w:ind w:right="1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80" w:type="dxa"/>
            <w:vAlign w:val="bottom"/>
            <w:gridSpan w:val="2"/>
          </w:tcPr>
          <w:p>
            <w:pPr>
              <w:spacing w:after="0" w:line="149" w:lineRule="exact"/>
              <w:rPr>
                <w:sz w:val="20"/>
                <w:szCs w:val="20"/>
                <w:color w:val="auto"/>
              </w:rPr>
            </w:pPr>
            <w:r>
              <w:rPr>
                <w:rFonts w:ascii="Arial" w:cs="Arial" w:eastAsia="Arial" w:hAnsi="Arial"/>
                <w:sz w:val="14"/>
                <w:szCs w:val="14"/>
                <w:color w:val="auto"/>
              </w:rPr>
              <w:t>GAS-three Ltd.</w:t>
            </w:r>
          </w:p>
        </w:tc>
        <w:tc>
          <w:tcPr>
            <w:tcW w:w="1520" w:type="dxa"/>
            <w:vAlign w:val="bottom"/>
          </w:tcPr>
          <w:p>
            <w:pPr>
              <w:spacing w:after="0" w:line="149" w:lineRule="exact"/>
              <w:rPr>
                <w:sz w:val="20"/>
                <w:szCs w:val="20"/>
                <w:color w:val="auto"/>
              </w:rPr>
            </w:pPr>
            <w:r>
              <w:rPr>
                <w:rFonts w:ascii="Arial" w:cs="Arial" w:eastAsia="Arial" w:hAnsi="Arial"/>
                <w:sz w:val="14"/>
                <w:szCs w:val="14"/>
                <w:color w:val="auto"/>
              </w:rPr>
              <w:t>Bermuda</w:t>
            </w:r>
          </w:p>
        </w:tc>
        <w:tc>
          <w:tcPr>
            <w:tcW w:w="12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April 2010</w:t>
            </w:r>
          </w:p>
        </w:tc>
        <w:tc>
          <w:tcPr>
            <w:tcW w:w="120" w:type="dxa"/>
            <w:vAlign w:val="bottom"/>
          </w:tcPr>
          <w:p>
            <w:pPr>
              <w:spacing w:after="0"/>
              <w:rPr>
                <w:sz w:val="12"/>
                <w:szCs w:val="12"/>
                <w:color w:val="auto"/>
              </w:rPr>
            </w:pPr>
          </w:p>
        </w:tc>
        <w:tc>
          <w:tcPr>
            <w:tcW w:w="180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Vessel-owning company</w:t>
            </w:r>
          </w:p>
        </w:tc>
        <w:tc>
          <w:tcPr>
            <w:tcW w:w="980" w:type="dxa"/>
            <w:vAlign w:val="bottom"/>
            <w:gridSpan w:val="2"/>
          </w:tcPr>
          <w:p>
            <w:pPr>
              <w:jc w:val="right"/>
              <w:ind w:right="388"/>
              <w:spacing w:after="0" w:line="149" w:lineRule="exact"/>
              <w:rPr>
                <w:sz w:val="20"/>
                <w:szCs w:val="20"/>
                <w:color w:val="auto"/>
              </w:rPr>
            </w:pPr>
            <w:r>
              <w:rPr>
                <w:rFonts w:ascii="Arial" w:cs="Arial" w:eastAsia="Arial" w:hAnsi="Arial"/>
                <w:sz w:val="14"/>
                <w:szCs w:val="14"/>
                <w:color w:val="auto"/>
                <w:w w:val="98"/>
              </w:rPr>
              <w:t>155,000</w:t>
            </w:r>
          </w:p>
        </w:tc>
        <w:tc>
          <w:tcPr>
            <w:tcW w:w="100" w:type="dxa"/>
            <w:vAlign w:val="bottom"/>
          </w:tcPr>
          <w:p>
            <w:pPr>
              <w:spacing w:after="0"/>
              <w:rPr>
                <w:sz w:val="12"/>
                <w:szCs w:val="12"/>
                <w:color w:val="auto"/>
              </w:rPr>
            </w:pPr>
          </w:p>
        </w:tc>
        <w:tc>
          <w:tcPr>
            <w:tcW w:w="1600" w:type="dxa"/>
            <w:vAlign w:val="bottom"/>
            <w:gridSpan w:val="2"/>
          </w:tcPr>
          <w:p>
            <w:pPr>
              <w:jc w:val="center"/>
              <w:ind w:right="100"/>
              <w:spacing w:after="0" w:line="149" w:lineRule="exact"/>
              <w:rPr>
                <w:sz w:val="20"/>
                <w:szCs w:val="20"/>
                <w:color w:val="auto"/>
              </w:rPr>
            </w:pPr>
            <w:r>
              <w:rPr>
                <w:rFonts w:ascii="Arial" w:cs="Arial" w:eastAsia="Arial" w:hAnsi="Arial"/>
                <w:sz w:val="14"/>
                <w:szCs w:val="14"/>
                <w:i w:val="1"/>
                <w:iCs w:val="1"/>
                <w:color w:val="auto"/>
                <w:w w:val="90"/>
              </w:rPr>
              <w:t>GasLog Shanghai</w:t>
            </w:r>
          </w:p>
        </w:tc>
        <w:tc>
          <w:tcPr>
            <w:tcW w:w="13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9"/>
              </w:rPr>
              <w:t>January 2013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80" w:type="dxa"/>
            <w:vAlign w:val="bottom"/>
            <w:gridSpan w:val="2"/>
            <w:shd w:val="clear" w:color="auto" w:fill="E5FFFF"/>
          </w:tcPr>
          <w:p>
            <w:pPr>
              <w:spacing w:after="0" w:line="149" w:lineRule="exact"/>
              <w:rPr>
                <w:sz w:val="20"/>
                <w:szCs w:val="20"/>
                <w:color w:val="auto"/>
              </w:rPr>
            </w:pPr>
            <w:r>
              <w:rPr>
                <w:rFonts w:ascii="Arial" w:cs="Arial" w:eastAsia="Arial" w:hAnsi="Arial"/>
                <w:sz w:val="14"/>
                <w:szCs w:val="14"/>
                <w:color w:val="auto"/>
              </w:rPr>
              <w:t>GAS-four Ltd.</w:t>
            </w:r>
          </w:p>
        </w:tc>
        <w:tc>
          <w:tcPr>
            <w:tcW w:w="152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Bermuda</w:t>
            </w:r>
          </w:p>
        </w:tc>
        <w:tc>
          <w:tcPr>
            <w:tcW w:w="1280" w:type="dxa"/>
            <w:vAlign w:val="bottom"/>
            <w:gridSpan w:val="2"/>
            <w:shd w:val="clear" w:color="auto" w:fill="E5FFFF"/>
          </w:tcPr>
          <w:p>
            <w:pPr>
              <w:ind w:left="120"/>
              <w:spacing w:after="0" w:line="149" w:lineRule="exact"/>
              <w:rPr>
                <w:sz w:val="20"/>
                <w:szCs w:val="20"/>
                <w:color w:val="auto"/>
              </w:rPr>
            </w:pPr>
            <w:r>
              <w:rPr>
                <w:rFonts w:ascii="Arial" w:cs="Arial" w:eastAsia="Arial" w:hAnsi="Arial"/>
                <w:sz w:val="14"/>
                <w:szCs w:val="14"/>
                <w:color w:val="auto"/>
              </w:rPr>
              <w:t>April 2010</w:t>
            </w:r>
          </w:p>
        </w:tc>
        <w:tc>
          <w:tcPr>
            <w:tcW w:w="120" w:type="dxa"/>
            <w:vAlign w:val="bottom"/>
            <w:shd w:val="clear" w:color="auto" w:fill="E5FFFF"/>
          </w:tcPr>
          <w:p>
            <w:pPr>
              <w:spacing w:after="0"/>
              <w:rPr>
                <w:sz w:val="12"/>
                <w:szCs w:val="12"/>
                <w:color w:val="auto"/>
              </w:rPr>
            </w:pPr>
          </w:p>
        </w:tc>
        <w:tc>
          <w:tcPr>
            <w:tcW w:w="1800" w:type="dxa"/>
            <w:vAlign w:val="bottom"/>
            <w:gridSpan w:val="3"/>
            <w:shd w:val="clear" w:color="auto" w:fill="E5FFFF"/>
          </w:tcPr>
          <w:p>
            <w:pPr>
              <w:ind w:left="120"/>
              <w:spacing w:after="0" w:line="149" w:lineRule="exact"/>
              <w:rPr>
                <w:sz w:val="20"/>
                <w:szCs w:val="20"/>
                <w:color w:val="auto"/>
              </w:rPr>
            </w:pPr>
            <w:r>
              <w:rPr>
                <w:rFonts w:ascii="Arial" w:cs="Arial" w:eastAsia="Arial" w:hAnsi="Arial"/>
                <w:sz w:val="14"/>
                <w:szCs w:val="14"/>
                <w:color w:val="auto"/>
              </w:rPr>
              <w:t>Vessel-owning company</w:t>
            </w:r>
          </w:p>
        </w:tc>
        <w:tc>
          <w:tcPr>
            <w:tcW w:w="980" w:type="dxa"/>
            <w:vAlign w:val="bottom"/>
            <w:gridSpan w:val="2"/>
            <w:shd w:val="clear" w:color="auto" w:fill="E5FFFF"/>
          </w:tcPr>
          <w:p>
            <w:pPr>
              <w:jc w:val="right"/>
              <w:ind w:right="388"/>
              <w:spacing w:after="0" w:line="149" w:lineRule="exact"/>
              <w:rPr>
                <w:sz w:val="20"/>
                <w:szCs w:val="20"/>
                <w:color w:val="auto"/>
              </w:rPr>
            </w:pPr>
            <w:r>
              <w:rPr>
                <w:rFonts w:ascii="Arial" w:cs="Arial" w:eastAsia="Arial" w:hAnsi="Arial"/>
                <w:sz w:val="14"/>
                <w:szCs w:val="14"/>
                <w:color w:val="auto"/>
                <w:w w:val="98"/>
              </w:rPr>
              <w:t>155,000</w:t>
            </w:r>
          </w:p>
        </w:tc>
        <w:tc>
          <w:tcPr>
            <w:tcW w:w="100" w:type="dxa"/>
            <w:vAlign w:val="bottom"/>
            <w:shd w:val="clear" w:color="auto" w:fill="E5FFFF"/>
          </w:tcPr>
          <w:p>
            <w:pPr>
              <w:spacing w:after="0"/>
              <w:rPr>
                <w:sz w:val="12"/>
                <w:szCs w:val="12"/>
                <w:color w:val="auto"/>
              </w:rPr>
            </w:pPr>
          </w:p>
        </w:tc>
        <w:tc>
          <w:tcPr>
            <w:tcW w:w="1600" w:type="dxa"/>
            <w:vAlign w:val="bottom"/>
            <w:gridSpan w:val="2"/>
            <w:shd w:val="clear" w:color="auto" w:fill="E5FFFF"/>
          </w:tcPr>
          <w:p>
            <w:pPr>
              <w:jc w:val="center"/>
              <w:ind w:right="100"/>
              <w:spacing w:after="0" w:line="149" w:lineRule="exact"/>
              <w:rPr>
                <w:sz w:val="20"/>
                <w:szCs w:val="20"/>
                <w:color w:val="auto"/>
              </w:rPr>
            </w:pPr>
            <w:r>
              <w:rPr>
                <w:rFonts w:ascii="Arial" w:cs="Arial" w:eastAsia="Arial" w:hAnsi="Arial"/>
                <w:sz w:val="14"/>
                <w:szCs w:val="14"/>
                <w:i w:val="1"/>
                <w:iCs w:val="1"/>
                <w:color w:val="auto"/>
                <w:w w:val="94"/>
              </w:rPr>
              <w:t>GasLog Santiago</w:t>
            </w:r>
          </w:p>
        </w:tc>
        <w:tc>
          <w:tcPr>
            <w:tcW w:w="1380" w:type="dxa"/>
            <w:vAlign w:val="bottom"/>
            <w:gridSpan w:val="2"/>
            <w:shd w:val="clear" w:color="auto" w:fill="E5FFFF"/>
          </w:tcPr>
          <w:p>
            <w:pPr>
              <w:jc w:val="center"/>
              <w:ind w:right="80"/>
              <w:spacing w:after="0" w:line="149" w:lineRule="exact"/>
              <w:rPr>
                <w:sz w:val="20"/>
                <w:szCs w:val="20"/>
                <w:color w:val="auto"/>
              </w:rPr>
            </w:pPr>
            <w:r>
              <w:rPr>
                <w:rFonts w:ascii="Arial" w:cs="Arial" w:eastAsia="Arial" w:hAnsi="Arial"/>
                <w:sz w:val="14"/>
                <w:szCs w:val="14"/>
                <w:color w:val="auto"/>
                <w:w w:val="94"/>
              </w:rPr>
              <w:t>March 2013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780" w:type="dxa"/>
            <w:vAlign w:val="bottom"/>
            <w:gridSpan w:val="2"/>
          </w:tcPr>
          <w:p>
            <w:pPr>
              <w:spacing w:after="0"/>
              <w:rPr>
                <w:sz w:val="20"/>
                <w:szCs w:val="20"/>
                <w:color w:val="auto"/>
              </w:rPr>
            </w:pPr>
            <w:r>
              <w:rPr>
                <w:rFonts w:ascii="Arial" w:cs="Arial" w:eastAsia="Arial" w:hAnsi="Arial"/>
                <w:sz w:val="14"/>
                <w:szCs w:val="14"/>
                <w:color w:val="auto"/>
              </w:rPr>
              <w:t>GAS-five Ltd.</w:t>
            </w:r>
          </w:p>
        </w:tc>
        <w:tc>
          <w:tcPr>
            <w:tcW w:w="1520" w:type="dxa"/>
            <w:vAlign w:val="bottom"/>
          </w:tcPr>
          <w:p>
            <w:pPr>
              <w:spacing w:after="0"/>
              <w:rPr>
                <w:sz w:val="20"/>
                <w:szCs w:val="20"/>
                <w:color w:val="auto"/>
              </w:rPr>
            </w:pPr>
            <w:r>
              <w:rPr>
                <w:rFonts w:ascii="Arial" w:cs="Arial" w:eastAsia="Arial" w:hAnsi="Arial"/>
                <w:sz w:val="14"/>
                <w:szCs w:val="14"/>
                <w:color w:val="auto"/>
              </w:rPr>
              <w:t>Bermuda</w:t>
            </w:r>
          </w:p>
        </w:tc>
        <w:tc>
          <w:tcPr>
            <w:tcW w:w="1280" w:type="dxa"/>
            <w:vAlign w:val="bottom"/>
            <w:gridSpan w:val="2"/>
          </w:tcPr>
          <w:p>
            <w:pPr>
              <w:ind w:left="120"/>
              <w:spacing w:after="0"/>
              <w:rPr>
                <w:sz w:val="20"/>
                <w:szCs w:val="20"/>
                <w:color w:val="auto"/>
              </w:rPr>
            </w:pPr>
            <w:r>
              <w:rPr>
                <w:rFonts w:ascii="Arial" w:cs="Arial" w:eastAsia="Arial" w:hAnsi="Arial"/>
                <w:sz w:val="14"/>
                <w:szCs w:val="14"/>
                <w:color w:val="auto"/>
              </w:rPr>
              <w:t>February 2011</w:t>
            </w:r>
          </w:p>
        </w:tc>
        <w:tc>
          <w:tcPr>
            <w:tcW w:w="120" w:type="dxa"/>
            <w:vAlign w:val="bottom"/>
          </w:tcPr>
          <w:p>
            <w:pPr>
              <w:spacing w:after="0"/>
              <w:rPr>
                <w:sz w:val="15"/>
                <w:szCs w:val="15"/>
                <w:color w:val="auto"/>
              </w:rPr>
            </w:pPr>
          </w:p>
        </w:tc>
        <w:tc>
          <w:tcPr>
            <w:tcW w:w="1800" w:type="dxa"/>
            <w:vAlign w:val="bottom"/>
            <w:gridSpan w:val="3"/>
          </w:tcPr>
          <w:p>
            <w:pPr>
              <w:ind w:left="120"/>
              <w:spacing w:after="0"/>
              <w:rPr>
                <w:sz w:val="20"/>
                <w:szCs w:val="20"/>
                <w:color w:val="auto"/>
              </w:rPr>
            </w:pPr>
            <w:r>
              <w:rPr>
                <w:rFonts w:ascii="Arial" w:cs="Arial" w:eastAsia="Arial" w:hAnsi="Arial"/>
                <w:sz w:val="14"/>
                <w:szCs w:val="14"/>
                <w:color w:val="auto"/>
              </w:rPr>
              <w:t>Vessel-owning company</w:t>
            </w:r>
          </w:p>
        </w:tc>
        <w:tc>
          <w:tcPr>
            <w:tcW w:w="980" w:type="dxa"/>
            <w:vAlign w:val="bottom"/>
            <w:gridSpan w:val="2"/>
          </w:tcPr>
          <w:p>
            <w:pPr>
              <w:jc w:val="right"/>
              <w:ind w:right="388"/>
              <w:spacing w:after="0"/>
              <w:rPr>
                <w:sz w:val="20"/>
                <w:szCs w:val="20"/>
                <w:color w:val="auto"/>
              </w:rPr>
            </w:pPr>
            <w:r>
              <w:rPr>
                <w:rFonts w:ascii="Arial" w:cs="Arial" w:eastAsia="Arial" w:hAnsi="Arial"/>
                <w:sz w:val="14"/>
                <w:szCs w:val="14"/>
                <w:color w:val="auto"/>
                <w:w w:val="98"/>
              </w:rPr>
              <w:t>155,000</w:t>
            </w:r>
          </w:p>
        </w:tc>
        <w:tc>
          <w:tcPr>
            <w:tcW w:w="100" w:type="dxa"/>
            <w:vAlign w:val="bottom"/>
          </w:tcPr>
          <w:p>
            <w:pPr>
              <w:spacing w:after="0"/>
              <w:rPr>
                <w:sz w:val="15"/>
                <w:szCs w:val="15"/>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4"/>
                <w:szCs w:val="14"/>
                <w:i w:val="1"/>
                <w:iCs w:val="1"/>
                <w:color w:val="auto"/>
                <w:w w:val="90"/>
              </w:rPr>
              <w:t>GasLog Sydney</w:t>
            </w:r>
          </w:p>
        </w:tc>
        <w:tc>
          <w:tcPr>
            <w:tcW w:w="1380" w:type="dxa"/>
            <w:vAlign w:val="bottom"/>
            <w:gridSpan w:val="2"/>
          </w:tcPr>
          <w:p>
            <w:pPr>
              <w:jc w:val="center"/>
              <w:ind w:right="100"/>
              <w:spacing w:after="0"/>
              <w:rPr>
                <w:sz w:val="20"/>
                <w:szCs w:val="20"/>
                <w:color w:val="auto"/>
              </w:rPr>
            </w:pPr>
            <w:r>
              <w:rPr>
                <w:rFonts w:ascii="Arial" w:cs="Arial" w:eastAsia="Arial" w:hAnsi="Arial"/>
                <w:sz w:val="14"/>
                <w:szCs w:val="14"/>
                <w:color w:val="auto"/>
                <w:w w:val="97"/>
              </w:rPr>
              <w:t>May 2013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8"/>
        </w:trPr>
        <w:tc>
          <w:tcPr>
            <w:tcW w:w="2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920" w:type="dxa"/>
            <w:vAlign w:val="bottom"/>
            <w:gridSpan w:val="4"/>
          </w:tcPr>
          <w:p>
            <w:pPr>
              <w:ind w:left="80"/>
              <w:spacing w:after="0"/>
              <w:rPr>
                <w:sz w:val="20"/>
                <w:szCs w:val="20"/>
                <w:color w:val="auto"/>
              </w:rPr>
            </w:pPr>
            <w:r>
              <w:rPr>
                <w:rFonts w:ascii="Arial" w:cs="Arial" w:eastAsia="Arial" w:hAnsi="Arial"/>
                <w:sz w:val="18"/>
                <w:szCs w:val="18"/>
                <w:color w:val="auto"/>
              </w:rPr>
              <w:t>F-7</w:t>
            </w: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66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5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16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62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50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2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7349490</wp:posOffset>
            </wp:positionH>
            <wp:positionV relativeFrom="paragraph">
              <wp:posOffset>-29210</wp:posOffset>
            </wp:positionV>
            <wp:extent cx="1270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600"/>
          </w:cols>
          <w:pgMar w:left="160" w:top="262" w:right="1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161"/>
        </w:trPr>
        <w:tc>
          <w:tcPr>
            <w:tcW w:w="2180" w:type="dxa"/>
            <w:vAlign w:val="bottom"/>
            <w:shd w:val="clear" w:color="auto" w:fill="E5FFFF"/>
          </w:tcPr>
          <w:p>
            <w:pPr>
              <w:spacing w:after="0"/>
              <w:rPr>
                <w:sz w:val="20"/>
                <w:szCs w:val="20"/>
                <w:color w:val="auto"/>
              </w:rPr>
            </w:pPr>
            <w:r>
              <w:rPr>
                <w:rFonts w:ascii="Arial" w:cs="Arial" w:eastAsia="Arial" w:hAnsi="Arial"/>
                <w:sz w:val="14"/>
                <w:szCs w:val="14"/>
                <w:color w:val="auto"/>
              </w:rPr>
              <w:t>GAS-seven Ltd.</w:t>
            </w:r>
          </w:p>
        </w:tc>
        <w:tc>
          <w:tcPr>
            <w:tcW w:w="1900" w:type="dxa"/>
            <w:vAlign w:val="bottom"/>
            <w:shd w:val="clear" w:color="auto" w:fill="E5FFFF"/>
          </w:tcPr>
          <w:p>
            <w:pPr>
              <w:ind w:left="600"/>
              <w:spacing w:after="0"/>
              <w:rPr>
                <w:sz w:val="20"/>
                <w:szCs w:val="20"/>
                <w:color w:val="auto"/>
              </w:rPr>
            </w:pPr>
            <w:r>
              <w:rPr>
                <w:rFonts w:ascii="Arial" w:cs="Arial" w:eastAsia="Arial" w:hAnsi="Arial"/>
                <w:sz w:val="14"/>
                <w:szCs w:val="14"/>
                <w:color w:val="auto"/>
              </w:rPr>
              <w:t>Bermuda</w:t>
            </w:r>
          </w:p>
        </w:tc>
        <w:tc>
          <w:tcPr>
            <w:tcW w:w="1520" w:type="dxa"/>
            <w:vAlign w:val="bottom"/>
            <w:shd w:val="clear" w:color="auto" w:fill="E5FFFF"/>
          </w:tcPr>
          <w:p>
            <w:pPr>
              <w:ind w:left="340"/>
              <w:spacing w:after="0"/>
              <w:rPr>
                <w:sz w:val="20"/>
                <w:szCs w:val="20"/>
                <w:color w:val="auto"/>
              </w:rPr>
            </w:pPr>
            <w:r>
              <w:rPr>
                <w:rFonts w:ascii="Arial" w:cs="Arial" w:eastAsia="Arial" w:hAnsi="Arial"/>
                <w:sz w:val="14"/>
                <w:szCs w:val="14"/>
                <w:color w:val="auto"/>
              </w:rPr>
              <w:t>March 2011</w:t>
            </w:r>
          </w:p>
        </w:tc>
        <w:tc>
          <w:tcPr>
            <w:tcW w:w="1800" w:type="dxa"/>
            <w:vAlign w:val="bottom"/>
            <w:shd w:val="clear" w:color="auto" w:fill="E5FFFF"/>
          </w:tcPr>
          <w:p>
            <w:pPr>
              <w:ind w:left="220"/>
              <w:spacing w:after="0"/>
              <w:rPr>
                <w:sz w:val="20"/>
                <w:szCs w:val="20"/>
                <w:color w:val="auto"/>
              </w:rPr>
            </w:pPr>
            <w:r>
              <w:rPr>
                <w:rFonts w:ascii="Arial" w:cs="Arial" w:eastAsia="Arial" w:hAnsi="Arial"/>
                <w:sz w:val="14"/>
                <w:szCs w:val="14"/>
                <w:color w:val="auto"/>
              </w:rPr>
              <w:t>Vessel-owning company</w:t>
            </w:r>
          </w:p>
        </w:tc>
        <w:tc>
          <w:tcPr>
            <w:tcW w:w="960" w:type="dxa"/>
            <w:vAlign w:val="bottom"/>
            <w:shd w:val="clear" w:color="auto" w:fill="E5FFFF"/>
          </w:tcPr>
          <w:p>
            <w:pPr>
              <w:jc w:val="right"/>
              <w:ind w:right="268"/>
              <w:spacing w:after="0"/>
              <w:rPr>
                <w:sz w:val="20"/>
                <w:szCs w:val="20"/>
                <w:color w:val="auto"/>
              </w:rPr>
            </w:pPr>
            <w:r>
              <w:rPr>
                <w:rFonts w:ascii="Arial" w:cs="Arial" w:eastAsia="Arial" w:hAnsi="Arial"/>
                <w:sz w:val="14"/>
                <w:szCs w:val="14"/>
                <w:color w:val="auto"/>
              </w:rPr>
              <w:t>155,000</w:t>
            </w:r>
          </w:p>
        </w:tc>
        <w:tc>
          <w:tcPr>
            <w:tcW w:w="1840" w:type="dxa"/>
            <w:vAlign w:val="bottom"/>
            <w:shd w:val="clear" w:color="auto" w:fill="E5FFFF"/>
          </w:tcPr>
          <w:p>
            <w:pPr>
              <w:jc w:val="center"/>
              <w:ind w:left="28"/>
              <w:spacing w:after="0"/>
              <w:rPr>
                <w:sz w:val="20"/>
                <w:szCs w:val="20"/>
                <w:color w:val="auto"/>
              </w:rPr>
            </w:pPr>
            <w:r>
              <w:rPr>
                <w:rFonts w:ascii="Arial" w:cs="Arial" w:eastAsia="Arial" w:hAnsi="Arial"/>
                <w:sz w:val="14"/>
                <w:szCs w:val="14"/>
                <w:i w:val="1"/>
                <w:iCs w:val="1"/>
                <w:color w:val="auto"/>
                <w:w w:val="93"/>
              </w:rPr>
              <w:t>GasLog Seattle</w:t>
            </w:r>
          </w:p>
        </w:tc>
        <w:tc>
          <w:tcPr>
            <w:tcW w:w="1360" w:type="dxa"/>
            <w:vAlign w:val="bottom"/>
            <w:shd w:val="clear" w:color="auto" w:fill="E5FFFF"/>
          </w:tcPr>
          <w:p>
            <w:pPr>
              <w:jc w:val="center"/>
              <w:ind w:right="48"/>
              <w:spacing w:after="0"/>
              <w:rPr>
                <w:sz w:val="20"/>
                <w:szCs w:val="20"/>
                <w:color w:val="auto"/>
              </w:rPr>
            </w:pPr>
            <w:r>
              <w:rPr>
                <w:rFonts w:ascii="Arial" w:cs="Arial" w:eastAsia="Arial" w:hAnsi="Arial"/>
                <w:sz w:val="14"/>
                <w:szCs w:val="14"/>
                <w:color w:val="auto"/>
                <w:w w:val="92"/>
              </w:rPr>
              <w:t>December 2013</w:t>
            </w:r>
          </w:p>
        </w:tc>
      </w:tr>
      <w:tr>
        <w:trPr>
          <w:trHeight w:val="148"/>
        </w:trPr>
        <w:tc>
          <w:tcPr>
            <w:tcW w:w="2180" w:type="dxa"/>
            <w:vAlign w:val="bottom"/>
          </w:tcPr>
          <w:p>
            <w:pPr>
              <w:spacing w:after="0" w:line="149" w:lineRule="exact"/>
              <w:rPr>
                <w:sz w:val="20"/>
                <w:szCs w:val="20"/>
                <w:color w:val="auto"/>
              </w:rPr>
            </w:pPr>
            <w:r>
              <w:rPr>
                <w:rFonts w:ascii="Arial" w:cs="Arial" w:eastAsia="Arial" w:hAnsi="Arial"/>
                <w:sz w:val="14"/>
                <w:szCs w:val="14"/>
                <w:color w:val="auto"/>
              </w:rPr>
              <w:t>GAS-eight Ltd.</w:t>
            </w:r>
          </w:p>
        </w:tc>
        <w:tc>
          <w:tcPr>
            <w:tcW w:w="1900" w:type="dxa"/>
            <w:vAlign w:val="bottom"/>
          </w:tcPr>
          <w:p>
            <w:pPr>
              <w:ind w:left="600"/>
              <w:spacing w:after="0" w:line="149" w:lineRule="exact"/>
              <w:rPr>
                <w:sz w:val="20"/>
                <w:szCs w:val="20"/>
                <w:color w:val="auto"/>
              </w:rPr>
            </w:pPr>
            <w:r>
              <w:rPr>
                <w:rFonts w:ascii="Arial" w:cs="Arial" w:eastAsia="Arial" w:hAnsi="Arial"/>
                <w:sz w:val="14"/>
                <w:szCs w:val="14"/>
                <w:color w:val="auto"/>
              </w:rPr>
              <w:t>Bermuda</w:t>
            </w:r>
          </w:p>
        </w:tc>
        <w:tc>
          <w:tcPr>
            <w:tcW w:w="1520" w:type="dxa"/>
            <w:vAlign w:val="bottom"/>
          </w:tcPr>
          <w:p>
            <w:pPr>
              <w:ind w:left="340"/>
              <w:spacing w:after="0" w:line="149" w:lineRule="exact"/>
              <w:rPr>
                <w:sz w:val="20"/>
                <w:szCs w:val="20"/>
                <w:color w:val="auto"/>
              </w:rPr>
            </w:pPr>
            <w:r>
              <w:rPr>
                <w:rFonts w:ascii="Arial" w:cs="Arial" w:eastAsia="Arial" w:hAnsi="Arial"/>
                <w:sz w:val="14"/>
                <w:szCs w:val="14"/>
                <w:color w:val="auto"/>
              </w:rPr>
              <w:t>March 2011</w:t>
            </w:r>
          </w:p>
        </w:tc>
        <w:tc>
          <w:tcPr>
            <w:tcW w:w="1800" w:type="dxa"/>
            <w:vAlign w:val="bottom"/>
          </w:tcPr>
          <w:p>
            <w:pPr>
              <w:ind w:left="220"/>
              <w:spacing w:after="0" w:line="149" w:lineRule="exact"/>
              <w:rPr>
                <w:sz w:val="20"/>
                <w:szCs w:val="20"/>
                <w:color w:val="auto"/>
              </w:rPr>
            </w:pPr>
            <w:r>
              <w:rPr>
                <w:rFonts w:ascii="Arial" w:cs="Arial" w:eastAsia="Arial" w:hAnsi="Arial"/>
                <w:sz w:val="14"/>
                <w:szCs w:val="14"/>
                <w:color w:val="auto"/>
              </w:rPr>
              <w:t>Vessel-owning company</w:t>
            </w:r>
          </w:p>
        </w:tc>
        <w:tc>
          <w:tcPr>
            <w:tcW w:w="960" w:type="dxa"/>
            <w:vAlign w:val="bottom"/>
          </w:tcPr>
          <w:p>
            <w:pPr>
              <w:jc w:val="right"/>
              <w:ind w:right="268"/>
              <w:spacing w:after="0" w:line="149" w:lineRule="exact"/>
              <w:rPr>
                <w:sz w:val="20"/>
                <w:szCs w:val="20"/>
                <w:color w:val="auto"/>
              </w:rPr>
            </w:pPr>
            <w:r>
              <w:rPr>
                <w:rFonts w:ascii="Arial" w:cs="Arial" w:eastAsia="Arial" w:hAnsi="Arial"/>
                <w:sz w:val="14"/>
                <w:szCs w:val="14"/>
                <w:color w:val="auto"/>
              </w:rPr>
              <w:t>155,000</w:t>
            </w:r>
          </w:p>
        </w:tc>
        <w:tc>
          <w:tcPr>
            <w:tcW w:w="1840" w:type="dxa"/>
            <w:vAlign w:val="bottom"/>
          </w:tcPr>
          <w:p>
            <w:pPr>
              <w:jc w:val="center"/>
              <w:ind w:left="28"/>
              <w:spacing w:after="0" w:line="149" w:lineRule="exact"/>
              <w:rPr>
                <w:sz w:val="20"/>
                <w:szCs w:val="20"/>
                <w:color w:val="auto"/>
              </w:rPr>
            </w:pPr>
            <w:r>
              <w:rPr>
                <w:rFonts w:ascii="Arial" w:cs="Arial" w:eastAsia="Arial" w:hAnsi="Arial"/>
                <w:sz w:val="14"/>
                <w:szCs w:val="14"/>
                <w:i w:val="1"/>
                <w:iCs w:val="1"/>
                <w:color w:val="auto"/>
                <w:w w:val="98"/>
              </w:rPr>
              <w:t>Solaris</w:t>
            </w:r>
          </w:p>
        </w:tc>
        <w:tc>
          <w:tcPr>
            <w:tcW w:w="1360" w:type="dxa"/>
            <w:vAlign w:val="bottom"/>
          </w:tcPr>
          <w:p>
            <w:pPr>
              <w:jc w:val="center"/>
              <w:ind w:right="48"/>
              <w:spacing w:after="0" w:line="149" w:lineRule="exact"/>
              <w:rPr>
                <w:sz w:val="20"/>
                <w:szCs w:val="20"/>
                <w:color w:val="auto"/>
              </w:rPr>
            </w:pPr>
            <w:r>
              <w:rPr>
                <w:rFonts w:ascii="Arial" w:cs="Arial" w:eastAsia="Arial" w:hAnsi="Arial"/>
                <w:sz w:val="14"/>
                <w:szCs w:val="14"/>
                <w:color w:val="auto"/>
                <w:w w:val="91"/>
              </w:rPr>
              <w:t>June 2014</w:t>
            </w:r>
          </w:p>
        </w:tc>
      </w:tr>
      <w:tr>
        <w:trPr>
          <w:trHeight w:val="148"/>
        </w:trPr>
        <w:tc>
          <w:tcPr>
            <w:tcW w:w="218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GAS-eleven Ltd.</w:t>
            </w:r>
          </w:p>
        </w:tc>
        <w:tc>
          <w:tcPr>
            <w:tcW w:w="1900" w:type="dxa"/>
            <w:vAlign w:val="bottom"/>
            <w:shd w:val="clear" w:color="auto" w:fill="E5FFFF"/>
          </w:tcPr>
          <w:p>
            <w:pPr>
              <w:ind w:left="600"/>
              <w:spacing w:after="0" w:line="149" w:lineRule="exact"/>
              <w:rPr>
                <w:sz w:val="20"/>
                <w:szCs w:val="20"/>
                <w:color w:val="auto"/>
              </w:rPr>
            </w:pPr>
            <w:r>
              <w:rPr>
                <w:rFonts w:ascii="Arial" w:cs="Arial" w:eastAsia="Arial" w:hAnsi="Arial"/>
                <w:sz w:val="14"/>
                <w:szCs w:val="14"/>
                <w:color w:val="auto"/>
              </w:rPr>
              <w:t>Bermuda</w:t>
            </w:r>
          </w:p>
        </w:tc>
        <w:tc>
          <w:tcPr>
            <w:tcW w:w="1520" w:type="dxa"/>
            <w:vAlign w:val="bottom"/>
            <w:shd w:val="clear" w:color="auto" w:fill="E5FFFF"/>
          </w:tcPr>
          <w:p>
            <w:pPr>
              <w:ind w:left="340"/>
              <w:spacing w:after="0" w:line="149" w:lineRule="exact"/>
              <w:rPr>
                <w:sz w:val="20"/>
                <w:szCs w:val="20"/>
                <w:color w:val="auto"/>
              </w:rPr>
            </w:pPr>
            <w:r>
              <w:rPr>
                <w:rFonts w:ascii="Arial" w:cs="Arial" w:eastAsia="Arial" w:hAnsi="Arial"/>
                <w:sz w:val="14"/>
                <w:szCs w:val="14"/>
                <w:color w:val="auto"/>
              </w:rPr>
              <w:t>December 2012</w:t>
            </w:r>
          </w:p>
        </w:tc>
        <w:tc>
          <w:tcPr>
            <w:tcW w:w="1800" w:type="dxa"/>
            <w:vAlign w:val="bottom"/>
            <w:shd w:val="clear" w:color="auto" w:fill="E5FFFF"/>
          </w:tcPr>
          <w:p>
            <w:pPr>
              <w:ind w:left="220"/>
              <w:spacing w:after="0" w:line="149" w:lineRule="exact"/>
              <w:rPr>
                <w:sz w:val="20"/>
                <w:szCs w:val="20"/>
                <w:color w:val="auto"/>
              </w:rPr>
            </w:pPr>
            <w:r>
              <w:rPr>
                <w:rFonts w:ascii="Arial" w:cs="Arial" w:eastAsia="Arial" w:hAnsi="Arial"/>
                <w:sz w:val="14"/>
                <w:szCs w:val="14"/>
                <w:color w:val="auto"/>
              </w:rPr>
              <w:t>Vessel-owning company</w:t>
            </w:r>
          </w:p>
        </w:tc>
        <w:tc>
          <w:tcPr>
            <w:tcW w:w="960" w:type="dxa"/>
            <w:vAlign w:val="bottom"/>
            <w:shd w:val="clear" w:color="auto" w:fill="E5FFFF"/>
          </w:tcPr>
          <w:p>
            <w:pPr>
              <w:jc w:val="right"/>
              <w:ind w:right="268"/>
              <w:spacing w:after="0" w:line="149" w:lineRule="exact"/>
              <w:rPr>
                <w:sz w:val="20"/>
                <w:szCs w:val="20"/>
                <w:color w:val="auto"/>
              </w:rPr>
            </w:pPr>
            <w:r>
              <w:rPr>
                <w:rFonts w:ascii="Arial" w:cs="Arial" w:eastAsia="Arial" w:hAnsi="Arial"/>
                <w:sz w:val="14"/>
                <w:szCs w:val="14"/>
                <w:color w:val="auto"/>
              </w:rPr>
              <w:t>174,000</w:t>
            </w:r>
          </w:p>
        </w:tc>
        <w:tc>
          <w:tcPr>
            <w:tcW w:w="1840" w:type="dxa"/>
            <w:vAlign w:val="bottom"/>
            <w:shd w:val="clear" w:color="auto" w:fill="E5FFFF"/>
          </w:tcPr>
          <w:p>
            <w:pPr>
              <w:jc w:val="center"/>
              <w:ind w:left="28"/>
              <w:spacing w:after="0" w:line="149" w:lineRule="exact"/>
              <w:rPr>
                <w:sz w:val="20"/>
                <w:szCs w:val="20"/>
                <w:color w:val="auto"/>
              </w:rPr>
            </w:pPr>
            <w:r>
              <w:rPr>
                <w:rFonts w:ascii="Arial" w:cs="Arial" w:eastAsia="Arial" w:hAnsi="Arial"/>
                <w:sz w:val="14"/>
                <w:szCs w:val="14"/>
                <w:i w:val="1"/>
                <w:iCs w:val="1"/>
                <w:color w:val="auto"/>
                <w:w w:val="91"/>
              </w:rPr>
              <w:t>GasLog Greece</w:t>
            </w:r>
          </w:p>
        </w:tc>
        <w:tc>
          <w:tcPr>
            <w:tcW w:w="1360" w:type="dxa"/>
            <w:vAlign w:val="bottom"/>
            <w:shd w:val="clear" w:color="auto" w:fill="E5FFFF"/>
          </w:tcPr>
          <w:p>
            <w:pPr>
              <w:jc w:val="center"/>
              <w:ind w:right="28"/>
              <w:spacing w:after="0" w:line="149" w:lineRule="exact"/>
              <w:rPr>
                <w:sz w:val="20"/>
                <w:szCs w:val="20"/>
                <w:color w:val="auto"/>
              </w:rPr>
            </w:pPr>
            <w:r>
              <w:rPr>
                <w:rFonts w:ascii="Arial" w:cs="Arial" w:eastAsia="Arial" w:hAnsi="Arial"/>
                <w:sz w:val="14"/>
                <w:szCs w:val="14"/>
                <w:color w:val="auto"/>
                <w:w w:val="94"/>
              </w:rPr>
              <w:t>March 2016</w:t>
            </w:r>
          </w:p>
        </w:tc>
      </w:tr>
      <w:tr>
        <w:trPr>
          <w:trHeight w:val="148"/>
        </w:trPr>
        <w:tc>
          <w:tcPr>
            <w:tcW w:w="2180" w:type="dxa"/>
            <w:vAlign w:val="bottom"/>
          </w:tcPr>
          <w:p>
            <w:pPr>
              <w:spacing w:after="0" w:line="149" w:lineRule="exact"/>
              <w:rPr>
                <w:sz w:val="20"/>
                <w:szCs w:val="20"/>
                <w:color w:val="auto"/>
              </w:rPr>
            </w:pPr>
            <w:r>
              <w:rPr>
                <w:rFonts w:ascii="Arial" w:cs="Arial" w:eastAsia="Arial" w:hAnsi="Arial"/>
                <w:sz w:val="14"/>
                <w:szCs w:val="14"/>
                <w:color w:val="auto"/>
              </w:rPr>
              <w:t>GAS-thirteen Ltd.</w:t>
            </w:r>
          </w:p>
        </w:tc>
        <w:tc>
          <w:tcPr>
            <w:tcW w:w="1900" w:type="dxa"/>
            <w:vAlign w:val="bottom"/>
          </w:tcPr>
          <w:p>
            <w:pPr>
              <w:ind w:left="600"/>
              <w:spacing w:after="0" w:line="149" w:lineRule="exact"/>
              <w:rPr>
                <w:sz w:val="20"/>
                <w:szCs w:val="20"/>
                <w:color w:val="auto"/>
              </w:rPr>
            </w:pPr>
            <w:r>
              <w:rPr>
                <w:rFonts w:ascii="Arial" w:cs="Arial" w:eastAsia="Arial" w:hAnsi="Arial"/>
                <w:sz w:val="14"/>
                <w:szCs w:val="14"/>
                <w:color w:val="auto"/>
              </w:rPr>
              <w:t>Bermuda</w:t>
            </w:r>
          </w:p>
        </w:tc>
        <w:tc>
          <w:tcPr>
            <w:tcW w:w="1520" w:type="dxa"/>
            <w:vAlign w:val="bottom"/>
          </w:tcPr>
          <w:p>
            <w:pPr>
              <w:ind w:left="340"/>
              <w:spacing w:after="0" w:line="149" w:lineRule="exact"/>
              <w:rPr>
                <w:sz w:val="20"/>
                <w:szCs w:val="20"/>
                <w:color w:val="auto"/>
              </w:rPr>
            </w:pPr>
            <w:r>
              <w:rPr>
                <w:rFonts w:ascii="Arial" w:cs="Arial" w:eastAsia="Arial" w:hAnsi="Arial"/>
                <w:sz w:val="14"/>
                <w:szCs w:val="14"/>
                <w:color w:val="auto"/>
              </w:rPr>
              <w:t>July 2013</w:t>
            </w:r>
          </w:p>
        </w:tc>
        <w:tc>
          <w:tcPr>
            <w:tcW w:w="1800" w:type="dxa"/>
            <w:vAlign w:val="bottom"/>
          </w:tcPr>
          <w:p>
            <w:pPr>
              <w:ind w:left="220"/>
              <w:spacing w:after="0" w:line="149" w:lineRule="exact"/>
              <w:rPr>
                <w:sz w:val="20"/>
                <w:szCs w:val="20"/>
                <w:color w:val="auto"/>
              </w:rPr>
            </w:pPr>
            <w:r>
              <w:rPr>
                <w:rFonts w:ascii="Arial" w:cs="Arial" w:eastAsia="Arial" w:hAnsi="Arial"/>
                <w:sz w:val="14"/>
                <w:szCs w:val="14"/>
                <w:color w:val="auto"/>
              </w:rPr>
              <w:t>Vessel-owning company</w:t>
            </w:r>
          </w:p>
        </w:tc>
        <w:tc>
          <w:tcPr>
            <w:tcW w:w="960" w:type="dxa"/>
            <w:vAlign w:val="bottom"/>
          </w:tcPr>
          <w:p>
            <w:pPr>
              <w:jc w:val="right"/>
              <w:ind w:right="268"/>
              <w:spacing w:after="0" w:line="149" w:lineRule="exact"/>
              <w:rPr>
                <w:sz w:val="20"/>
                <w:szCs w:val="20"/>
                <w:color w:val="auto"/>
              </w:rPr>
            </w:pPr>
            <w:r>
              <w:rPr>
                <w:rFonts w:ascii="Arial" w:cs="Arial" w:eastAsia="Arial" w:hAnsi="Arial"/>
                <w:sz w:val="14"/>
                <w:szCs w:val="14"/>
                <w:color w:val="auto"/>
              </w:rPr>
              <w:t>174,000</w:t>
            </w:r>
          </w:p>
        </w:tc>
        <w:tc>
          <w:tcPr>
            <w:tcW w:w="1840" w:type="dxa"/>
            <w:vAlign w:val="bottom"/>
          </w:tcPr>
          <w:p>
            <w:pPr>
              <w:jc w:val="center"/>
              <w:ind w:left="28"/>
              <w:spacing w:after="0" w:line="149" w:lineRule="exact"/>
              <w:rPr>
                <w:sz w:val="20"/>
                <w:szCs w:val="20"/>
                <w:color w:val="auto"/>
              </w:rPr>
            </w:pPr>
            <w:r>
              <w:rPr>
                <w:rFonts w:ascii="Arial" w:cs="Arial" w:eastAsia="Arial" w:hAnsi="Arial"/>
                <w:sz w:val="14"/>
                <w:szCs w:val="14"/>
                <w:i w:val="1"/>
                <w:iCs w:val="1"/>
                <w:color w:val="auto"/>
                <w:w w:val="92"/>
              </w:rPr>
              <w:t>GasLog Geneva</w:t>
            </w:r>
          </w:p>
        </w:tc>
        <w:tc>
          <w:tcPr>
            <w:tcW w:w="1360" w:type="dxa"/>
            <w:vAlign w:val="bottom"/>
          </w:tcPr>
          <w:p>
            <w:pPr>
              <w:jc w:val="center"/>
              <w:ind w:right="28"/>
              <w:spacing w:after="0" w:line="149" w:lineRule="exact"/>
              <w:rPr>
                <w:sz w:val="20"/>
                <w:szCs w:val="20"/>
                <w:color w:val="auto"/>
              </w:rPr>
            </w:pPr>
            <w:r>
              <w:rPr>
                <w:rFonts w:ascii="Arial" w:cs="Arial" w:eastAsia="Arial" w:hAnsi="Arial"/>
                <w:sz w:val="14"/>
                <w:szCs w:val="14"/>
                <w:color w:val="auto"/>
                <w:w w:val="90"/>
              </w:rPr>
              <w:t>September 2016</w:t>
            </w:r>
          </w:p>
        </w:tc>
      </w:tr>
      <w:tr>
        <w:trPr>
          <w:trHeight w:val="148"/>
        </w:trPr>
        <w:tc>
          <w:tcPr>
            <w:tcW w:w="218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GAS-fourteen Ltd.</w:t>
            </w:r>
          </w:p>
        </w:tc>
        <w:tc>
          <w:tcPr>
            <w:tcW w:w="1900" w:type="dxa"/>
            <w:vAlign w:val="bottom"/>
            <w:shd w:val="clear" w:color="auto" w:fill="E5FFFF"/>
          </w:tcPr>
          <w:p>
            <w:pPr>
              <w:ind w:left="600"/>
              <w:spacing w:after="0" w:line="149" w:lineRule="exact"/>
              <w:rPr>
                <w:sz w:val="20"/>
                <w:szCs w:val="20"/>
                <w:color w:val="auto"/>
              </w:rPr>
            </w:pPr>
            <w:r>
              <w:rPr>
                <w:rFonts w:ascii="Arial" w:cs="Arial" w:eastAsia="Arial" w:hAnsi="Arial"/>
                <w:sz w:val="14"/>
                <w:szCs w:val="14"/>
                <w:color w:val="auto"/>
              </w:rPr>
              <w:t>Bermuda</w:t>
            </w:r>
          </w:p>
        </w:tc>
        <w:tc>
          <w:tcPr>
            <w:tcW w:w="1520" w:type="dxa"/>
            <w:vAlign w:val="bottom"/>
            <w:shd w:val="clear" w:color="auto" w:fill="E5FFFF"/>
          </w:tcPr>
          <w:p>
            <w:pPr>
              <w:ind w:left="340"/>
              <w:spacing w:after="0" w:line="149" w:lineRule="exact"/>
              <w:rPr>
                <w:sz w:val="20"/>
                <w:szCs w:val="20"/>
                <w:color w:val="auto"/>
              </w:rPr>
            </w:pPr>
            <w:r>
              <w:rPr>
                <w:rFonts w:ascii="Arial" w:cs="Arial" w:eastAsia="Arial" w:hAnsi="Arial"/>
                <w:sz w:val="14"/>
                <w:szCs w:val="14"/>
                <w:color w:val="auto"/>
              </w:rPr>
              <w:t>July 2013</w:t>
            </w:r>
          </w:p>
        </w:tc>
        <w:tc>
          <w:tcPr>
            <w:tcW w:w="1800" w:type="dxa"/>
            <w:vAlign w:val="bottom"/>
            <w:shd w:val="clear" w:color="auto" w:fill="E5FFFF"/>
          </w:tcPr>
          <w:p>
            <w:pPr>
              <w:ind w:left="220"/>
              <w:spacing w:after="0" w:line="149" w:lineRule="exact"/>
              <w:rPr>
                <w:sz w:val="20"/>
                <w:szCs w:val="20"/>
                <w:color w:val="auto"/>
              </w:rPr>
            </w:pPr>
            <w:r>
              <w:rPr>
                <w:rFonts w:ascii="Arial" w:cs="Arial" w:eastAsia="Arial" w:hAnsi="Arial"/>
                <w:sz w:val="14"/>
                <w:szCs w:val="14"/>
                <w:color w:val="auto"/>
              </w:rPr>
              <w:t>Vessel-owning company</w:t>
            </w:r>
          </w:p>
        </w:tc>
        <w:tc>
          <w:tcPr>
            <w:tcW w:w="960" w:type="dxa"/>
            <w:vAlign w:val="bottom"/>
            <w:shd w:val="clear" w:color="auto" w:fill="E5FFFF"/>
          </w:tcPr>
          <w:p>
            <w:pPr>
              <w:jc w:val="right"/>
              <w:ind w:right="268"/>
              <w:spacing w:after="0" w:line="149" w:lineRule="exact"/>
              <w:rPr>
                <w:sz w:val="20"/>
                <w:szCs w:val="20"/>
                <w:color w:val="auto"/>
              </w:rPr>
            </w:pPr>
            <w:r>
              <w:rPr>
                <w:rFonts w:ascii="Arial" w:cs="Arial" w:eastAsia="Arial" w:hAnsi="Arial"/>
                <w:sz w:val="14"/>
                <w:szCs w:val="14"/>
                <w:color w:val="auto"/>
              </w:rPr>
              <w:t>174,000</w:t>
            </w:r>
          </w:p>
        </w:tc>
        <w:tc>
          <w:tcPr>
            <w:tcW w:w="1840" w:type="dxa"/>
            <w:vAlign w:val="bottom"/>
            <w:shd w:val="clear" w:color="auto" w:fill="E5FFFF"/>
          </w:tcPr>
          <w:p>
            <w:pPr>
              <w:jc w:val="center"/>
              <w:ind w:left="28"/>
              <w:spacing w:after="0" w:line="149" w:lineRule="exact"/>
              <w:rPr>
                <w:sz w:val="20"/>
                <w:szCs w:val="20"/>
                <w:color w:val="auto"/>
              </w:rPr>
            </w:pPr>
            <w:r>
              <w:rPr>
                <w:rFonts w:ascii="Arial" w:cs="Arial" w:eastAsia="Arial" w:hAnsi="Arial"/>
                <w:sz w:val="14"/>
                <w:szCs w:val="14"/>
                <w:i w:val="1"/>
                <w:iCs w:val="1"/>
                <w:color w:val="auto"/>
                <w:w w:val="99"/>
              </w:rPr>
              <w:t>GasLog Gibraltar</w:t>
            </w:r>
          </w:p>
        </w:tc>
        <w:tc>
          <w:tcPr>
            <w:tcW w:w="1360" w:type="dxa"/>
            <w:vAlign w:val="bottom"/>
            <w:shd w:val="clear" w:color="auto" w:fill="E5FFFF"/>
          </w:tcPr>
          <w:p>
            <w:pPr>
              <w:jc w:val="center"/>
              <w:ind w:right="48"/>
              <w:spacing w:after="0" w:line="149" w:lineRule="exact"/>
              <w:rPr>
                <w:sz w:val="20"/>
                <w:szCs w:val="20"/>
                <w:color w:val="auto"/>
              </w:rPr>
            </w:pPr>
            <w:r>
              <w:rPr>
                <w:rFonts w:ascii="Arial" w:cs="Arial" w:eastAsia="Arial" w:hAnsi="Arial"/>
                <w:sz w:val="14"/>
                <w:szCs w:val="14"/>
                <w:color w:val="auto"/>
                <w:w w:val="94"/>
              </w:rPr>
              <w:t>October 2016</w:t>
            </w:r>
          </w:p>
        </w:tc>
      </w:tr>
      <w:tr>
        <w:trPr>
          <w:trHeight w:val="149"/>
        </w:trPr>
        <w:tc>
          <w:tcPr>
            <w:tcW w:w="2180" w:type="dxa"/>
            <w:vAlign w:val="bottom"/>
          </w:tcPr>
          <w:p>
            <w:pPr>
              <w:spacing w:after="0" w:line="149" w:lineRule="exact"/>
              <w:rPr>
                <w:sz w:val="20"/>
                <w:szCs w:val="20"/>
                <w:color w:val="auto"/>
              </w:rPr>
            </w:pPr>
            <w:r>
              <w:rPr>
                <w:rFonts w:ascii="Arial" w:cs="Arial" w:eastAsia="Arial" w:hAnsi="Arial"/>
                <w:sz w:val="14"/>
                <w:szCs w:val="14"/>
                <w:color w:val="auto"/>
              </w:rPr>
              <w:t>GAS-sixteen Ltd.</w:t>
            </w:r>
          </w:p>
        </w:tc>
        <w:tc>
          <w:tcPr>
            <w:tcW w:w="1900" w:type="dxa"/>
            <w:vAlign w:val="bottom"/>
          </w:tcPr>
          <w:p>
            <w:pPr>
              <w:ind w:left="600"/>
              <w:spacing w:after="0" w:line="149" w:lineRule="exact"/>
              <w:rPr>
                <w:sz w:val="20"/>
                <w:szCs w:val="20"/>
                <w:color w:val="auto"/>
              </w:rPr>
            </w:pPr>
            <w:r>
              <w:rPr>
                <w:rFonts w:ascii="Arial" w:cs="Arial" w:eastAsia="Arial" w:hAnsi="Arial"/>
                <w:sz w:val="14"/>
                <w:szCs w:val="14"/>
                <w:color w:val="auto"/>
              </w:rPr>
              <w:t>Bermuda</w:t>
            </w:r>
          </w:p>
        </w:tc>
        <w:tc>
          <w:tcPr>
            <w:tcW w:w="1520" w:type="dxa"/>
            <w:vAlign w:val="bottom"/>
          </w:tcPr>
          <w:p>
            <w:pPr>
              <w:ind w:left="340"/>
              <w:spacing w:after="0" w:line="149" w:lineRule="exact"/>
              <w:rPr>
                <w:sz w:val="20"/>
                <w:szCs w:val="20"/>
                <w:color w:val="auto"/>
              </w:rPr>
            </w:pPr>
            <w:r>
              <w:rPr>
                <w:rFonts w:ascii="Arial" w:cs="Arial" w:eastAsia="Arial" w:hAnsi="Arial"/>
                <w:sz w:val="14"/>
                <w:szCs w:val="14"/>
                <w:color w:val="auto"/>
              </w:rPr>
              <w:t>January 2014</w:t>
            </w:r>
          </w:p>
        </w:tc>
        <w:tc>
          <w:tcPr>
            <w:tcW w:w="1800" w:type="dxa"/>
            <w:vAlign w:val="bottom"/>
          </w:tcPr>
          <w:p>
            <w:pPr>
              <w:ind w:left="220"/>
              <w:spacing w:after="0" w:line="149" w:lineRule="exact"/>
              <w:rPr>
                <w:sz w:val="20"/>
                <w:szCs w:val="20"/>
                <w:color w:val="auto"/>
              </w:rPr>
            </w:pPr>
            <w:r>
              <w:rPr>
                <w:rFonts w:ascii="Arial" w:cs="Arial" w:eastAsia="Arial" w:hAnsi="Arial"/>
                <w:sz w:val="14"/>
                <w:szCs w:val="14"/>
                <w:color w:val="auto"/>
              </w:rPr>
              <w:t>Vessel-owning company</w:t>
            </w:r>
          </w:p>
        </w:tc>
        <w:tc>
          <w:tcPr>
            <w:tcW w:w="960" w:type="dxa"/>
            <w:vAlign w:val="bottom"/>
          </w:tcPr>
          <w:p>
            <w:pPr>
              <w:jc w:val="right"/>
              <w:ind w:right="268"/>
              <w:spacing w:after="0" w:line="149" w:lineRule="exact"/>
              <w:rPr>
                <w:sz w:val="20"/>
                <w:szCs w:val="20"/>
                <w:color w:val="auto"/>
              </w:rPr>
            </w:pPr>
            <w:r>
              <w:rPr>
                <w:rFonts w:ascii="Arial" w:cs="Arial" w:eastAsia="Arial" w:hAnsi="Arial"/>
                <w:sz w:val="14"/>
                <w:szCs w:val="14"/>
                <w:color w:val="auto"/>
              </w:rPr>
              <w:t>145,000</w:t>
            </w:r>
          </w:p>
        </w:tc>
        <w:tc>
          <w:tcPr>
            <w:tcW w:w="1840" w:type="dxa"/>
            <w:vAlign w:val="bottom"/>
          </w:tcPr>
          <w:p>
            <w:pPr>
              <w:jc w:val="center"/>
              <w:ind w:left="28"/>
              <w:spacing w:after="0" w:line="149" w:lineRule="exact"/>
              <w:rPr>
                <w:sz w:val="20"/>
                <w:szCs w:val="20"/>
                <w:color w:val="auto"/>
              </w:rPr>
            </w:pPr>
            <w:r>
              <w:rPr>
                <w:rFonts w:ascii="Arial" w:cs="Arial" w:eastAsia="Arial" w:hAnsi="Arial"/>
                <w:sz w:val="14"/>
                <w:szCs w:val="14"/>
                <w:i w:val="1"/>
                <w:iCs w:val="1"/>
                <w:color w:val="auto"/>
                <w:w w:val="92"/>
              </w:rPr>
              <w:t>Methane Rita Andrea</w:t>
            </w:r>
          </w:p>
        </w:tc>
        <w:tc>
          <w:tcPr>
            <w:tcW w:w="1360" w:type="dxa"/>
            <w:vAlign w:val="bottom"/>
          </w:tcPr>
          <w:p>
            <w:pPr>
              <w:jc w:val="center"/>
              <w:ind w:right="48"/>
              <w:spacing w:after="0" w:line="149" w:lineRule="exact"/>
              <w:rPr>
                <w:sz w:val="20"/>
                <w:szCs w:val="20"/>
                <w:color w:val="auto"/>
              </w:rPr>
            </w:pPr>
            <w:r>
              <w:rPr>
                <w:rFonts w:ascii="Arial" w:cs="Arial" w:eastAsia="Arial" w:hAnsi="Arial"/>
                <w:sz w:val="14"/>
                <w:szCs w:val="14"/>
                <w:color w:val="auto"/>
              </w:rPr>
              <w:t>April 2014</w:t>
            </w:r>
          </w:p>
        </w:tc>
      </w:tr>
      <w:tr>
        <w:trPr>
          <w:trHeight w:val="148"/>
        </w:trPr>
        <w:tc>
          <w:tcPr>
            <w:tcW w:w="218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GAS-seventeen Ltd.</w:t>
            </w:r>
          </w:p>
        </w:tc>
        <w:tc>
          <w:tcPr>
            <w:tcW w:w="1900" w:type="dxa"/>
            <w:vAlign w:val="bottom"/>
            <w:shd w:val="clear" w:color="auto" w:fill="E5FFFF"/>
          </w:tcPr>
          <w:p>
            <w:pPr>
              <w:ind w:left="600"/>
              <w:spacing w:after="0" w:line="149" w:lineRule="exact"/>
              <w:rPr>
                <w:sz w:val="20"/>
                <w:szCs w:val="20"/>
                <w:color w:val="auto"/>
              </w:rPr>
            </w:pPr>
            <w:r>
              <w:rPr>
                <w:rFonts w:ascii="Arial" w:cs="Arial" w:eastAsia="Arial" w:hAnsi="Arial"/>
                <w:sz w:val="14"/>
                <w:szCs w:val="14"/>
                <w:color w:val="auto"/>
              </w:rPr>
              <w:t>Bermuda</w:t>
            </w:r>
          </w:p>
        </w:tc>
        <w:tc>
          <w:tcPr>
            <w:tcW w:w="1520" w:type="dxa"/>
            <w:vAlign w:val="bottom"/>
            <w:shd w:val="clear" w:color="auto" w:fill="E5FFFF"/>
          </w:tcPr>
          <w:p>
            <w:pPr>
              <w:ind w:left="340"/>
              <w:spacing w:after="0" w:line="149" w:lineRule="exact"/>
              <w:rPr>
                <w:sz w:val="20"/>
                <w:szCs w:val="20"/>
                <w:color w:val="auto"/>
              </w:rPr>
            </w:pPr>
            <w:r>
              <w:rPr>
                <w:rFonts w:ascii="Arial" w:cs="Arial" w:eastAsia="Arial" w:hAnsi="Arial"/>
                <w:sz w:val="14"/>
                <w:szCs w:val="14"/>
                <w:color w:val="auto"/>
              </w:rPr>
              <w:t>January 2014</w:t>
            </w:r>
          </w:p>
        </w:tc>
        <w:tc>
          <w:tcPr>
            <w:tcW w:w="1800" w:type="dxa"/>
            <w:vAlign w:val="bottom"/>
            <w:shd w:val="clear" w:color="auto" w:fill="E5FFFF"/>
          </w:tcPr>
          <w:p>
            <w:pPr>
              <w:ind w:left="220"/>
              <w:spacing w:after="0" w:line="149" w:lineRule="exact"/>
              <w:rPr>
                <w:sz w:val="20"/>
                <w:szCs w:val="20"/>
                <w:color w:val="auto"/>
              </w:rPr>
            </w:pPr>
            <w:r>
              <w:rPr>
                <w:rFonts w:ascii="Arial" w:cs="Arial" w:eastAsia="Arial" w:hAnsi="Arial"/>
                <w:sz w:val="14"/>
                <w:szCs w:val="14"/>
                <w:color w:val="auto"/>
              </w:rPr>
              <w:t>Vessel-owning company</w:t>
            </w:r>
          </w:p>
        </w:tc>
        <w:tc>
          <w:tcPr>
            <w:tcW w:w="960" w:type="dxa"/>
            <w:vAlign w:val="bottom"/>
            <w:shd w:val="clear" w:color="auto" w:fill="E5FFFF"/>
          </w:tcPr>
          <w:p>
            <w:pPr>
              <w:jc w:val="right"/>
              <w:ind w:right="268"/>
              <w:spacing w:after="0" w:line="149" w:lineRule="exact"/>
              <w:rPr>
                <w:sz w:val="20"/>
                <w:szCs w:val="20"/>
                <w:color w:val="auto"/>
              </w:rPr>
            </w:pPr>
            <w:r>
              <w:rPr>
                <w:rFonts w:ascii="Arial" w:cs="Arial" w:eastAsia="Arial" w:hAnsi="Arial"/>
                <w:sz w:val="14"/>
                <w:szCs w:val="14"/>
                <w:color w:val="auto"/>
              </w:rPr>
              <w:t>145,000</w:t>
            </w:r>
          </w:p>
        </w:tc>
        <w:tc>
          <w:tcPr>
            <w:tcW w:w="1840" w:type="dxa"/>
            <w:vAlign w:val="bottom"/>
            <w:shd w:val="clear" w:color="auto" w:fill="E5FFFF"/>
          </w:tcPr>
          <w:p>
            <w:pPr>
              <w:jc w:val="center"/>
              <w:ind w:left="28"/>
              <w:spacing w:after="0" w:line="149" w:lineRule="exact"/>
              <w:rPr>
                <w:sz w:val="20"/>
                <w:szCs w:val="20"/>
                <w:color w:val="auto"/>
              </w:rPr>
            </w:pPr>
            <w:r>
              <w:rPr>
                <w:rFonts w:ascii="Arial" w:cs="Arial" w:eastAsia="Arial" w:hAnsi="Arial"/>
                <w:sz w:val="14"/>
                <w:szCs w:val="14"/>
                <w:i w:val="1"/>
                <w:iCs w:val="1"/>
                <w:color w:val="auto"/>
                <w:w w:val="91"/>
              </w:rPr>
              <w:t>Methane Jane Elizabeth</w:t>
            </w:r>
          </w:p>
        </w:tc>
        <w:tc>
          <w:tcPr>
            <w:tcW w:w="1360" w:type="dxa"/>
            <w:vAlign w:val="bottom"/>
            <w:shd w:val="clear" w:color="auto" w:fill="E5FFFF"/>
          </w:tcPr>
          <w:p>
            <w:pPr>
              <w:jc w:val="center"/>
              <w:ind w:right="48"/>
              <w:spacing w:after="0" w:line="149" w:lineRule="exact"/>
              <w:rPr>
                <w:sz w:val="20"/>
                <w:szCs w:val="20"/>
                <w:color w:val="auto"/>
              </w:rPr>
            </w:pPr>
            <w:r>
              <w:rPr>
                <w:rFonts w:ascii="Arial" w:cs="Arial" w:eastAsia="Arial" w:hAnsi="Arial"/>
                <w:sz w:val="14"/>
                <w:szCs w:val="14"/>
                <w:color w:val="auto"/>
              </w:rPr>
              <w:t>April 2014</w:t>
            </w:r>
          </w:p>
        </w:tc>
      </w:tr>
      <w:tr>
        <w:trPr>
          <w:trHeight w:val="148"/>
        </w:trPr>
        <w:tc>
          <w:tcPr>
            <w:tcW w:w="2180" w:type="dxa"/>
            <w:vAlign w:val="bottom"/>
          </w:tcPr>
          <w:p>
            <w:pPr>
              <w:spacing w:after="0" w:line="149" w:lineRule="exact"/>
              <w:rPr>
                <w:sz w:val="20"/>
                <w:szCs w:val="20"/>
                <w:color w:val="auto"/>
              </w:rPr>
            </w:pPr>
            <w:r>
              <w:rPr>
                <w:rFonts w:ascii="Arial" w:cs="Arial" w:eastAsia="Arial" w:hAnsi="Arial"/>
                <w:sz w:val="14"/>
                <w:szCs w:val="14"/>
                <w:color w:val="auto"/>
              </w:rPr>
              <w:t>GAS-nineteen Ltd.</w:t>
            </w:r>
          </w:p>
        </w:tc>
        <w:tc>
          <w:tcPr>
            <w:tcW w:w="1900" w:type="dxa"/>
            <w:vAlign w:val="bottom"/>
          </w:tcPr>
          <w:p>
            <w:pPr>
              <w:ind w:left="600"/>
              <w:spacing w:after="0" w:line="149" w:lineRule="exact"/>
              <w:rPr>
                <w:sz w:val="20"/>
                <w:szCs w:val="20"/>
                <w:color w:val="auto"/>
              </w:rPr>
            </w:pPr>
            <w:r>
              <w:rPr>
                <w:rFonts w:ascii="Arial" w:cs="Arial" w:eastAsia="Arial" w:hAnsi="Arial"/>
                <w:sz w:val="14"/>
                <w:szCs w:val="14"/>
                <w:color w:val="auto"/>
              </w:rPr>
              <w:t>Bermuda</w:t>
            </w:r>
          </w:p>
        </w:tc>
        <w:tc>
          <w:tcPr>
            <w:tcW w:w="1520" w:type="dxa"/>
            <w:vAlign w:val="bottom"/>
          </w:tcPr>
          <w:p>
            <w:pPr>
              <w:ind w:left="340"/>
              <w:spacing w:after="0" w:line="149" w:lineRule="exact"/>
              <w:rPr>
                <w:sz w:val="20"/>
                <w:szCs w:val="20"/>
                <w:color w:val="auto"/>
              </w:rPr>
            </w:pPr>
            <w:r>
              <w:rPr>
                <w:rFonts w:ascii="Arial" w:cs="Arial" w:eastAsia="Arial" w:hAnsi="Arial"/>
                <w:sz w:val="14"/>
                <w:szCs w:val="14"/>
                <w:color w:val="auto"/>
              </w:rPr>
              <w:t>April 2014</w:t>
            </w:r>
          </w:p>
        </w:tc>
        <w:tc>
          <w:tcPr>
            <w:tcW w:w="1800" w:type="dxa"/>
            <w:vAlign w:val="bottom"/>
          </w:tcPr>
          <w:p>
            <w:pPr>
              <w:ind w:left="220"/>
              <w:spacing w:after="0" w:line="149" w:lineRule="exact"/>
              <w:rPr>
                <w:sz w:val="20"/>
                <w:szCs w:val="20"/>
                <w:color w:val="auto"/>
              </w:rPr>
            </w:pPr>
            <w:r>
              <w:rPr>
                <w:rFonts w:ascii="Arial" w:cs="Arial" w:eastAsia="Arial" w:hAnsi="Arial"/>
                <w:sz w:val="14"/>
                <w:szCs w:val="14"/>
                <w:color w:val="auto"/>
              </w:rPr>
              <w:t>Vessel-owning company</w:t>
            </w:r>
          </w:p>
        </w:tc>
        <w:tc>
          <w:tcPr>
            <w:tcW w:w="960" w:type="dxa"/>
            <w:vAlign w:val="bottom"/>
          </w:tcPr>
          <w:p>
            <w:pPr>
              <w:jc w:val="right"/>
              <w:ind w:right="268"/>
              <w:spacing w:after="0" w:line="149" w:lineRule="exact"/>
              <w:rPr>
                <w:sz w:val="20"/>
                <w:szCs w:val="20"/>
                <w:color w:val="auto"/>
              </w:rPr>
            </w:pPr>
            <w:r>
              <w:rPr>
                <w:rFonts w:ascii="Arial" w:cs="Arial" w:eastAsia="Arial" w:hAnsi="Arial"/>
                <w:sz w:val="14"/>
                <w:szCs w:val="14"/>
                <w:color w:val="auto"/>
              </w:rPr>
              <w:t>145,000</w:t>
            </w:r>
          </w:p>
        </w:tc>
        <w:tc>
          <w:tcPr>
            <w:tcW w:w="1840" w:type="dxa"/>
            <w:vAlign w:val="bottom"/>
          </w:tcPr>
          <w:p>
            <w:pPr>
              <w:jc w:val="center"/>
              <w:ind w:left="28"/>
              <w:spacing w:after="0" w:line="149" w:lineRule="exact"/>
              <w:rPr>
                <w:sz w:val="20"/>
                <w:szCs w:val="20"/>
                <w:color w:val="auto"/>
              </w:rPr>
            </w:pPr>
            <w:r>
              <w:rPr>
                <w:rFonts w:ascii="Arial" w:cs="Arial" w:eastAsia="Arial" w:hAnsi="Arial"/>
                <w:sz w:val="14"/>
                <w:szCs w:val="14"/>
                <w:i w:val="1"/>
                <w:iCs w:val="1"/>
                <w:color w:val="auto"/>
                <w:w w:val="96"/>
              </w:rPr>
              <w:t>Methane Alison Victoria</w:t>
            </w:r>
          </w:p>
        </w:tc>
        <w:tc>
          <w:tcPr>
            <w:tcW w:w="1360" w:type="dxa"/>
            <w:vAlign w:val="bottom"/>
          </w:tcPr>
          <w:p>
            <w:pPr>
              <w:jc w:val="center"/>
              <w:ind w:right="48"/>
              <w:spacing w:after="0" w:line="149" w:lineRule="exact"/>
              <w:rPr>
                <w:sz w:val="20"/>
                <w:szCs w:val="20"/>
                <w:color w:val="auto"/>
              </w:rPr>
            </w:pPr>
            <w:r>
              <w:rPr>
                <w:rFonts w:ascii="Arial" w:cs="Arial" w:eastAsia="Arial" w:hAnsi="Arial"/>
                <w:sz w:val="14"/>
                <w:szCs w:val="14"/>
                <w:color w:val="auto"/>
                <w:w w:val="91"/>
              </w:rPr>
              <w:t>June 2014</w:t>
            </w:r>
          </w:p>
        </w:tc>
      </w:tr>
      <w:tr>
        <w:trPr>
          <w:trHeight w:val="130"/>
        </w:trPr>
        <w:tc>
          <w:tcPr>
            <w:tcW w:w="2180" w:type="dxa"/>
            <w:vAlign w:val="bottom"/>
            <w:shd w:val="clear" w:color="auto" w:fill="E5FFFF"/>
          </w:tcPr>
          <w:p>
            <w:pPr>
              <w:spacing w:after="0" w:line="130" w:lineRule="exact"/>
              <w:rPr>
                <w:sz w:val="20"/>
                <w:szCs w:val="20"/>
                <w:color w:val="auto"/>
              </w:rPr>
            </w:pPr>
            <w:r>
              <w:rPr>
                <w:rFonts w:ascii="Arial" w:cs="Arial" w:eastAsia="Arial" w:hAnsi="Arial"/>
                <w:sz w:val="14"/>
                <w:szCs w:val="14"/>
                <w:color w:val="auto"/>
              </w:rPr>
              <w:t>GAS-twenty Ltd.</w:t>
            </w:r>
          </w:p>
        </w:tc>
        <w:tc>
          <w:tcPr>
            <w:tcW w:w="1900" w:type="dxa"/>
            <w:vAlign w:val="bottom"/>
            <w:shd w:val="clear" w:color="auto" w:fill="E5FFFF"/>
          </w:tcPr>
          <w:p>
            <w:pPr>
              <w:ind w:left="600"/>
              <w:spacing w:after="0" w:line="130" w:lineRule="exact"/>
              <w:rPr>
                <w:sz w:val="20"/>
                <w:szCs w:val="20"/>
                <w:color w:val="auto"/>
              </w:rPr>
            </w:pPr>
            <w:r>
              <w:rPr>
                <w:rFonts w:ascii="Arial" w:cs="Arial" w:eastAsia="Arial" w:hAnsi="Arial"/>
                <w:sz w:val="14"/>
                <w:szCs w:val="14"/>
                <w:color w:val="auto"/>
              </w:rPr>
              <w:t>Bermuda</w:t>
            </w:r>
          </w:p>
        </w:tc>
        <w:tc>
          <w:tcPr>
            <w:tcW w:w="1520" w:type="dxa"/>
            <w:vAlign w:val="bottom"/>
            <w:shd w:val="clear" w:color="auto" w:fill="E5FFFF"/>
          </w:tcPr>
          <w:p>
            <w:pPr>
              <w:ind w:left="340"/>
              <w:spacing w:after="0" w:line="130" w:lineRule="exact"/>
              <w:rPr>
                <w:sz w:val="20"/>
                <w:szCs w:val="20"/>
                <w:color w:val="auto"/>
              </w:rPr>
            </w:pPr>
            <w:r>
              <w:rPr>
                <w:rFonts w:ascii="Arial" w:cs="Arial" w:eastAsia="Arial" w:hAnsi="Arial"/>
                <w:sz w:val="14"/>
                <w:szCs w:val="14"/>
                <w:color w:val="auto"/>
              </w:rPr>
              <w:t>April 2014</w:t>
            </w:r>
          </w:p>
        </w:tc>
        <w:tc>
          <w:tcPr>
            <w:tcW w:w="1800" w:type="dxa"/>
            <w:vAlign w:val="bottom"/>
            <w:shd w:val="clear" w:color="auto" w:fill="E5FFFF"/>
          </w:tcPr>
          <w:p>
            <w:pPr>
              <w:ind w:left="220"/>
              <w:spacing w:after="0" w:line="130" w:lineRule="exact"/>
              <w:rPr>
                <w:sz w:val="20"/>
                <w:szCs w:val="20"/>
                <w:color w:val="auto"/>
              </w:rPr>
            </w:pPr>
            <w:r>
              <w:rPr>
                <w:rFonts w:ascii="Arial" w:cs="Arial" w:eastAsia="Arial" w:hAnsi="Arial"/>
                <w:sz w:val="14"/>
                <w:szCs w:val="14"/>
                <w:color w:val="auto"/>
              </w:rPr>
              <w:t>Vessel-owning company</w:t>
            </w:r>
          </w:p>
        </w:tc>
        <w:tc>
          <w:tcPr>
            <w:tcW w:w="960" w:type="dxa"/>
            <w:vAlign w:val="bottom"/>
            <w:shd w:val="clear" w:color="auto" w:fill="E5FFFF"/>
          </w:tcPr>
          <w:p>
            <w:pPr>
              <w:jc w:val="right"/>
              <w:ind w:right="268"/>
              <w:spacing w:after="0" w:line="130" w:lineRule="exact"/>
              <w:rPr>
                <w:sz w:val="20"/>
                <w:szCs w:val="20"/>
                <w:color w:val="auto"/>
              </w:rPr>
            </w:pPr>
            <w:r>
              <w:rPr>
                <w:rFonts w:ascii="Arial" w:cs="Arial" w:eastAsia="Arial" w:hAnsi="Arial"/>
                <w:sz w:val="14"/>
                <w:szCs w:val="14"/>
                <w:color w:val="auto"/>
              </w:rPr>
              <w:t>145,000</w:t>
            </w:r>
          </w:p>
        </w:tc>
        <w:tc>
          <w:tcPr>
            <w:tcW w:w="1840" w:type="dxa"/>
            <w:vAlign w:val="bottom"/>
            <w:shd w:val="clear" w:color="auto" w:fill="E5FFFF"/>
          </w:tcPr>
          <w:p>
            <w:pPr>
              <w:jc w:val="center"/>
              <w:ind w:left="28"/>
              <w:spacing w:after="0" w:line="130" w:lineRule="exact"/>
              <w:rPr>
                <w:sz w:val="20"/>
                <w:szCs w:val="20"/>
                <w:color w:val="auto"/>
              </w:rPr>
            </w:pPr>
            <w:r>
              <w:rPr>
                <w:rFonts w:ascii="Arial" w:cs="Arial" w:eastAsia="Arial" w:hAnsi="Arial"/>
                <w:sz w:val="14"/>
                <w:szCs w:val="14"/>
                <w:i w:val="1"/>
                <w:iCs w:val="1"/>
                <w:color w:val="auto"/>
                <w:w w:val="92"/>
              </w:rPr>
              <w:t>Methane Shirley</w:t>
            </w:r>
          </w:p>
        </w:tc>
        <w:tc>
          <w:tcPr>
            <w:tcW w:w="1360" w:type="dxa"/>
            <w:vAlign w:val="bottom"/>
            <w:shd w:val="clear" w:color="auto" w:fill="E5FFFF"/>
          </w:tcPr>
          <w:p>
            <w:pPr>
              <w:jc w:val="center"/>
              <w:ind w:right="48"/>
              <w:spacing w:after="0" w:line="130" w:lineRule="exact"/>
              <w:rPr>
                <w:sz w:val="20"/>
                <w:szCs w:val="20"/>
                <w:color w:val="auto"/>
              </w:rPr>
            </w:pPr>
            <w:r>
              <w:rPr>
                <w:rFonts w:ascii="Arial" w:cs="Arial" w:eastAsia="Arial" w:hAnsi="Arial"/>
                <w:sz w:val="14"/>
                <w:szCs w:val="14"/>
                <w:color w:val="auto"/>
                <w:w w:val="91"/>
              </w:rPr>
              <w:t>June 2014</w:t>
            </w:r>
          </w:p>
        </w:tc>
      </w:tr>
      <w:tr>
        <w:trPr>
          <w:trHeight w:val="167"/>
        </w:trPr>
        <w:tc>
          <w:tcPr>
            <w:tcW w:w="2180" w:type="dxa"/>
            <w:vAlign w:val="bottom"/>
            <w:shd w:val="clear" w:color="auto" w:fill="E5FFFF"/>
          </w:tcPr>
          <w:p>
            <w:pPr>
              <w:spacing w:after="0"/>
              <w:rPr>
                <w:sz w:val="14"/>
                <w:szCs w:val="14"/>
                <w:color w:val="auto"/>
              </w:rPr>
            </w:pPr>
          </w:p>
        </w:tc>
        <w:tc>
          <w:tcPr>
            <w:tcW w:w="1900" w:type="dxa"/>
            <w:vAlign w:val="bottom"/>
            <w:shd w:val="clear" w:color="auto" w:fill="E5FFFF"/>
          </w:tcPr>
          <w:p>
            <w:pPr>
              <w:spacing w:after="0"/>
              <w:rPr>
                <w:sz w:val="14"/>
                <w:szCs w:val="14"/>
                <w:color w:val="auto"/>
              </w:rPr>
            </w:pPr>
          </w:p>
        </w:tc>
        <w:tc>
          <w:tcPr>
            <w:tcW w:w="1520" w:type="dxa"/>
            <w:vAlign w:val="bottom"/>
            <w:shd w:val="clear" w:color="auto" w:fill="E5FFFF"/>
          </w:tcPr>
          <w:p>
            <w:pPr>
              <w:spacing w:after="0"/>
              <w:rPr>
                <w:sz w:val="14"/>
                <w:szCs w:val="14"/>
                <w:color w:val="auto"/>
              </w:rPr>
            </w:pPr>
          </w:p>
        </w:tc>
        <w:tc>
          <w:tcPr>
            <w:tcW w:w="1800" w:type="dxa"/>
            <w:vAlign w:val="bottom"/>
            <w:shd w:val="clear" w:color="auto" w:fill="E5FFFF"/>
          </w:tcPr>
          <w:p>
            <w:pPr>
              <w:spacing w:after="0"/>
              <w:rPr>
                <w:sz w:val="14"/>
                <w:szCs w:val="14"/>
                <w:color w:val="auto"/>
              </w:rPr>
            </w:pPr>
          </w:p>
        </w:tc>
        <w:tc>
          <w:tcPr>
            <w:tcW w:w="960" w:type="dxa"/>
            <w:vAlign w:val="bottom"/>
            <w:shd w:val="clear" w:color="auto" w:fill="E5FFFF"/>
          </w:tcPr>
          <w:p>
            <w:pPr>
              <w:spacing w:after="0"/>
              <w:rPr>
                <w:sz w:val="14"/>
                <w:szCs w:val="14"/>
                <w:color w:val="auto"/>
              </w:rPr>
            </w:pPr>
          </w:p>
        </w:tc>
        <w:tc>
          <w:tcPr>
            <w:tcW w:w="1840" w:type="dxa"/>
            <w:vAlign w:val="bottom"/>
            <w:shd w:val="clear" w:color="auto" w:fill="E5FFFF"/>
          </w:tcPr>
          <w:p>
            <w:pPr>
              <w:jc w:val="center"/>
              <w:ind w:left="28"/>
              <w:spacing w:after="0"/>
              <w:rPr>
                <w:sz w:val="20"/>
                <w:szCs w:val="20"/>
                <w:color w:val="auto"/>
              </w:rPr>
            </w:pPr>
            <w:r>
              <w:rPr>
                <w:rFonts w:ascii="Arial" w:cs="Arial" w:eastAsia="Arial" w:hAnsi="Arial"/>
                <w:sz w:val="14"/>
                <w:szCs w:val="14"/>
                <w:i w:val="1"/>
                <w:iCs w:val="1"/>
                <w:color w:val="auto"/>
                <w:w w:val="93"/>
              </w:rPr>
              <w:t>Elisabeth</w:t>
            </w:r>
          </w:p>
        </w:tc>
        <w:tc>
          <w:tcPr>
            <w:tcW w:w="1360" w:type="dxa"/>
            <w:vAlign w:val="bottom"/>
            <w:shd w:val="clear" w:color="auto" w:fill="E5FFFF"/>
          </w:tcPr>
          <w:p>
            <w:pPr>
              <w:spacing w:after="0"/>
              <w:rPr>
                <w:sz w:val="14"/>
                <w:szCs w:val="14"/>
                <w:color w:val="auto"/>
              </w:rPr>
            </w:pPr>
          </w:p>
        </w:tc>
      </w:tr>
      <w:tr>
        <w:trPr>
          <w:trHeight w:val="149"/>
        </w:trPr>
        <w:tc>
          <w:tcPr>
            <w:tcW w:w="2180" w:type="dxa"/>
            <w:vAlign w:val="bottom"/>
          </w:tcPr>
          <w:p>
            <w:pPr>
              <w:spacing w:after="0" w:line="149" w:lineRule="exact"/>
              <w:rPr>
                <w:sz w:val="20"/>
                <w:szCs w:val="20"/>
                <w:color w:val="auto"/>
              </w:rPr>
            </w:pPr>
            <w:r>
              <w:rPr>
                <w:rFonts w:ascii="Arial" w:cs="Arial" w:eastAsia="Arial" w:hAnsi="Arial"/>
                <w:sz w:val="14"/>
                <w:szCs w:val="14"/>
                <w:color w:val="auto"/>
              </w:rPr>
              <w:t>GAS-twenty one Ltd.</w:t>
            </w:r>
          </w:p>
        </w:tc>
        <w:tc>
          <w:tcPr>
            <w:tcW w:w="1900" w:type="dxa"/>
            <w:vAlign w:val="bottom"/>
          </w:tcPr>
          <w:p>
            <w:pPr>
              <w:ind w:left="600"/>
              <w:spacing w:after="0" w:line="149" w:lineRule="exact"/>
              <w:rPr>
                <w:sz w:val="20"/>
                <w:szCs w:val="20"/>
                <w:color w:val="auto"/>
              </w:rPr>
            </w:pPr>
            <w:r>
              <w:rPr>
                <w:rFonts w:ascii="Arial" w:cs="Arial" w:eastAsia="Arial" w:hAnsi="Arial"/>
                <w:sz w:val="14"/>
                <w:szCs w:val="14"/>
                <w:color w:val="auto"/>
              </w:rPr>
              <w:t>Bermuda</w:t>
            </w:r>
          </w:p>
        </w:tc>
        <w:tc>
          <w:tcPr>
            <w:tcW w:w="1520" w:type="dxa"/>
            <w:vAlign w:val="bottom"/>
          </w:tcPr>
          <w:p>
            <w:pPr>
              <w:ind w:left="340"/>
              <w:spacing w:after="0" w:line="149" w:lineRule="exact"/>
              <w:rPr>
                <w:sz w:val="20"/>
                <w:szCs w:val="20"/>
                <w:color w:val="auto"/>
              </w:rPr>
            </w:pPr>
            <w:r>
              <w:rPr>
                <w:rFonts w:ascii="Arial" w:cs="Arial" w:eastAsia="Arial" w:hAnsi="Arial"/>
                <w:sz w:val="14"/>
                <w:szCs w:val="14"/>
                <w:color w:val="auto"/>
              </w:rPr>
              <w:t>April 2014</w:t>
            </w:r>
          </w:p>
        </w:tc>
        <w:tc>
          <w:tcPr>
            <w:tcW w:w="1800" w:type="dxa"/>
            <w:vAlign w:val="bottom"/>
          </w:tcPr>
          <w:p>
            <w:pPr>
              <w:ind w:left="220"/>
              <w:spacing w:after="0" w:line="149" w:lineRule="exact"/>
              <w:rPr>
                <w:sz w:val="20"/>
                <w:szCs w:val="20"/>
                <w:color w:val="auto"/>
              </w:rPr>
            </w:pPr>
            <w:r>
              <w:rPr>
                <w:rFonts w:ascii="Arial" w:cs="Arial" w:eastAsia="Arial" w:hAnsi="Arial"/>
                <w:sz w:val="14"/>
                <w:szCs w:val="14"/>
                <w:color w:val="auto"/>
              </w:rPr>
              <w:t>Vessel-owning company</w:t>
            </w:r>
          </w:p>
        </w:tc>
        <w:tc>
          <w:tcPr>
            <w:tcW w:w="960" w:type="dxa"/>
            <w:vAlign w:val="bottom"/>
          </w:tcPr>
          <w:p>
            <w:pPr>
              <w:jc w:val="right"/>
              <w:ind w:right="268"/>
              <w:spacing w:after="0" w:line="149" w:lineRule="exact"/>
              <w:rPr>
                <w:sz w:val="20"/>
                <w:szCs w:val="20"/>
                <w:color w:val="auto"/>
              </w:rPr>
            </w:pPr>
            <w:r>
              <w:rPr>
                <w:rFonts w:ascii="Arial" w:cs="Arial" w:eastAsia="Arial" w:hAnsi="Arial"/>
                <w:sz w:val="14"/>
                <w:szCs w:val="14"/>
                <w:color w:val="auto"/>
              </w:rPr>
              <w:t>145,000</w:t>
            </w:r>
          </w:p>
        </w:tc>
        <w:tc>
          <w:tcPr>
            <w:tcW w:w="1840" w:type="dxa"/>
            <w:vAlign w:val="bottom"/>
          </w:tcPr>
          <w:p>
            <w:pPr>
              <w:jc w:val="center"/>
              <w:ind w:left="28"/>
              <w:spacing w:after="0" w:line="149" w:lineRule="exact"/>
              <w:rPr>
                <w:sz w:val="20"/>
                <w:szCs w:val="20"/>
                <w:color w:val="auto"/>
              </w:rPr>
            </w:pPr>
            <w:r>
              <w:rPr>
                <w:rFonts w:ascii="Arial" w:cs="Arial" w:eastAsia="Arial" w:hAnsi="Arial"/>
                <w:sz w:val="14"/>
                <w:szCs w:val="14"/>
                <w:i w:val="1"/>
                <w:iCs w:val="1"/>
                <w:color w:val="auto"/>
                <w:w w:val="94"/>
              </w:rPr>
              <w:t>Methane Heather Sally</w:t>
            </w:r>
          </w:p>
        </w:tc>
        <w:tc>
          <w:tcPr>
            <w:tcW w:w="1360" w:type="dxa"/>
            <w:vAlign w:val="bottom"/>
          </w:tcPr>
          <w:p>
            <w:pPr>
              <w:jc w:val="center"/>
              <w:ind w:right="48"/>
              <w:spacing w:after="0" w:line="149" w:lineRule="exact"/>
              <w:rPr>
                <w:sz w:val="20"/>
                <w:szCs w:val="20"/>
                <w:color w:val="auto"/>
              </w:rPr>
            </w:pPr>
            <w:r>
              <w:rPr>
                <w:rFonts w:ascii="Arial" w:cs="Arial" w:eastAsia="Arial" w:hAnsi="Arial"/>
                <w:sz w:val="14"/>
                <w:szCs w:val="14"/>
                <w:color w:val="auto"/>
                <w:w w:val="91"/>
              </w:rPr>
              <w:t>June 2014</w:t>
            </w:r>
          </w:p>
        </w:tc>
      </w:tr>
      <w:tr>
        <w:trPr>
          <w:trHeight w:val="148"/>
        </w:trPr>
        <w:tc>
          <w:tcPr>
            <w:tcW w:w="218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GAS-twenty seven Ltd.</w:t>
            </w:r>
          </w:p>
        </w:tc>
        <w:tc>
          <w:tcPr>
            <w:tcW w:w="1900" w:type="dxa"/>
            <w:vAlign w:val="bottom"/>
            <w:shd w:val="clear" w:color="auto" w:fill="E5FFFF"/>
          </w:tcPr>
          <w:p>
            <w:pPr>
              <w:ind w:left="600"/>
              <w:spacing w:after="0" w:line="149" w:lineRule="exact"/>
              <w:rPr>
                <w:sz w:val="20"/>
                <w:szCs w:val="20"/>
                <w:color w:val="auto"/>
              </w:rPr>
            </w:pPr>
            <w:r>
              <w:rPr>
                <w:rFonts w:ascii="Arial" w:cs="Arial" w:eastAsia="Arial" w:hAnsi="Arial"/>
                <w:sz w:val="14"/>
                <w:szCs w:val="14"/>
                <w:color w:val="auto"/>
              </w:rPr>
              <w:t>Bermuda</w:t>
            </w:r>
          </w:p>
        </w:tc>
        <w:tc>
          <w:tcPr>
            <w:tcW w:w="1520" w:type="dxa"/>
            <w:vAlign w:val="bottom"/>
            <w:shd w:val="clear" w:color="auto" w:fill="E5FFFF"/>
          </w:tcPr>
          <w:p>
            <w:pPr>
              <w:ind w:left="340"/>
              <w:spacing w:after="0" w:line="149" w:lineRule="exact"/>
              <w:rPr>
                <w:sz w:val="20"/>
                <w:szCs w:val="20"/>
                <w:color w:val="auto"/>
              </w:rPr>
            </w:pPr>
            <w:r>
              <w:rPr>
                <w:rFonts w:ascii="Arial" w:cs="Arial" w:eastAsia="Arial" w:hAnsi="Arial"/>
                <w:sz w:val="14"/>
                <w:szCs w:val="14"/>
                <w:color w:val="auto"/>
              </w:rPr>
              <w:t>January 2015</w:t>
            </w:r>
          </w:p>
        </w:tc>
        <w:tc>
          <w:tcPr>
            <w:tcW w:w="1800" w:type="dxa"/>
            <w:vAlign w:val="bottom"/>
            <w:shd w:val="clear" w:color="auto" w:fill="E5FFFF"/>
          </w:tcPr>
          <w:p>
            <w:pPr>
              <w:ind w:left="220"/>
              <w:spacing w:after="0" w:line="149" w:lineRule="exact"/>
              <w:rPr>
                <w:sz w:val="20"/>
                <w:szCs w:val="20"/>
                <w:color w:val="auto"/>
              </w:rPr>
            </w:pPr>
            <w:r>
              <w:rPr>
                <w:rFonts w:ascii="Arial" w:cs="Arial" w:eastAsia="Arial" w:hAnsi="Arial"/>
                <w:sz w:val="14"/>
                <w:szCs w:val="14"/>
                <w:color w:val="auto"/>
              </w:rPr>
              <w:t>Vessel-owning company</w:t>
            </w:r>
          </w:p>
        </w:tc>
        <w:tc>
          <w:tcPr>
            <w:tcW w:w="960" w:type="dxa"/>
            <w:vAlign w:val="bottom"/>
            <w:shd w:val="clear" w:color="auto" w:fill="E5FFFF"/>
          </w:tcPr>
          <w:p>
            <w:pPr>
              <w:jc w:val="right"/>
              <w:ind w:right="268"/>
              <w:spacing w:after="0" w:line="149" w:lineRule="exact"/>
              <w:rPr>
                <w:sz w:val="20"/>
                <w:szCs w:val="20"/>
                <w:color w:val="auto"/>
              </w:rPr>
            </w:pPr>
            <w:r>
              <w:rPr>
                <w:rFonts w:ascii="Arial" w:cs="Arial" w:eastAsia="Arial" w:hAnsi="Arial"/>
                <w:sz w:val="14"/>
                <w:szCs w:val="14"/>
                <w:color w:val="auto"/>
              </w:rPr>
              <w:t>170,000</w:t>
            </w:r>
          </w:p>
        </w:tc>
        <w:tc>
          <w:tcPr>
            <w:tcW w:w="1840" w:type="dxa"/>
            <w:vAlign w:val="bottom"/>
            <w:shd w:val="clear" w:color="auto" w:fill="E5FFFF"/>
          </w:tcPr>
          <w:p>
            <w:pPr>
              <w:jc w:val="center"/>
              <w:ind w:left="28"/>
              <w:spacing w:after="0" w:line="149" w:lineRule="exact"/>
              <w:rPr>
                <w:sz w:val="20"/>
                <w:szCs w:val="20"/>
                <w:color w:val="auto"/>
              </w:rPr>
            </w:pPr>
            <w:r>
              <w:rPr>
                <w:rFonts w:ascii="Arial" w:cs="Arial" w:eastAsia="Arial" w:hAnsi="Arial"/>
                <w:sz w:val="14"/>
                <w:szCs w:val="14"/>
                <w:i w:val="1"/>
                <w:iCs w:val="1"/>
                <w:color w:val="auto"/>
                <w:w w:val="91"/>
              </w:rPr>
              <w:t>Methane Becki Anne</w:t>
            </w:r>
          </w:p>
        </w:tc>
        <w:tc>
          <w:tcPr>
            <w:tcW w:w="1360" w:type="dxa"/>
            <w:vAlign w:val="bottom"/>
            <w:shd w:val="clear" w:color="auto" w:fill="E5FFFF"/>
          </w:tcPr>
          <w:p>
            <w:pPr>
              <w:jc w:val="center"/>
              <w:ind w:right="28"/>
              <w:spacing w:after="0" w:line="149" w:lineRule="exact"/>
              <w:rPr>
                <w:sz w:val="20"/>
                <w:szCs w:val="20"/>
                <w:color w:val="auto"/>
              </w:rPr>
            </w:pPr>
            <w:r>
              <w:rPr>
                <w:rFonts w:ascii="Arial" w:cs="Arial" w:eastAsia="Arial" w:hAnsi="Arial"/>
                <w:sz w:val="14"/>
                <w:szCs w:val="14"/>
                <w:color w:val="auto"/>
                <w:w w:val="94"/>
              </w:rPr>
              <w:t>March 2015</w:t>
            </w:r>
          </w:p>
        </w:tc>
      </w:tr>
      <w:tr>
        <w:trPr>
          <w:trHeight w:val="148"/>
        </w:trPr>
        <w:tc>
          <w:tcPr>
            <w:tcW w:w="2180" w:type="dxa"/>
            <w:vAlign w:val="bottom"/>
          </w:tcPr>
          <w:p>
            <w:pPr>
              <w:spacing w:after="0" w:line="149" w:lineRule="exact"/>
              <w:rPr>
                <w:sz w:val="20"/>
                <w:szCs w:val="20"/>
                <w:color w:val="auto"/>
              </w:rPr>
            </w:pPr>
            <w:r>
              <w:rPr>
                <w:rFonts w:ascii="Arial" w:cs="Arial" w:eastAsia="Arial" w:hAnsi="Arial"/>
                <w:sz w:val="14"/>
                <w:szCs w:val="14"/>
                <w:b w:val="1"/>
                <w:bCs w:val="1"/>
                <w:color w:val="auto"/>
              </w:rPr>
              <w:t>25% interest associate:</w:t>
            </w:r>
          </w:p>
        </w:tc>
        <w:tc>
          <w:tcPr>
            <w:tcW w:w="19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360" w:type="dxa"/>
            <w:vAlign w:val="bottom"/>
          </w:tcPr>
          <w:p>
            <w:pPr>
              <w:spacing w:after="0"/>
              <w:rPr>
                <w:sz w:val="12"/>
                <w:szCs w:val="12"/>
                <w:color w:val="auto"/>
              </w:rPr>
            </w:pPr>
          </w:p>
        </w:tc>
      </w:tr>
      <w:tr>
        <w:trPr>
          <w:trHeight w:val="148"/>
        </w:trPr>
        <w:tc>
          <w:tcPr>
            <w:tcW w:w="218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Egypt LNG Shipping Ltd.</w:t>
            </w:r>
          </w:p>
        </w:tc>
        <w:tc>
          <w:tcPr>
            <w:tcW w:w="1900" w:type="dxa"/>
            <w:vAlign w:val="bottom"/>
            <w:shd w:val="clear" w:color="auto" w:fill="E5FFFF"/>
          </w:tcPr>
          <w:p>
            <w:pPr>
              <w:ind w:left="600"/>
              <w:spacing w:after="0" w:line="149" w:lineRule="exact"/>
              <w:rPr>
                <w:sz w:val="20"/>
                <w:szCs w:val="20"/>
                <w:color w:val="auto"/>
              </w:rPr>
            </w:pPr>
            <w:r>
              <w:rPr>
                <w:rFonts w:ascii="Arial" w:cs="Arial" w:eastAsia="Arial" w:hAnsi="Arial"/>
                <w:sz w:val="14"/>
                <w:szCs w:val="14"/>
                <w:color w:val="auto"/>
              </w:rPr>
              <w:t>Bermuda</w:t>
            </w:r>
          </w:p>
        </w:tc>
        <w:tc>
          <w:tcPr>
            <w:tcW w:w="1520" w:type="dxa"/>
            <w:vAlign w:val="bottom"/>
            <w:shd w:val="clear" w:color="auto" w:fill="E5FFFF"/>
          </w:tcPr>
          <w:p>
            <w:pPr>
              <w:ind w:left="340"/>
              <w:spacing w:after="0" w:line="149" w:lineRule="exact"/>
              <w:rPr>
                <w:sz w:val="20"/>
                <w:szCs w:val="20"/>
                <w:color w:val="auto"/>
              </w:rPr>
            </w:pPr>
            <w:r>
              <w:rPr>
                <w:rFonts w:ascii="Arial" w:cs="Arial" w:eastAsia="Arial" w:hAnsi="Arial"/>
                <w:sz w:val="14"/>
                <w:szCs w:val="14"/>
                <w:color w:val="auto"/>
              </w:rPr>
              <w:t>May 2010</w:t>
            </w:r>
          </w:p>
        </w:tc>
        <w:tc>
          <w:tcPr>
            <w:tcW w:w="1800" w:type="dxa"/>
            <w:vAlign w:val="bottom"/>
            <w:shd w:val="clear" w:color="auto" w:fill="E5FFFF"/>
          </w:tcPr>
          <w:p>
            <w:pPr>
              <w:ind w:left="220"/>
              <w:spacing w:after="0" w:line="149" w:lineRule="exact"/>
              <w:rPr>
                <w:sz w:val="20"/>
                <w:szCs w:val="20"/>
                <w:color w:val="auto"/>
              </w:rPr>
            </w:pPr>
            <w:r>
              <w:rPr>
                <w:rFonts w:ascii="Arial" w:cs="Arial" w:eastAsia="Arial" w:hAnsi="Arial"/>
                <w:sz w:val="14"/>
                <w:szCs w:val="14"/>
                <w:color w:val="auto"/>
              </w:rPr>
              <w:t>Vessel-owning company</w:t>
            </w:r>
          </w:p>
        </w:tc>
        <w:tc>
          <w:tcPr>
            <w:tcW w:w="960" w:type="dxa"/>
            <w:vAlign w:val="bottom"/>
            <w:shd w:val="clear" w:color="auto" w:fill="E5FFFF"/>
          </w:tcPr>
          <w:p>
            <w:pPr>
              <w:jc w:val="right"/>
              <w:ind w:right="268"/>
              <w:spacing w:after="0" w:line="149" w:lineRule="exact"/>
              <w:rPr>
                <w:sz w:val="20"/>
                <w:szCs w:val="20"/>
                <w:color w:val="auto"/>
              </w:rPr>
            </w:pPr>
            <w:r>
              <w:rPr>
                <w:rFonts w:ascii="Arial" w:cs="Arial" w:eastAsia="Arial" w:hAnsi="Arial"/>
                <w:sz w:val="14"/>
                <w:szCs w:val="14"/>
                <w:color w:val="auto"/>
              </w:rPr>
              <w:t>145,000</w:t>
            </w:r>
          </w:p>
        </w:tc>
        <w:tc>
          <w:tcPr>
            <w:tcW w:w="1840" w:type="dxa"/>
            <w:vAlign w:val="bottom"/>
            <w:shd w:val="clear" w:color="auto" w:fill="E5FFFF"/>
          </w:tcPr>
          <w:p>
            <w:pPr>
              <w:jc w:val="center"/>
              <w:ind w:left="28"/>
              <w:spacing w:after="0" w:line="149" w:lineRule="exact"/>
              <w:rPr>
                <w:sz w:val="20"/>
                <w:szCs w:val="20"/>
                <w:color w:val="auto"/>
              </w:rPr>
            </w:pPr>
            <w:r>
              <w:rPr>
                <w:rFonts w:ascii="Arial" w:cs="Arial" w:eastAsia="Arial" w:hAnsi="Arial"/>
                <w:sz w:val="14"/>
                <w:szCs w:val="14"/>
                <w:i w:val="1"/>
                <w:iCs w:val="1"/>
                <w:color w:val="auto"/>
                <w:w w:val="93"/>
              </w:rPr>
              <w:t>Methane Nile Eagle</w:t>
            </w:r>
          </w:p>
        </w:tc>
        <w:tc>
          <w:tcPr>
            <w:tcW w:w="1360" w:type="dxa"/>
            <w:vAlign w:val="bottom"/>
            <w:shd w:val="clear" w:color="auto" w:fill="E5FFFF"/>
          </w:tcPr>
          <w:p>
            <w:pPr>
              <w:jc w:val="center"/>
              <w:ind w:right="48"/>
              <w:spacing w:after="0" w:line="149" w:lineRule="exact"/>
              <w:rPr>
                <w:sz w:val="20"/>
                <w:szCs w:val="20"/>
                <w:color w:val="auto"/>
              </w:rPr>
            </w:pPr>
            <w:r>
              <w:rPr>
                <w:rFonts w:ascii="Arial" w:cs="Arial" w:eastAsia="Arial" w:hAnsi="Arial"/>
                <w:sz w:val="14"/>
                <w:szCs w:val="14"/>
                <w:color w:val="auto"/>
                <w:w w:val="92"/>
              </w:rPr>
              <w:t>December 2007</w:t>
            </w:r>
          </w:p>
        </w:tc>
      </w:tr>
      <w:tr>
        <w:trPr>
          <w:trHeight w:val="148"/>
        </w:trPr>
        <w:tc>
          <w:tcPr>
            <w:tcW w:w="2180" w:type="dxa"/>
            <w:vAlign w:val="bottom"/>
          </w:tcPr>
          <w:p>
            <w:pPr>
              <w:spacing w:after="0" w:line="149" w:lineRule="exact"/>
              <w:rPr>
                <w:sz w:val="20"/>
                <w:szCs w:val="20"/>
                <w:color w:val="auto"/>
              </w:rPr>
            </w:pPr>
            <w:r>
              <w:rPr>
                <w:rFonts w:ascii="Arial" w:cs="Arial" w:eastAsia="Arial" w:hAnsi="Arial"/>
                <w:sz w:val="14"/>
                <w:szCs w:val="14"/>
                <w:b w:val="1"/>
                <w:bCs w:val="1"/>
                <w:color w:val="auto"/>
              </w:rPr>
              <w:t>20% interest associate:</w:t>
            </w:r>
          </w:p>
        </w:tc>
        <w:tc>
          <w:tcPr>
            <w:tcW w:w="19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360" w:type="dxa"/>
            <w:vAlign w:val="bottom"/>
          </w:tcPr>
          <w:p>
            <w:pPr>
              <w:spacing w:after="0"/>
              <w:rPr>
                <w:sz w:val="12"/>
                <w:szCs w:val="12"/>
                <w:color w:val="auto"/>
              </w:rPr>
            </w:pPr>
          </w:p>
        </w:tc>
      </w:tr>
      <w:tr>
        <w:trPr>
          <w:trHeight w:val="149"/>
        </w:trPr>
        <w:tc>
          <w:tcPr>
            <w:tcW w:w="218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Gastrade S.A. (“Gastrade”)</w:t>
            </w:r>
          </w:p>
        </w:tc>
        <w:tc>
          <w:tcPr>
            <w:tcW w:w="1900" w:type="dxa"/>
            <w:vAlign w:val="bottom"/>
            <w:shd w:val="clear" w:color="auto" w:fill="E5FFFF"/>
          </w:tcPr>
          <w:p>
            <w:pPr>
              <w:ind w:left="600"/>
              <w:spacing w:after="0" w:line="149" w:lineRule="exact"/>
              <w:rPr>
                <w:sz w:val="20"/>
                <w:szCs w:val="20"/>
                <w:color w:val="auto"/>
              </w:rPr>
            </w:pPr>
            <w:r>
              <w:rPr>
                <w:rFonts w:ascii="Arial" w:cs="Arial" w:eastAsia="Arial" w:hAnsi="Arial"/>
                <w:sz w:val="14"/>
                <w:szCs w:val="14"/>
                <w:color w:val="auto"/>
              </w:rPr>
              <w:t>Greece</w:t>
            </w:r>
          </w:p>
        </w:tc>
        <w:tc>
          <w:tcPr>
            <w:tcW w:w="1520" w:type="dxa"/>
            <w:vAlign w:val="bottom"/>
            <w:shd w:val="clear" w:color="auto" w:fill="E5FFFF"/>
          </w:tcPr>
          <w:p>
            <w:pPr>
              <w:ind w:left="340"/>
              <w:spacing w:after="0" w:line="149" w:lineRule="exact"/>
              <w:rPr>
                <w:sz w:val="20"/>
                <w:szCs w:val="20"/>
                <w:color w:val="auto"/>
              </w:rPr>
            </w:pPr>
            <w:r>
              <w:rPr>
                <w:rFonts w:ascii="Arial" w:cs="Arial" w:eastAsia="Arial" w:hAnsi="Arial"/>
                <w:sz w:val="14"/>
                <w:szCs w:val="14"/>
                <w:color w:val="auto"/>
              </w:rPr>
              <w:t>June 2010</w:t>
            </w:r>
          </w:p>
        </w:tc>
        <w:tc>
          <w:tcPr>
            <w:tcW w:w="1800" w:type="dxa"/>
            <w:vAlign w:val="bottom"/>
            <w:shd w:val="clear" w:color="auto" w:fill="E5FFFF"/>
          </w:tcPr>
          <w:p>
            <w:pPr>
              <w:ind w:left="220"/>
              <w:spacing w:after="0" w:line="149" w:lineRule="exact"/>
              <w:rPr>
                <w:sz w:val="20"/>
                <w:szCs w:val="20"/>
                <w:color w:val="auto"/>
              </w:rPr>
            </w:pPr>
            <w:r>
              <w:rPr>
                <w:rFonts w:ascii="Arial" w:cs="Arial" w:eastAsia="Arial" w:hAnsi="Arial"/>
                <w:sz w:val="14"/>
                <w:szCs w:val="14"/>
                <w:color w:val="auto"/>
              </w:rPr>
              <w:t>Service company</w:t>
            </w:r>
          </w:p>
        </w:tc>
        <w:tc>
          <w:tcPr>
            <w:tcW w:w="960" w:type="dxa"/>
            <w:vAlign w:val="bottom"/>
            <w:shd w:val="clear" w:color="auto" w:fill="E5FFFF"/>
          </w:tcPr>
          <w:p>
            <w:pPr>
              <w:jc w:val="right"/>
              <w:ind w:right="208"/>
              <w:spacing w:after="0" w:line="149" w:lineRule="exact"/>
              <w:rPr>
                <w:sz w:val="20"/>
                <w:szCs w:val="20"/>
                <w:color w:val="auto"/>
              </w:rPr>
            </w:pPr>
            <w:r>
              <w:rPr>
                <w:rFonts w:ascii="Arial" w:cs="Arial" w:eastAsia="Arial" w:hAnsi="Arial"/>
                <w:sz w:val="14"/>
                <w:szCs w:val="14"/>
                <w:color w:val="auto"/>
              </w:rPr>
              <w:t>—</w:t>
            </w:r>
          </w:p>
        </w:tc>
        <w:tc>
          <w:tcPr>
            <w:tcW w:w="1840" w:type="dxa"/>
            <w:vAlign w:val="bottom"/>
            <w:shd w:val="clear" w:color="auto" w:fill="E5FFFF"/>
          </w:tcPr>
          <w:p>
            <w:pPr>
              <w:jc w:val="center"/>
              <w:ind w:left="28"/>
              <w:spacing w:after="0" w:line="149" w:lineRule="exact"/>
              <w:rPr>
                <w:sz w:val="20"/>
                <w:szCs w:val="20"/>
                <w:color w:val="auto"/>
              </w:rPr>
            </w:pPr>
            <w:r>
              <w:rPr>
                <w:rFonts w:ascii="Arial" w:cs="Arial" w:eastAsia="Arial" w:hAnsi="Arial"/>
                <w:sz w:val="14"/>
                <w:szCs w:val="14"/>
                <w:color w:val="auto"/>
                <w:w w:val="99"/>
              </w:rPr>
              <w:t>—</w:t>
            </w:r>
          </w:p>
        </w:tc>
        <w:tc>
          <w:tcPr>
            <w:tcW w:w="1360" w:type="dxa"/>
            <w:vAlign w:val="bottom"/>
            <w:shd w:val="clear" w:color="auto" w:fill="E5FFFF"/>
          </w:tcPr>
          <w:p>
            <w:pPr>
              <w:jc w:val="center"/>
              <w:ind w:right="48"/>
              <w:spacing w:after="0" w:line="149" w:lineRule="exact"/>
              <w:rPr>
                <w:sz w:val="20"/>
                <w:szCs w:val="20"/>
                <w:color w:val="auto"/>
              </w:rPr>
            </w:pPr>
            <w:r>
              <w:rPr>
                <w:rFonts w:ascii="Arial" w:cs="Arial" w:eastAsia="Arial" w:hAnsi="Arial"/>
                <w:sz w:val="14"/>
                <w:szCs w:val="14"/>
                <w:color w:val="auto"/>
              </w:rPr>
              <w:t>—</w:t>
            </w:r>
          </w:p>
        </w:tc>
      </w:tr>
      <w:tr>
        <w:trPr>
          <w:trHeight w:val="148"/>
        </w:trPr>
        <w:tc>
          <w:tcPr>
            <w:tcW w:w="2180" w:type="dxa"/>
            <w:vAlign w:val="bottom"/>
          </w:tcPr>
          <w:p>
            <w:pPr>
              <w:spacing w:after="0" w:line="149" w:lineRule="exact"/>
              <w:rPr>
                <w:sz w:val="20"/>
                <w:szCs w:val="20"/>
                <w:color w:val="auto"/>
              </w:rPr>
            </w:pPr>
            <w:r>
              <w:rPr>
                <w:rFonts w:ascii="Arial" w:cs="Arial" w:eastAsia="Arial" w:hAnsi="Arial"/>
                <w:sz w:val="14"/>
                <w:szCs w:val="14"/>
                <w:b w:val="1"/>
                <w:bCs w:val="1"/>
                <w:color w:val="auto"/>
              </w:rPr>
              <w:t>50% joint venture:</w:t>
            </w:r>
          </w:p>
        </w:tc>
        <w:tc>
          <w:tcPr>
            <w:tcW w:w="19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360" w:type="dxa"/>
            <w:vAlign w:val="bottom"/>
          </w:tcPr>
          <w:p>
            <w:pPr>
              <w:spacing w:after="0"/>
              <w:rPr>
                <w:sz w:val="12"/>
                <w:szCs w:val="12"/>
                <w:color w:val="auto"/>
              </w:rPr>
            </w:pPr>
          </w:p>
        </w:tc>
      </w:tr>
      <w:tr>
        <w:trPr>
          <w:trHeight w:val="148"/>
        </w:trPr>
        <w:tc>
          <w:tcPr>
            <w:tcW w:w="218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 xml:space="preserve">The Cool Pool Limited </w:t>
            </w:r>
            <w:r>
              <w:rPr>
                <w:rFonts w:ascii="Arial" w:cs="Arial" w:eastAsia="Arial" w:hAnsi="Arial"/>
                <w:sz w:val="17"/>
                <w:szCs w:val="17"/>
                <w:color w:val="auto"/>
                <w:vertAlign w:val="superscript"/>
              </w:rPr>
              <w:t>(2)</w:t>
            </w:r>
          </w:p>
        </w:tc>
        <w:tc>
          <w:tcPr>
            <w:tcW w:w="1900" w:type="dxa"/>
            <w:vAlign w:val="bottom"/>
            <w:shd w:val="clear" w:color="auto" w:fill="E5FFFF"/>
          </w:tcPr>
          <w:p>
            <w:pPr>
              <w:ind w:left="600"/>
              <w:spacing w:after="0" w:line="149" w:lineRule="exact"/>
              <w:rPr>
                <w:sz w:val="20"/>
                <w:szCs w:val="20"/>
                <w:color w:val="auto"/>
              </w:rPr>
            </w:pPr>
            <w:r>
              <w:rPr>
                <w:rFonts w:ascii="Arial" w:cs="Arial" w:eastAsia="Arial" w:hAnsi="Arial"/>
                <w:sz w:val="14"/>
                <w:szCs w:val="14"/>
                <w:color w:val="auto"/>
              </w:rPr>
              <w:t>Marshall Islands</w:t>
            </w:r>
          </w:p>
        </w:tc>
        <w:tc>
          <w:tcPr>
            <w:tcW w:w="1520" w:type="dxa"/>
            <w:vAlign w:val="bottom"/>
            <w:shd w:val="clear" w:color="auto" w:fill="E5FFFF"/>
          </w:tcPr>
          <w:p>
            <w:pPr>
              <w:ind w:left="340"/>
              <w:spacing w:after="0" w:line="149" w:lineRule="exact"/>
              <w:rPr>
                <w:sz w:val="20"/>
                <w:szCs w:val="20"/>
                <w:color w:val="auto"/>
              </w:rPr>
            </w:pPr>
            <w:r>
              <w:rPr>
                <w:rFonts w:ascii="Arial" w:cs="Arial" w:eastAsia="Arial" w:hAnsi="Arial"/>
                <w:sz w:val="14"/>
                <w:szCs w:val="14"/>
                <w:color w:val="auto"/>
              </w:rPr>
              <w:t>September 2015</w:t>
            </w:r>
          </w:p>
        </w:tc>
        <w:tc>
          <w:tcPr>
            <w:tcW w:w="1800" w:type="dxa"/>
            <w:vAlign w:val="bottom"/>
            <w:shd w:val="clear" w:color="auto" w:fill="E5FFFF"/>
          </w:tcPr>
          <w:p>
            <w:pPr>
              <w:ind w:left="220"/>
              <w:spacing w:after="0" w:line="149" w:lineRule="exact"/>
              <w:rPr>
                <w:sz w:val="20"/>
                <w:szCs w:val="20"/>
                <w:color w:val="auto"/>
              </w:rPr>
            </w:pPr>
            <w:r>
              <w:rPr>
                <w:rFonts w:ascii="Arial" w:cs="Arial" w:eastAsia="Arial" w:hAnsi="Arial"/>
                <w:sz w:val="14"/>
                <w:szCs w:val="14"/>
                <w:color w:val="auto"/>
              </w:rPr>
              <w:t>Service company</w:t>
            </w:r>
          </w:p>
        </w:tc>
        <w:tc>
          <w:tcPr>
            <w:tcW w:w="960" w:type="dxa"/>
            <w:vAlign w:val="bottom"/>
            <w:shd w:val="clear" w:color="auto" w:fill="E5FFFF"/>
          </w:tcPr>
          <w:p>
            <w:pPr>
              <w:jc w:val="right"/>
              <w:ind w:right="208"/>
              <w:spacing w:after="0" w:line="149" w:lineRule="exact"/>
              <w:rPr>
                <w:sz w:val="20"/>
                <w:szCs w:val="20"/>
                <w:color w:val="auto"/>
              </w:rPr>
            </w:pPr>
            <w:r>
              <w:rPr>
                <w:rFonts w:ascii="Arial" w:cs="Arial" w:eastAsia="Arial" w:hAnsi="Arial"/>
                <w:sz w:val="14"/>
                <w:szCs w:val="14"/>
                <w:color w:val="auto"/>
              </w:rPr>
              <w:t>—</w:t>
            </w:r>
          </w:p>
        </w:tc>
        <w:tc>
          <w:tcPr>
            <w:tcW w:w="1840" w:type="dxa"/>
            <w:vAlign w:val="bottom"/>
            <w:shd w:val="clear" w:color="auto" w:fill="E5FFFF"/>
          </w:tcPr>
          <w:p>
            <w:pPr>
              <w:jc w:val="center"/>
              <w:ind w:left="28"/>
              <w:spacing w:after="0" w:line="149" w:lineRule="exact"/>
              <w:rPr>
                <w:sz w:val="20"/>
                <w:szCs w:val="20"/>
                <w:color w:val="auto"/>
              </w:rPr>
            </w:pPr>
            <w:r>
              <w:rPr>
                <w:rFonts w:ascii="Arial" w:cs="Arial" w:eastAsia="Arial" w:hAnsi="Arial"/>
                <w:sz w:val="14"/>
                <w:szCs w:val="14"/>
                <w:color w:val="auto"/>
                <w:w w:val="99"/>
              </w:rPr>
              <w:t>—</w:t>
            </w:r>
          </w:p>
        </w:tc>
        <w:tc>
          <w:tcPr>
            <w:tcW w:w="1360" w:type="dxa"/>
            <w:vAlign w:val="bottom"/>
            <w:shd w:val="clear" w:color="auto" w:fill="E5FFFF"/>
          </w:tcPr>
          <w:p>
            <w:pPr>
              <w:jc w:val="center"/>
              <w:ind w:right="48"/>
              <w:spacing w:after="0" w:line="149" w:lineRule="exact"/>
              <w:rPr>
                <w:sz w:val="20"/>
                <w:szCs w:val="20"/>
                <w:color w:val="auto"/>
              </w:rPr>
            </w:pPr>
            <w:r>
              <w:rPr>
                <w:rFonts w:ascii="Arial" w:cs="Arial" w:eastAsia="Arial" w:hAnsi="Arial"/>
                <w:sz w:val="14"/>
                <w:szCs w:val="14"/>
                <w:color w:val="auto"/>
              </w:rPr>
              <w: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____________</w:t>
      </w:r>
    </w:p>
    <w:p>
      <w:pPr>
        <w:spacing w:after="0" w:line="128"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22"/>
          <w:szCs w:val="22"/>
          <w:color w:val="auto"/>
          <w:vertAlign w:val="superscript"/>
        </w:rPr>
      </w:pPr>
      <w:r>
        <w:rPr>
          <w:rFonts w:ascii="Arial" w:cs="Arial" w:eastAsia="Arial" w:hAnsi="Arial"/>
          <w:sz w:val="14"/>
          <w:szCs w:val="14"/>
          <w:color w:val="auto"/>
        </w:rPr>
        <w:t>For newbuildings, expected delivery quarters as of March 31, 2019 are presented.</w:t>
      </w:r>
    </w:p>
    <w:p>
      <w:pPr>
        <w:ind w:left="340" w:right="100" w:hanging="332"/>
        <w:spacing w:after="0" w:line="200" w:lineRule="auto"/>
        <w:tabs>
          <w:tab w:leader="none" w:pos="340" w:val="left"/>
        </w:tabs>
        <w:numPr>
          <w:ilvl w:val="0"/>
          <w:numId w:val="12"/>
        </w:numPr>
        <w:rPr>
          <w:rFonts w:ascii="Arial" w:cs="Arial" w:eastAsia="Arial" w:hAnsi="Arial"/>
          <w:sz w:val="22"/>
          <w:szCs w:val="22"/>
          <w:color w:val="auto"/>
          <w:vertAlign w:val="superscript"/>
        </w:rPr>
      </w:pPr>
      <w:r>
        <w:rPr>
          <w:rFonts w:ascii="Arial" w:cs="Arial" w:eastAsia="Arial" w:hAnsi="Arial"/>
          <w:sz w:val="14"/>
          <w:szCs w:val="14"/>
          <w:color w:val="auto"/>
        </w:rPr>
        <w:t>On October 1, 2015, GasLog Carriers, Dynagas Ltd. (“Dynagas”) and Golar LNG Ltd. (“Golar”) (“Pool Owners”) and The Cool Pool Limited signed an LNG carrier pooling agreement (the “LNG Carrier Pool” or “Pool Agreement” or “Cool Pool”) to market their vessels, which are currently operating in the LNG shipping spot market. For the operation of the Cool Pool, a Marshall Islands service company named “The Cool Pool Limited” or the “Pool Manager”, was incorporated in September 2015 acting as an agent. In June and July 2018, Dynagas removed its three vessels from the Cool Pool and ceased to be a shareholder.</w:t>
      </w:r>
    </w:p>
    <w:p>
      <w:pPr>
        <w:spacing w:after="0" w:line="117" w:lineRule="exact"/>
        <w:rPr>
          <w:rFonts w:ascii="Arial" w:cs="Arial" w:eastAsia="Arial" w:hAnsi="Arial"/>
          <w:sz w:val="22"/>
          <w:szCs w:val="22"/>
          <w:color w:val="auto"/>
          <w:vertAlign w:val="superscript"/>
        </w:rPr>
      </w:pPr>
    </w:p>
    <w:p>
      <w:pPr>
        <w:ind w:left="340" w:right="140"/>
        <w:spacing w:after="0" w:line="238" w:lineRule="auto"/>
        <w:rPr>
          <w:rFonts w:ascii="Arial" w:cs="Arial" w:eastAsia="Arial" w:hAnsi="Arial"/>
          <w:sz w:val="22"/>
          <w:szCs w:val="22"/>
          <w:color w:val="auto"/>
          <w:vertAlign w:val="superscript"/>
        </w:rPr>
      </w:pPr>
      <w:r>
        <w:rPr>
          <w:rFonts w:ascii="Arial" w:cs="Arial" w:eastAsia="Arial" w:hAnsi="Arial"/>
          <w:sz w:val="14"/>
          <w:szCs w:val="14"/>
          <w:color w:val="auto"/>
        </w:rPr>
        <w:t>As of March 31, 2019, the Cool Pool consists of 16 modern, high quality and essentially equivalent vessels powered by fuel efficient tri-fuel diesel electric (“TFDE”) engine propulsion technology. The participation of the Pool Owners’ vessels in the Cool Pool is as follows: GasLog: six vessels; and Golar: ten vessels. Each vessel owner continues to be fully responsible for the crew and technical management of their respective vessels.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 Basis of Presentation</w:t>
      </w:r>
    </w:p>
    <w:p>
      <w:pPr>
        <w:spacing w:after="0" w:line="239" w:lineRule="exact"/>
        <w:rPr>
          <w:sz w:val="20"/>
          <w:szCs w:val="20"/>
          <w:color w:val="auto"/>
        </w:rPr>
      </w:pPr>
    </w:p>
    <w:p>
      <w:pPr>
        <w:ind w:right="340" w:firstLine="436"/>
        <w:spacing w:after="0" w:line="297" w:lineRule="auto"/>
        <w:rPr>
          <w:sz w:val="20"/>
          <w:szCs w:val="20"/>
          <w:color w:val="auto"/>
        </w:rPr>
      </w:pPr>
      <w:r>
        <w:rPr>
          <w:rFonts w:ascii="Arial" w:cs="Arial" w:eastAsia="Arial" w:hAnsi="Arial"/>
          <w:sz w:val="15"/>
          <w:szCs w:val="15"/>
          <w:color w:val="auto"/>
        </w:rPr>
        <w:t xml:space="preserve">These unaudited condensed consolidated financial statements have been prepared in accordance with International Accounting Standard (“IAS”) 34 </w:t>
      </w:r>
      <w:r>
        <w:rPr>
          <w:rFonts w:ascii="Arial" w:cs="Arial" w:eastAsia="Arial" w:hAnsi="Arial"/>
          <w:sz w:val="15"/>
          <w:szCs w:val="15"/>
          <w:i w:val="1"/>
          <w:iCs w:val="1"/>
          <w:color w:val="auto"/>
        </w:rPr>
        <w:t>Interim Financial</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Reporting </w:t>
      </w:r>
      <w:r>
        <w:rPr>
          <w:rFonts w:ascii="Arial" w:cs="Arial" w:eastAsia="Arial" w:hAnsi="Arial"/>
          <w:sz w:val="15"/>
          <w:szCs w:val="15"/>
          <w:color w:val="auto"/>
        </w:rPr>
        <w:t>as issued by the International Accounting Standards Board (“IASB”). Certain information and footnote disclosures required by IFRS for a complete set of annual</w:t>
      </w:r>
      <w:r>
        <w:rPr>
          <w:rFonts w:ascii="Arial" w:cs="Arial" w:eastAsia="Arial" w:hAnsi="Arial"/>
          <w:sz w:val="15"/>
          <w:szCs w:val="15"/>
          <w:i w:val="1"/>
          <w:iCs w:val="1"/>
          <w:color w:val="auto"/>
        </w:rPr>
        <w:t xml:space="preserve"> </w:t>
      </w:r>
      <w:r>
        <w:rPr>
          <w:rFonts w:ascii="Arial" w:cs="Arial" w:eastAsia="Arial" w:hAnsi="Arial"/>
          <w:sz w:val="15"/>
          <w:szCs w:val="15"/>
          <w:color w:val="auto"/>
        </w:rPr>
        <w:t>financial statements have been omitted, and, therefore, these unaudited condensed consolidated financial statements should be read in conjunction with the Group’s annual consolidated financial statements as of and for the year ended December 31, 2018 filed with the SEC on March 5, 2019.</w:t>
      </w:r>
    </w:p>
    <w:p>
      <w:pPr>
        <w:spacing w:after="0" w:line="172" w:lineRule="exact"/>
        <w:rPr>
          <w:sz w:val="20"/>
          <w:szCs w:val="20"/>
          <w:color w:val="auto"/>
        </w:rPr>
      </w:pPr>
    </w:p>
    <w:p>
      <w:pPr>
        <w:ind w:right="120" w:firstLine="436"/>
        <w:spacing w:after="0" w:line="293" w:lineRule="auto"/>
        <w:rPr>
          <w:sz w:val="20"/>
          <w:szCs w:val="20"/>
          <w:color w:val="auto"/>
        </w:rPr>
      </w:pPr>
      <w:r>
        <w:rPr>
          <w:rFonts w:ascii="Arial" w:cs="Arial" w:eastAsia="Arial" w:hAnsi="Arial"/>
          <w:sz w:val="16"/>
          <w:szCs w:val="16"/>
          <w:color w:val="auto"/>
        </w:rPr>
        <w:t>The critical accounting judgments and key sources of estimation uncertainty were disclosed in the Company’s annual consolidated financial statements for the year ended December 31, 2018 and remain unchanged.</w:t>
      </w:r>
    </w:p>
    <w:p>
      <w:pPr>
        <w:spacing w:after="0" w:line="172" w:lineRule="exact"/>
        <w:rPr>
          <w:sz w:val="20"/>
          <w:szCs w:val="20"/>
          <w:color w:val="auto"/>
        </w:rPr>
      </w:pPr>
    </w:p>
    <w:p>
      <w:pPr>
        <w:ind w:right="140" w:firstLine="436"/>
        <w:spacing w:after="0" w:line="278" w:lineRule="auto"/>
        <w:rPr>
          <w:sz w:val="20"/>
          <w:szCs w:val="20"/>
          <w:color w:val="auto"/>
        </w:rPr>
      </w:pPr>
      <w:r>
        <w:rPr>
          <w:rFonts w:ascii="Arial" w:cs="Arial" w:eastAsia="Arial" w:hAnsi="Arial"/>
          <w:sz w:val="16"/>
          <w:szCs w:val="16"/>
          <w:color w:val="auto"/>
        </w:rPr>
        <w:t>The unaudited condensed consolidated financial statements are expressed in U.S. dollars (“USD”), which is the functional currency of all of the subsidiaries in the Group because their vessels operate in international shipping markets in which revenues and expenses are primarily settled in USD, and the Group’s most significant assets and liabilities are paid for and settled in USD.</w:t>
      </w:r>
    </w:p>
    <w:p>
      <w:pPr>
        <w:spacing w:after="0" w:line="184" w:lineRule="exact"/>
        <w:rPr>
          <w:sz w:val="20"/>
          <w:szCs w:val="20"/>
          <w:color w:val="auto"/>
        </w:rPr>
      </w:pPr>
    </w:p>
    <w:p>
      <w:pPr>
        <w:jc w:val="both"/>
        <w:ind w:right="100" w:firstLine="396"/>
        <w:spacing w:after="0" w:line="305" w:lineRule="auto"/>
        <w:rPr>
          <w:sz w:val="20"/>
          <w:szCs w:val="20"/>
          <w:color w:val="auto"/>
        </w:rPr>
      </w:pPr>
      <w:r>
        <w:rPr>
          <w:rFonts w:ascii="Arial" w:cs="Arial" w:eastAsia="Arial" w:hAnsi="Arial"/>
          <w:sz w:val="15"/>
          <w:szCs w:val="15"/>
          <w:color w:val="auto"/>
        </w:rPr>
        <w:t xml:space="preserve">The financial statements are prepared on the historical cost basis, except for the revaluation of derivative financial instruments. The same accounting policies and methods of computation have been followed in these unaudited condensed consolidated financial statements as were applied in the preparation of the Group’s financial statements for the year ended December 31, 2018, except for the changes resulting from the adoption of IFRS 16 </w:t>
      </w:r>
      <w:r>
        <w:rPr>
          <w:rFonts w:ascii="Arial" w:cs="Arial" w:eastAsia="Arial" w:hAnsi="Arial"/>
          <w:sz w:val="15"/>
          <w:szCs w:val="15"/>
          <w:i w:val="1"/>
          <w:iCs w:val="1"/>
          <w:color w:val="auto"/>
        </w:rPr>
        <w:t>Leases</w:t>
      </w:r>
      <w:r>
        <w:rPr>
          <w:rFonts w:ascii="Arial" w:cs="Arial" w:eastAsia="Arial" w:hAnsi="Arial"/>
          <w:sz w:val="15"/>
          <w:szCs w:val="15"/>
          <w:color w:val="auto"/>
        </w:rPr>
        <w:t xml:space="preserve"> (as discussed below).</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On May 3, 2019, GasLog’s board of directors authorized the unaudited condensed consolidated financial statements for issuance.</w:t>
      </w:r>
    </w:p>
    <w:p>
      <w:pPr>
        <w:spacing w:after="0" w:line="235" w:lineRule="exact"/>
        <w:rPr>
          <w:sz w:val="20"/>
          <w:szCs w:val="20"/>
          <w:color w:val="auto"/>
        </w:rPr>
      </w:pPr>
    </w:p>
    <w:p>
      <w:pPr>
        <w:ind w:right="220" w:firstLine="383"/>
        <w:spacing w:after="0" w:line="273" w:lineRule="auto"/>
        <w:rPr>
          <w:sz w:val="20"/>
          <w:szCs w:val="20"/>
          <w:color w:val="auto"/>
        </w:rPr>
      </w:pPr>
      <w:r>
        <w:rPr>
          <w:rFonts w:ascii="Arial" w:cs="Arial" w:eastAsia="Arial" w:hAnsi="Arial"/>
          <w:sz w:val="16"/>
          <w:szCs w:val="16"/>
          <w:color w:val="auto"/>
        </w:rPr>
        <w:t>Management anticipates that the Group’s primary sources of funds will be available cash, cash from operations and borrowings under existing and new loan agreements. The Group may also seek to raise additional common or other forms of equity. Management believes that these sources of funds will be sufficient for the Group to meet its liquidity needs and to comply with its financial covenants for at least twelve months from the end of the reporting period and therefore it is appropriate to prepare the financial statements on a going concern basis.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Adoption of new and revised IFRS</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 Standards and interpretations adopted in the current period</w:t>
      </w:r>
    </w:p>
    <w:p>
      <w:pPr>
        <w:spacing w:after="0" w:line="239" w:lineRule="exact"/>
        <w:rPr>
          <w:sz w:val="20"/>
          <w:szCs w:val="20"/>
          <w:color w:val="auto"/>
        </w:rPr>
      </w:pPr>
    </w:p>
    <w:p>
      <w:pPr>
        <w:ind w:right="20" w:firstLine="324"/>
        <w:spacing w:after="0" w:line="291" w:lineRule="auto"/>
        <w:rPr>
          <w:sz w:val="20"/>
          <w:szCs w:val="20"/>
          <w:color w:val="auto"/>
        </w:rPr>
      </w:pPr>
      <w:r>
        <w:rPr>
          <w:rFonts w:ascii="Arial" w:cs="Arial" w:eastAsia="Arial" w:hAnsi="Arial"/>
          <w:sz w:val="15"/>
          <w:szCs w:val="15"/>
          <w:color w:val="auto"/>
        </w:rPr>
        <w:t xml:space="preserve">In January 2016, the IASB issued IFRS 16 </w:t>
      </w:r>
      <w:r>
        <w:rPr>
          <w:rFonts w:ascii="Arial" w:cs="Arial" w:eastAsia="Arial" w:hAnsi="Arial"/>
          <w:sz w:val="15"/>
          <w:szCs w:val="15"/>
          <w:i w:val="1"/>
          <w:iCs w:val="1"/>
          <w:color w:val="auto"/>
        </w:rPr>
        <w:t>Leases</w:t>
      </w:r>
      <w:r>
        <w:rPr>
          <w:rFonts w:ascii="Arial" w:cs="Arial" w:eastAsia="Arial" w:hAnsi="Arial"/>
          <w:sz w:val="15"/>
          <w:szCs w:val="15"/>
          <w:color w:val="auto"/>
        </w:rPr>
        <w:t xml:space="preserve">, which sets out the principles for the recognition, measurement, presentation and disclosure of leases for both parties to a contract, i.e. the customer (“lessee”) and the supplier (“lessor”). IFRS 16 eliminates the classification of leases by lessees as either operating leases or finance leases and, instead, introduces a single lessee accounting model. Applying that model, a lessee is required to recognize: (a) assets and liabilities for all leases with a term of more than 12 months, unless the underlying asset is of low value; and (b) depreciation of lease assets separately from interest on lease liabilities in the statement of profit or loss. Lessors continue to classify their leases as operating leases or finance leases, and to account for those two types of leases differently. IFRS 16 </w:t>
      </w:r>
      <w:r>
        <w:rPr>
          <w:rFonts w:ascii="Arial" w:cs="Arial" w:eastAsia="Arial" w:hAnsi="Arial"/>
          <w:sz w:val="15"/>
          <w:szCs w:val="15"/>
          <w:i w:val="1"/>
          <w:iCs w:val="1"/>
          <w:color w:val="auto"/>
        </w:rPr>
        <w:t>Leases</w:t>
      </w:r>
      <w:r>
        <w:rPr>
          <w:rFonts w:ascii="Arial" w:cs="Arial" w:eastAsia="Arial" w:hAnsi="Arial"/>
          <w:sz w:val="15"/>
          <w:szCs w:val="15"/>
          <w:color w:val="auto"/>
        </w:rPr>
        <w:t xml:space="preserve"> supersedes the previous leases Standard, IAS 17 </w:t>
      </w:r>
      <w:r>
        <w:rPr>
          <w:rFonts w:ascii="Arial" w:cs="Arial" w:eastAsia="Arial" w:hAnsi="Arial"/>
          <w:sz w:val="15"/>
          <w:szCs w:val="15"/>
          <w:i w:val="1"/>
          <w:iCs w:val="1"/>
          <w:color w:val="auto"/>
        </w:rPr>
        <w:t>Leases</w:t>
      </w:r>
      <w:r>
        <w:rPr>
          <w:rFonts w:ascii="Arial" w:cs="Arial" w:eastAsia="Arial" w:hAnsi="Arial"/>
          <w:sz w:val="15"/>
          <w:szCs w:val="15"/>
          <w:color w:val="auto"/>
        </w:rPr>
        <w:t>, and related Interpretations. The standard is effective from January 1, 2019.</w:t>
      </w:r>
    </w:p>
    <w:p>
      <w:pPr>
        <w:spacing w:after="0" w:line="176" w:lineRule="exact"/>
        <w:rPr>
          <w:sz w:val="20"/>
          <w:szCs w:val="20"/>
          <w:color w:val="auto"/>
        </w:rPr>
      </w:pPr>
    </w:p>
    <w:p>
      <w:pPr>
        <w:ind w:right="100" w:firstLine="324"/>
        <w:spacing w:after="0" w:line="293" w:lineRule="auto"/>
        <w:rPr>
          <w:sz w:val="20"/>
          <w:szCs w:val="20"/>
          <w:color w:val="auto"/>
        </w:rPr>
      </w:pPr>
      <w:r>
        <w:rPr>
          <w:rFonts w:ascii="Arial" w:cs="Arial" w:eastAsia="Arial" w:hAnsi="Arial"/>
          <w:sz w:val="16"/>
          <w:szCs w:val="16"/>
          <w:color w:val="auto"/>
        </w:rPr>
        <w:t>The Group is a lessee under a vessel sale and leaseback arrangement and also leases various properties, vessel and office equipment. Rental contracts are typically made for fixed periods but may have extension options. Lease terms are negotiated on an individual basis and contain a wide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35901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359015" cy="29845"/>
                    </a:xfrm>
                    <a:prstGeom prst="rect">
                      <a:avLst/>
                    </a:prstGeom>
                    <a:noFill/>
                  </pic:spPr>
                </pic:pic>
              </a:graphicData>
            </a:graphic>
          </wp:anchor>
        </w:drawing>
      </w:r>
    </w:p>
    <w:p>
      <w:pPr>
        <w:sectPr>
          <w:pgSz w:w="11900" w:h="16838" w:orient="portrait"/>
          <w:cols w:equalWidth="0" w:num="1">
            <w:col w:w="11560"/>
          </w:cols>
          <w:pgMar w:left="160" w:top="263" w:right="179" w:bottom="1440" w:gutter="0" w:footer="0" w:header="0"/>
        </w:sectPr>
      </w:pPr>
    </w:p>
    <w:bookmarkStart w:id="32" w:name="page33"/>
    <w:bookmarkEnd w:id="32"/>
    <w:p>
      <w:pPr>
        <w:ind w:right="120"/>
        <w:spacing w:after="0" w:line="273" w:lineRule="auto"/>
        <w:rPr>
          <w:sz w:val="20"/>
          <w:szCs w:val="20"/>
          <w:color w:val="auto"/>
        </w:rPr>
      </w:pPr>
      <w:r>
        <w:rPr>
          <w:rFonts w:ascii="Arial" w:cs="Arial" w:eastAsia="Arial" w:hAnsi="Arial"/>
          <w:sz w:val="16"/>
          <w:szCs w:val="16"/>
          <w:color w:val="auto"/>
        </w:rPr>
        <w:t>range of different terms and conditions. Following the implementation of IFRS 16, leases are recognized as a right-of-use asset and a corresponding liability at the date at which the leased asset is available for use by the Group. Each lease payment is allocated between the liability and finance cost. The finance cost is charged to profit or loss over the lease period so as to produce a constant periodic rate of interest on the remaining balance of the liability for each period. The right-of-use asset is depreciated over the shorter of the asset’s useful life and the lease term on a straight-line basis.</w:t>
      </w:r>
    </w:p>
    <w:p>
      <w:pPr>
        <w:spacing w:after="0" w:line="189" w:lineRule="exact"/>
        <w:rPr>
          <w:sz w:val="20"/>
          <w:szCs w:val="20"/>
          <w:color w:val="auto"/>
        </w:rPr>
      </w:pPr>
    </w:p>
    <w:p>
      <w:pPr>
        <w:ind w:firstLine="324"/>
        <w:spacing w:after="0" w:line="288" w:lineRule="auto"/>
        <w:rPr>
          <w:sz w:val="20"/>
          <w:szCs w:val="20"/>
          <w:color w:val="auto"/>
        </w:rPr>
      </w:pPr>
      <w:r>
        <w:rPr>
          <w:rFonts w:ascii="Arial" w:cs="Arial" w:eastAsia="Arial" w:hAnsi="Arial"/>
          <w:sz w:val="15"/>
          <w:szCs w:val="15"/>
          <w:color w:val="auto"/>
        </w:rPr>
        <w:t>Assets and liabilities arising from a lease are initially measured on a present value basis. Lease liabilities include the net present value of the following lease payments: (a) fixed payments (including in-substance fixed payments), less any lease incentives receivable, (b) variable lease payments that are based on an index or a rate (if any), (c) amounts expected to be payable by the lessee under residual value guarantees (if any), (d) the exercise price of a purchase option if the lessee is reasonably certain to exercise that option, and (e) payments of penalties for terminating the lease, if the lease term reflects the lessee exercising that option. The lease payments are discounted using the interest rate implicit in the lease, if that rate can be determined, or the Group’s incremental borrowing rate. Right-of-use assets are measured at cost comprising the following: (a) the amount of the initial measurement of lease liability, (b) any lease payments made at or before the commencement date less any lease incentives received, (c) any initial direct costs, and (d) restoration costs. Payments associated with short-term leases and leases of low-value assets are recognized on a straight-line basis as an expense in profit or loss. Short-term leases are leases with a lease term of 12 months or less. Low-value assets comprise vessel and office equipment.</w:t>
      </w:r>
    </w:p>
    <w:p>
      <w:pPr>
        <w:spacing w:after="0" w:line="180" w:lineRule="exact"/>
        <w:rPr>
          <w:sz w:val="20"/>
          <w:szCs w:val="20"/>
          <w:color w:val="auto"/>
        </w:rPr>
      </w:pPr>
    </w:p>
    <w:p>
      <w:pPr>
        <w:jc w:val="both"/>
        <w:ind w:right="260" w:firstLine="324"/>
        <w:spacing w:after="0" w:line="278" w:lineRule="auto"/>
        <w:rPr>
          <w:sz w:val="20"/>
          <w:szCs w:val="20"/>
          <w:color w:val="auto"/>
        </w:rPr>
      </w:pPr>
      <w:r>
        <w:rPr>
          <w:rFonts w:ascii="Arial" w:cs="Arial" w:eastAsia="Arial" w:hAnsi="Arial"/>
          <w:sz w:val="16"/>
          <w:szCs w:val="16"/>
          <w:color w:val="auto"/>
        </w:rPr>
        <w:t xml:space="preserve">For leases where the Group is the lessee, the Group has elected to apply the simplified approach, by which comparative information is not restated and any adjustment is recognized at the date of initial application of IFRS 16 </w:t>
      </w:r>
      <w:r>
        <w:rPr>
          <w:rFonts w:ascii="Arial" w:cs="Arial" w:eastAsia="Arial" w:hAnsi="Arial"/>
          <w:sz w:val="16"/>
          <w:szCs w:val="16"/>
          <w:i w:val="1"/>
          <w:iCs w:val="1"/>
          <w:color w:val="auto"/>
        </w:rPr>
        <w:t>Leases</w:t>
      </w:r>
      <w:r>
        <w:rPr>
          <w:rFonts w:ascii="Arial" w:cs="Arial" w:eastAsia="Arial" w:hAnsi="Arial"/>
          <w:sz w:val="16"/>
          <w:szCs w:val="16"/>
          <w:color w:val="auto"/>
        </w:rPr>
        <w:t>. The adoption of the standard on January 1, 2019, resulted in an increase in total assets of $7,618, an increase in retained earnings of $215, an increase in non-controlling interests of $128 and an increase in total liabilities of $7,275.</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 Standards and amendments in issue not yet adopted</w:t>
      </w:r>
    </w:p>
    <w:p>
      <w:pPr>
        <w:spacing w:after="0" w:line="239" w:lineRule="exact"/>
        <w:rPr>
          <w:sz w:val="20"/>
          <w:szCs w:val="20"/>
          <w:color w:val="auto"/>
        </w:rPr>
      </w:pPr>
    </w:p>
    <w:p>
      <w:pPr>
        <w:ind w:right="20" w:firstLine="418"/>
        <w:spacing w:after="0" w:line="293" w:lineRule="auto"/>
        <w:rPr>
          <w:sz w:val="20"/>
          <w:szCs w:val="20"/>
          <w:color w:val="auto"/>
        </w:rPr>
      </w:pPr>
      <w:r>
        <w:rPr>
          <w:rFonts w:ascii="Arial" w:cs="Arial" w:eastAsia="Arial" w:hAnsi="Arial"/>
          <w:sz w:val="16"/>
          <w:szCs w:val="16"/>
          <w:color w:val="auto"/>
        </w:rPr>
        <w:t>At the date of authorization of these unaudited condensed consolidated financial statements, there were no IFRS standards and amendments issued but not yet adopted with an expected material effect on the Group’s unaudited condensed consolidated financial statements.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 Non-controlling Interest in GasLog Partners</w:t>
      </w:r>
    </w:p>
    <w:p>
      <w:pPr>
        <w:spacing w:after="0" w:line="23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The profit allocation to non-controlling interests is based on the distribution policy for available cash stated in the Partnership Agreement as amended, effective</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November 27, 2018, is illustrated in the table below:</w:t>
      </w:r>
    </w:p>
    <w:p>
      <w:pPr>
        <w:spacing w:after="0" w:line="227" w:lineRule="exact"/>
        <w:rPr>
          <w:sz w:val="20"/>
          <w:szCs w:val="20"/>
          <w:color w:val="auto"/>
        </w:rPr>
      </w:pPr>
    </w:p>
    <w:tbl>
      <w:tblPr>
        <w:tblLayout w:type="fixed"/>
        <w:tblInd w:w="340" w:type="dxa"/>
        <w:tblCellMar>
          <w:top w:w="0" w:type="dxa"/>
          <w:left w:w="0" w:type="dxa"/>
          <w:bottom w:w="0" w:type="dxa"/>
          <w:right w:w="0" w:type="dxa"/>
        </w:tblCellMar>
      </w:tblPr>
      <w:tr>
        <w:trPr>
          <w:trHeight w:val="210"/>
        </w:trPr>
        <w:tc>
          <w:tcPr>
            <w:tcW w:w="2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5280" w:type="dxa"/>
            <w:vAlign w:val="bottom"/>
            <w:tcBorders>
              <w:bottom w:val="single" w:sz="8" w:color="auto"/>
            </w:tcBorders>
            <w:gridSpan w:val="8"/>
          </w:tcPr>
          <w:p>
            <w:pPr>
              <w:ind w:left="1640"/>
              <w:spacing w:after="0"/>
              <w:rPr>
                <w:sz w:val="20"/>
                <w:szCs w:val="20"/>
                <w:color w:val="auto"/>
              </w:rPr>
            </w:pPr>
            <w:r>
              <w:rPr>
                <w:rFonts w:ascii="Arial" w:cs="Arial" w:eastAsia="Arial" w:hAnsi="Arial"/>
                <w:sz w:val="16"/>
                <w:szCs w:val="16"/>
                <w:b w:val="1"/>
                <w:bCs w:val="1"/>
                <w:color w:val="auto"/>
              </w:rPr>
              <w:t>Marginal Percentage Interest in Distributions</w:t>
            </w:r>
          </w:p>
        </w:tc>
        <w:tc>
          <w:tcPr>
            <w:tcW w:w="2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88"/>
        </w:trPr>
        <w:tc>
          <w:tcPr>
            <w:tcW w:w="25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tcPr>
          <w:p>
            <w:pPr>
              <w:jc w:val="center"/>
              <w:ind w:right="159"/>
              <w:spacing w:after="0"/>
              <w:rPr>
                <w:sz w:val="20"/>
                <w:szCs w:val="20"/>
                <w:color w:val="auto"/>
              </w:rPr>
            </w:pPr>
            <w:r>
              <w:rPr>
                <w:rFonts w:ascii="Arial" w:cs="Arial" w:eastAsia="Arial" w:hAnsi="Arial"/>
                <w:sz w:val="16"/>
                <w:szCs w:val="16"/>
                <w:b w:val="1"/>
                <w:bCs w:val="1"/>
                <w:color w:val="auto"/>
                <w:w w:val="90"/>
              </w:rPr>
              <w:t>Holders of</w:t>
            </w:r>
          </w:p>
        </w:tc>
        <w:tc>
          <w:tcPr>
            <w:tcW w:w="120" w:type="dxa"/>
            <w:vAlign w:val="bottom"/>
          </w:tcPr>
          <w:p>
            <w:pPr>
              <w:spacing w:after="0"/>
              <w:rPr>
                <w:sz w:val="16"/>
                <w:szCs w:val="16"/>
                <w:color w:val="auto"/>
              </w:rPr>
            </w:pPr>
          </w:p>
        </w:tc>
      </w:tr>
      <w:tr>
        <w:trPr>
          <w:trHeight w:val="203"/>
        </w:trPr>
        <w:tc>
          <w:tcPr>
            <w:tcW w:w="2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80" w:type="dxa"/>
            <w:vAlign w:val="bottom"/>
            <w:gridSpan w:val="2"/>
          </w:tcPr>
          <w:p>
            <w:pPr>
              <w:jc w:val="center"/>
              <w:ind w:right="760"/>
              <w:spacing w:after="0"/>
              <w:rPr>
                <w:sz w:val="20"/>
                <w:szCs w:val="20"/>
                <w:color w:val="auto"/>
              </w:rPr>
            </w:pPr>
            <w:r>
              <w:rPr>
                <w:rFonts w:ascii="Arial" w:cs="Arial" w:eastAsia="Arial" w:hAnsi="Arial"/>
                <w:sz w:val="16"/>
                <w:szCs w:val="16"/>
                <w:b w:val="1"/>
                <w:bCs w:val="1"/>
                <w:color w:val="auto"/>
                <w:w w:val="94"/>
              </w:rPr>
              <w:t>Total Quarterly</w:t>
            </w: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0"/>
              </w:rPr>
              <w:t>(Incentive</w:t>
            </w:r>
          </w:p>
        </w:tc>
      </w:tr>
      <w:tr>
        <w:trPr>
          <w:trHeight w:val="203"/>
        </w:trPr>
        <w:tc>
          <w:tcPr>
            <w:tcW w:w="2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80" w:type="dxa"/>
            <w:vAlign w:val="bottom"/>
            <w:gridSpan w:val="2"/>
          </w:tcPr>
          <w:p>
            <w:pPr>
              <w:jc w:val="center"/>
              <w:ind w:right="760"/>
              <w:spacing w:after="0"/>
              <w:rPr>
                <w:sz w:val="20"/>
                <w:szCs w:val="20"/>
                <w:color w:val="auto"/>
              </w:rPr>
            </w:pPr>
            <w:r>
              <w:rPr>
                <w:rFonts w:ascii="Arial" w:cs="Arial" w:eastAsia="Arial" w:hAnsi="Arial"/>
                <w:sz w:val="16"/>
                <w:szCs w:val="16"/>
                <w:b w:val="1"/>
                <w:bCs w:val="1"/>
                <w:color w:val="auto"/>
                <w:w w:val="93"/>
              </w:rPr>
              <w:t>Distribution</w:t>
            </w: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w w:val="93"/>
              </w:rPr>
              <w:t>General</w:t>
            </w:r>
          </w:p>
        </w:tc>
        <w:tc>
          <w:tcPr>
            <w:tcW w:w="17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3"/>
              </w:rPr>
              <w:t>Distribution Rights</w:t>
            </w:r>
          </w:p>
        </w:tc>
      </w:tr>
      <w:tr>
        <w:trPr>
          <w:trHeight w:val="213"/>
        </w:trPr>
        <w:tc>
          <w:tcPr>
            <w:tcW w:w="2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80" w:type="dxa"/>
            <w:vAlign w:val="bottom"/>
            <w:gridSpan w:val="2"/>
          </w:tcPr>
          <w:p>
            <w:pPr>
              <w:jc w:val="center"/>
              <w:ind w:right="760"/>
              <w:spacing w:after="0"/>
              <w:rPr>
                <w:sz w:val="20"/>
                <w:szCs w:val="20"/>
                <w:color w:val="auto"/>
              </w:rPr>
            </w:pPr>
            <w:r>
              <w:rPr>
                <w:rFonts w:ascii="Arial" w:cs="Arial" w:eastAsia="Arial" w:hAnsi="Arial"/>
                <w:sz w:val="16"/>
                <w:szCs w:val="16"/>
                <w:b w:val="1"/>
                <w:bCs w:val="1"/>
                <w:color w:val="auto"/>
                <w:w w:val="91"/>
              </w:rPr>
              <w:t>Target Amount</w:t>
            </w: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92"/>
              </w:rPr>
              <w:t>Unitholders</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3"/>
          </w:tcPr>
          <w:p>
            <w:pPr>
              <w:jc w:val="center"/>
              <w:ind w:right="280"/>
              <w:spacing w:after="0"/>
              <w:rPr>
                <w:sz w:val="20"/>
                <w:szCs w:val="20"/>
                <w:color w:val="auto"/>
              </w:rPr>
            </w:pPr>
            <w:r>
              <w:rPr>
                <w:rFonts w:ascii="Arial" w:cs="Arial" w:eastAsia="Arial" w:hAnsi="Arial"/>
                <w:sz w:val="16"/>
                <w:szCs w:val="16"/>
                <w:b w:val="1"/>
                <w:bCs w:val="1"/>
                <w:color w:val="auto"/>
                <w:w w:val="96"/>
              </w:rPr>
              <w:t>Partner</w:t>
            </w:r>
          </w:p>
        </w:tc>
        <w:tc>
          <w:tcPr>
            <w:tcW w:w="260" w:type="dxa"/>
            <w:vAlign w:val="bottom"/>
          </w:tcPr>
          <w:p>
            <w:pPr>
              <w:spacing w:after="0"/>
              <w:rPr>
                <w:sz w:val="18"/>
                <w:szCs w:val="18"/>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(“IDRs”)</w:t>
            </w:r>
          </w:p>
        </w:tc>
      </w:tr>
      <w:tr>
        <w:trPr>
          <w:trHeight w:val="199"/>
        </w:trPr>
        <w:tc>
          <w:tcPr>
            <w:tcW w:w="3580" w:type="dxa"/>
            <w:vAlign w:val="bottom"/>
            <w:tcBorders>
              <w:top w:val="single" w:sz="8" w:color="E5FFFF"/>
            </w:tcBorders>
            <w:gridSpan w:val="2"/>
            <w:shd w:val="clear" w:color="auto" w:fill="E5FFFF"/>
          </w:tcPr>
          <w:p>
            <w:pPr>
              <w:spacing w:after="0"/>
              <w:rPr>
                <w:sz w:val="20"/>
                <w:szCs w:val="20"/>
                <w:color w:val="auto"/>
              </w:rPr>
            </w:pPr>
            <w:r>
              <w:rPr>
                <w:rFonts w:ascii="Arial" w:cs="Arial" w:eastAsia="Arial" w:hAnsi="Arial"/>
                <w:sz w:val="16"/>
                <w:szCs w:val="16"/>
                <w:color w:val="auto"/>
              </w:rPr>
              <w:t>Minimum Quarterly Distribution</w:t>
            </w:r>
          </w:p>
        </w:tc>
        <w:tc>
          <w:tcPr>
            <w:tcW w:w="480" w:type="dxa"/>
            <w:vAlign w:val="bottom"/>
            <w:tcBorders>
              <w:top w:val="single" w:sz="8" w:color="auto"/>
            </w:tcBorders>
            <w:shd w:val="clear" w:color="auto" w:fill="E5FFFF"/>
          </w:tcPr>
          <w:p>
            <w:pPr>
              <w:spacing w:after="0"/>
              <w:rPr>
                <w:sz w:val="17"/>
                <w:szCs w:val="17"/>
                <w:color w:val="auto"/>
              </w:rPr>
            </w:pPr>
          </w:p>
        </w:tc>
        <w:tc>
          <w:tcPr>
            <w:tcW w:w="24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$0.375</w:t>
            </w:r>
          </w:p>
        </w:tc>
        <w:tc>
          <w:tcPr>
            <w:tcW w:w="280" w:type="dxa"/>
            <w:vAlign w:val="bottom"/>
            <w:tcBorders>
              <w:top w:val="single" w:sz="8" w:color="E5FFFF"/>
            </w:tcBorders>
            <w:shd w:val="clear" w:color="auto" w:fill="E5FFFF"/>
          </w:tcPr>
          <w:p>
            <w:pPr>
              <w:spacing w:after="0"/>
              <w:rPr>
                <w:sz w:val="17"/>
                <w:szCs w:val="17"/>
                <w:color w:val="auto"/>
              </w:rPr>
            </w:pPr>
          </w:p>
        </w:tc>
        <w:tc>
          <w:tcPr>
            <w:tcW w:w="114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92"/>
              </w:rPr>
              <w:t>98.0%</w:t>
            </w:r>
          </w:p>
        </w:tc>
        <w:tc>
          <w:tcPr>
            <w:tcW w:w="60" w:type="dxa"/>
            <w:vAlign w:val="bottom"/>
            <w:tcBorders>
              <w:top w:val="single" w:sz="8" w:color="E5FFFF"/>
            </w:tcBorders>
            <w:shd w:val="clear" w:color="auto" w:fill="E5FFFF"/>
          </w:tcPr>
          <w:p>
            <w:pPr>
              <w:spacing w:after="0"/>
              <w:rPr>
                <w:sz w:val="17"/>
                <w:szCs w:val="17"/>
                <w:color w:val="auto"/>
              </w:rPr>
            </w:pPr>
          </w:p>
        </w:tc>
        <w:tc>
          <w:tcPr>
            <w:tcW w:w="220" w:type="dxa"/>
            <w:vAlign w:val="bottom"/>
            <w:tcBorders>
              <w:top w:val="single" w:sz="8" w:color="E5FFFF"/>
            </w:tcBorders>
            <w:shd w:val="clear" w:color="auto" w:fill="E5FFFF"/>
          </w:tcPr>
          <w:p>
            <w:pPr>
              <w:spacing w:after="0"/>
              <w:rPr>
                <w:sz w:val="17"/>
                <w:szCs w:val="17"/>
                <w:color w:val="auto"/>
              </w:rPr>
            </w:pPr>
          </w:p>
        </w:tc>
        <w:tc>
          <w:tcPr>
            <w:tcW w:w="90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93"/>
              </w:rPr>
              <w:t>2.0%</w:t>
            </w:r>
          </w:p>
        </w:tc>
        <w:tc>
          <w:tcPr>
            <w:tcW w:w="260" w:type="dxa"/>
            <w:vAlign w:val="bottom"/>
            <w:tcBorders>
              <w:top w:val="single" w:sz="8" w:color="E5FFFF"/>
            </w:tcBorders>
            <w:shd w:val="clear" w:color="auto" w:fill="E5FFFF"/>
          </w:tcPr>
          <w:p>
            <w:pPr>
              <w:spacing w:after="0"/>
              <w:rPr>
                <w:sz w:val="17"/>
                <w:szCs w:val="17"/>
                <w:color w:val="auto"/>
              </w:rPr>
            </w:pPr>
          </w:p>
        </w:tc>
        <w:tc>
          <w:tcPr>
            <w:tcW w:w="20" w:type="dxa"/>
            <w:vAlign w:val="bottom"/>
            <w:tcBorders>
              <w:top w:val="single" w:sz="8" w:color="E5FFFF"/>
            </w:tcBorders>
            <w:shd w:val="clear" w:color="auto" w:fill="E5FFFF"/>
          </w:tcPr>
          <w:p>
            <w:pPr>
              <w:spacing w:after="0"/>
              <w:rPr>
                <w:sz w:val="17"/>
                <w:szCs w:val="17"/>
                <w:color w:val="auto"/>
              </w:rPr>
            </w:pPr>
          </w:p>
        </w:tc>
        <w:tc>
          <w:tcPr>
            <w:tcW w:w="1620" w:type="dxa"/>
            <w:vAlign w:val="bottom"/>
            <w:tcBorders>
              <w:top w:val="single" w:sz="8" w:color="auto"/>
            </w:tcBorders>
            <w:gridSpan w:val="2"/>
            <w:shd w:val="clear" w:color="auto" w:fill="E5FFFF"/>
          </w:tcPr>
          <w:p>
            <w:pPr>
              <w:jc w:val="right"/>
              <w:ind w:right="179"/>
              <w:spacing w:after="0"/>
              <w:rPr>
                <w:sz w:val="20"/>
                <w:szCs w:val="20"/>
                <w:color w:val="auto"/>
              </w:rPr>
            </w:pPr>
            <w:r>
              <w:rPr>
                <w:rFonts w:ascii="Arial" w:cs="Arial" w:eastAsia="Arial" w:hAnsi="Arial"/>
                <w:sz w:val="16"/>
                <w:szCs w:val="16"/>
                <w:color w:val="auto"/>
              </w:rPr>
              <w:t>0%</w:t>
            </w:r>
          </w:p>
        </w:tc>
        <w:tc>
          <w:tcPr>
            <w:tcW w:w="120" w:type="dxa"/>
            <w:vAlign w:val="bottom"/>
            <w:tcBorders>
              <w:top w:val="single" w:sz="8" w:color="E5FFFF"/>
            </w:tcBorders>
            <w:shd w:val="clear" w:color="auto" w:fill="E5FFFF"/>
          </w:tcPr>
          <w:p>
            <w:pPr>
              <w:spacing w:after="0"/>
              <w:rPr>
                <w:sz w:val="17"/>
                <w:szCs w:val="17"/>
                <w:color w:val="auto"/>
              </w:rPr>
            </w:pPr>
          </w:p>
        </w:tc>
      </w:tr>
      <w:tr>
        <w:trPr>
          <w:trHeight w:val="203"/>
        </w:trPr>
        <w:tc>
          <w:tcPr>
            <w:tcW w:w="4060" w:type="dxa"/>
            <w:vAlign w:val="bottom"/>
            <w:gridSpan w:val="3"/>
          </w:tcPr>
          <w:p>
            <w:pPr>
              <w:spacing w:after="0"/>
              <w:rPr>
                <w:sz w:val="20"/>
                <w:szCs w:val="20"/>
                <w:color w:val="auto"/>
              </w:rPr>
            </w:pPr>
            <w:r>
              <w:rPr>
                <w:rFonts w:ascii="Arial" w:cs="Arial" w:eastAsia="Arial" w:hAnsi="Arial"/>
                <w:sz w:val="16"/>
                <w:szCs w:val="16"/>
                <w:color w:val="auto"/>
              </w:rPr>
              <w:t>First Target Distribution</w:t>
            </w:r>
          </w:p>
        </w:tc>
        <w:tc>
          <w:tcPr>
            <w:tcW w:w="2680" w:type="dxa"/>
            <w:vAlign w:val="bottom"/>
            <w:gridSpan w:val="2"/>
          </w:tcPr>
          <w:p>
            <w:pPr>
              <w:jc w:val="right"/>
              <w:ind w:right="280"/>
              <w:spacing w:after="0"/>
              <w:rPr>
                <w:sz w:val="20"/>
                <w:szCs w:val="20"/>
                <w:color w:val="auto"/>
              </w:rPr>
            </w:pPr>
            <w:r>
              <w:rPr>
                <w:rFonts w:ascii="Arial" w:cs="Arial" w:eastAsia="Arial" w:hAnsi="Arial"/>
                <w:sz w:val="16"/>
                <w:szCs w:val="16"/>
                <w:color w:val="auto"/>
              </w:rPr>
              <w:t>$0.375 up to $0.43125</w:t>
            </w:r>
          </w:p>
        </w:tc>
        <w:tc>
          <w:tcPr>
            <w:tcW w:w="1140" w:type="dxa"/>
            <w:vAlign w:val="bottom"/>
          </w:tcPr>
          <w:p>
            <w:pPr>
              <w:jc w:val="center"/>
              <w:spacing w:after="0"/>
              <w:rPr>
                <w:sz w:val="20"/>
                <w:szCs w:val="20"/>
                <w:color w:val="auto"/>
              </w:rPr>
            </w:pPr>
            <w:r>
              <w:rPr>
                <w:rFonts w:ascii="Arial" w:cs="Arial" w:eastAsia="Arial" w:hAnsi="Arial"/>
                <w:sz w:val="16"/>
                <w:szCs w:val="16"/>
                <w:color w:val="auto"/>
                <w:w w:val="92"/>
              </w:rPr>
              <w:t>98.0%</w:t>
            </w:r>
          </w:p>
        </w:tc>
        <w:tc>
          <w:tcPr>
            <w:tcW w:w="1180" w:type="dxa"/>
            <w:vAlign w:val="bottom"/>
            <w:gridSpan w:val="3"/>
          </w:tcPr>
          <w:p>
            <w:pPr>
              <w:jc w:val="center"/>
              <w:ind w:left="199"/>
              <w:spacing w:after="0"/>
              <w:rPr>
                <w:sz w:val="20"/>
                <w:szCs w:val="20"/>
                <w:color w:val="auto"/>
              </w:rPr>
            </w:pPr>
            <w:r>
              <w:rPr>
                <w:rFonts w:ascii="Arial" w:cs="Arial" w:eastAsia="Arial" w:hAnsi="Arial"/>
                <w:sz w:val="16"/>
                <w:szCs w:val="16"/>
                <w:color w:val="auto"/>
                <w:w w:val="93"/>
              </w:rPr>
              <w:t>2.0%</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20" w:type="dxa"/>
            <w:vAlign w:val="bottom"/>
            <w:gridSpan w:val="2"/>
          </w:tcPr>
          <w:p>
            <w:pPr>
              <w:jc w:val="right"/>
              <w:ind w:right="179"/>
              <w:spacing w:after="0"/>
              <w:rPr>
                <w:sz w:val="20"/>
                <w:szCs w:val="20"/>
                <w:color w:val="auto"/>
              </w:rPr>
            </w:pPr>
            <w:r>
              <w:rPr>
                <w:rFonts w:ascii="Arial" w:cs="Arial" w:eastAsia="Arial" w:hAnsi="Arial"/>
                <w:sz w:val="16"/>
                <w:szCs w:val="16"/>
                <w:color w:val="auto"/>
              </w:rPr>
              <w:t>0%</w:t>
            </w:r>
          </w:p>
        </w:tc>
        <w:tc>
          <w:tcPr>
            <w:tcW w:w="120" w:type="dxa"/>
            <w:vAlign w:val="bottom"/>
          </w:tcPr>
          <w:p>
            <w:pPr>
              <w:spacing w:after="0"/>
              <w:rPr>
                <w:sz w:val="17"/>
                <w:szCs w:val="17"/>
                <w:color w:val="auto"/>
              </w:rPr>
            </w:pPr>
          </w:p>
        </w:tc>
      </w:tr>
      <w:tr>
        <w:trPr>
          <w:trHeight w:val="203"/>
        </w:trPr>
        <w:tc>
          <w:tcPr>
            <w:tcW w:w="4060" w:type="dxa"/>
            <w:vAlign w:val="bottom"/>
            <w:gridSpan w:val="3"/>
            <w:shd w:val="clear" w:color="auto" w:fill="E5FFFF"/>
          </w:tcPr>
          <w:p>
            <w:pPr>
              <w:spacing w:after="0"/>
              <w:rPr>
                <w:sz w:val="20"/>
                <w:szCs w:val="20"/>
                <w:color w:val="auto"/>
              </w:rPr>
            </w:pPr>
            <w:r>
              <w:rPr>
                <w:rFonts w:ascii="Arial" w:cs="Arial" w:eastAsia="Arial" w:hAnsi="Arial"/>
                <w:sz w:val="16"/>
                <w:szCs w:val="16"/>
                <w:color w:val="auto"/>
              </w:rPr>
              <w:t>Second Target Distribution</w:t>
            </w:r>
          </w:p>
        </w:tc>
        <w:tc>
          <w:tcPr>
            <w:tcW w:w="268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$0.43125 up to $0.46875</w:t>
            </w:r>
          </w:p>
        </w:tc>
        <w:tc>
          <w:tcPr>
            <w:tcW w:w="114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2"/>
              </w:rPr>
              <w:t>85.0%</w:t>
            </w:r>
          </w:p>
        </w:tc>
        <w:tc>
          <w:tcPr>
            <w:tcW w:w="1180" w:type="dxa"/>
            <w:vAlign w:val="bottom"/>
            <w:gridSpan w:val="3"/>
            <w:shd w:val="clear" w:color="auto" w:fill="E5FFFF"/>
          </w:tcPr>
          <w:p>
            <w:pPr>
              <w:jc w:val="center"/>
              <w:ind w:left="199"/>
              <w:spacing w:after="0"/>
              <w:rPr>
                <w:sz w:val="20"/>
                <w:szCs w:val="20"/>
                <w:color w:val="auto"/>
              </w:rPr>
            </w:pPr>
            <w:r>
              <w:rPr>
                <w:rFonts w:ascii="Arial" w:cs="Arial" w:eastAsia="Arial" w:hAnsi="Arial"/>
                <w:sz w:val="16"/>
                <w:szCs w:val="16"/>
                <w:color w:val="auto"/>
                <w:w w:val="93"/>
              </w:rPr>
              <w:t>2.0%</w:t>
            </w:r>
          </w:p>
        </w:tc>
        <w:tc>
          <w:tcPr>
            <w:tcW w:w="26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1620" w:type="dxa"/>
            <w:vAlign w:val="bottom"/>
            <w:gridSpan w:val="2"/>
            <w:shd w:val="clear" w:color="auto" w:fill="E5FFFF"/>
          </w:tcPr>
          <w:p>
            <w:pPr>
              <w:jc w:val="right"/>
              <w:ind w:right="179"/>
              <w:spacing w:after="0"/>
              <w:rPr>
                <w:sz w:val="20"/>
                <w:szCs w:val="20"/>
                <w:color w:val="auto"/>
              </w:rPr>
            </w:pPr>
            <w:r>
              <w:rPr>
                <w:rFonts w:ascii="Arial" w:cs="Arial" w:eastAsia="Arial" w:hAnsi="Arial"/>
                <w:sz w:val="16"/>
                <w:szCs w:val="16"/>
                <w:color w:val="auto"/>
              </w:rPr>
              <w:t>13.0%</w:t>
            </w:r>
          </w:p>
        </w:tc>
        <w:tc>
          <w:tcPr>
            <w:tcW w:w="120" w:type="dxa"/>
            <w:vAlign w:val="bottom"/>
            <w:shd w:val="clear" w:color="auto" w:fill="E5FFFF"/>
          </w:tcPr>
          <w:p>
            <w:pPr>
              <w:spacing w:after="0"/>
              <w:rPr>
                <w:sz w:val="17"/>
                <w:szCs w:val="17"/>
                <w:color w:val="auto"/>
              </w:rPr>
            </w:pPr>
          </w:p>
        </w:tc>
      </w:tr>
      <w:tr>
        <w:trPr>
          <w:trHeight w:val="206"/>
        </w:trPr>
        <w:tc>
          <w:tcPr>
            <w:tcW w:w="4060" w:type="dxa"/>
            <w:vAlign w:val="bottom"/>
            <w:gridSpan w:val="3"/>
          </w:tcPr>
          <w:p>
            <w:pPr>
              <w:spacing w:after="0"/>
              <w:rPr>
                <w:sz w:val="20"/>
                <w:szCs w:val="20"/>
                <w:color w:val="auto"/>
              </w:rPr>
            </w:pPr>
            <w:r>
              <w:rPr>
                <w:rFonts w:ascii="Arial" w:cs="Arial" w:eastAsia="Arial" w:hAnsi="Arial"/>
                <w:sz w:val="16"/>
                <w:szCs w:val="16"/>
                <w:color w:val="auto"/>
              </w:rPr>
              <w:t>Thereafter</w:t>
            </w:r>
          </w:p>
        </w:tc>
        <w:tc>
          <w:tcPr>
            <w:tcW w:w="2680" w:type="dxa"/>
            <w:vAlign w:val="bottom"/>
            <w:gridSpan w:val="2"/>
          </w:tcPr>
          <w:p>
            <w:pPr>
              <w:jc w:val="right"/>
              <w:ind w:right="280"/>
              <w:spacing w:after="0"/>
              <w:rPr>
                <w:sz w:val="20"/>
                <w:szCs w:val="20"/>
                <w:color w:val="auto"/>
              </w:rPr>
            </w:pPr>
            <w:r>
              <w:rPr>
                <w:rFonts w:ascii="Arial" w:cs="Arial" w:eastAsia="Arial" w:hAnsi="Arial"/>
                <w:sz w:val="16"/>
                <w:szCs w:val="16"/>
                <w:color w:val="auto"/>
              </w:rPr>
              <w:t>Above $0.46875</w:t>
            </w:r>
          </w:p>
        </w:tc>
        <w:tc>
          <w:tcPr>
            <w:tcW w:w="1140" w:type="dxa"/>
            <w:vAlign w:val="bottom"/>
          </w:tcPr>
          <w:p>
            <w:pPr>
              <w:jc w:val="center"/>
              <w:spacing w:after="0"/>
              <w:rPr>
                <w:sz w:val="20"/>
                <w:szCs w:val="20"/>
                <w:color w:val="auto"/>
              </w:rPr>
            </w:pPr>
            <w:r>
              <w:rPr>
                <w:rFonts w:ascii="Arial" w:cs="Arial" w:eastAsia="Arial" w:hAnsi="Arial"/>
                <w:sz w:val="16"/>
                <w:szCs w:val="16"/>
                <w:color w:val="auto"/>
                <w:w w:val="92"/>
              </w:rPr>
              <w:t>75.0%</w:t>
            </w:r>
          </w:p>
        </w:tc>
        <w:tc>
          <w:tcPr>
            <w:tcW w:w="1180" w:type="dxa"/>
            <w:vAlign w:val="bottom"/>
            <w:gridSpan w:val="3"/>
          </w:tcPr>
          <w:p>
            <w:pPr>
              <w:jc w:val="center"/>
              <w:ind w:left="199"/>
              <w:spacing w:after="0"/>
              <w:rPr>
                <w:sz w:val="20"/>
                <w:szCs w:val="20"/>
                <w:color w:val="auto"/>
              </w:rPr>
            </w:pPr>
            <w:r>
              <w:rPr>
                <w:rFonts w:ascii="Arial" w:cs="Arial" w:eastAsia="Arial" w:hAnsi="Arial"/>
                <w:sz w:val="16"/>
                <w:szCs w:val="16"/>
                <w:color w:val="auto"/>
                <w:w w:val="93"/>
              </w:rPr>
              <w:t>2.0%</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20" w:type="dxa"/>
            <w:vAlign w:val="bottom"/>
            <w:gridSpan w:val="2"/>
          </w:tcPr>
          <w:p>
            <w:pPr>
              <w:jc w:val="right"/>
              <w:ind w:right="179"/>
              <w:spacing w:after="0"/>
              <w:rPr>
                <w:sz w:val="20"/>
                <w:szCs w:val="20"/>
                <w:color w:val="auto"/>
              </w:rPr>
            </w:pPr>
            <w:r>
              <w:rPr>
                <w:rFonts w:ascii="Arial" w:cs="Arial" w:eastAsia="Arial" w:hAnsi="Arial"/>
                <w:sz w:val="16"/>
                <w:szCs w:val="16"/>
                <w:color w:val="auto"/>
              </w:rPr>
              <w:t>23.0%</w:t>
            </w:r>
          </w:p>
        </w:tc>
        <w:tc>
          <w:tcPr>
            <w:tcW w:w="120" w:type="dxa"/>
            <w:vAlign w:val="bottom"/>
          </w:tcPr>
          <w:p>
            <w:pPr>
              <w:spacing w:after="0"/>
              <w:rPr>
                <w:sz w:val="17"/>
                <w:szCs w:val="17"/>
                <w:color w:val="auto"/>
              </w:rPr>
            </w:pPr>
          </w:p>
        </w:tc>
      </w:tr>
      <w:tr>
        <w:trPr>
          <w:trHeight w:val="374"/>
        </w:trPr>
        <w:tc>
          <w:tcPr>
            <w:tcW w:w="4060" w:type="dxa"/>
            <w:vAlign w:val="bottom"/>
            <w:gridSpan w:val="3"/>
          </w:tcPr>
          <w:p>
            <w:pPr>
              <w:spacing w:after="0"/>
              <w:rPr>
                <w:sz w:val="20"/>
                <w:szCs w:val="20"/>
                <w:color w:val="auto"/>
              </w:rPr>
            </w:pPr>
            <w:r>
              <w:rPr>
                <w:rFonts w:ascii="Arial" w:cs="Arial" w:eastAsia="Arial" w:hAnsi="Arial"/>
                <w:sz w:val="16"/>
                <w:szCs w:val="16"/>
                <w:b w:val="1"/>
                <w:bCs w:val="1"/>
                <w:i w:val="1"/>
                <w:iCs w:val="1"/>
                <w:color w:val="auto"/>
              </w:rPr>
              <w:t>Allocation of GasLog Partners’ profit</w:t>
            </w:r>
            <w:r>
              <w:rPr>
                <w:rFonts w:ascii="Arial" w:cs="Arial" w:eastAsia="Arial" w:hAnsi="Arial"/>
                <w:sz w:val="21"/>
                <w:szCs w:val="21"/>
                <w:b w:val="1"/>
                <w:bCs w:val="1"/>
                <w:i w:val="1"/>
                <w:iCs w:val="1"/>
                <w:color w:val="auto"/>
                <w:vertAlign w:val="superscript"/>
              </w:rPr>
              <w:t>(*)</w:t>
            </w:r>
          </w:p>
        </w:tc>
        <w:tc>
          <w:tcPr>
            <w:tcW w:w="2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920" w:type="dxa"/>
            <w:vAlign w:val="bottom"/>
            <w:gridSpan w:val="6"/>
          </w:tcPr>
          <w:p>
            <w:pPr>
              <w:ind w:left="340"/>
              <w:spacing w:after="0"/>
              <w:rPr>
                <w:sz w:val="20"/>
                <w:szCs w:val="20"/>
                <w:color w:val="auto"/>
              </w:rPr>
            </w:pPr>
            <w:r>
              <w:rPr>
                <w:rFonts w:ascii="Arial" w:cs="Arial" w:eastAsia="Arial" w:hAnsi="Arial"/>
                <w:sz w:val="16"/>
                <w:szCs w:val="16"/>
                <w:b w:val="1"/>
                <w:bCs w:val="1"/>
                <w:color w:val="auto"/>
              </w:rPr>
              <w:t>For the three months ended</w:t>
            </w:r>
          </w:p>
        </w:tc>
      </w:tr>
      <w:tr>
        <w:trPr>
          <w:trHeight w:val="220"/>
        </w:trPr>
        <w:tc>
          <w:tcPr>
            <w:tcW w:w="2500" w:type="dxa"/>
            <w:vAlign w:val="bottom"/>
            <w:tcBorders>
              <w:top w:val="single" w:sz="8" w:color="auto"/>
            </w:tcBorders>
          </w:tcPr>
          <w:p>
            <w:pPr>
              <w:spacing w:after="0"/>
              <w:rPr>
                <w:sz w:val="19"/>
                <w:szCs w:val="19"/>
                <w:color w:val="auto"/>
              </w:rPr>
            </w:pPr>
          </w:p>
        </w:tc>
        <w:tc>
          <w:tcPr>
            <w:tcW w:w="10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0" w:type="dxa"/>
            <w:vAlign w:val="bottom"/>
            <w:gridSpan w:val="4"/>
          </w:tcPr>
          <w:p>
            <w:pPr>
              <w:jc w:val="center"/>
              <w:ind w:right="20"/>
              <w:spacing w:after="0"/>
              <w:rPr>
                <w:sz w:val="20"/>
                <w:szCs w:val="20"/>
                <w:color w:val="auto"/>
              </w:rPr>
            </w:pPr>
            <w:r>
              <w:rPr>
                <w:rFonts w:ascii="Arial" w:cs="Arial" w:eastAsia="Arial" w:hAnsi="Arial"/>
                <w:sz w:val="16"/>
                <w:szCs w:val="16"/>
                <w:b w:val="1"/>
                <w:bCs w:val="1"/>
                <w:color w:val="auto"/>
                <w:w w:val="93"/>
              </w:rPr>
              <w:t>March 31, 2018</w:t>
            </w:r>
          </w:p>
        </w:tc>
        <w:tc>
          <w:tcPr>
            <w:tcW w:w="260" w:type="dxa"/>
            <w:vAlign w:val="bottom"/>
          </w:tcPr>
          <w:p>
            <w:pPr>
              <w:spacing w:after="0"/>
              <w:rPr>
                <w:sz w:val="19"/>
                <w:szCs w:val="19"/>
                <w:color w:val="auto"/>
              </w:rPr>
            </w:pPr>
          </w:p>
        </w:tc>
        <w:tc>
          <w:tcPr>
            <w:tcW w:w="1480" w:type="dxa"/>
            <w:vAlign w:val="bottom"/>
            <w:gridSpan w:val="2"/>
          </w:tcPr>
          <w:p>
            <w:pPr>
              <w:ind w:left="140"/>
              <w:spacing w:after="0"/>
              <w:rPr>
                <w:sz w:val="20"/>
                <w:szCs w:val="20"/>
                <w:color w:val="auto"/>
              </w:rPr>
            </w:pPr>
            <w:r>
              <w:rPr>
                <w:rFonts w:ascii="Arial" w:cs="Arial" w:eastAsia="Arial" w:hAnsi="Arial"/>
                <w:sz w:val="16"/>
                <w:szCs w:val="16"/>
                <w:b w:val="1"/>
                <w:bCs w:val="1"/>
                <w:color w:val="auto"/>
              </w:rPr>
              <w:t>March 31, 2019</w:t>
            </w:r>
          </w:p>
        </w:tc>
      </w:tr>
      <w:tr>
        <w:trPr>
          <w:trHeight w:val="186"/>
        </w:trPr>
        <w:tc>
          <w:tcPr>
            <w:tcW w:w="4060" w:type="dxa"/>
            <w:vAlign w:val="bottom"/>
            <w:tcBorders>
              <w:top w:val="single" w:sz="8" w:color="E5FFFF"/>
            </w:tcBorders>
            <w:gridSpan w:val="3"/>
            <w:shd w:val="clear" w:color="auto" w:fill="E5FFFF"/>
          </w:tcPr>
          <w:p>
            <w:pPr>
              <w:spacing w:after="0"/>
              <w:rPr>
                <w:sz w:val="20"/>
                <w:szCs w:val="20"/>
                <w:color w:val="auto"/>
              </w:rPr>
            </w:pPr>
            <w:r>
              <w:rPr>
                <w:rFonts w:ascii="Arial" w:cs="Arial" w:eastAsia="Arial" w:hAnsi="Arial"/>
                <w:sz w:val="16"/>
                <w:szCs w:val="16"/>
                <w:color w:val="auto"/>
              </w:rPr>
              <w:t>Partnership’s profit attributable to:</w:t>
            </w:r>
          </w:p>
        </w:tc>
        <w:tc>
          <w:tcPr>
            <w:tcW w:w="2400" w:type="dxa"/>
            <w:vAlign w:val="bottom"/>
            <w:tcBorders>
              <w:top w:val="single" w:sz="8" w:color="E5FFFF"/>
            </w:tcBorders>
            <w:shd w:val="clear" w:color="auto" w:fill="E5FFFF"/>
          </w:tcPr>
          <w:p>
            <w:pPr>
              <w:spacing w:after="0"/>
              <w:rPr>
                <w:sz w:val="16"/>
                <w:szCs w:val="16"/>
                <w:color w:val="auto"/>
              </w:rPr>
            </w:pPr>
          </w:p>
        </w:tc>
        <w:tc>
          <w:tcPr>
            <w:tcW w:w="280" w:type="dxa"/>
            <w:vAlign w:val="bottom"/>
            <w:tcBorders>
              <w:top w:val="single" w:sz="8" w:color="E5FFFF"/>
            </w:tcBorders>
            <w:shd w:val="clear" w:color="auto" w:fill="E5FFFF"/>
          </w:tcPr>
          <w:p>
            <w:pPr>
              <w:spacing w:after="0"/>
              <w:rPr>
                <w:sz w:val="16"/>
                <w:szCs w:val="16"/>
                <w:color w:val="auto"/>
              </w:rPr>
            </w:pPr>
          </w:p>
        </w:tc>
        <w:tc>
          <w:tcPr>
            <w:tcW w:w="1140" w:type="dxa"/>
            <w:vAlign w:val="bottom"/>
            <w:tcBorders>
              <w:top w:val="single" w:sz="8" w:color="E5FFFF"/>
            </w:tcBorders>
            <w:shd w:val="clear" w:color="auto" w:fill="E5FFFF"/>
          </w:tcPr>
          <w:p>
            <w:pPr>
              <w:spacing w:after="0"/>
              <w:rPr>
                <w:sz w:val="16"/>
                <w:szCs w:val="16"/>
                <w:color w:val="auto"/>
              </w:rPr>
            </w:pPr>
          </w:p>
        </w:tc>
        <w:tc>
          <w:tcPr>
            <w:tcW w:w="60" w:type="dxa"/>
            <w:vAlign w:val="bottom"/>
            <w:tcBorders>
              <w:top w:val="single" w:sz="8" w:color="E5FFFF"/>
            </w:tcBorders>
            <w:shd w:val="clear" w:color="auto" w:fill="E5FFFF"/>
          </w:tcPr>
          <w:p>
            <w:pPr>
              <w:spacing w:after="0"/>
              <w:rPr>
                <w:sz w:val="16"/>
                <w:szCs w:val="16"/>
                <w:color w:val="auto"/>
              </w:rPr>
            </w:pPr>
          </w:p>
        </w:tc>
        <w:tc>
          <w:tcPr>
            <w:tcW w:w="220" w:type="dxa"/>
            <w:vAlign w:val="bottom"/>
            <w:tcBorders>
              <w:top w:val="single" w:sz="8" w:color="auto"/>
            </w:tcBorders>
            <w:shd w:val="clear" w:color="auto" w:fill="E5FFFF"/>
          </w:tcPr>
          <w:p>
            <w:pPr>
              <w:spacing w:after="0"/>
              <w:rPr>
                <w:sz w:val="16"/>
                <w:szCs w:val="16"/>
                <w:color w:val="auto"/>
              </w:rPr>
            </w:pPr>
          </w:p>
        </w:tc>
        <w:tc>
          <w:tcPr>
            <w:tcW w:w="900" w:type="dxa"/>
            <w:vAlign w:val="bottom"/>
            <w:tcBorders>
              <w:top w:val="single" w:sz="8" w:color="auto"/>
            </w:tcBorders>
            <w:shd w:val="clear" w:color="auto" w:fill="E5FFFF"/>
          </w:tcPr>
          <w:p>
            <w:pPr>
              <w:spacing w:after="0"/>
              <w:rPr>
                <w:sz w:val="16"/>
                <w:szCs w:val="16"/>
                <w:color w:val="auto"/>
              </w:rPr>
            </w:pPr>
          </w:p>
        </w:tc>
        <w:tc>
          <w:tcPr>
            <w:tcW w:w="260" w:type="dxa"/>
            <w:vAlign w:val="bottom"/>
            <w:tcBorders>
              <w:top w:val="single" w:sz="8" w:color="auto"/>
            </w:tcBorders>
            <w:shd w:val="clear" w:color="auto" w:fill="E5FFFF"/>
          </w:tcPr>
          <w:p>
            <w:pPr>
              <w:spacing w:after="0"/>
              <w:rPr>
                <w:sz w:val="16"/>
                <w:szCs w:val="16"/>
                <w:color w:val="auto"/>
              </w:rPr>
            </w:pPr>
          </w:p>
        </w:tc>
        <w:tc>
          <w:tcPr>
            <w:tcW w:w="20" w:type="dxa"/>
            <w:vAlign w:val="bottom"/>
            <w:tcBorders>
              <w:top w:val="single" w:sz="8" w:color="E5FFFF"/>
            </w:tcBorders>
            <w:shd w:val="clear" w:color="auto" w:fill="E5FFFF"/>
          </w:tcPr>
          <w:p>
            <w:pPr>
              <w:spacing w:after="0"/>
              <w:rPr>
                <w:sz w:val="16"/>
                <w:szCs w:val="16"/>
                <w:color w:val="auto"/>
              </w:rPr>
            </w:pPr>
          </w:p>
        </w:tc>
        <w:tc>
          <w:tcPr>
            <w:tcW w:w="260" w:type="dxa"/>
            <w:vAlign w:val="bottom"/>
            <w:tcBorders>
              <w:top w:val="single" w:sz="8" w:color="E5FFFF"/>
            </w:tcBorders>
            <w:shd w:val="clear" w:color="auto" w:fill="E5FFFF"/>
          </w:tcPr>
          <w:p>
            <w:pPr>
              <w:spacing w:after="0"/>
              <w:rPr>
                <w:sz w:val="16"/>
                <w:szCs w:val="16"/>
                <w:color w:val="auto"/>
              </w:rPr>
            </w:pPr>
          </w:p>
        </w:tc>
        <w:tc>
          <w:tcPr>
            <w:tcW w:w="1360" w:type="dxa"/>
            <w:vAlign w:val="bottom"/>
            <w:tcBorders>
              <w:top w:val="single" w:sz="8" w:color="auto"/>
            </w:tcBorders>
            <w:shd w:val="clear" w:color="auto" w:fill="E5FFFF"/>
          </w:tcPr>
          <w:p>
            <w:pPr>
              <w:spacing w:after="0"/>
              <w:rPr>
                <w:sz w:val="16"/>
                <w:szCs w:val="16"/>
                <w:color w:val="auto"/>
              </w:rPr>
            </w:pPr>
          </w:p>
        </w:tc>
        <w:tc>
          <w:tcPr>
            <w:tcW w:w="120" w:type="dxa"/>
            <w:vAlign w:val="bottom"/>
            <w:tcBorders>
              <w:top w:val="single" w:sz="8" w:color="E5FFFF"/>
            </w:tcBorders>
            <w:shd w:val="clear" w:color="auto" w:fill="E5FFFF"/>
          </w:tcPr>
          <w:p>
            <w:pPr>
              <w:spacing w:after="0"/>
              <w:rPr>
                <w:sz w:val="16"/>
                <w:szCs w:val="16"/>
                <w:color w:val="auto"/>
              </w:rPr>
            </w:pPr>
          </w:p>
        </w:tc>
      </w:tr>
      <w:tr>
        <w:trPr>
          <w:trHeight w:val="203"/>
        </w:trPr>
        <w:tc>
          <w:tcPr>
            <w:tcW w:w="4060" w:type="dxa"/>
            <w:vAlign w:val="bottom"/>
            <w:gridSpan w:val="3"/>
          </w:tcPr>
          <w:p>
            <w:pPr>
              <w:spacing w:after="0"/>
              <w:rPr>
                <w:sz w:val="20"/>
                <w:szCs w:val="20"/>
                <w:color w:val="auto"/>
              </w:rPr>
            </w:pPr>
            <w:r>
              <w:rPr>
                <w:rFonts w:ascii="Arial" w:cs="Arial" w:eastAsia="Arial" w:hAnsi="Arial"/>
                <w:sz w:val="16"/>
                <w:szCs w:val="16"/>
                <w:color w:val="auto"/>
              </w:rPr>
              <w:t>Common unitholders</w:t>
            </w:r>
          </w:p>
        </w:tc>
        <w:tc>
          <w:tcPr>
            <w:tcW w:w="2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40" w:type="dxa"/>
            <w:vAlign w:val="bottom"/>
            <w:gridSpan w:val="4"/>
          </w:tcPr>
          <w:p>
            <w:pPr>
              <w:jc w:val="right"/>
              <w:spacing w:after="0"/>
              <w:rPr>
                <w:sz w:val="20"/>
                <w:szCs w:val="20"/>
                <w:color w:val="auto"/>
              </w:rPr>
            </w:pPr>
            <w:r>
              <w:rPr>
                <w:rFonts w:ascii="Arial" w:cs="Arial" w:eastAsia="Arial" w:hAnsi="Arial"/>
                <w:sz w:val="16"/>
                <w:szCs w:val="16"/>
                <w:color w:val="auto"/>
              </w:rPr>
              <w:t>24,057</w:t>
            </w:r>
          </w:p>
        </w:tc>
        <w:tc>
          <w:tcPr>
            <w:tcW w:w="20" w:type="dxa"/>
            <w:vAlign w:val="bottom"/>
          </w:tcPr>
          <w:p>
            <w:pPr>
              <w:spacing w:after="0"/>
              <w:rPr>
                <w:sz w:val="17"/>
                <w:szCs w:val="17"/>
                <w:color w:val="auto"/>
              </w:rPr>
            </w:pPr>
          </w:p>
        </w:tc>
        <w:tc>
          <w:tcPr>
            <w:tcW w:w="1620" w:type="dxa"/>
            <w:vAlign w:val="bottom"/>
            <w:gridSpan w:val="2"/>
          </w:tcPr>
          <w:p>
            <w:pPr>
              <w:jc w:val="right"/>
              <w:spacing w:after="0"/>
              <w:rPr>
                <w:sz w:val="20"/>
                <w:szCs w:val="20"/>
                <w:color w:val="auto"/>
              </w:rPr>
            </w:pPr>
            <w:r>
              <w:rPr>
                <w:rFonts w:ascii="Arial" w:cs="Arial" w:eastAsia="Arial" w:hAnsi="Arial"/>
                <w:sz w:val="16"/>
                <w:szCs w:val="16"/>
                <w:color w:val="auto"/>
              </w:rPr>
              <w:t>12,529</w:t>
            </w:r>
          </w:p>
        </w:tc>
        <w:tc>
          <w:tcPr>
            <w:tcW w:w="120" w:type="dxa"/>
            <w:vAlign w:val="bottom"/>
          </w:tcPr>
          <w:p>
            <w:pPr>
              <w:spacing w:after="0"/>
              <w:rPr>
                <w:sz w:val="17"/>
                <w:szCs w:val="17"/>
                <w:color w:val="auto"/>
              </w:rPr>
            </w:pPr>
          </w:p>
        </w:tc>
      </w:tr>
      <w:tr>
        <w:trPr>
          <w:trHeight w:val="202"/>
        </w:trPr>
        <w:tc>
          <w:tcPr>
            <w:tcW w:w="4060" w:type="dxa"/>
            <w:vAlign w:val="bottom"/>
            <w:gridSpan w:val="3"/>
            <w:shd w:val="clear" w:color="auto" w:fill="E5FFFF"/>
          </w:tcPr>
          <w:p>
            <w:pPr>
              <w:spacing w:after="0"/>
              <w:rPr>
                <w:sz w:val="20"/>
                <w:szCs w:val="20"/>
                <w:color w:val="auto"/>
              </w:rPr>
            </w:pPr>
            <w:r>
              <w:rPr>
                <w:rFonts w:ascii="Arial" w:cs="Arial" w:eastAsia="Arial" w:hAnsi="Arial"/>
                <w:sz w:val="16"/>
                <w:szCs w:val="16"/>
                <w:color w:val="auto"/>
              </w:rPr>
              <w:t>General partner</w:t>
            </w:r>
          </w:p>
        </w:tc>
        <w:tc>
          <w:tcPr>
            <w:tcW w:w="240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140" w:type="dxa"/>
            <w:vAlign w:val="bottom"/>
            <w:shd w:val="clear" w:color="auto" w:fill="E5FFFF"/>
          </w:tcPr>
          <w:p>
            <w:pPr>
              <w:spacing w:after="0"/>
              <w:rPr>
                <w:sz w:val="17"/>
                <w:szCs w:val="17"/>
                <w:color w:val="auto"/>
              </w:rPr>
            </w:pPr>
          </w:p>
        </w:tc>
        <w:tc>
          <w:tcPr>
            <w:tcW w:w="1440" w:type="dxa"/>
            <w:vAlign w:val="bottom"/>
            <w:gridSpan w:val="4"/>
            <w:shd w:val="clear" w:color="auto" w:fill="E5FFFF"/>
          </w:tcPr>
          <w:p>
            <w:pPr>
              <w:jc w:val="right"/>
              <w:spacing w:after="0"/>
              <w:rPr>
                <w:sz w:val="20"/>
                <w:szCs w:val="20"/>
                <w:color w:val="auto"/>
              </w:rPr>
            </w:pPr>
            <w:r>
              <w:rPr>
                <w:rFonts w:ascii="Arial" w:cs="Arial" w:eastAsia="Arial" w:hAnsi="Arial"/>
                <w:sz w:val="16"/>
                <w:szCs w:val="16"/>
                <w:color w:val="auto"/>
              </w:rPr>
              <w:t>539</w:t>
            </w:r>
          </w:p>
        </w:tc>
        <w:tc>
          <w:tcPr>
            <w:tcW w:w="20" w:type="dxa"/>
            <w:vAlign w:val="bottom"/>
            <w:shd w:val="clear" w:color="auto" w:fill="E5FFFF"/>
          </w:tcPr>
          <w:p>
            <w:pPr>
              <w:spacing w:after="0"/>
              <w:rPr>
                <w:sz w:val="17"/>
                <w:szCs w:val="17"/>
                <w:color w:val="auto"/>
              </w:rPr>
            </w:pPr>
          </w:p>
        </w:tc>
        <w:tc>
          <w:tcPr>
            <w:tcW w:w="162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255</w:t>
            </w:r>
          </w:p>
        </w:tc>
        <w:tc>
          <w:tcPr>
            <w:tcW w:w="120" w:type="dxa"/>
            <w:vAlign w:val="bottom"/>
            <w:shd w:val="clear" w:color="auto" w:fill="E5FFFF"/>
          </w:tcPr>
          <w:p>
            <w:pPr>
              <w:spacing w:after="0"/>
              <w:rPr>
                <w:sz w:val="17"/>
                <w:szCs w:val="17"/>
                <w:color w:val="auto"/>
              </w:rPr>
            </w:pPr>
          </w:p>
        </w:tc>
      </w:tr>
      <w:tr>
        <w:trPr>
          <w:trHeight w:val="203"/>
        </w:trPr>
        <w:tc>
          <w:tcPr>
            <w:tcW w:w="4060" w:type="dxa"/>
            <w:vAlign w:val="bottom"/>
            <w:gridSpan w:val="3"/>
          </w:tcPr>
          <w:p>
            <w:pPr>
              <w:spacing w:after="0"/>
              <w:rPr>
                <w:sz w:val="20"/>
                <w:szCs w:val="20"/>
                <w:color w:val="auto"/>
              </w:rPr>
            </w:pPr>
            <w:r>
              <w:rPr>
                <w:rFonts w:ascii="Arial" w:cs="Arial" w:eastAsia="Arial" w:hAnsi="Arial"/>
                <w:sz w:val="16"/>
                <w:szCs w:val="16"/>
                <w:color w:val="auto"/>
              </w:rPr>
              <w:t>IDRs</w:t>
            </w:r>
          </w:p>
        </w:tc>
        <w:tc>
          <w:tcPr>
            <w:tcW w:w="2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40" w:type="dxa"/>
            <w:vAlign w:val="bottom"/>
            <w:gridSpan w:val="4"/>
          </w:tcPr>
          <w:p>
            <w:pPr>
              <w:jc w:val="right"/>
              <w:spacing w:after="0"/>
              <w:rPr>
                <w:sz w:val="20"/>
                <w:szCs w:val="20"/>
                <w:color w:val="auto"/>
              </w:rPr>
            </w:pPr>
            <w:r>
              <w:rPr>
                <w:rFonts w:ascii="Arial" w:cs="Arial" w:eastAsia="Arial" w:hAnsi="Arial"/>
                <w:sz w:val="16"/>
                <w:szCs w:val="16"/>
                <w:color w:val="auto"/>
              </w:rPr>
              <w:t>2,368</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gridSpan w:val="2"/>
          </w:tcPr>
          <w:p>
            <w:pPr>
              <w:ind w:left="1200"/>
              <w:spacing w:after="0"/>
              <w:rPr>
                <w:sz w:val="20"/>
                <w:szCs w:val="20"/>
                <w:color w:val="auto"/>
              </w:rPr>
            </w:pPr>
            <w:r>
              <w:rPr>
                <w:rFonts w:ascii="Arial" w:cs="Arial" w:eastAsia="Arial" w:hAnsi="Arial"/>
                <w:sz w:val="16"/>
                <w:szCs w:val="16"/>
                <w:color w:val="auto"/>
              </w:rPr>
              <w:t>—</w:t>
            </w:r>
          </w:p>
        </w:tc>
      </w:tr>
      <w:tr>
        <w:trPr>
          <w:trHeight w:val="203"/>
        </w:trPr>
        <w:tc>
          <w:tcPr>
            <w:tcW w:w="4060" w:type="dxa"/>
            <w:vAlign w:val="bottom"/>
            <w:gridSpan w:val="3"/>
            <w:shd w:val="clear" w:color="auto" w:fill="E5FFFF"/>
          </w:tcPr>
          <w:p>
            <w:pPr>
              <w:spacing w:after="0"/>
              <w:rPr>
                <w:sz w:val="20"/>
                <w:szCs w:val="20"/>
                <w:color w:val="auto"/>
              </w:rPr>
            </w:pPr>
            <w:r>
              <w:rPr>
                <w:rFonts w:ascii="Arial" w:cs="Arial" w:eastAsia="Arial" w:hAnsi="Arial"/>
                <w:sz w:val="16"/>
                <w:szCs w:val="16"/>
                <w:color w:val="auto"/>
              </w:rPr>
              <w:t>Paid and accrued preference equity distributions</w:t>
            </w:r>
          </w:p>
        </w:tc>
        <w:tc>
          <w:tcPr>
            <w:tcW w:w="240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140" w:type="dxa"/>
            <w:vAlign w:val="bottom"/>
            <w:shd w:val="clear" w:color="auto" w:fill="E5FFFF"/>
          </w:tcPr>
          <w:p>
            <w:pPr>
              <w:spacing w:after="0"/>
              <w:rPr>
                <w:sz w:val="17"/>
                <w:szCs w:val="17"/>
                <w:color w:val="auto"/>
              </w:rPr>
            </w:pPr>
          </w:p>
        </w:tc>
        <w:tc>
          <w:tcPr>
            <w:tcW w:w="1440" w:type="dxa"/>
            <w:vAlign w:val="bottom"/>
            <w:gridSpan w:val="4"/>
            <w:shd w:val="clear" w:color="auto" w:fill="E5FFFF"/>
          </w:tcPr>
          <w:p>
            <w:pPr>
              <w:jc w:val="right"/>
              <w:spacing w:after="0"/>
              <w:rPr>
                <w:sz w:val="20"/>
                <w:szCs w:val="20"/>
                <w:color w:val="auto"/>
              </w:rPr>
            </w:pPr>
            <w:r>
              <w:rPr>
                <w:rFonts w:ascii="Arial" w:cs="Arial" w:eastAsia="Arial" w:hAnsi="Arial"/>
                <w:sz w:val="16"/>
                <w:szCs w:val="16"/>
                <w:color w:val="auto"/>
              </w:rPr>
              <w:t>5,038</w:t>
            </w:r>
          </w:p>
        </w:tc>
        <w:tc>
          <w:tcPr>
            <w:tcW w:w="20" w:type="dxa"/>
            <w:vAlign w:val="bottom"/>
            <w:shd w:val="clear" w:color="auto" w:fill="E5FFFF"/>
          </w:tcPr>
          <w:p>
            <w:pPr>
              <w:spacing w:after="0"/>
              <w:rPr>
                <w:sz w:val="17"/>
                <w:szCs w:val="17"/>
                <w:color w:val="auto"/>
              </w:rPr>
            </w:pPr>
          </w:p>
        </w:tc>
        <w:tc>
          <w:tcPr>
            <w:tcW w:w="162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7,582</w:t>
            </w:r>
          </w:p>
        </w:tc>
        <w:tc>
          <w:tcPr>
            <w:tcW w:w="120" w:type="dxa"/>
            <w:vAlign w:val="bottom"/>
            <w:shd w:val="clear" w:color="auto" w:fill="E5FFFF"/>
          </w:tcPr>
          <w:p>
            <w:pPr>
              <w:spacing w:after="0"/>
              <w:rPr>
                <w:sz w:val="17"/>
                <w:szCs w:val="17"/>
                <w:color w:val="auto"/>
              </w:rPr>
            </w:pPr>
          </w:p>
        </w:tc>
      </w:tr>
      <w:tr>
        <w:trPr>
          <w:trHeight w:val="236"/>
        </w:trPr>
        <w:tc>
          <w:tcPr>
            <w:tcW w:w="4060" w:type="dxa"/>
            <w:vAlign w:val="bottom"/>
            <w:tcBorders>
              <w:bottom w:val="single" w:sz="8" w:color="E5FFFF"/>
            </w:tcBorders>
            <w:gridSpan w:val="3"/>
          </w:tcPr>
          <w:p>
            <w:pPr>
              <w:spacing w:after="0"/>
              <w:rPr>
                <w:sz w:val="20"/>
                <w:szCs w:val="20"/>
                <w:color w:val="auto"/>
              </w:rPr>
            </w:pPr>
            <w:r>
              <w:rPr>
                <w:rFonts w:ascii="Arial" w:cs="Arial" w:eastAsia="Arial" w:hAnsi="Arial"/>
                <w:sz w:val="16"/>
                <w:szCs w:val="16"/>
                <w:b w:val="1"/>
                <w:bCs w:val="1"/>
                <w:color w:val="auto"/>
              </w:rPr>
              <w:t>Total</w:t>
            </w:r>
          </w:p>
        </w:tc>
        <w:tc>
          <w:tcPr>
            <w:tcW w:w="2400" w:type="dxa"/>
            <w:vAlign w:val="bottom"/>
            <w:tcBorders>
              <w:bottom w:val="single" w:sz="8" w:color="E5FFFF"/>
            </w:tcBorders>
          </w:tcPr>
          <w:p>
            <w:pPr>
              <w:spacing w:after="0"/>
              <w:rPr>
                <w:sz w:val="20"/>
                <w:szCs w:val="20"/>
                <w:color w:val="auto"/>
              </w:rPr>
            </w:pPr>
          </w:p>
        </w:tc>
        <w:tc>
          <w:tcPr>
            <w:tcW w:w="280" w:type="dxa"/>
            <w:vAlign w:val="bottom"/>
            <w:tcBorders>
              <w:bottom w:val="single" w:sz="8" w:color="E5FFFF"/>
            </w:tcBorders>
          </w:tcPr>
          <w:p>
            <w:pPr>
              <w:spacing w:after="0"/>
              <w:rPr>
                <w:sz w:val="20"/>
                <w:szCs w:val="20"/>
                <w:color w:val="auto"/>
              </w:rPr>
            </w:pPr>
          </w:p>
        </w:tc>
        <w:tc>
          <w:tcPr>
            <w:tcW w:w="1140" w:type="dxa"/>
            <w:vAlign w:val="bottom"/>
            <w:tcBorders>
              <w:bottom w:val="single" w:sz="8" w:color="E5FFFF"/>
            </w:tcBorders>
          </w:tcPr>
          <w:p>
            <w:pPr>
              <w:spacing w:after="0"/>
              <w:rPr>
                <w:sz w:val="20"/>
                <w:szCs w:val="20"/>
                <w:color w:val="auto"/>
              </w:rPr>
            </w:pPr>
          </w:p>
        </w:tc>
        <w:tc>
          <w:tcPr>
            <w:tcW w:w="60" w:type="dxa"/>
            <w:vAlign w:val="bottom"/>
            <w:tcBorders>
              <w:bottom w:val="single" w:sz="8" w:color="E5FFFF"/>
            </w:tcBorders>
          </w:tcPr>
          <w:p>
            <w:pPr>
              <w:spacing w:after="0"/>
              <w:rPr>
                <w:sz w:val="20"/>
                <w:szCs w:val="20"/>
                <w:color w:val="auto"/>
              </w:rPr>
            </w:pPr>
          </w:p>
        </w:tc>
        <w:tc>
          <w:tcPr>
            <w:tcW w:w="13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32,002</w:t>
            </w:r>
          </w:p>
        </w:tc>
        <w:tc>
          <w:tcPr>
            <w:tcW w:w="20" w:type="dxa"/>
            <w:vAlign w:val="bottom"/>
            <w:tcBorders>
              <w:bottom w:val="single" w:sz="8" w:color="E5FFFF"/>
            </w:tcBorders>
          </w:tcPr>
          <w:p>
            <w:pPr>
              <w:spacing w:after="0"/>
              <w:rPr>
                <w:sz w:val="20"/>
                <w:szCs w:val="20"/>
                <w:color w:val="auto"/>
              </w:rPr>
            </w:pPr>
          </w:p>
        </w:tc>
        <w:tc>
          <w:tcPr>
            <w:tcW w:w="260" w:type="dxa"/>
            <w:vAlign w:val="bottom"/>
            <w:tcBorders>
              <w:bottom w:val="single" w:sz="8" w:color="E5FFFF"/>
            </w:tcBorders>
          </w:tcPr>
          <w:p>
            <w:pPr>
              <w:spacing w:after="0"/>
              <w:rPr>
                <w:sz w:val="20"/>
                <w:szCs w:val="20"/>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20,366</w:t>
            </w:r>
          </w:p>
        </w:tc>
        <w:tc>
          <w:tcPr>
            <w:tcW w:w="120" w:type="dxa"/>
            <w:vAlign w:val="bottom"/>
            <w:tcBorders>
              <w:bottom w:val="single" w:sz="8" w:color="E5FFFF"/>
            </w:tcBorders>
          </w:tcPr>
          <w:p>
            <w:pPr>
              <w:spacing w:after="0"/>
              <w:rPr>
                <w:sz w:val="20"/>
                <w:szCs w:val="20"/>
                <w:color w:val="auto"/>
              </w:rPr>
            </w:pPr>
          </w:p>
        </w:tc>
      </w:tr>
      <w:tr>
        <w:trPr>
          <w:trHeight w:val="183"/>
        </w:trPr>
        <w:tc>
          <w:tcPr>
            <w:tcW w:w="4060" w:type="dxa"/>
            <w:vAlign w:val="bottom"/>
            <w:gridSpan w:val="3"/>
            <w:shd w:val="clear" w:color="auto" w:fill="E5FFFF"/>
          </w:tcPr>
          <w:p>
            <w:pPr>
              <w:spacing w:after="0" w:line="166" w:lineRule="exact"/>
              <w:rPr>
                <w:sz w:val="20"/>
                <w:szCs w:val="20"/>
                <w:color w:val="auto"/>
              </w:rPr>
            </w:pPr>
            <w:r>
              <w:rPr>
                <w:rFonts w:ascii="Arial" w:cs="Arial" w:eastAsia="Arial" w:hAnsi="Arial"/>
                <w:sz w:val="16"/>
                <w:szCs w:val="16"/>
                <w:color w:val="auto"/>
              </w:rPr>
              <w:t>Partnership’s profit allocated to GasLog</w:t>
            </w:r>
          </w:p>
        </w:tc>
        <w:tc>
          <w:tcPr>
            <w:tcW w:w="2400" w:type="dxa"/>
            <w:vAlign w:val="bottom"/>
            <w:shd w:val="clear" w:color="auto" w:fill="E5FFFF"/>
          </w:tcPr>
          <w:p>
            <w:pPr>
              <w:spacing w:after="0"/>
              <w:rPr>
                <w:sz w:val="15"/>
                <w:szCs w:val="15"/>
                <w:color w:val="auto"/>
              </w:rPr>
            </w:pPr>
          </w:p>
        </w:tc>
        <w:tc>
          <w:tcPr>
            <w:tcW w:w="280" w:type="dxa"/>
            <w:vAlign w:val="bottom"/>
            <w:shd w:val="clear" w:color="auto" w:fill="E5FFFF"/>
          </w:tcPr>
          <w:p>
            <w:pPr>
              <w:spacing w:after="0"/>
              <w:rPr>
                <w:sz w:val="15"/>
                <w:szCs w:val="15"/>
                <w:color w:val="auto"/>
              </w:rPr>
            </w:pPr>
          </w:p>
        </w:tc>
        <w:tc>
          <w:tcPr>
            <w:tcW w:w="1140" w:type="dxa"/>
            <w:vAlign w:val="bottom"/>
            <w:shd w:val="clear" w:color="auto" w:fill="E5FFFF"/>
          </w:tcPr>
          <w:p>
            <w:pPr>
              <w:spacing w:after="0"/>
              <w:rPr>
                <w:sz w:val="15"/>
                <w:szCs w:val="15"/>
                <w:color w:val="auto"/>
              </w:rPr>
            </w:pPr>
          </w:p>
        </w:tc>
        <w:tc>
          <w:tcPr>
            <w:tcW w:w="60" w:type="dxa"/>
            <w:vAlign w:val="bottom"/>
            <w:shd w:val="clear" w:color="auto" w:fill="E5FFFF"/>
          </w:tcPr>
          <w:p>
            <w:pPr>
              <w:spacing w:after="0"/>
              <w:rPr>
                <w:sz w:val="15"/>
                <w:szCs w:val="15"/>
                <w:color w:val="auto"/>
              </w:rPr>
            </w:pPr>
          </w:p>
        </w:tc>
        <w:tc>
          <w:tcPr>
            <w:tcW w:w="1380" w:type="dxa"/>
            <w:vAlign w:val="bottom"/>
            <w:gridSpan w:val="3"/>
            <w:shd w:val="clear" w:color="auto" w:fill="E5FFFF"/>
          </w:tcPr>
          <w:p>
            <w:pPr>
              <w:jc w:val="right"/>
              <w:spacing w:after="0"/>
              <w:rPr>
                <w:sz w:val="20"/>
                <w:szCs w:val="20"/>
                <w:color w:val="auto"/>
              </w:rPr>
            </w:pPr>
            <w:r>
              <w:rPr>
                <w:rFonts w:ascii="Arial" w:cs="Arial" w:eastAsia="Arial" w:hAnsi="Arial"/>
                <w:sz w:val="16"/>
                <w:szCs w:val="16"/>
                <w:color w:val="auto"/>
              </w:rPr>
              <w:t>8,765</w:t>
            </w:r>
          </w:p>
        </w:tc>
        <w:tc>
          <w:tcPr>
            <w:tcW w:w="20" w:type="dxa"/>
            <w:vAlign w:val="bottom"/>
            <w:shd w:val="clear" w:color="auto" w:fill="E5FFFF"/>
          </w:tcPr>
          <w:p>
            <w:pPr>
              <w:spacing w:after="0"/>
              <w:rPr>
                <w:sz w:val="15"/>
                <w:szCs w:val="15"/>
                <w:color w:val="auto"/>
              </w:rPr>
            </w:pPr>
          </w:p>
        </w:tc>
        <w:tc>
          <w:tcPr>
            <w:tcW w:w="260" w:type="dxa"/>
            <w:vAlign w:val="bottom"/>
            <w:shd w:val="clear" w:color="auto" w:fill="E5FFFF"/>
          </w:tcPr>
          <w:p>
            <w:pPr>
              <w:spacing w:after="0"/>
              <w:rPr>
                <w:sz w:val="15"/>
                <w:szCs w:val="15"/>
                <w:color w:val="auto"/>
              </w:rPr>
            </w:pP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3,520</w:t>
            </w:r>
          </w:p>
        </w:tc>
        <w:tc>
          <w:tcPr>
            <w:tcW w:w="120" w:type="dxa"/>
            <w:vAlign w:val="bottom"/>
            <w:shd w:val="clear" w:color="auto" w:fill="E5FFFF"/>
          </w:tcPr>
          <w:p>
            <w:pPr>
              <w:spacing w:after="0"/>
              <w:rPr>
                <w:sz w:val="15"/>
                <w:szCs w:val="15"/>
                <w:color w:val="auto"/>
              </w:rPr>
            </w:pPr>
          </w:p>
        </w:tc>
      </w:tr>
      <w:tr>
        <w:trPr>
          <w:trHeight w:val="203"/>
        </w:trPr>
        <w:tc>
          <w:tcPr>
            <w:tcW w:w="4060" w:type="dxa"/>
            <w:vAlign w:val="bottom"/>
            <w:gridSpan w:val="3"/>
          </w:tcPr>
          <w:p>
            <w:pPr>
              <w:spacing w:after="0"/>
              <w:rPr>
                <w:sz w:val="20"/>
                <w:szCs w:val="20"/>
                <w:color w:val="auto"/>
              </w:rPr>
            </w:pPr>
            <w:r>
              <w:rPr>
                <w:rFonts w:ascii="Arial" w:cs="Arial" w:eastAsia="Arial" w:hAnsi="Arial"/>
                <w:sz w:val="16"/>
                <w:szCs w:val="16"/>
                <w:color w:val="auto"/>
              </w:rPr>
              <w:t>Partnership’s profit allocated to non-controlling interests</w:t>
            </w:r>
          </w:p>
        </w:tc>
        <w:tc>
          <w:tcPr>
            <w:tcW w:w="2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40" w:type="dxa"/>
            <w:vAlign w:val="bottom"/>
            <w:gridSpan w:val="4"/>
          </w:tcPr>
          <w:p>
            <w:pPr>
              <w:jc w:val="right"/>
              <w:spacing w:after="0"/>
              <w:rPr>
                <w:sz w:val="20"/>
                <w:szCs w:val="20"/>
                <w:color w:val="auto"/>
              </w:rPr>
            </w:pPr>
            <w:r>
              <w:rPr>
                <w:rFonts w:ascii="Arial" w:cs="Arial" w:eastAsia="Arial" w:hAnsi="Arial"/>
                <w:sz w:val="16"/>
                <w:szCs w:val="16"/>
                <w:color w:val="auto"/>
              </w:rPr>
              <w:t>23,237</w:t>
            </w:r>
          </w:p>
        </w:tc>
        <w:tc>
          <w:tcPr>
            <w:tcW w:w="20" w:type="dxa"/>
            <w:vAlign w:val="bottom"/>
          </w:tcPr>
          <w:p>
            <w:pPr>
              <w:spacing w:after="0"/>
              <w:rPr>
                <w:sz w:val="17"/>
                <w:szCs w:val="17"/>
                <w:color w:val="auto"/>
              </w:rPr>
            </w:pPr>
          </w:p>
        </w:tc>
        <w:tc>
          <w:tcPr>
            <w:tcW w:w="1620" w:type="dxa"/>
            <w:vAlign w:val="bottom"/>
            <w:gridSpan w:val="2"/>
          </w:tcPr>
          <w:p>
            <w:pPr>
              <w:jc w:val="right"/>
              <w:spacing w:after="0"/>
              <w:rPr>
                <w:sz w:val="20"/>
                <w:szCs w:val="20"/>
                <w:color w:val="auto"/>
              </w:rPr>
            </w:pPr>
            <w:r>
              <w:rPr>
                <w:rFonts w:ascii="Arial" w:cs="Arial" w:eastAsia="Arial" w:hAnsi="Arial"/>
                <w:sz w:val="16"/>
                <w:szCs w:val="16"/>
                <w:color w:val="auto"/>
              </w:rPr>
              <w:t>16,846</w:t>
            </w:r>
          </w:p>
        </w:tc>
        <w:tc>
          <w:tcPr>
            <w:tcW w:w="120" w:type="dxa"/>
            <w:vAlign w:val="bottom"/>
          </w:tcPr>
          <w:p>
            <w:pPr>
              <w:spacing w:after="0"/>
              <w:rPr>
                <w:sz w:val="17"/>
                <w:szCs w:val="17"/>
                <w:color w:val="auto"/>
              </w:rPr>
            </w:pPr>
          </w:p>
        </w:tc>
      </w:tr>
      <w:tr>
        <w:trPr>
          <w:trHeight w:val="196"/>
        </w:trPr>
        <w:tc>
          <w:tcPr>
            <w:tcW w:w="4060" w:type="dxa"/>
            <w:vAlign w:val="bottom"/>
            <w:tcBorders>
              <w:top w:val="single" w:sz="8" w:color="E5FFFF"/>
              <w:bottom w:val="single" w:sz="8" w:color="E5FFFF"/>
            </w:tcBorders>
            <w:gridSpan w:val="3"/>
            <w:shd w:val="clear" w:color="auto" w:fill="E5FFFF"/>
          </w:tcPr>
          <w:p>
            <w:pPr>
              <w:spacing w:after="0"/>
              <w:rPr>
                <w:sz w:val="20"/>
                <w:szCs w:val="20"/>
                <w:color w:val="auto"/>
              </w:rPr>
            </w:pPr>
            <w:r>
              <w:rPr>
                <w:rFonts w:ascii="Arial" w:cs="Arial" w:eastAsia="Arial" w:hAnsi="Arial"/>
                <w:sz w:val="16"/>
                <w:szCs w:val="16"/>
                <w:b w:val="1"/>
                <w:bCs w:val="1"/>
                <w:color w:val="auto"/>
              </w:rPr>
              <w:t>Total</w:t>
            </w:r>
          </w:p>
        </w:tc>
        <w:tc>
          <w:tcPr>
            <w:tcW w:w="2400" w:type="dxa"/>
            <w:vAlign w:val="bottom"/>
            <w:tcBorders>
              <w:top w:val="single" w:sz="8" w:color="E5FFFF"/>
              <w:bottom w:val="single" w:sz="8" w:color="E5FFFF"/>
            </w:tcBorders>
            <w:shd w:val="clear" w:color="auto" w:fill="E5FFFF"/>
          </w:tcPr>
          <w:p>
            <w:pPr>
              <w:spacing w:after="0"/>
              <w:rPr>
                <w:sz w:val="17"/>
                <w:szCs w:val="17"/>
                <w:color w:val="auto"/>
              </w:rPr>
            </w:pPr>
          </w:p>
        </w:tc>
        <w:tc>
          <w:tcPr>
            <w:tcW w:w="280" w:type="dxa"/>
            <w:vAlign w:val="bottom"/>
            <w:tcBorders>
              <w:top w:val="single" w:sz="8" w:color="E5FFFF"/>
              <w:bottom w:val="single" w:sz="8" w:color="E5FFFF"/>
            </w:tcBorders>
            <w:shd w:val="clear" w:color="auto" w:fill="E5FFFF"/>
          </w:tcPr>
          <w:p>
            <w:pPr>
              <w:spacing w:after="0"/>
              <w:rPr>
                <w:sz w:val="17"/>
                <w:szCs w:val="17"/>
                <w:color w:val="auto"/>
              </w:rPr>
            </w:pPr>
          </w:p>
        </w:tc>
        <w:tc>
          <w:tcPr>
            <w:tcW w:w="1140" w:type="dxa"/>
            <w:vAlign w:val="bottom"/>
            <w:tcBorders>
              <w:top w:val="single" w:sz="8" w:color="E5FFFF"/>
              <w:bottom w:val="single" w:sz="8" w:color="E5FFFF"/>
            </w:tcBorders>
            <w:shd w:val="clear" w:color="auto" w:fill="E5FFFF"/>
          </w:tcPr>
          <w:p>
            <w:pPr>
              <w:spacing w:after="0"/>
              <w:rPr>
                <w:sz w:val="17"/>
                <w:szCs w:val="17"/>
                <w:color w:val="auto"/>
              </w:rPr>
            </w:pPr>
          </w:p>
        </w:tc>
        <w:tc>
          <w:tcPr>
            <w:tcW w:w="60" w:type="dxa"/>
            <w:vAlign w:val="bottom"/>
            <w:tcBorders>
              <w:top w:val="single" w:sz="8" w:color="E5FFFF"/>
              <w:bottom w:val="single" w:sz="8" w:color="E5FFFF"/>
            </w:tcBorders>
            <w:shd w:val="clear" w:color="auto" w:fill="E5FFFF"/>
          </w:tcPr>
          <w:p>
            <w:pPr>
              <w:spacing w:after="0"/>
              <w:rPr>
                <w:sz w:val="17"/>
                <w:szCs w:val="17"/>
                <w:color w:val="auto"/>
              </w:rPr>
            </w:pPr>
          </w:p>
        </w:tc>
        <w:tc>
          <w:tcPr>
            <w:tcW w:w="1380" w:type="dxa"/>
            <w:vAlign w:val="bottom"/>
            <w:tcBorders>
              <w:top w:val="single" w:sz="8" w:color="auto"/>
              <w:bottom w:val="single" w:sz="8" w:color="auto"/>
            </w:tcBorders>
            <w:gridSpan w:val="3"/>
            <w:shd w:val="clear" w:color="auto" w:fill="E5FFFF"/>
          </w:tcPr>
          <w:p>
            <w:pPr>
              <w:jc w:val="right"/>
              <w:spacing w:after="0"/>
              <w:rPr>
                <w:sz w:val="20"/>
                <w:szCs w:val="20"/>
                <w:color w:val="auto"/>
              </w:rPr>
            </w:pPr>
            <w:r>
              <w:rPr>
                <w:rFonts w:ascii="Arial" w:cs="Arial" w:eastAsia="Arial" w:hAnsi="Arial"/>
                <w:sz w:val="16"/>
                <w:szCs w:val="16"/>
                <w:b w:val="1"/>
                <w:bCs w:val="1"/>
                <w:color w:val="auto"/>
              </w:rPr>
              <w:t>32,002</w:t>
            </w:r>
          </w:p>
        </w:tc>
        <w:tc>
          <w:tcPr>
            <w:tcW w:w="20" w:type="dxa"/>
            <w:vAlign w:val="bottom"/>
            <w:tcBorders>
              <w:top w:val="single" w:sz="8" w:color="E5FFFF"/>
              <w:bottom w:val="single" w:sz="8" w:color="E5FFFF"/>
            </w:tcBorders>
            <w:shd w:val="clear" w:color="auto" w:fill="E5FFFF"/>
          </w:tcPr>
          <w:p>
            <w:pPr>
              <w:spacing w:after="0"/>
              <w:rPr>
                <w:sz w:val="17"/>
                <w:szCs w:val="17"/>
                <w:color w:val="auto"/>
              </w:rPr>
            </w:pPr>
          </w:p>
        </w:tc>
        <w:tc>
          <w:tcPr>
            <w:tcW w:w="260" w:type="dxa"/>
            <w:vAlign w:val="bottom"/>
            <w:tcBorders>
              <w:top w:val="single" w:sz="8" w:color="E5FFFF"/>
              <w:bottom w:val="single" w:sz="8" w:color="E5FFFF"/>
            </w:tcBorders>
            <w:shd w:val="clear" w:color="auto" w:fill="E5FFFF"/>
          </w:tcPr>
          <w:p>
            <w:pPr>
              <w:spacing w:after="0"/>
              <w:rPr>
                <w:sz w:val="17"/>
                <w:szCs w:val="17"/>
                <w:color w:val="auto"/>
              </w:rPr>
            </w:pPr>
          </w:p>
        </w:tc>
        <w:tc>
          <w:tcPr>
            <w:tcW w:w="13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20,366</w:t>
            </w:r>
          </w:p>
        </w:tc>
        <w:tc>
          <w:tcPr>
            <w:tcW w:w="120" w:type="dxa"/>
            <w:vAlign w:val="bottom"/>
            <w:tcBorders>
              <w:top w:val="single" w:sz="8" w:color="E5FFFF"/>
              <w:bottom w:val="single" w:sz="8" w:color="E5FFFF"/>
            </w:tcBorders>
            <w:shd w:val="clear" w:color="auto" w:fill="E5FFFF"/>
          </w:tcPr>
          <w:p>
            <w:pPr>
              <w:spacing w:after="0"/>
              <w:rPr>
                <w:sz w:val="17"/>
                <w:szCs w:val="17"/>
                <w:color w:val="auto"/>
              </w:rPr>
            </w:pPr>
          </w:p>
        </w:tc>
      </w:tr>
      <w:tr>
        <w:trPr>
          <w:trHeight w:val="20"/>
        </w:trPr>
        <w:tc>
          <w:tcPr>
            <w:tcW w:w="2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7" w:lineRule="exact"/>
        <w:rPr>
          <w:sz w:val="20"/>
          <w:szCs w:val="20"/>
          <w:color w:val="auto"/>
        </w:rPr>
      </w:pPr>
    </w:p>
    <w:p>
      <w:pPr>
        <w:ind w:left="340"/>
        <w:spacing w:after="0"/>
        <w:rPr>
          <w:sz w:val="20"/>
          <w:szCs w:val="20"/>
          <w:color w:val="auto"/>
        </w:rPr>
      </w:pPr>
      <w:r>
        <w:rPr>
          <w:rFonts w:ascii="Arial" w:cs="Arial" w:eastAsia="Arial" w:hAnsi="Arial"/>
          <w:sz w:val="14"/>
          <w:szCs w:val="14"/>
          <w:color w:val="auto"/>
        </w:rPr>
        <w:t>* Excludes profits of GAS-fourteen Ltd. and GAS-twenty seven Ltd. for the period prior to their transfers to the Partnership on April 26, 2018 and November 14, 2018, respectively.</w:t>
      </w:r>
    </w:p>
    <w:p>
      <w:pPr>
        <w:spacing w:after="0" w:line="212" w:lineRule="exact"/>
        <w:rPr>
          <w:sz w:val="20"/>
          <w:szCs w:val="20"/>
          <w:color w:val="auto"/>
        </w:rPr>
      </w:pPr>
    </w:p>
    <w:p>
      <w:pPr>
        <w:ind w:right="80" w:firstLine="324"/>
        <w:spacing w:after="0" w:line="293" w:lineRule="auto"/>
        <w:rPr>
          <w:sz w:val="20"/>
          <w:szCs w:val="20"/>
          <w:color w:val="auto"/>
        </w:rPr>
      </w:pPr>
      <w:r>
        <w:rPr>
          <w:rFonts w:ascii="Arial" w:cs="Arial" w:eastAsia="Arial" w:hAnsi="Arial"/>
          <w:sz w:val="16"/>
          <w:szCs w:val="16"/>
          <w:color w:val="auto"/>
        </w:rPr>
        <w:t>Dividends declared attributable to non-controlling interests included in the unaudited condensed consolidated statements of changes in equity represent cash distributions to holders of common and preference units.</w:t>
      </w:r>
    </w:p>
    <w:p>
      <w:pPr>
        <w:spacing w:after="0" w:line="172" w:lineRule="exact"/>
        <w:rPr>
          <w:sz w:val="20"/>
          <w:szCs w:val="20"/>
          <w:color w:val="auto"/>
        </w:rPr>
      </w:pPr>
    </w:p>
    <w:p>
      <w:pPr>
        <w:ind w:right="200" w:firstLine="324"/>
        <w:spacing w:after="0" w:line="293" w:lineRule="auto"/>
        <w:rPr>
          <w:sz w:val="20"/>
          <w:szCs w:val="20"/>
          <w:color w:val="auto"/>
        </w:rPr>
      </w:pPr>
      <w:r>
        <w:rPr>
          <w:rFonts w:ascii="Arial" w:cs="Arial" w:eastAsia="Arial" w:hAnsi="Arial"/>
          <w:sz w:val="16"/>
          <w:szCs w:val="16"/>
          <w:color w:val="auto"/>
        </w:rPr>
        <w:t>In the three months ended March 31, 2019, the board of directors of the Partnership approved and declared cash distributions of $18,483 and $8,290 for the common units and preference units, respectively held by non-controlling interests.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35901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359015" cy="29845"/>
                    </a:xfrm>
                    <a:prstGeom prst="rect">
                      <a:avLst/>
                    </a:prstGeom>
                    <a:noFill/>
                  </pic:spPr>
                </pic:pic>
              </a:graphicData>
            </a:graphic>
          </wp:anchor>
        </w:drawing>
      </w:r>
    </w:p>
    <w:p>
      <w:pPr>
        <w:sectPr>
          <w:pgSz w:w="11900" w:h="16838" w:orient="portrait"/>
          <w:cols w:equalWidth="0" w:num="1">
            <w:col w:w="11560"/>
          </w:cols>
          <w:pgMar w:left="160" w:top="266" w:right="179" w:bottom="1440" w:gutter="0" w:footer="0" w:header="0"/>
        </w:sectPr>
      </w:pPr>
    </w:p>
    <w:bookmarkStart w:id="33" w:name="page34"/>
    <w:bookmarkEnd w:id="33"/>
    <w:p>
      <w:pPr>
        <w:spacing w:after="0"/>
        <w:rPr>
          <w:sz w:val="20"/>
          <w:szCs w:val="20"/>
          <w:color w:val="auto"/>
        </w:rPr>
      </w:pPr>
      <w:r>
        <w:rPr>
          <w:rFonts w:ascii="Arial" w:cs="Arial" w:eastAsia="Arial" w:hAnsi="Arial"/>
          <w:sz w:val="16"/>
          <w:szCs w:val="16"/>
          <w:b w:val="1"/>
          <w:bCs w:val="1"/>
          <w:color w:val="auto"/>
        </w:rPr>
        <w:t>4. Investment in Associates</w:t>
      </w:r>
    </w:p>
    <w:p>
      <w:pPr>
        <w:spacing w:after="0" w:line="23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movements in investment in associates are reported in the following table:</w:t>
      </w:r>
    </w:p>
    <w:p>
      <w:pPr>
        <w:spacing w:after="0" w:line="200" w:lineRule="exact"/>
        <w:rPr>
          <w:sz w:val="20"/>
          <w:szCs w:val="20"/>
          <w:color w:val="auto"/>
        </w:rPr>
      </w:pPr>
    </w:p>
    <w:p>
      <w:pPr>
        <w:spacing w:after="0" w:line="23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January 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-109855</wp:posOffset>
            </wp:positionV>
            <wp:extent cx="7037705" cy="1371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037705" cy="137160"/>
                    </a:xfrm>
                    <a:prstGeom prst="rect">
                      <a:avLst/>
                    </a:prstGeom>
                    <a:noFill/>
                  </pic:spPr>
                </pic:pic>
              </a:graphicData>
            </a:graphic>
          </wp:anchor>
        </w:drawing>
      </w:r>
    </w:p>
    <w:p>
      <w:pPr>
        <w:spacing w:after="0" w:line="1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Share of profit of associates</w:t>
      </w:r>
    </w:p>
    <w:p>
      <w:pPr>
        <w:spacing w:after="0" w:line="22"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As of March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-112395</wp:posOffset>
            </wp:positionV>
            <wp:extent cx="7037705" cy="1454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037705" cy="145415"/>
                    </a:xfrm>
                    <a:prstGeom prst="rect">
                      <a:avLst/>
                    </a:prstGeom>
                    <a:noFill/>
                  </pic:spPr>
                </pic:pic>
              </a:graphicData>
            </a:graphic>
          </wp:anchor>
        </w:drawing>
      </w: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5. Tangible Fixed Assets and Vessels Under Construction</w:t>
      </w:r>
    </w:p>
    <w:p>
      <w:pPr>
        <w:spacing w:after="0" w:line="239"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The movements in tangible fixed assets and vessels under construction are reported in the following table: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March 31, 2019</w:t>
      </w:r>
    </w:p>
    <w:p>
      <w:pPr>
        <w:spacing w:after="0" w:line="36" w:lineRule="exact"/>
        <w:rPr>
          <w:sz w:val="20"/>
          <w:szCs w:val="20"/>
          <w:color w:val="auto"/>
        </w:rPr>
      </w:pPr>
    </w:p>
    <w:p>
      <w:pPr>
        <w:jc w:val="right"/>
        <w:ind w:right="260"/>
        <w:spacing w:after="0"/>
        <w:rPr>
          <w:sz w:val="20"/>
          <w:szCs w:val="20"/>
          <w:color w:val="auto"/>
        </w:rPr>
      </w:pPr>
      <w:r>
        <w:rPr>
          <w:rFonts w:ascii="Arial" w:cs="Arial" w:eastAsia="Arial" w:hAnsi="Arial"/>
          <w:sz w:val="16"/>
          <w:szCs w:val="16"/>
          <w:color w:val="auto"/>
        </w:rPr>
        <w:t>20,713</w:t>
      </w:r>
    </w:p>
    <w:p>
      <w:pPr>
        <w:spacing w:after="0" w:line="22" w:lineRule="exact"/>
        <w:rPr>
          <w:sz w:val="20"/>
          <w:szCs w:val="20"/>
          <w:color w:val="auto"/>
        </w:rPr>
      </w:pPr>
    </w:p>
    <w:p>
      <w:pPr>
        <w:jc w:val="right"/>
        <w:ind w:right="260"/>
        <w:spacing w:after="0"/>
        <w:rPr>
          <w:sz w:val="20"/>
          <w:szCs w:val="20"/>
          <w:color w:val="auto"/>
        </w:rPr>
      </w:pPr>
      <w:r>
        <w:rPr>
          <w:rFonts w:ascii="Arial" w:cs="Arial" w:eastAsia="Arial" w:hAnsi="Arial"/>
          <w:sz w:val="16"/>
          <w:szCs w:val="16"/>
          <w:color w:val="auto"/>
        </w:rPr>
        <w:t>245</w:t>
      </w:r>
    </w:p>
    <w:p>
      <w:pPr>
        <w:spacing w:after="0" w:line="24" w:lineRule="exact"/>
        <w:rPr>
          <w:sz w:val="20"/>
          <w:szCs w:val="20"/>
          <w:color w:val="auto"/>
        </w:rPr>
      </w:pPr>
    </w:p>
    <w:p>
      <w:pPr>
        <w:jc w:val="right"/>
        <w:ind w:right="260"/>
        <w:spacing w:after="0"/>
        <w:rPr>
          <w:sz w:val="20"/>
          <w:szCs w:val="20"/>
          <w:color w:val="auto"/>
        </w:rPr>
      </w:pPr>
      <w:r>
        <w:rPr>
          <w:rFonts w:ascii="Arial" w:cs="Arial" w:eastAsia="Arial" w:hAnsi="Arial"/>
          <w:sz w:val="16"/>
          <w:szCs w:val="16"/>
          <w:b w:val="1"/>
          <w:bCs w:val="1"/>
          <w:color w:val="auto"/>
        </w:rPr>
        <w:t>20,958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wp:posOffset>
            </wp:positionH>
            <wp:positionV relativeFrom="paragraph">
              <wp:posOffset>37465</wp:posOffset>
            </wp:positionV>
            <wp:extent cx="86550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65505" cy="8255"/>
                    </a:xfrm>
                    <a:prstGeom prst="rect">
                      <a:avLst/>
                    </a:prstGeom>
                    <a:noFill/>
                  </pic:spPr>
                </pic:pic>
              </a:graphicData>
            </a:graphic>
          </wp:anchor>
        </w:drawing>
      </w:r>
    </w:p>
    <w:p>
      <w:pPr>
        <w:spacing w:after="0" w:line="1058" w:lineRule="exact"/>
        <w:rPr>
          <w:sz w:val="20"/>
          <w:szCs w:val="20"/>
          <w:color w:val="auto"/>
        </w:rPr>
      </w:pPr>
    </w:p>
    <w:p>
      <w:pPr>
        <w:sectPr>
          <w:pgSz w:w="11900" w:h="16838" w:orient="portrait"/>
          <w:cols w:equalWidth="0" w:num="2">
            <w:col w:w="9360" w:space="720"/>
            <w:col w:w="1480"/>
          </w:cols>
          <w:pgMar w:left="160" w:top="262" w:right="179" w:bottom="1440" w:gutter="0" w:footer="0" w:header="0"/>
        </w:sectPr>
      </w:pP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Office property</w:t>
            </w:r>
          </w:p>
        </w:tc>
        <w:tc>
          <w:tcPr>
            <w:tcW w:w="16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Total</w:t>
            </w: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and other</w:t>
            </w:r>
          </w:p>
        </w:tc>
        <w:tc>
          <w:tcPr>
            <w:tcW w:w="16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tangible fixed</w:t>
            </w:r>
          </w:p>
        </w:tc>
        <w:tc>
          <w:tcPr>
            <w:tcW w:w="148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Vessels under</w:t>
            </w:r>
          </w:p>
        </w:tc>
      </w:tr>
      <w:tr>
        <w:trPr>
          <w:trHeight w:val="213"/>
        </w:trPr>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700" w:type="dxa"/>
            <w:vAlign w:val="bottom"/>
            <w:gridSpan w:val="2"/>
          </w:tcPr>
          <w:p>
            <w:pPr>
              <w:jc w:val="right"/>
              <w:ind w:right="760"/>
              <w:spacing w:after="0"/>
              <w:rPr>
                <w:sz w:val="20"/>
                <w:szCs w:val="20"/>
                <w:color w:val="auto"/>
              </w:rPr>
            </w:pPr>
            <w:r>
              <w:rPr>
                <w:rFonts w:ascii="Arial" w:cs="Arial" w:eastAsia="Arial" w:hAnsi="Arial"/>
                <w:sz w:val="16"/>
                <w:szCs w:val="16"/>
                <w:b w:val="1"/>
                <w:bCs w:val="1"/>
                <w:color w:val="auto"/>
              </w:rPr>
              <w:t>Vessels</w:t>
            </w:r>
          </w:p>
        </w:tc>
        <w:tc>
          <w:tcPr>
            <w:tcW w:w="16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6"/>
              </w:rPr>
              <w:t>tangible assets</w:t>
            </w:r>
          </w:p>
        </w:tc>
        <w:tc>
          <w:tcPr>
            <w:tcW w:w="16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0"/>
              </w:rPr>
              <w:t>assets</w:t>
            </w:r>
          </w:p>
        </w:tc>
        <w:tc>
          <w:tcPr>
            <w:tcW w:w="148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construction</w:t>
            </w:r>
          </w:p>
        </w:tc>
      </w:tr>
      <w:tr>
        <w:trPr>
          <w:trHeight w:val="145"/>
        </w:trPr>
        <w:tc>
          <w:tcPr>
            <w:tcW w:w="5040" w:type="dxa"/>
            <w:vAlign w:val="bottom"/>
            <w:tcBorders>
              <w:top w:val="single" w:sz="8" w:color="E5FFFF"/>
            </w:tcBorders>
            <w:gridSpan w:val="4"/>
            <w:shd w:val="clear" w:color="auto" w:fill="E5FFFF"/>
          </w:tcPr>
          <w:p>
            <w:pPr>
              <w:spacing w:after="0" w:line="145" w:lineRule="exact"/>
              <w:rPr>
                <w:sz w:val="20"/>
                <w:szCs w:val="20"/>
                <w:color w:val="auto"/>
              </w:rPr>
            </w:pPr>
            <w:r>
              <w:rPr>
                <w:rFonts w:ascii="Arial" w:cs="Arial" w:eastAsia="Arial" w:hAnsi="Arial"/>
                <w:sz w:val="16"/>
                <w:szCs w:val="16"/>
                <w:b w:val="1"/>
                <w:bCs w:val="1"/>
                <w:color w:val="auto"/>
              </w:rPr>
              <w:t>Cost</w:t>
            </w:r>
          </w:p>
        </w:tc>
        <w:tc>
          <w:tcPr>
            <w:tcW w:w="1400" w:type="dxa"/>
            <w:vAlign w:val="bottom"/>
            <w:tcBorders>
              <w:top w:val="single" w:sz="8" w:color="auto"/>
            </w:tcBorders>
            <w:shd w:val="clear" w:color="auto" w:fill="E5FFFF"/>
          </w:tcPr>
          <w:p>
            <w:pPr>
              <w:spacing w:after="0"/>
              <w:rPr>
                <w:sz w:val="12"/>
                <w:szCs w:val="12"/>
                <w:color w:val="auto"/>
              </w:rPr>
            </w:pPr>
          </w:p>
        </w:tc>
        <w:tc>
          <w:tcPr>
            <w:tcW w:w="300" w:type="dxa"/>
            <w:vAlign w:val="bottom"/>
            <w:tcBorders>
              <w:top w:val="single" w:sz="8" w:color="E5FFFF"/>
            </w:tcBorders>
            <w:shd w:val="clear" w:color="auto" w:fill="E5FFFF"/>
          </w:tcPr>
          <w:p>
            <w:pPr>
              <w:spacing w:after="0"/>
              <w:rPr>
                <w:sz w:val="12"/>
                <w:szCs w:val="12"/>
                <w:color w:val="auto"/>
              </w:rPr>
            </w:pPr>
          </w:p>
        </w:tc>
        <w:tc>
          <w:tcPr>
            <w:tcW w:w="1380" w:type="dxa"/>
            <w:vAlign w:val="bottom"/>
            <w:tcBorders>
              <w:top w:val="single" w:sz="8" w:color="auto"/>
            </w:tcBorders>
            <w:shd w:val="clear" w:color="auto" w:fill="E5FFFF"/>
          </w:tcPr>
          <w:p>
            <w:pPr>
              <w:spacing w:after="0"/>
              <w:rPr>
                <w:sz w:val="12"/>
                <w:szCs w:val="12"/>
                <w:color w:val="auto"/>
              </w:rPr>
            </w:pPr>
          </w:p>
        </w:tc>
        <w:tc>
          <w:tcPr>
            <w:tcW w:w="300" w:type="dxa"/>
            <w:vAlign w:val="bottom"/>
            <w:tcBorders>
              <w:top w:val="single" w:sz="8" w:color="E5FFFF"/>
            </w:tcBorders>
            <w:shd w:val="clear" w:color="auto" w:fill="E5FFFF"/>
          </w:tcPr>
          <w:p>
            <w:pPr>
              <w:spacing w:after="0"/>
              <w:rPr>
                <w:sz w:val="12"/>
                <w:szCs w:val="12"/>
                <w:color w:val="auto"/>
              </w:rPr>
            </w:pPr>
          </w:p>
        </w:tc>
        <w:tc>
          <w:tcPr>
            <w:tcW w:w="1380" w:type="dxa"/>
            <w:vAlign w:val="bottom"/>
            <w:tcBorders>
              <w:top w:val="single" w:sz="8" w:color="auto"/>
            </w:tcBorders>
            <w:shd w:val="clear" w:color="auto" w:fill="E5FFFF"/>
          </w:tcPr>
          <w:p>
            <w:pPr>
              <w:spacing w:after="0"/>
              <w:rPr>
                <w:sz w:val="12"/>
                <w:szCs w:val="12"/>
                <w:color w:val="auto"/>
              </w:rPr>
            </w:pPr>
          </w:p>
        </w:tc>
        <w:tc>
          <w:tcPr>
            <w:tcW w:w="280" w:type="dxa"/>
            <w:vAlign w:val="bottom"/>
            <w:tcBorders>
              <w:top w:val="single" w:sz="8" w:color="E5FFFF"/>
            </w:tcBorders>
            <w:shd w:val="clear" w:color="auto" w:fill="E5FFFF"/>
          </w:tcPr>
          <w:p>
            <w:pPr>
              <w:spacing w:after="0"/>
              <w:rPr>
                <w:sz w:val="12"/>
                <w:szCs w:val="12"/>
                <w:color w:val="auto"/>
              </w:rPr>
            </w:pPr>
          </w:p>
        </w:tc>
        <w:tc>
          <w:tcPr>
            <w:tcW w:w="1380" w:type="dxa"/>
            <w:vAlign w:val="bottom"/>
            <w:tcBorders>
              <w:top w:val="single" w:sz="8" w:color="auto"/>
            </w:tcBorders>
            <w:shd w:val="clear" w:color="auto" w:fill="E5FFFF"/>
          </w:tcPr>
          <w:p>
            <w:pPr>
              <w:spacing w:after="0"/>
              <w:rPr>
                <w:sz w:val="12"/>
                <w:szCs w:val="12"/>
                <w:color w:val="auto"/>
              </w:rPr>
            </w:pPr>
          </w:p>
        </w:tc>
        <w:tc>
          <w:tcPr>
            <w:tcW w:w="100" w:type="dxa"/>
            <w:vAlign w:val="bottom"/>
            <w:tcBorders>
              <w:top w:val="single" w:sz="8" w:color="E5FFFF"/>
            </w:tcBorders>
            <w:shd w:val="clear" w:color="auto" w:fill="E5FFFF"/>
          </w:tcPr>
          <w:p>
            <w:pPr>
              <w:spacing w:after="0"/>
              <w:rPr>
                <w:sz w:val="12"/>
                <w:szCs w:val="12"/>
                <w:color w:val="auto"/>
              </w:rPr>
            </w:pPr>
          </w:p>
        </w:tc>
      </w:tr>
      <w:tr>
        <w:trPr>
          <w:trHeight w:val="20"/>
        </w:trPr>
        <w:tc>
          <w:tcPr>
            <w:tcW w:w="320" w:type="dxa"/>
            <w:vAlign w:val="bottom"/>
            <w:tcBorders>
              <w:top w:val="single" w:sz="8" w:color="auto"/>
            </w:tcBorders>
            <w:shd w:val="clear" w:color="auto" w:fill="E5FFFF"/>
          </w:tcPr>
          <w:p>
            <w:pPr>
              <w:spacing w:after="0" w:line="20" w:lineRule="exact"/>
              <w:rPr>
                <w:sz w:val="1"/>
                <w:szCs w:val="1"/>
                <w:color w:val="auto"/>
              </w:rPr>
            </w:pPr>
          </w:p>
        </w:tc>
        <w:tc>
          <w:tcPr>
            <w:tcW w:w="720" w:type="dxa"/>
            <w:vAlign w:val="bottom"/>
            <w:tcBorders>
              <w:top w:val="single" w:sz="8" w:color="E5FFFF"/>
            </w:tcBorders>
            <w:shd w:val="clear" w:color="auto" w:fill="E5FFFF"/>
          </w:tcPr>
          <w:p>
            <w:pPr>
              <w:spacing w:after="0" w:line="20" w:lineRule="exact"/>
              <w:rPr>
                <w:sz w:val="1"/>
                <w:szCs w:val="1"/>
                <w:color w:val="auto"/>
              </w:rPr>
            </w:pPr>
          </w:p>
        </w:tc>
        <w:tc>
          <w:tcPr>
            <w:tcW w:w="780" w:type="dxa"/>
            <w:vAlign w:val="bottom"/>
            <w:tcBorders>
              <w:top w:val="single" w:sz="8" w:color="E5FFFF"/>
            </w:tcBorders>
            <w:shd w:val="clear" w:color="auto" w:fill="E5FFFF"/>
          </w:tcPr>
          <w:p>
            <w:pPr>
              <w:spacing w:after="0" w:line="20" w:lineRule="exact"/>
              <w:rPr>
                <w:sz w:val="1"/>
                <w:szCs w:val="1"/>
                <w:color w:val="auto"/>
              </w:rPr>
            </w:pPr>
          </w:p>
        </w:tc>
        <w:tc>
          <w:tcPr>
            <w:tcW w:w="3220" w:type="dxa"/>
            <w:vAlign w:val="bottom"/>
            <w:tcBorders>
              <w:top w:val="single" w:sz="8" w:color="E5FFFF"/>
            </w:tcBorders>
            <w:shd w:val="clear" w:color="auto" w:fill="E5FFFF"/>
          </w:tcPr>
          <w:p>
            <w:pPr>
              <w:spacing w:after="0" w:line="20" w:lineRule="exact"/>
              <w:rPr>
                <w:sz w:val="1"/>
                <w:szCs w:val="1"/>
                <w:color w:val="auto"/>
              </w:rPr>
            </w:pPr>
          </w:p>
        </w:tc>
        <w:tc>
          <w:tcPr>
            <w:tcW w:w="1400" w:type="dxa"/>
            <w:vAlign w:val="bottom"/>
            <w:tcBorders>
              <w:top w:val="single" w:sz="8" w:color="E5FFFF"/>
            </w:tcBorders>
            <w:shd w:val="clear" w:color="auto" w:fill="E5FFFF"/>
          </w:tcPr>
          <w:p>
            <w:pPr>
              <w:spacing w:after="0" w:line="20" w:lineRule="exact"/>
              <w:rPr>
                <w:sz w:val="1"/>
                <w:szCs w:val="1"/>
                <w:color w:val="auto"/>
              </w:rPr>
            </w:pPr>
          </w:p>
        </w:tc>
        <w:tc>
          <w:tcPr>
            <w:tcW w:w="300" w:type="dxa"/>
            <w:vAlign w:val="bottom"/>
            <w:tcBorders>
              <w:top w:val="single" w:sz="8" w:color="E5FFFF"/>
            </w:tcBorders>
            <w:shd w:val="clear" w:color="auto" w:fill="E5FFFF"/>
          </w:tcPr>
          <w:p>
            <w:pPr>
              <w:spacing w:after="0" w:line="20" w:lineRule="exact"/>
              <w:rPr>
                <w:sz w:val="1"/>
                <w:szCs w:val="1"/>
                <w:color w:val="auto"/>
              </w:rPr>
            </w:pPr>
          </w:p>
        </w:tc>
        <w:tc>
          <w:tcPr>
            <w:tcW w:w="1380" w:type="dxa"/>
            <w:vAlign w:val="bottom"/>
            <w:tcBorders>
              <w:top w:val="single" w:sz="8" w:color="E5FFFF"/>
            </w:tcBorders>
            <w:shd w:val="clear" w:color="auto" w:fill="E5FFFF"/>
          </w:tcPr>
          <w:p>
            <w:pPr>
              <w:spacing w:after="0" w:line="20" w:lineRule="exact"/>
              <w:rPr>
                <w:sz w:val="1"/>
                <w:szCs w:val="1"/>
                <w:color w:val="auto"/>
              </w:rPr>
            </w:pPr>
          </w:p>
        </w:tc>
        <w:tc>
          <w:tcPr>
            <w:tcW w:w="300" w:type="dxa"/>
            <w:vAlign w:val="bottom"/>
            <w:tcBorders>
              <w:top w:val="single" w:sz="8" w:color="E5FFFF"/>
            </w:tcBorders>
            <w:shd w:val="clear" w:color="auto" w:fill="E5FFFF"/>
          </w:tcPr>
          <w:p>
            <w:pPr>
              <w:spacing w:after="0" w:line="20" w:lineRule="exact"/>
              <w:rPr>
                <w:sz w:val="1"/>
                <w:szCs w:val="1"/>
                <w:color w:val="auto"/>
              </w:rPr>
            </w:pPr>
          </w:p>
        </w:tc>
        <w:tc>
          <w:tcPr>
            <w:tcW w:w="1380" w:type="dxa"/>
            <w:vAlign w:val="bottom"/>
            <w:tcBorders>
              <w:top w:val="single" w:sz="8" w:color="E5FFFF"/>
            </w:tcBorders>
            <w:shd w:val="clear" w:color="auto" w:fill="E5FFFF"/>
          </w:tcPr>
          <w:p>
            <w:pPr>
              <w:spacing w:after="0" w:line="20" w:lineRule="exact"/>
              <w:rPr>
                <w:sz w:val="1"/>
                <w:szCs w:val="1"/>
                <w:color w:val="auto"/>
              </w:rPr>
            </w:pPr>
          </w:p>
        </w:tc>
        <w:tc>
          <w:tcPr>
            <w:tcW w:w="280" w:type="dxa"/>
            <w:vAlign w:val="bottom"/>
            <w:tcBorders>
              <w:top w:val="single" w:sz="8" w:color="E5FFFF"/>
            </w:tcBorders>
            <w:shd w:val="clear" w:color="auto" w:fill="E5FFFF"/>
          </w:tcPr>
          <w:p>
            <w:pPr>
              <w:spacing w:after="0" w:line="20" w:lineRule="exact"/>
              <w:rPr>
                <w:sz w:val="1"/>
                <w:szCs w:val="1"/>
                <w:color w:val="auto"/>
              </w:rPr>
            </w:pPr>
          </w:p>
        </w:tc>
        <w:tc>
          <w:tcPr>
            <w:tcW w:w="1380" w:type="dxa"/>
            <w:vAlign w:val="bottom"/>
            <w:tcBorders>
              <w:top w:val="single" w:sz="8" w:color="E5FFFF"/>
            </w:tcBorders>
            <w:shd w:val="clear" w:color="auto" w:fill="E5FFFF"/>
          </w:tcPr>
          <w:p>
            <w:pPr>
              <w:spacing w:after="0" w:line="20" w:lineRule="exact"/>
              <w:rPr>
                <w:sz w:val="1"/>
                <w:szCs w:val="1"/>
                <w:color w:val="auto"/>
              </w:rPr>
            </w:pPr>
          </w:p>
        </w:tc>
        <w:tc>
          <w:tcPr>
            <w:tcW w:w="100" w:type="dxa"/>
            <w:vAlign w:val="bottom"/>
            <w:tcBorders>
              <w:top w:val="single" w:sz="8" w:color="E5FFFF"/>
            </w:tcBorders>
            <w:shd w:val="clear" w:color="auto" w:fill="E5FFFF"/>
          </w:tcPr>
          <w:p>
            <w:pPr>
              <w:spacing w:after="0" w:line="20" w:lineRule="exact"/>
              <w:rPr>
                <w:sz w:val="1"/>
                <w:szCs w:val="1"/>
                <w:color w:val="auto"/>
              </w:rPr>
            </w:pPr>
          </w:p>
        </w:tc>
      </w:tr>
      <w:tr>
        <w:trPr>
          <w:trHeight w:val="203"/>
        </w:trPr>
        <w:tc>
          <w:tcPr>
            <w:tcW w:w="5040" w:type="dxa"/>
            <w:vAlign w:val="bottom"/>
            <w:gridSpan w:val="4"/>
          </w:tcPr>
          <w:p>
            <w:pPr>
              <w:spacing w:after="0"/>
              <w:rPr>
                <w:sz w:val="20"/>
                <w:szCs w:val="20"/>
                <w:color w:val="auto"/>
              </w:rPr>
            </w:pPr>
            <w:r>
              <w:rPr>
                <w:rFonts w:ascii="Arial" w:cs="Arial" w:eastAsia="Arial" w:hAnsi="Arial"/>
                <w:sz w:val="16"/>
                <w:szCs w:val="16"/>
                <w:color w:val="auto"/>
              </w:rPr>
              <w:t>As of January 1, 2019</w:t>
            </w:r>
          </w:p>
        </w:tc>
        <w:tc>
          <w:tcPr>
            <w:tcW w:w="1700" w:type="dxa"/>
            <w:vAlign w:val="bottom"/>
            <w:gridSpan w:val="2"/>
          </w:tcPr>
          <w:p>
            <w:pPr>
              <w:jc w:val="right"/>
              <w:ind w:right="300"/>
              <w:spacing w:after="0"/>
              <w:rPr>
                <w:sz w:val="20"/>
                <w:szCs w:val="20"/>
                <w:color w:val="auto"/>
              </w:rPr>
            </w:pPr>
            <w:r>
              <w:rPr>
                <w:rFonts w:ascii="Arial" w:cs="Arial" w:eastAsia="Arial" w:hAnsi="Arial"/>
                <w:sz w:val="16"/>
                <w:szCs w:val="16"/>
                <w:color w:val="auto"/>
              </w:rPr>
              <w:t>4,899,678</w:t>
            </w:r>
          </w:p>
        </w:tc>
        <w:tc>
          <w:tcPr>
            <w:tcW w:w="1380" w:type="dxa"/>
            <w:vAlign w:val="bottom"/>
          </w:tcPr>
          <w:p>
            <w:pPr>
              <w:jc w:val="right"/>
              <w:spacing w:after="0"/>
              <w:rPr>
                <w:sz w:val="20"/>
                <w:szCs w:val="20"/>
                <w:color w:val="auto"/>
              </w:rPr>
            </w:pPr>
            <w:r>
              <w:rPr>
                <w:rFonts w:ascii="Arial" w:cs="Arial" w:eastAsia="Arial" w:hAnsi="Arial"/>
                <w:sz w:val="16"/>
                <w:szCs w:val="16"/>
                <w:color w:val="auto"/>
              </w:rPr>
              <w:t>23,710</w:t>
            </w:r>
          </w:p>
        </w:tc>
        <w:tc>
          <w:tcPr>
            <w:tcW w:w="3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4,923,388</w:t>
            </w:r>
          </w:p>
        </w:tc>
        <w:tc>
          <w:tcPr>
            <w:tcW w:w="280" w:type="dxa"/>
            <w:vAlign w:val="bottom"/>
          </w:tcPr>
          <w:p>
            <w:pPr>
              <w:spacing w:after="0"/>
              <w:rPr>
                <w:sz w:val="17"/>
                <w:szCs w:val="17"/>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6"/>
                <w:szCs w:val="16"/>
                <w:color w:val="auto"/>
              </w:rPr>
              <w:t>159,275</w:t>
            </w:r>
          </w:p>
        </w:tc>
      </w:tr>
      <w:tr>
        <w:trPr>
          <w:trHeight w:val="203"/>
        </w:trPr>
        <w:tc>
          <w:tcPr>
            <w:tcW w:w="5040" w:type="dxa"/>
            <w:vAlign w:val="bottom"/>
            <w:gridSpan w:val="4"/>
            <w:shd w:val="clear" w:color="auto" w:fill="E5FFFF"/>
          </w:tcPr>
          <w:p>
            <w:pPr>
              <w:spacing w:after="0"/>
              <w:rPr>
                <w:sz w:val="20"/>
                <w:szCs w:val="20"/>
                <w:color w:val="auto"/>
              </w:rPr>
            </w:pPr>
            <w:r>
              <w:rPr>
                <w:rFonts w:ascii="Arial" w:cs="Arial" w:eastAsia="Arial" w:hAnsi="Arial"/>
                <w:sz w:val="16"/>
                <w:szCs w:val="16"/>
                <w:color w:val="auto"/>
              </w:rPr>
              <w:t>Additions</w:t>
            </w:r>
          </w:p>
        </w:tc>
        <w:tc>
          <w:tcPr>
            <w:tcW w:w="1700" w:type="dxa"/>
            <w:vAlign w:val="bottom"/>
            <w:gridSpan w:val="2"/>
            <w:shd w:val="clear" w:color="auto" w:fill="E5FFFF"/>
          </w:tcPr>
          <w:p>
            <w:pPr>
              <w:jc w:val="right"/>
              <w:ind w:right="300"/>
              <w:spacing w:after="0"/>
              <w:rPr>
                <w:sz w:val="20"/>
                <w:szCs w:val="20"/>
                <w:color w:val="auto"/>
              </w:rPr>
            </w:pPr>
            <w:r>
              <w:rPr>
                <w:rFonts w:ascii="Arial" w:cs="Arial" w:eastAsia="Arial" w:hAnsi="Arial"/>
                <w:sz w:val="16"/>
                <w:szCs w:val="16"/>
                <w:color w:val="auto"/>
              </w:rPr>
              <w:t>1,233</w:t>
            </w: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702</w:t>
            </w:r>
          </w:p>
        </w:tc>
        <w:tc>
          <w:tcPr>
            <w:tcW w:w="300" w:type="dxa"/>
            <w:vAlign w:val="bottom"/>
            <w:shd w:val="clear" w:color="auto" w:fill="E5FFFF"/>
          </w:tcPr>
          <w:p>
            <w:pPr>
              <w:spacing w:after="0"/>
              <w:rPr>
                <w:sz w:val="17"/>
                <w:szCs w:val="17"/>
                <w:color w:val="auto"/>
              </w:rPr>
            </w:pP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1,935</w:t>
            </w:r>
          </w:p>
        </w:tc>
        <w:tc>
          <w:tcPr>
            <w:tcW w:w="280" w:type="dxa"/>
            <w:vAlign w:val="bottom"/>
            <w:shd w:val="clear" w:color="auto" w:fill="E5FFFF"/>
          </w:tcPr>
          <w:p>
            <w:pPr>
              <w:spacing w:after="0"/>
              <w:rPr>
                <w:sz w:val="17"/>
                <w:szCs w:val="17"/>
                <w:color w:val="auto"/>
              </w:rPr>
            </w:pPr>
          </w:p>
        </w:tc>
        <w:tc>
          <w:tcPr>
            <w:tcW w:w="148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214,175</w:t>
            </w:r>
          </w:p>
        </w:tc>
      </w:tr>
      <w:tr>
        <w:trPr>
          <w:trHeight w:val="203"/>
        </w:trPr>
        <w:tc>
          <w:tcPr>
            <w:tcW w:w="5040" w:type="dxa"/>
            <w:vAlign w:val="bottom"/>
            <w:gridSpan w:val="4"/>
          </w:tcPr>
          <w:p>
            <w:pPr>
              <w:spacing w:after="0"/>
              <w:rPr>
                <w:sz w:val="20"/>
                <w:szCs w:val="20"/>
                <w:color w:val="auto"/>
              </w:rPr>
            </w:pPr>
            <w:r>
              <w:rPr>
                <w:rFonts w:ascii="Arial" w:cs="Arial" w:eastAsia="Arial" w:hAnsi="Arial"/>
                <w:sz w:val="16"/>
                <w:szCs w:val="16"/>
                <w:color w:val="auto"/>
              </w:rPr>
              <w:t>Return of capital expenditures</w:t>
            </w:r>
          </w:p>
        </w:tc>
        <w:tc>
          <w:tcPr>
            <w:tcW w:w="1700" w:type="dxa"/>
            <w:vAlign w:val="bottom"/>
            <w:gridSpan w:val="2"/>
          </w:tcPr>
          <w:p>
            <w:pPr>
              <w:jc w:val="right"/>
              <w:ind w:right="260"/>
              <w:spacing w:after="0"/>
              <w:rPr>
                <w:sz w:val="20"/>
                <w:szCs w:val="20"/>
                <w:color w:val="auto"/>
              </w:rPr>
            </w:pPr>
            <w:r>
              <w:rPr>
                <w:rFonts w:ascii="Arial" w:cs="Arial" w:eastAsia="Arial" w:hAnsi="Arial"/>
                <w:sz w:val="16"/>
                <w:szCs w:val="16"/>
                <w:color w:val="auto"/>
              </w:rPr>
              <w:t>(5,629)</w:t>
            </w:r>
          </w:p>
        </w:tc>
        <w:tc>
          <w:tcPr>
            <w:tcW w:w="16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660" w:type="dxa"/>
            <w:vAlign w:val="bottom"/>
            <w:gridSpan w:val="2"/>
          </w:tcPr>
          <w:p>
            <w:pPr>
              <w:jc w:val="right"/>
              <w:ind w:right="240"/>
              <w:spacing w:after="0"/>
              <w:rPr>
                <w:sz w:val="20"/>
                <w:szCs w:val="20"/>
                <w:color w:val="auto"/>
              </w:rPr>
            </w:pPr>
            <w:r>
              <w:rPr>
                <w:rFonts w:ascii="Arial" w:cs="Arial" w:eastAsia="Arial" w:hAnsi="Arial"/>
                <w:sz w:val="16"/>
                <w:szCs w:val="16"/>
                <w:color w:val="auto"/>
              </w:rPr>
              <w:t>(5,629)</w:t>
            </w:r>
          </w:p>
        </w:tc>
        <w:tc>
          <w:tcPr>
            <w:tcW w:w="14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03"/>
        </w:trPr>
        <w:tc>
          <w:tcPr>
            <w:tcW w:w="5040" w:type="dxa"/>
            <w:vAlign w:val="bottom"/>
            <w:gridSpan w:val="4"/>
            <w:shd w:val="clear" w:color="auto" w:fill="E5FFFF"/>
          </w:tcPr>
          <w:p>
            <w:pPr>
              <w:spacing w:after="0"/>
              <w:rPr>
                <w:sz w:val="20"/>
                <w:szCs w:val="20"/>
                <w:color w:val="auto"/>
              </w:rPr>
            </w:pPr>
            <w:r>
              <w:rPr>
                <w:rFonts w:ascii="Arial" w:cs="Arial" w:eastAsia="Arial" w:hAnsi="Arial"/>
                <w:sz w:val="16"/>
                <w:szCs w:val="16"/>
                <w:color w:val="auto"/>
              </w:rPr>
              <w:t>Transfer from vessels under construction</w:t>
            </w:r>
          </w:p>
        </w:tc>
        <w:tc>
          <w:tcPr>
            <w:tcW w:w="1700" w:type="dxa"/>
            <w:vAlign w:val="bottom"/>
            <w:gridSpan w:val="2"/>
            <w:shd w:val="clear" w:color="auto" w:fill="E5FFFF"/>
          </w:tcPr>
          <w:p>
            <w:pPr>
              <w:jc w:val="right"/>
              <w:ind w:right="300"/>
              <w:spacing w:after="0"/>
              <w:rPr>
                <w:sz w:val="20"/>
                <w:szCs w:val="20"/>
                <w:color w:val="auto"/>
              </w:rPr>
            </w:pPr>
            <w:r>
              <w:rPr>
                <w:rFonts w:ascii="Arial" w:cs="Arial" w:eastAsia="Arial" w:hAnsi="Arial"/>
                <w:sz w:val="16"/>
                <w:szCs w:val="16"/>
                <w:color w:val="auto"/>
              </w:rPr>
              <w:t>217,609</w:t>
            </w:r>
          </w:p>
        </w:tc>
        <w:tc>
          <w:tcPr>
            <w:tcW w:w="1680" w:type="dxa"/>
            <w:vAlign w:val="bottom"/>
            <w:gridSpan w:val="2"/>
            <w:shd w:val="clear" w:color="auto" w:fill="E5FFFF"/>
          </w:tcPr>
          <w:p>
            <w:pPr>
              <w:jc w:val="right"/>
              <w:ind w:right="300"/>
              <w:spacing w:after="0"/>
              <w:rPr>
                <w:sz w:val="20"/>
                <w:szCs w:val="20"/>
                <w:color w:val="auto"/>
              </w:rPr>
            </w:pPr>
            <w:r>
              <w:rPr>
                <w:rFonts w:ascii="Arial" w:cs="Arial" w:eastAsia="Arial" w:hAnsi="Arial"/>
                <w:sz w:val="16"/>
                <w:szCs w:val="16"/>
                <w:color w:val="auto"/>
              </w:rPr>
              <w:t>—</w:t>
            </w: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217,609</w:t>
            </w:r>
          </w:p>
        </w:tc>
        <w:tc>
          <w:tcPr>
            <w:tcW w:w="280" w:type="dxa"/>
            <w:vAlign w:val="bottom"/>
            <w:shd w:val="clear" w:color="auto" w:fill="E5FFFF"/>
          </w:tcPr>
          <w:p>
            <w:pPr>
              <w:spacing w:after="0"/>
              <w:rPr>
                <w:sz w:val="17"/>
                <w:szCs w:val="17"/>
                <w:color w:val="auto"/>
              </w:rPr>
            </w:pPr>
          </w:p>
        </w:tc>
        <w:tc>
          <w:tcPr>
            <w:tcW w:w="1480" w:type="dxa"/>
            <w:vAlign w:val="bottom"/>
            <w:gridSpan w:val="2"/>
            <w:shd w:val="clear" w:color="auto" w:fill="E5FFFF"/>
          </w:tcPr>
          <w:p>
            <w:pPr>
              <w:jc w:val="right"/>
              <w:ind w:right="40"/>
              <w:spacing w:after="0"/>
              <w:rPr>
                <w:sz w:val="20"/>
                <w:szCs w:val="20"/>
                <w:color w:val="auto"/>
              </w:rPr>
            </w:pPr>
            <w:r>
              <w:rPr>
                <w:rFonts w:ascii="Arial" w:cs="Arial" w:eastAsia="Arial" w:hAnsi="Arial"/>
                <w:sz w:val="16"/>
                <w:szCs w:val="16"/>
                <w:color w:val="auto"/>
              </w:rPr>
              <w:t>(217,609)</w:t>
            </w:r>
          </w:p>
        </w:tc>
      </w:tr>
      <w:tr>
        <w:trPr>
          <w:trHeight w:val="196"/>
        </w:trPr>
        <w:tc>
          <w:tcPr>
            <w:tcW w:w="5040" w:type="dxa"/>
            <w:vAlign w:val="bottom"/>
            <w:tcBorders>
              <w:bottom w:val="single" w:sz="8" w:color="E5FFFF"/>
            </w:tcBorders>
            <w:gridSpan w:val="4"/>
          </w:tcPr>
          <w:p>
            <w:pPr>
              <w:spacing w:after="0"/>
              <w:rPr>
                <w:sz w:val="20"/>
                <w:szCs w:val="20"/>
                <w:color w:val="auto"/>
              </w:rPr>
            </w:pPr>
            <w:r>
              <w:rPr>
                <w:rFonts w:ascii="Arial" w:cs="Arial" w:eastAsia="Arial" w:hAnsi="Arial"/>
                <w:sz w:val="16"/>
                <w:szCs w:val="16"/>
                <w:b w:val="1"/>
                <w:bCs w:val="1"/>
                <w:color w:val="auto"/>
              </w:rPr>
              <w:t>As of March 31, 2019</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5,112,891</w:t>
            </w:r>
          </w:p>
        </w:tc>
        <w:tc>
          <w:tcPr>
            <w:tcW w:w="300" w:type="dxa"/>
            <w:vAlign w:val="bottom"/>
            <w:tcBorders>
              <w:bottom w:val="single" w:sz="8" w:color="E5FFFF"/>
            </w:tcBorders>
          </w:tcPr>
          <w:p>
            <w:pPr>
              <w:spacing w:after="0"/>
              <w:rPr>
                <w:sz w:val="17"/>
                <w:szCs w:val="17"/>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24,412</w:t>
            </w:r>
          </w:p>
        </w:tc>
        <w:tc>
          <w:tcPr>
            <w:tcW w:w="300" w:type="dxa"/>
            <w:vAlign w:val="bottom"/>
            <w:tcBorders>
              <w:bottom w:val="single" w:sz="8" w:color="E5FFFF"/>
            </w:tcBorders>
          </w:tcPr>
          <w:p>
            <w:pPr>
              <w:spacing w:after="0"/>
              <w:rPr>
                <w:sz w:val="17"/>
                <w:szCs w:val="17"/>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5,137,303</w:t>
            </w:r>
          </w:p>
        </w:tc>
        <w:tc>
          <w:tcPr>
            <w:tcW w:w="280" w:type="dxa"/>
            <w:vAlign w:val="bottom"/>
            <w:tcBorders>
              <w:bottom w:val="single" w:sz="8" w:color="E5FFFF"/>
            </w:tcBorders>
          </w:tcPr>
          <w:p>
            <w:pPr>
              <w:spacing w:after="0"/>
              <w:rPr>
                <w:sz w:val="17"/>
                <w:szCs w:val="17"/>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155,841</w:t>
            </w:r>
          </w:p>
        </w:tc>
        <w:tc>
          <w:tcPr>
            <w:tcW w:w="100" w:type="dxa"/>
            <w:vAlign w:val="bottom"/>
            <w:tcBorders>
              <w:bottom w:val="single" w:sz="8" w:color="E5FFFF"/>
            </w:tcBorders>
          </w:tcPr>
          <w:p>
            <w:pPr>
              <w:spacing w:after="0"/>
              <w:rPr>
                <w:sz w:val="17"/>
                <w:szCs w:val="17"/>
                <w:color w:val="auto"/>
              </w:rPr>
            </w:pPr>
          </w:p>
        </w:tc>
      </w:tr>
      <w:tr>
        <w:trPr>
          <w:trHeight w:val="210"/>
        </w:trPr>
        <w:tc>
          <w:tcPr>
            <w:tcW w:w="320" w:type="dxa"/>
            <w:vAlign w:val="bottom"/>
            <w:shd w:val="clear" w:color="auto" w:fill="E5FFFF"/>
          </w:tcPr>
          <w:p>
            <w:pPr>
              <w:spacing w:after="0"/>
              <w:rPr>
                <w:sz w:val="18"/>
                <w:szCs w:val="18"/>
                <w:color w:val="auto"/>
              </w:rPr>
            </w:pPr>
          </w:p>
        </w:tc>
        <w:tc>
          <w:tcPr>
            <w:tcW w:w="720" w:type="dxa"/>
            <w:vAlign w:val="bottom"/>
            <w:shd w:val="clear" w:color="auto" w:fill="E5FFFF"/>
          </w:tcPr>
          <w:p>
            <w:pPr>
              <w:spacing w:after="0"/>
              <w:rPr>
                <w:sz w:val="18"/>
                <w:szCs w:val="18"/>
                <w:color w:val="auto"/>
              </w:rPr>
            </w:pPr>
          </w:p>
        </w:tc>
        <w:tc>
          <w:tcPr>
            <w:tcW w:w="780" w:type="dxa"/>
            <w:vAlign w:val="bottom"/>
            <w:shd w:val="clear" w:color="auto" w:fill="E5FFFF"/>
          </w:tcPr>
          <w:p>
            <w:pPr>
              <w:spacing w:after="0"/>
              <w:rPr>
                <w:sz w:val="18"/>
                <w:szCs w:val="18"/>
                <w:color w:val="auto"/>
              </w:rPr>
            </w:pPr>
          </w:p>
        </w:tc>
        <w:tc>
          <w:tcPr>
            <w:tcW w:w="3220" w:type="dxa"/>
            <w:vAlign w:val="bottom"/>
            <w:shd w:val="clear" w:color="auto" w:fill="E5FFFF"/>
          </w:tcPr>
          <w:p>
            <w:pPr>
              <w:spacing w:after="0"/>
              <w:rPr>
                <w:sz w:val="18"/>
                <w:szCs w:val="18"/>
                <w:color w:val="auto"/>
              </w:rPr>
            </w:pPr>
          </w:p>
        </w:tc>
        <w:tc>
          <w:tcPr>
            <w:tcW w:w="140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138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138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138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r>
      <w:tr>
        <w:trPr>
          <w:trHeight w:val="162"/>
        </w:trPr>
        <w:tc>
          <w:tcPr>
            <w:tcW w:w="5040" w:type="dxa"/>
            <w:vAlign w:val="bottom"/>
            <w:gridSpan w:val="4"/>
          </w:tcPr>
          <w:p>
            <w:pPr>
              <w:spacing w:after="0" w:line="162" w:lineRule="exact"/>
              <w:rPr>
                <w:sz w:val="20"/>
                <w:szCs w:val="20"/>
                <w:color w:val="auto"/>
              </w:rPr>
            </w:pPr>
            <w:r>
              <w:rPr>
                <w:rFonts w:ascii="Arial" w:cs="Arial" w:eastAsia="Arial" w:hAnsi="Arial"/>
                <w:sz w:val="16"/>
                <w:szCs w:val="16"/>
                <w:b w:val="1"/>
                <w:bCs w:val="1"/>
                <w:color w:val="auto"/>
              </w:rPr>
              <w:t>Accumulated depreciation</w:t>
            </w:r>
          </w:p>
        </w:tc>
        <w:tc>
          <w:tcPr>
            <w:tcW w:w="1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
        </w:trPr>
        <w:tc>
          <w:tcPr>
            <w:tcW w:w="32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3"/>
        </w:trPr>
        <w:tc>
          <w:tcPr>
            <w:tcW w:w="5040" w:type="dxa"/>
            <w:vAlign w:val="bottom"/>
            <w:gridSpan w:val="4"/>
            <w:shd w:val="clear" w:color="auto" w:fill="E5FFFF"/>
          </w:tcPr>
          <w:p>
            <w:pPr>
              <w:spacing w:after="0"/>
              <w:rPr>
                <w:sz w:val="20"/>
                <w:szCs w:val="20"/>
                <w:color w:val="auto"/>
              </w:rPr>
            </w:pPr>
            <w:r>
              <w:rPr>
                <w:rFonts w:ascii="Arial" w:cs="Arial" w:eastAsia="Arial" w:hAnsi="Arial"/>
                <w:sz w:val="16"/>
                <w:szCs w:val="16"/>
                <w:color w:val="auto"/>
              </w:rPr>
              <w:t>As of January 1, 2019</w:t>
            </w:r>
          </w:p>
        </w:tc>
        <w:tc>
          <w:tcPr>
            <w:tcW w:w="1700" w:type="dxa"/>
            <w:vAlign w:val="bottom"/>
            <w:gridSpan w:val="2"/>
            <w:shd w:val="clear" w:color="auto" w:fill="E5FFFF"/>
          </w:tcPr>
          <w:p>
            <w:pPr>
              <w:jc w:val="right"/>
              <w:ind w:right="300"/>
              <w:spacing w:after="0"/>
              <w:rPr>
                <w:sz w:val="20"/>
                <w:szCs w:val="20"/>
                <w:color w:val="auto"/>
              </w:rPr>
            </w:pPr>
            <w:r>
              <w:rPr>
                <w:rFonts w:ascii="Arial" w:cs="Arial" w:eastAsia="Arial" w:hAnsi="Arial"/>
                <w:sz w:val="16"/>
                <w:szCs w:val="16"/>
                <w:color w:val="auto"/>
              </w:rPr>
              <w:t>595,426</w:t>
            </w: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4,380</w:t>
            </w:r>
          </w:p>
        </w:tc>
        <w:tc>
          <w:tcPr>
            <w:tcW w:w="300" w:type="dxa"/>
            <w:vAlign w:val="bottom"/>
            <w:shd w:val="clear" w:color="auto" w:fill="E5FFFF"/>
          </w:tcPr>
          <w:p>
            <w:pPr>
              <w:spacing w:after="0"/>
              <w:rPr>
                <w:sz w:val="17"/>
                <w:szCs w:val="17"/>
                <w:color w:val="auto"/>
              </w:rPr>
            </w:pP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599,806</w:t>
            </w:r>
          </w:p>
        </w:tc>
        <w:tc>
          <w:tcPr>
            <w:tcW w:w="280" w:type="dxa"/>
            <w:vAlign w:val="bottom"/>
            <w:shd w:val="clear" w:color="auto" w:fill="E5FFFF"/>
          </w:tcPr>
          <w:p>
            <w:pPr>
              <w:spacing w:after="0"/>
              <w:rPr>
                <w:sz w:val="17"/>
                <w:szCs w:val="17"/>
                <w:color w:val="auto"/>
              </w:rPr>
            </w:pPr>
          </w:p>
        </w:tc>
        <w:tc>
          <w:tcPr>
            <w:tcW w:w="148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w:t>
            </w:r>
          </w:p>
        </w:tc>
      </w:tr>
      <w:tr>
        <w:trPr>
          <w:trHeight w:val="203"/>
        </w:trPr>
        <w:tc>
          <w:tcPr>
            <w:tcW w:w="5040" w:type="dxa"/>
            <w:vAlign w:val="bottom"/>
            <w:gridSpan w:val="4"/>
          </w:tcPr>
          <w:p>
            <w:pPr>
              <w:spacing w:after="0"/>
              <w:rPr>
                <w:sz w:val="20"/>
                <w:szCs w:val="20"/>
                <w:color w:val="auto"/>
              </w:rPr>
            </w:pPr>
            <w:r>
              <w:rPr>
                <w:rFonts w:ascii="Arial" w:cs="Arial" w:eastAsia="Arial" w:hAnsi="Arial"/>
                <w:sz w:val="16"/>
                <w:szCs w:val="16"/>
                <w:color w:val="auto"/>
              </w:rPr>
              <w:t>Depreciation expense</w:t>
            </w:r>
          </w:p>
        </w:tc>
        <w:tc>
          <w:tcPr>
            <w:tcW w:w="1700" w:type="dxa"/>
            <w:vAlign w:val="bottom"/>
            <w:gridSpan w:val="2"/>
          </w:tcPr>
          <w:p>
            <w:pPr>
              <w:jc w:val="right"/>
              <w:ind w:right="300"/>
              <w:spacing w:after="0"/>
              <w:rPr>
                <w:sz w:val="20"/>
                <w:szCs w:val="20"/>
                <w:color w:val="auto"/>
              </w:rPr>
            </w:pPr>
            <w:r>
              <w:rPr>
                <w:rFonts w:ascii="Arial" w:cs="Arial" w:eastAsia="Arial" w:hAnsi="Arial"/>
                <w:sz w:val="16"/>
                <w:szCs w:val="16"/>
                <w:color w:val="auto"/>
              </w:rPr>
              <w:t>36,860</w:t>
            </w:r>
          </w:p>
        </w:tc>
        <w:tc>
          <w:tcPr>
            <w:tcW w:w="1380" w:type="dxa"/>
            <w:vAlign w:val="bottom"/>
          </w:tcPr>
          <w:p>
            <w:pPr>
              <w:jc w:val="right"/>
              <w:spacing w:after="0"/>
              <w:rPr>
                <w:sz w:val="20"/>
                <w:szCs w:val="20"/>
                <w:color w:val="auto"/>
              </w:rPr>
            </w:pPr>
            <w:r>
              <w:rPr>
                <w:rFonts w:ascii="Arial" w:cs="Arial" w:eastAsia="Arial" w:hAnsi="Arial"/>
                <w:sz w:val="16"/>
                <w:szCs w:val="16"/>
                <w:color w:val="auto"/>
              </w:rPr>
              <w:t>222</w:t>
            </w:r>
          </w:p>
        </w:tc>
        <w:tc>
          <w:tcPr>
            <w:tcW w:w="3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37,082</w:t>
            </w:r>
          </w:p>
        </w:tc>
        <w:tc>
          <w:tcPr>
            <w:tcW w:w="280" w:type="dxa"/>
            <w:vAlign w:val="bottom"/>
          </w:tcPr>
          <w:p>
            <w:pPr>
              <w:spacing w:after="0"/>
              <w:rPr>
                <w:sz w:val="17"/>
                <w:szCs w:val="17"/>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196"/>
        </w:trPr>
        <w:tc>
          <w:tcPr>
            <w:tcW w:w="5040" w:type="dxa"/>
            <w:vAlign w:val="bottom"/>
            <w:tcBorders>
              <w:top w:val="single" w:sz="8" w:color="E5FFFF"/>
            </w:tcBorders>
            <w:gridSpan w:val="4"/>
            <w:shd w:val="clear" w:color="auto" w:fill="E5FFFF"/>
          </w:tcPr>
          <w:p>
            <w:pPr>
              <w:spacing w:after="0"/>
              <w:rPr>
                <w:sz w:val="20"/>
                <w:szCs w:val="20"/>
                <w:color w:val="auto"/>
              </w:rPr>
            </w:pPr>
            <w:r>
              <w:rPr>
                <w:rFonts w:ascii="Arial" w:cs="Arial" w:eastAsia="Arial" w:hAnsi="Arial"/>
                <w:sz w:val="16"/>
                <w:szCs w:val="16"/>
                <w:b w:val="1"/>
                <w:bCs w:val="1"/>
                <w:color w:val="auto"/>
              </w:rPr>
              <w:t>As of March 31, 2019</w:t>
            </w:r>
          </w:p>
        </w:tc>
        <w:tc>
          <w:tcPr>
            <w:tcW w:w="14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632,286</w:t>
            </w:r>
          </w:p>
        </w:tc>
        <w:tc>
          <w:tcPr>
            <w:tcW w:w="300" w:type="dxa"/>
            <w:vAlign w:val="bottom"/>
            <w:tcBorders>
              <w:top w:val="single" w:sz="8" w:color="E5FFFF"/>
            </w:tcBorders>
            <w:shd w:val="clear" w:color="auto" w:fill="E5FFFF"/>
          </w:tcPr>
          <w:p>
            <w:pPr>
              <w:spacing w:after="0"/>
              <w:rPr>
                <w:sz w:val="17"/>
                <w:szCs w:val="17"/>
                <w:color w:val="auto"/>
              </w:rPr>
            </w:pPr>
          </w:p>
        </w:tc>
        <w:tc>
          <w:tcPr>
            <w:tcW w:w="13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4,602</w:t>
            </w:r>
          </w:p>
        </w:tc>
        <w:tc>
          <w:tcPr>
            <w:tcW w:w="300" w:type="dxa"/>
            <w:vAlign w:val="bottom"/>
            <w:tcBorders>
              <w:top w:val="single" w:sz="8" w:color="E5FFFF"/>
            </w:tcBorders>
            <w:shd w:val="clear" w:color="auto" w:fill="E5FFFF"/>
          </w:tcPr>
          <w:p>
            <w:pPr>
              <w:spacing w:after="0"/>
              <w:rPr>
                <w:sz w:val="17"/>
                <w:szCs w:val="17"/>
                <w:color w:val="auto"/>
              </w:rPr>
            </w:pPr>
          </w:p>
        </w:tc>
        <w:tc>
          <w:tcPr>
            <w:tcW w:w="13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636,888</w:t>
            </w:r>
          </w:p>
        </w:tc>
        <w:tc>
          <w:tcPr>
            <w:tcW w:w="280" w:type="dxa"/>
            <w:vAlign w:val="bottom"/>
            <w:tcBorders>
              <w:top w:val="single" w:sz="8" w:color="E5FFFF"/>
            </w:tcBorders>
            <w:shd w:val="clear" w:color="auto" w:fill="E5FFFF"/>
          </w:tcPr>
          <w:p>
            <w:pPr>
              <w:spacing w:after="0"/>
              <w:rPr>
                <w:sz w:val="17"/>
                <w:szCs w:val="17"/>
                <w:color w:val="auto"/>
              </w:rPr>
            </w:pPr>
          </w:p>
        </w:tc>
        <w:tc>
          <w:tcPr>
            <w:tcW w:w="13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E5FFFF"/>
            </w:tcBorders>
            <w:shd w:val="clear" w:color="auto" w:fill="E5FFFF"/>
          </w:tcPr>
          <w:p>
            <w:pPr>
              <w:spacing w:after="0"/>
              <w:rPr>
                <w:sz w:val="17"/>
                <w:szCs w:val="17"/>
                <w:color w:val="auto"/>
              </w:rPr>
            </w:pPr>
          </w:p>
        </w:tc>
      </w:tr>
      <w:tr>
        <w:trPr>
          <w:trHeight w:val="209"/>
        </w:trPr>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2"/>
        </w:trPr>
        <w:tc>
          <w:tcPr>
            <w:tcW w:w="5040" w:type="dxa"/>
            <w:vAlign w:val="bottom"/>
            <w:gridSpan w:val="4"/>
            <w:shd w:val="clear" w:color="auto" w:fill="E5FFFF"/>
          </w:tcPr>
          <w:p>
            <w:pPr>
              <w:spacing w:after="0" w:line="162" w:lineRule="exact"/>
              <w:rPr>
                <w:sz w:val="20"/>
                <w:szCs w:val="20"/>
                <w:color w:val="auto"/>
              </w:rPr>
            </w:pPr>
            <w:r>
              <w:rPr>
                <w:rFonts w:ascii="Arial" w:cs="Arial" w:eastAsia="Arial" w:hAnsi="Arial"/>
                <w:sz w:val="16"/>
                <w:szCs w:val="16"/>
                <w:b w:val="1"/>
                <w:bCs w:val="1"/>
                <w:color w:val="auto"/>
              </w:rPr>
              <w:t>Net book value</w:t>
            </w:r>
          </w:p>
        </w:tc>
        <w:tc>
          <w:tcPr>
            <w:tcW w:w="1400" w:type="dxa"/>
            <w:vAlign w:val="bottom"/>
            <w:shd w:val="clear" w:color="auto" w:fill="E5FFFF"/>
          </w:tcPr>
          <w:p>
            <w:pPr>
              <w:spacing w:after="0"/>
              <w:rPr>
                <w:sz w:val="14"/>
                <w:szCs w:val="14"/>
                <w:color w:val="auto"/>
              </w:rPr>
            </w:pPr>
          </w:p>
        </w:tc>
        <w:tc>
          <w:tcPr>
            <w:tcW w:w="300" w:type="dxa"/>
            <w:vAlign w:val="bottom"/>
            <w:shd w:val="clear" w:color="auto" w:fill="E5FFFF"/>
          </w:tcPr>
          <w:p>
            <w:pPr>
              <w:spacing w:after="0"/>
              <w:rPr>
                <w:sz w:val="14"/>
                <w:szCs w:val="14"/>
                <w:color w:val="auto"/>
              </w:rPr>
            </w:pPr>
          </w:p>
        </w:tc>
        <w:tc>
          <w:tcPr>
            <w:tcW w:w="1380" w:type="dxa"/>
            <w:vAlign w:val="bottom"/>
            <w:shd w:val="clear" w:color="auto" w:fill="E5FFFF"/>
          </w:tcPr>
          <w:p>
            <w:pPr>
              <w:spacing w:after="0"/>
              <w:rPr>
                <w:sz w:val="14"/>
                <w:szCs w:val="14"/>
                <w:color w:val="auto"/>
              </w:rPr>
            </w:pPr>
          </w:p>
        </w:tc>
        <w:tc>
          <w:tcPr>
            <w:tcW w:w="300" w:type="dxa"/>
            <w:vAlign w:val="bottom"/>
            <w:shd w:val="clear" w:color="auto" w:fill="E5FFFF"/>
          </w:tcPr>
          <w:p>
            <w:pPr>
              <w:spacing w:after="0"/>
              <w:rPr>
                <w:sz w:val="14"/>
                <w:szCs w:val="14"/>
                <w:color w:val="auto"/>
              </w:rPr>
            </w:pPr>
          </w:p>
        </w:tc>
        <w:tc>
          <w:tcPr>
            <w:tcW w:w="1380" w:type="dxa"/>
            <w:vAlign w:val="bottom"/>
            <w:shd w:val="clear" w:color="auto" w:fill="E5FFFF"/>
          </w:tcPr>
          <w:p>
            <w:pPr>
              <w:spacing w:after="0"/>
              <w:rPr>
                <w:sz w:val="14"/>
                <w:szCs w:val="14"/>
                <w:color w:val="auto"/>
              </w:rPr>
            </w:pPr>
          </w:p>
        </w:tc>
        <w:tc>
          <w:tcPr>
            <w:tcW w:w="280" w:type="dxa"/>
            <w:vAlign w:val="bottom"/>
            <w:shd w:val="clear" w:color="auto" w:fill="E5FFFF"/>
          </w:tcPr>
          <w:p>
            <w:pPr>
              <w:spacing w:after="0"/>
              <w:rPr>
                <w:sz w:val="14"/>
                <w:szCs w:val="14"/>
                <w:color w:val="auto"/>
              </w:rPr>
            </w:pPr>
          </w:p>
        </w:tc>
        <w:tc>
          <w:tcPr>
            <w:tcW w:w="1380" w:type="dxa"/>
            <w:vAlign w:val="bottom"/>
            <w:shd w:val="clear" w:color="auto" w:fill="E5FFFF"/>
          </w:tcPr>
          <w:p>
            <w:pPr>
              <w:spacing w:after="0"/>
              <w:rPr>
                <w:sz w:val="14"/>
                <w:szCs w:val="14"/>
                <w:color w:val="auto"/>
              </w:rPr>
            </w:pPr>
          </w:p>
        </w:tc>
        <w:tc>
          <w:tcPr>
            <w:tcW w:w="100" w:type="dxa"/>
            <w:vAlign w:val="bottom"/>
            <w:shd w:val="clear" w:color="auto" w:fill="E5FFFF"/>
          </w:tcPr>
          <w:p>
            <w:pPr>
              <w:spacing w:after="0"/>
              <w:rPr>
                <w:sz w:val="14"/>
                <w:szCs w:val="14"/>
                <w:color w:val="auto"/>
              </w:rPr>
            </w:pPr>
          </w:p>
        </w:tc>
      </w:tr>
      <w:tr>
        <w:trPr>
          <w:trHeight w:val="20"/>
        </w:trPr>
        <w:tc>
          <w:tcPr>
            <w:tcW w:w="320" w:type="dxa"/>
            <w:vAlign w:val="bottom"/>
            <w:tcBorders>
              <w:top w:val="single" w:sz="8" w:color="auto"/>
            </w:tcBorders>
            <w:shd w:val="clear" w:color="auto" w:fill="E5FFFF"/>
          </w:tcPr>
          <w:p>
            <w:pPr>
              <w:spacing w:after="0" w:line="20" w:lineRule="exact"/>
              <w:rPr>
                <w:sz w:val="1"/>
                <w:szCs w:val="1"/>
                <w:color w:val="auto"/>
              </w:rPr>
            </w:pPr>
          </w:p>
        </w:tc>
        <w:tc>
          <w:tcPr>
            <w:tcW w:w="720" w:type="dxa"/>
            <w:vAlign w:val="bottom"/>
            <w:tcBorders>
              <w:top w:val="single" w:sz="8" w:color="auto"/>
            </w:tcBorders>
            <w:shd w:val="clear" w:color="auto" w:fill="E5FFFF"/>
          </w:tcPr>
          <w:p>
            <w:pPr>
              <w:spacing w:after="0" w:line="20" w:lineRule="exact"/>
              <w:rPr>
                <w:sz w:val="1"/>
                <w:szCs w:val="1"/>
                <w:color w:val="auto"/>
              </w:rPr>
            </w:pPr>
          </w:p>
        </w:tc>
        <w:tc>
          <w:tcPr>
            <w:tcW w:w="780" w:type="dxa"/>
            <w:vAlign w:val="bottom"/>
            <w:tcBorders>
              <w:top w:val="single" w:sz="8" w:color="E5FFFF"/>
            </w:tcBorders>
            <w:shd w:val="clear" w:color="auto" w:fill="E5FFFF"/>
          </w:tcPr>
          <w:p>
            <w:pPr>
              <w:spacing w:after="0" w:line="20" w:lineRule="exact"/>
              <w:rPr>
                <w:sz w:val="1"/>
                <w:szCs w:val="1"/>
                <w:color w:val="auto"/>
              </w:rPr>
            </w:pPr>
          </w:p>
        </w:tc>
        <w:tc>
          <w:tcPr>
            <w:tcW w:w="3220" w:type="dxa"/>
            <w:vAlign w:val="bottom"/>
            <w:tcBorders>
              <w:top w:val="single" w:sz="8" w:color="E5FFFF"/>
            </w:tcBorders>
            <w:shd w:val="clear" w:color="auto" w:fill="E5FFFF"/>
          </w:tcPr>
          <w:p>
            <w:pPr>
              <w:spacing w:after="0" w:line="20" w:lineRule="exact"/>
              <w:rPr>
                <w:sz w:val="1"/>
                <w:szCs w:val="1"/>
                <w:color w:val="auto"/>
              </w:rPr>
            </w:pPr>
          </w:p>
        </w:tc>
        <w:tc>
          <w:tcPr>
            <w:tcW w:w="1400" w:type="dxa"/>
            <w:vAlign w:val="bottom"/>
            <w:tcBorders>
              <w:top w:val="single" w:sz="8" w:color="E5FFFF"/>
            </w:tcBorders>
            <w:shd w:val="clear" w:color="auto" w:fill="E5FFFF"/>
          </w:tcPr>
          <w:p>
            <w:pPr>
              <w:spacing w:after="0" w:line="20" w:lineRule="exact"/>
              <w:rPr>
                <w:sz w:val="1"/>
                <w:szCs w:val="1"/>
                <w:color w:val="auto"/>
              </w:rPr>
            </w:pPr>
          </w:p>
        </w:tc>
        <w:tc>
          <w:tcPr>
            <w:tcW w:w="300" w:type="dxa"/>
            <w:vAlign w:val="bottom"/>
            <w:tcBorders>
              <w:top w:val="single" w:sz="8" w:color="E5FFFF"/>
            </w:tcBorders>
            <w:shd w:val="clear" w:color="auto" w:fill="E5FFFF"/>
          </w:tcPr>
          <w:p>
            <w:pPr>
              <w:spacing w:after="0" w:line="20" w:lineRule="exact"/>
              <w:rPr>
                <w:sz w:val="1"/>
                <w:szCs w:val="1"/>
                <w:color w:val="auto"/>
              </w:rPr>
            </w:pPr>
          </w:p>
        </w:tc>
        <w:tc>
          <w:tcPr>
            <w:tcW w:w="1380" w:type="dxa"/>
            <w:vAlign w:val="bottom"/>
            <w:tcBorders>
              <w:top w:val="single" w:sz="8" w:color="E5FFFF"/>
            </w:tcBorders>
            <w:shd w:val="clear" w:color="auto" w:fill="E5FFFF"/>
          </w:tcPr>
          <w:p>
            <w:pPr>
              <w:spacing w:after="0" w:line="20" w:lineRule="exact"/>
              <w:rPr>
                <w:sz w:val="1"/>
                <w:szCs w:val="1"/>
                <w:color w:val="auto"/>
              </w:rPr>
            </w:pPr>
          </w:p>
        </w:tc>
        <w:tc>
          <w:tcPr>
            <w:tcW w:w="300" w:type="dxa"/>
            <w:vAlign w:val="bottom"/>
            <w:tcBorders>
              <w:top w:val="single" w:sz="8" w:color="E5FFFF"/>
            </w:tcBorders>
            <w:shd w:val="clear" w:color="auto" w:fill="E5FFFF"/>
          </w:tcPr>
          <w:p>
            <w:pPr>
              <w:spacing w:after="0" w:line="20" w:lineRule="exact"/>
              <w:rPr>
                <w:sz w:val="1"/>
                <w:szCs w:val="1"/>
                <w:color w:val="auto"/>
              </w:rPr>
            </w:pPr>
          </w:p>
        </w:tc>
        <w:tc>
          <w:tcPr>
            <w:tcW w:w="1380" w:type="dxa"/>
            <w:vAlign w:val="bottom"/>
            <w:tcBorders>
              <w:top w:val="single" w:sz="8" w:color="E5FFFF"/>
            </w:tcBorders>
            <w:shd w:val="clear" w:color="auto" w:fill="E5FFFF"/>
          </w:tcPr>
          <w:p>
            <w:pPr>
              <w:spacing w:after="0" w:line="20" w:lineRule="exact"/>
              <w:rPr>
                <w:sz w:val="1"/>
                <w:szCs w:val="1"/>
                <w:color w:val="auto"/>
              </w:rPr>
            </w:pPr>
          </w:p>
        </w:tc>
        <w:tc>
          <w:tcPr>
            <w:tcW w:w="280" w:type="dxa"/>
            <w:vAlign w:val="bottom"/>
            <w:tcBorders>
              <w:top w:val="single" w:sz="8" w:color="E5FFFF"/>
            </w:tcBorders>
            <w:shd w:val="clear" w:color="auto" w:fill="E5FFFF"/>
          </w:tcPr>
          <w:p>
            <w:pPr>
              <w:spacing w:after="0" w:line="20" w:lineRule="exact"/>
              <w:rPr>
                <w:sz w:val="1"/>
                <w:szCs w:val="1"/>
                <w:color w:val="auto"/>
              </w:rPr>
            </w:pPr>
          </w:p>
        </w:tc>
        <w:tc>
          <w:tcPr>
            <w:tcW w:w="1380" w:type="dxa"/>
            <w:vAlign w:val="bottom"/>
            <w:tcBorders>
              <w:top w:val="single" w:sz="8" w:color="E5FFFF"/>
            </w:tcBorders>
            <w:shd w:val="clear" w:color="auto" w:fill="E5FFFF"/>
          </w:tcPr>
          <w:p>
            <w:pPr>
              <w:spacing w:after="0" w:line="20" w:lineRule="exact"/>
              <w:rPr>
                <w:sz w:val="1"/>
                <w:szCs w:val="1"/>
                <w:color w:val="auto"/>
              </w:rPr>
            </w:pPr>
          </w:p>
        </w:tc>
        <w:tc>
          <w:tcPr>
            <w:tcW w:w="100" w:type="dxa"/>
            <w:vAlign w:val="bottom"/>
            <w:tcBorders>
              <w:top w:val="single" w:sz="8" w:color="E5FFFF"/>
            </w:tcBorders>
            <w:shd w:val="clear" w:color="auto" w:fill="E5FFFF"/>
          </w:tcPr>
          <w:p>
            <w:pPr>
              <w:spacing w:after="0" w:line="20" w:lineRule="exact"/>
              <w:rPr>
                <w:sz w:val="1"/>
                <w:szCs w:val="1"/>
                <w:color w:val="auto"/>
              </w:rPr>
            </w:pPr>
          </w:p>
        </w:tc>
      </w:tr>
      <w:tr>
        <w:trPr>
          <w:trHeight w:val="203"/>
        </w:trPr>
        <w:tc>
          <w:tcPr>
            <w:tcW w:w="5040" w:type="dxa"/>
            <w:vAlign w:val="bottom"/>
            <w:gridSpan w:val="4"/>
          </w:tcPr>
          <w:p>
            <w:pPr>
              <w:spacing w:after="0"/>
              <w:rPr>
                <w:sz w:val="20"/>
                <w:szCs w:val="20"/>
                <w:color w:val="auto"/>
              </w:rPr>
            </w:pPr>
            <w:r>
              <w:rPr>
                <w:rFonts w:ascii="Arial" w:cs="Arial" w:eastAsia="Arial" w:hAnsi="Arial"/>
                <w:sz w:val="16"/>
                <w:szCs w:val="16"/>
                <w:b w:val="1"/>
                <w:bCs w:val="1"/>
                <w:color w:val="auto"/>
              </w:rPr>
              <w:t>As of December 31, 2018</w:t>
            </w:r>
          </w:p>
        </w:tc>
        <w:tc>
          <w:tcPr>
            <w:tcW w:w="170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4,304,252</w:t>
            </w:r>
          </w:p>
        </w:tc>
        <w:tc>
          <w:tcPr>
            <w:tcW w:w="1380" w:type="dxa"/>
            <w:vAlign w:val="bottom"/>
          </w:tcPr>
          <w:p>
            <w:pPr>
              <w:jc w:val="right"/>
              <w:spacing w:after="0"/>
              <w:rPr>
                <w:sz w:val="20"/>
                <w:szCs w:val="20"/>
                <w:color w:val="auto"/>
              </w:rPr>
            </w:pPr>
            <w:r>
              <w:rPr>
                <w:rFonts w:ascii="Arial" w:cs="Arial" w:eastAsia="Arial" w:hAnsi="Arial"/>
                <w:sz w:val="16"/>
                <w:szCs w:val="16"/>
                <w:b w:val="1"/>
                <w:bCs w:val="1"/>
                <w:color w:val="auto"/>
              </w:rPr>
              <w:t>19,330</w:t>
            </w:r>
          </w:p>
        </w:tc>
        <w:tc>
          <w:tcPr>
            <w:tcW w:w="3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b w:val="1"/>
                <w:bCs w:val="1"/>
                <w:color w:val="auto"/>
              </w:rPr>
              <w:t>4,323,582</w:t>
            </w:r>
          </w:p>
        </w:tc>
        <w:tc>
          <w:tcPr>
            <w:tcW w:w="280" w:type="dxa"/>
            <w:vAlign w:val="bottom"/>
          </w:tcPr>
          <w:p>
            <w:pPr>
              <w:spacing w:after="0"/>
              <w:rPr>
                <w:sz w:val="17"/>
                <w:szCs w:val="17"/>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159,275</w:t>
            </w:r>
          </w:p>
        </w:tc>
      </w:tr>
      <w:tr>
        <w:trPr>
          <w:trHeight w:val="196"/>
        </w:trPr>
        <w:tc>
          <w:tcPr>
            <w:tcW w:w="5040" w:type="dxa"/>
            <w:vAlign w:val="bottom"/>
            <w:tcBorders>
              <w:top w:val="single" w:sz="8" w:color="E5FFFF"/>
              <w:bottom w:val="single" w:sz="8" w:color="E5FFFF"/>
            </w:tcBorders>
            <w:gridSpan w:val="4"/>
            <w:shd w:val="clear" w:color="auto" w:fill="E5FFFF"/>
          </w:tcPr>
          <w:p>
            <w:pPr>
              <w:spacing w:after="0"/>
              <w:rPr>
                <w:sz w:val="20"/>
                <w:szCs w:val="20"/>
                <w:color w:val="auto"/>
              </w:rPr>
            </w:pPr>
            <w:r>
              <w:rPr>
                <w:rFonts w:ascii="Arial" w:cs="Arial" w:eastAsia="Arial" w:hAnsi="Arial"/>
                <w:sz w:val="16"/>
                <w:szCs w:val="16"/>
                <w:b w:val="1"/>
                <w:bCs w:val="1"/>
                <w:color w:val="auto"/>
              </w:rPr>
              <w:t>As of March 31, 2019</w:t>
            </w:r>
          </w:p>
        </w:tc>
        <w:tc>
          <w:tcPr>
            <w:tcW w:w="14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4,480,605</w:t>
            </w:r>
          </w:p>
        </w:tc>
        <w:tc>
          <w:tcPr>
            <w:tcW w:w="300" w:type="dxa"/>
            <w:vAlign w:val="bottom"/>
            <w:tcBorders>
              <w:top w:val="single" w:sz="8" w:color="E5FFFF"/>
              <w:bottom w:val="single" w:sz="8" w:color="E5FFFF"/>
            </w:tcBorders>
            <w:shd w:val="clear" w:color="auto" w:fill="E5FFFF"/>
          </w:tcPr>
          <w:p>
            <w:pPr>
              <w:spacing w:after="0"/>
              <w:rPr>
                <w:sz w:val="17"/>
                <w:szCs w:val="17"/>
                <w:color w:val="auto"/>
              </w:rPr>
            </w:pPr>
          </w:p>
        </w:tc>
        <w:tc>
          <w:tcPr>
            <w:tcW w:w="13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19,810</w:t>
            </w:r>
          </w:p>
        </w:tc>
        <w:tc>
          <w:tcPr>
            <w:tcW w:w="300" w:type="dxa"/>
            <w:vAlign w:val="bottom"/>
            <w:tcBorders>
              <w:top w:val="single" w:sz="8" w:color="E5FFFF"/>
              <w:bottom w:val="single" w:sz="8" w:color="E5FFFF"/>
            </w:tcBorders>
            <w:shd w:val="clear" w:color="auto" w:fill="E5FFFF"/>
          </w:tcPr>
          <w:p>
            <w:pPr>
              <w:spacing w:after="0"/>
              <w:rPr>
                <w:sz w:val="17"/>
                <w:szCs w:val="17"/>
                <w:color w:val="auto"/>
              </w:rPr>
            </w:pPr>
          </w:p>
        </w:tc>
        <w:tc>
          <w:tcPr>
            <w:tcW w:w="13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4,500,415</w:t>
            </w:r>
          </w:p>
        </w:tc>
        <w:tc>
          <w:tcPr>
            <w:tcW w:w="280" w:type="dxa"/>
            <w:vAlign w:val="bottom"/>
            <w:tcBorders>
              <w:top w:val="single" w:sz="8" w:color="E5FFFF"/>
              <w:bottom w:val="single" w:sz="8" w:color="E5FFFF"/>
            </w:tcBorders>
            <w:shd w:val="clear" w:color="auto" w:fill="E5FFFF"/>
          </w:tcPr>
          <w:p>
            <w:pPr>
              <w:spacing w:after="0"/>
              <w:rPr>
                <w:sz w:val="17"/>
                <w:szCs w:val="17"/>
                <w:color w:val="auto"/>
              </w:rPr>
            </w:pPr>
          </w:p>
        </w:tc>
        <w:tc>
          <w:tcPr>
            <w:tcW w:w="13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155,841</w:t>
            </w:r>
          </w:p>
        </w:tc>
        <w:tc>
          <w:tcPr>
            <w:tcW w:w="100" w:type="dxa"/>
            <w:vAlign w:val="bottom"/>
            <w:tcBorders>
              <w:top w:val="single" w:sz="8" w:color="E5FFFF"/>
              <w:bottom w:val="single" w:sz="8" w:color="E5FFFF"/>
            </w:tcBorders>
            <w:shd w:val="clear" w:color="auto" w:fill="E5FFFF"/>
          </w:tcPr>
          <w:p>
            <w:pPr>
              <w:spacing w:after="0"/>
              <w:rPr>
                <w:sz w:val="17"/>
                <w:szCs w:val="17"/>
                <w:color w:val="auto"/>
              </w:rPr>
            </w:pPr>
          </w:p>
        </w:tc>
      </w:tr>
      <w:tr>
        <w:trPr>
          <w:trHeight w:val="20"/>
        </w:trPr>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6" w:lineRule="exact"/>
        <w:rPr>
          <w:sz w:val="20"/>
          <w:szCs w:val="20"/>
          <w:color w:val="auto"/>
        </w:rPr>
      </w:pPr>
    </w:p>
    <w:p>
      <w:pPr>
        <w:ind w:right="220" w:firstLine="436"/>
        <w:spacing w:after="0" w:line="293" w:lineRule="auto"/>
        <w:rPr>
          <w:sz w:val="20"/>
          <w:szCs w:val="20"/>
          <w:color w:val="auto"/>
        </w:rPr>
      </w:pPr>
      <w:r>
        <w:rPr>
          <w:rFonts w:ascii="Arial" w:cs="Arial" w:eastAsia="Arial" w:hAnsi="Arial"/>
          <w:sz w:val="16"/>
          <w:szCs w:val="16"/>
          <w:color w:val="auto"/>
        </w:rPr>
        <w:t>Vessels with an aggregate carrying amount of $4,480,605 as of March 31, 2019 (December 31, 2018: $4,304,252) have been pledged as collateral under the terms of the Group’s loan agreements.</w:t>
      </w:r>
    </w:p>
    <w:p>
      <w:pPr>
        <w:spacing w:after="0" w:line="167" w:lineRule="exact"/>
        <w:rPr>
          <w:sz w:val="20"/>
          <w:szCs w:val="20"/>
          <w:color w:val="auto"/>
        </w:rPr>
      </w:pPr>
    </w:p>
    <w:p>
      <w:pPr>
        <w:ind w:firstLine="436"/>
        <w:spacing w:after="0" w:line="254" w:lineRule="auto"/>
        <w:rPr>
          <w:sz w:val="20"/>
          <w:szCs w:val="20"/>
          <w:color w:val="auto"/>
        </w:rPr>
      </w:pPr>
      <w:r>
        <w:rPr>
          <w:rFonts w:ascii="Arial" w:cs="Arial" w:eastAsia="Arial" w:hAnsi="Arial"/>
          <w:sz w:val="18"/>
          <w:szCs w:val="18"/>
          <w:color w:val="auto"/>
        </w:rPr>
        <w:t>In April and May 2017, GasLog LNG Services Ltd. entered into agreements in relation to investments in certain of the Partnership’s and GasLog’s vessels, with the aim of enhancing their operational performance. On March 7, 2019, GasLog LNG Services Ltd. and one of the suppliers signed an interim agreement regarding the reimbursement of amounts already paid by the Group in respect of the aforementioned enhancements as such enhancements do not currently perform as contractually required. In accordance with the terms of the interim agreement, as of March 31, 2019, $5,629 has been reimbursed to the Group. If the enhancements continue not to perform, on or before July 31, 2019, the supplier is required to reimburse the further amount of $5,444 to the Group. As and when the enhancements work in accordance with the terms of the original goods and services contract, the supplier will require payment in full, including any amounts reimbursed.</w:t>
      </w:r>
    </w:p>
    <w:p>
      <w:pPr>
        <w:spacing w:after="0" w:line="199" w:lineRule="exact"/>
        <w:rPr>
          <w:sz w:val="20"/>
          <w:szCs w:val="20"/>
          <w:color w:val="auto"/>
        </w:rPr>
      </w:pPr>
    </w:p>
    <w:p>
      <w:pPr>
        <w:ind w:right="260" w:firstLine="436"/>
        <w:spacing w:after="0" w:line="293" w:lineRule="auto"/>
        <w:rPr>
          <w:sz w:val="20"/>
          <w:szCs w:val="20"/>
          <w:color w:val="auto"/>
        </w:rPr>
      </w:pPr>
      <w:r>
        <w:rPr>
          <w:rFonts w:ascii="Arial" w:cs="Arial" w:eastAsia="Arial" w:hAnsi="Arial"/>
          <w:sz w:val="16"/>
          <w:szCs w:val="16"/>
          <w:color w:val="auto"/>
        </w:rPr>
        <w:t xml:space="preserve">In May 2014, GAS-twenty three Ltd. entered into a shipbuilding contract with Samsung Heavy Industries Co. Ltd. (“Samsung”) for the construction of a 174,000 cubic meter LNG carrier. The vessel, the </w:t>
      </w:r>
      <w:r>
        <w:rPr>
          <w:rFonts w:ascii="Arial" w:cs="Arial" w:eastAsia="Arial" w:hAnsi="Arial"/>
          <w:sz w:val="16"/>
          <w:szCs w:val="16"/>
          <w:i w:val="1"/>
          <w:iCs w:val="1"/>
          <w:color w:val="auto"/>
        </w:rPr>
        <w:t>GasLog Gladstone</w:t>
      </w:r>
      <w:r>
        <w:rPr>
          <w:rFonts w:ascii="Arial" w:cs="Arial" w:eastAsia="Arial" w:hAnsi="Arial"/>
          <w:sz w:val="16"/>
          <w:szCs w:val="16"/>
          <w:color w:val="auto"/>
        </w:rPr>
        <w:t>, was delivered on March 15, 2019.</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Vessels under construction</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GasLog has the following newbuildings on order at Samsung:</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5"/>
              </w:rPr>
              <w:t>Cargo</w:t>
            </w:r>
          </w:p>
        </w:tc>
      </w:tr>
      <w:tr>
        <w:trPr>
          <w:trHeight w:val="203"/>
        </w:trPr>
        <w:tc>
          <w:tcPr>
            <w:tcW w:w="2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Date of</w:t>
            </w:r>
          </w:p>
        </w:tc>
        <w:tc>
          <w:tcPr>
            <w:tcW w:w="14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Estimated</w:t>
            </w:r>
          </w:p>
        </w:tc>
        <w:tc>
          <w:tcPr>
            <w:tcW w:w="12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Capacity</w:t>
            </w:r>
          </w:p>
        </w:tc>
      </w:tr>
      <w:tr>
        <w:trPr>
          <w:trHeight w:val="213"/>
        </w:trPr>
        <w:tc>
          <w:tcPr>
            <w:tcW w:w="2560" w:type="dxa"/>
            <w:vAlign w:val="bottom"/>
            <w:gridSpan w:val="2"/>
          </w:tcPr>
          <w:p>
            <w:pPr>
              <w:spacing w:after="0"/>
              <w:rPr>
                <w:sz w:val="20"/>
                <w:szCs w:val="20"/>
                <w:color w:val="auto"/>
              </w:rPr>
            </w:pPr>
            <w:r>
              <w:rPr>
                <w:rFonts w:ascii="Arial" w:cs="Arial" w:eastAsia="Arial" w:hAnsi="Arial"/>
                <w:sz w:val="16"/>
                <w:szCs w:val="16"/>
                <w:b w:val="1"/>
                <w:bCs w:val="1"/>
                <w:color w:val="auto"/>
              </w:rPr>
              <w:t>Company</w:t>
            </w:r>
          </w:p>
        </w:tc>
        <w:tc>
          <w:tcPr>
            <w:tcW w:w="16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agreement</w:t>
            </w:r>
          </w:p>
        </w:tc>
        <w:tc>
          <w:tcPr>
            <w:tcW w:w="14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delivery</w:t>
            </w:r>
          </w:p>
        </w:tc>
        <w:tc>
          <w:tcPr>
            <w:tcW w:w="12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(cbm)</w:t>
            </w:r>
          </w:p>
        </w:tc>
      </w:tr>
      <w:tr>
        <w:trPr>
          <w:trHeight w:val="199"/>
        </w:trPr>
        <w:tc>
          <w:tcPr>
            <w:tcW w:w="2280" w:type="dxa"/>
            <w:vAlign w:val="bottom"/>
            <w:tcBorders>
              <w:top w:val="single" w:sz="8" w:color="auto"/>
            </w:tcBorders>
            <w:shd w:val="clear" w:color="auto" w:fill="E5FFFF"/>
          </w:tcPr>
          <w:p>
            <w:pPr>
              <w:spacing w:after="0"/>
              <w:rPr>
                <w:sz w:val="20"/>
                <w:szCs w:val="20"/>
                <w:color w:val="auto"/>
              </w:rPr>
            </w:pPr>
            <w:r>
              <w:rPr>
                <w:rFonts w:ascii="Arial" w:cs="Arial" w:eastAsia="Arial" w:hAnsi="Arial"/>
                <w:sz w:val="16"/>
                <w:szCs w:val="16"/>
                <w:color w:val="auto"/>
              </w:rPr>
              <w:t>GAS-twenty nine Ltd.</w:t>
            </w:r>
          </w:p>
        </w:tc>
        <w:tc>
          <w:tcPr>
            <w:tcW w:w="280" w:type="dxa"/>
            <w:vAlign w:val="bottom"/>
            <w:tcBorders>
              <w:top w:val="single" w:sz="8" w:color="E5FFFF"/>
            </w:tcBorders>
            <w:shd w:val="clear" w:color="auto" w:fill="E5FFFF"/>
          </w:tcPr>
          <w:p>
            <w:pPr>
              <w:spacing w:after="0"/>
              <w:rPr>
                <w:sz w:val="17"/>
                <w:szCs w:val="17"/>
                <w:color w:val="auto"/>
              </w:rPr>
            </w:pPr>
          </w:p>
        </w:tc>
        <w:tc>
          <w:tcPr>
            <w:tcW w:w="138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89"/>
              </w:rPr>
              <w:t>September 2016</w:t>
            </w:r>
          </w:p>
        </w:tc>
        <w:tc>
          <w:tcPr>
            <w:tcW w:w="280" w:type="dxa"/>
            <w:vAlign w:val="bottom"/>
            <w:tcBorders>
              <w:top w:val="single" w:sz="8" w:color="E5FFFF"/>
            </w:tcBorders>
            <w:shd w:val="clear" w:color="auto" w:fill="E5FFFF"/>
          </w:tcPr>
          <w:p>
            <w:pPr>
              <w:spacing w:after="0"/>
              <w:rPr>
                <w:sz w:val="17"/>
                <w:szCs w:val="17"/>
                <w:color w:val="auto"/>
              </w:rPr>
            </w:pPr>
          </w:p>
        </w:tc>
        <w:tc>
          <w:tcPr>
            <w:tcW w:w="116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91"/>
              </w:rPr>
              <w:t>Q3 2019</w:t>
            </w:r>
          </w:p>
        </w:tc>
        <w:tc>
          <w:tcPr>
            <w:tcW w:w="280" w:type="dxa"/>
            <w:vAlign w:val="bottom"/>
            <w:tcBorders>
              <w:top w:val="single" w:sz="8" w:color="E5FFFF"/>
            </w:tcBorders>
            <w:shd w:val="clear" w:color="auto" w:fill="E5FFFF"/>
          </w:tcPr>
          <w:p>
            <w:pPr>
              <w:spacing w:after="0"/>
              <w:rPr>
                <w:sz w:val="17"/>
                <w:szCs w:val="17"/>
                <w:color w:val="auto"/>
              </w:rPr>
            </w:pPr>
          </w:p>
        </w:tc>
        <w:tc>
          <w:tcPr>
            <w:tcW w:w="116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89"/>
              </w:rPr>
              <w:t>180,000</w:t>
            </w:r>
          </w:p>
        </w:tc>
        <w:tc>
          <w:tcPr>
            <w:tcW w:w="120" w:type="dxa"/>
            <w:vAlign w:val="bottom"/>
            <w:tcBorders>
              <w:top w:val="single" w:sz="8" w:color="E5FFFF"/>
            </w:tcBorders>
            <w:shd w:val="clear" w:color="auto" w:fill="E5FFFF"/>
          </w:tcPr>
          <w:p>
            <w:pPr>
              <w:spacing w:after="0"/>
              <w:rPr>
                <w:sz w:val="17"/>
                <w:szCs w:val="17"/>
                <w:color w:val="auto"/>
              </w:rPr>
            </w:pPr>
          </w:p>
        </w:tc>
      </w:tr>
      <w:tr>
        <w:trPr>
          <w:trHeight w:val="202"/>
        </w:trPr>
        <w:tc>
          <w:tcPr>
            <w:tcW w:w="2560" w:type="dxa"/>
            <w:vAlign w:val="bottom"/>
            <w:gridSpan w:val="2"/>
          </w:tcPr>
          <w:p>
            <w:pPr>
              <w:spacing w:after="0"/>
              <w:rPr>
                <w:sz w:val="20"/>
                <w:szCs w:val="20"/>
                <w:color w:val="auto"/>
              </w:rPr>
            </w:pPr>
            <w:r>
              <w:rPr>
                <w:rFonts w:ascii="Arial" w:cs="Arial" w:eastAsia="Arial" w:hAnsi="Arial"/>
                <w:sz w:val="16"/>
                <w:szCs w:val="16"/>
                <w:color w:val="auto"/>
              </w:rPr>
              <w:t>GAS-twenty eight Ltd.</w:t>
            </w:r>
          </w:p>
        </w:tc>
        <w:tc>
          <w:tcPr>
            <w:tcW w:w="1660" w:type="dxa"/>
            <w:vAlign w:val="bottom"/>
            <w:gridSpan w:val="2"/>
          </w:tcPr>
          <w:p>
            <w:pPr>
              <w:jc w:val="center"/>
              <w:ind w:right="280"/>
              <w:spacing w:after="0"/>
              <w:rPr>
                <w:sz w:val="20"/>
                <w:szCs w:val="20"/>
                <w:color w:val="auto"/>
              </w:rPr>
            </w:pPr>
            <w:r>
              <w:rPr>
                <w:rFonts w:ascii="Arial" w:cs="Arial" w:eastAsia="Arial" w:hAnsi="Arial"/>
                <w:sz w:val="16"/>
                <w:szCs w:val="16"/>
                <w:color w:val="auto"/>
                <w:w w:val="88"/>
              </w:rPr>
              <w:t>January 2018</w:t>
            </w:r>
          </w:p>
        </w:tc>
        <w:tc>
          <w:tcPr>
            <w:tcW w:w="1440" w:type="dxa"/>
            <w:vAlign w:val="bottom"/>
            <w:gridSpan w:val="2"/>
          </w:tcPr>
          <w:p>
            <w:pPr>
              <w:jc w:val="center"/>
              <w:ind w:right="280"/>
              <w:spacing w:after="0"/>
              <w:rPr>
                <w:sz w:val="20"/>
                <w:szCs w:val="20"/>
                <w:color w:val="auto"/>
              </w:rPr>
            </w:pPr>
            <w:r>
              <w:rPr>
                <w:rFonts w:ascii="Arial" w:cs="Arial" w:eastAsia="Arial" w:hAnsi="Arial"/>
                <w:sz w:val="16"/>
                <w:szCs w:val="16"/>
                <w:color w:val="auto"/>
                <w:w w:val="91"/>
              </w:rPr>
              <w:t>Q2 2020</w:t>
            </w:r>
          </w:p>
        </w:tc>
        <w:tc>
          <w:tcPr>
            <w:tcW w:w="1160" w:type="dxa"/>
            <w:vAlign w:val="bottom"/>
          </w:tcPr>
          <w:p>
            <w:pPr>
              <w:jc w:val="center"/>
              <w:spacing w:after="0"/>
              <w:rPr>
                <w:sz w:val="20"/>
                <w:szCs w:val="20"/>
                <w:color w:val="auto"/>
              </w:rPr>
            </w:pPr>
            <w:r>
              <w:rPr>
                <w:rFonts w:ascii="Arial" w:cs="Arial" w:eastAsia="Arial" w:hAnsi="Arial"/>
                <w:sz w:val="16"/>
                <w:szCs w:val="16"/>
                <w:color w:val="auto"/>
                <w:w w:val="89"/>
              </w:rPr>
              <w:t>180,000</w:t>
            </w:r>
          </w:p>
        </w:tc>
        <w:tc>
          <w:tcPr>
            <w:tcW w:w="120" w:type="dxa"/>
            <w:vAlign w:val="bottom"/>
          </w:tcPr>
          <w:p>
            <w:pPr>
              <w:spacing w:after="0"/>
              <w:rPr>
                <w:sz w:val="17"/>
                <w:szCs w:val="17"/>
                <w:color w:val="auto"/>
              </w:rPr>
            </w:pPr>
          </w:p>
        </w:tc>
      </w:tr>
      <w:tr>
        <w:trPr>
          <w:trHeight w:val="203"/>
        </w:trPr>
        <w:tc>
          <w:tcPr>
            <w:tcW w:w="256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GAS-thirty one Ltd.</w:t>
            </w:r>
          </w:p>
        </w:tc>
        <w:tc>
          <w:tcPr>
            <w:tcW w:w="1660" w:type="dxa"/>
            <w:vAlign w:val="bottom"/>
            <w:gridSpan w:val="2"/>
            <w:shd w:val="clear" w:color="auto" w:fill="E5FFFF"/>
          </w:tcPr>
          <w:p>
            <w:pPr>
              <w:jc w:val="center"/>
              <w:ind w:right="280"/>
              <w:spacing w:after="0"/>
              <w:rPr>
                <w:sz w:val="20"/>
                <w:szCs w:val="20"/>
                <w:color w:val="auto"/>
              </w:rPr>
            </w:pPr>
            <w:r>
              <w:rPr>
                <w:rFonts w:ascii="Arial" w:cs="Arial" w:eastAsia="Arial" w:hAnsi="Arial"/>
                <w:sz w:val="16"/>
                <w:szCs w:val="16"/>
                <w:color w:val="auto"/>
                <w:w w:val="92"/>
              </w:rPr>
              <w:t>March 2018</w:t>
            </w:r>
          </w:p>
        </w:tc>
        <w:tc>
          <w:tcPr>
            <w:tcW w:w="1440" w:type="dxa"/>
            <w:vAlign w:val="bottom"/>
            <w:gridSpan w:val="2"/>
            <w:shd w:val="clear" w:color="auto" w:fill="E5FFFF"/>
          </w:tcPr>
          <w:p>
            <w:pPr>
              <w:jc w:val="center"/>
              <w:ind w:right="280"/>
              <w:spacing w:after="0"/>
              <w:rPr>
                <w:sz w:val="20"/>
                <w:szCs w:val="20"/>
                <w:color w:val="auto"/>
              </w:rPr>
            </w:pPr>
            <w:r>
              <w:rPr>
                <w:rFonts w:ascii="Arial" w:cs="Arial" w:eastAsia="Arial" w:hAnsi="Arial"/>
                <w:sz w:val="16"/>
                <w:szCs w:val="16"/>
                <w:color w:val="auto"/>
                <w:w w:val="91"/>
              </w:rPr>
              <w:t>Q2 2020</w:t>
            </w:r>
          </w:p>
        </w:tc>
        <w:tc>
          <w:tcPr>
            <w:tcW w:w="116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180,000</w:t>
            </w:r>
          </w:p>
        </w:tc>
        <w:tc>
          <w:tcPr>
            <w:tcW w:w="120" w:type="dxa"/>
            <w:vAlign w:val="bottom"/>
            <w:shd w:val="clear" w:color="auto" w:fill="E5FFFF"/>
          </w:tcPr>
          <w:p>
            <w:pPr>
              <w:spacing w:after="0"/>
              <w:rPr>
                <w:sz w:val="17"/>
                <w:szCs w:val="17"/>
                <w:color w:val="auto"/>
              </w:rPr>
            </w:pPr>
          </w:p>
        </w:tc>
      </w:tr>
      <w:tr>
        <w:trPr>
          <w:trHeight w:val="203"/>
        </w:trPr>
        <w:tc>
          <w:tcPr>
            <w:tcW w:w="2560" w:type="dxa"/>
            <w:vAlign w:val="bottom"/>
            <w:gridSpan w:val="2"/>
          </w:tcPr>
          <w:p>
            <w:pPr>
              <w:spacing w:after="0"/>
              <w:rPr>
                <w:sz w:val="20"/>
                <w:szCs w:val="20"/>
                <w:color w:val="auto"/>
              </w:rPr>
            </w:pPr>
            <w:r>
              <w:rPr>
                <w:rFonts w:ascii="Arial" w:cs="Arial" w:eastAsia="Arial" w:hAnsi="Arial"/>
                <w:sz w:val="16"/>
                <w:szCs w:val="16"/>
                <w:color w:val="auto"/>
              </w:rPr>
              <w:t>GAS-thirty Ltd.</w:t>
            </w:r>
          </w:p>
        </w:tc>
        <w:tc>
          <w:tcPr>
            <w:tcW w:w="1660" w:type="dxa"/>
            <w:vAlign w:val="bottom"/>
            <w:gridSpan w:val="2"/>
          </w:tcPr>
          <w:p>
            <w:pPr>
              <w:jc w:val="center"/>
              <w:ind w:right="280"/>
              <w:spacing w:after="0"/>
              <w:rPr>
                <w:sz w:val="20"/>
                <w:szCs w:val="20"/>
                <w:color w:val="auto"/>
              </w:rPr>
            </w:pPr>
            <w:r>
              <w:rPr>
                <w:rFonts w:ascii="Arial" w:cs="Arial" w:eastAsia="Arial" w:hAnsi="Arial"/>
                <w:sz w:val="16"/>
                <w:szCs w:val="16"/>
                <w:color w:val="auto"/>
                <w:w w:val="93"/>
              </w:rPr>
              <w:t>May 2018</w:t>
            </w:r>
          </w:p>
        </w:tc>
        <w:tc>
          <w:tcPr>
            <w:tcW w:w="1440" w:type="dxa"/>
            <w:vAlign w:val="bottom"/>
            <w:gridSpan w:val="2"/>
          </w:tcPr>
          <w:p>
            <w:pPr>
              <w:jc w:val="center"/>
              <w:ind w:right="280"/>
              <w:spacing w:after="0"/>
              <w:rPr>
                <w:sz w:val="20"/>
                <w:szCs w:val="20"/>
                <w:color w:val="auto"/>
              </w:rPr>
            </w:pPr>
            <w:r>
              <w:rPr>
                <w:rFonts w:ascii="Arial" w:cs="Arial" w:eastAsia="Arial" w:hAnsi="Arial"/>
                <w:sz w:val="16"/>
                <w:szCs w:val="16"/>
                <w:color w:val="auto"/>
                <w:w w:val="91"/>
              </w:rPr>
              <w:t>Q3 2020</w:t>
            </w:r>
          </w:p>
        </w:tc>
        <w:tc>
          <w:tcPr>
            <w:tcW w:w="1160" w:type="dxa"/>
            <w:vAlign w:val="bottom"/>
          </w:tcPr>
          <w:p>
            <w:pPr>
              <w:jc w:val="center"/>
              <w:spacing w:after="0"/>
              <w:rPr>
                <w:sz w:val="20"/>
                <w:szCs w:val="20"/>
                <w:color w:val="auto"/>
              </w:rPr>
            </w:pPr>
            <w:r>
              <w:rPr>
                <w:rFonts w:ascii="Arial" w:cs="Arial" w:eastAsia="Arial" w:hAnsi="Arial"/>
                <w:sz w:val="16"/>
                <w:szCs w:val="16"/>
                <w:color w:val="auto"/>
                <w:w w:val="89"/>
              </w:rPr>
              <w:t>180,000</w:t>
            </w:r>
          </w:p>
        </w:tc>
        <w:tc>
          <w:tcPr>
            <w:tcW w:w="120" w:type="dxa"/>
            <w:vAlign w:val="bottom"/>
          </w:tcPr>
          <w:p>
            <w:pPr>
              <w:spacing w:after="0"/>
              <w:rPr>
                <w:sz w:val="17"/>
                <w:szCs w:val="17"/>
                <w:color w:val="auto"/>
              </w:rPr>
            </w:pPr>
          </w:p>
        </w:tc>
      </w:tr>
      <w:tr>
        <w:trPr>
          <w:trHeight w:val="203"/>
        </w:trPr>
        <w:tc>
          <w:tcPr>
            <w:tcW w:w="256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GAS-thirty two Ltd.</w:t>
            </w:r>
          </w:p>
        </w:tc>
        <w:tc>
          <w:tcPr>
            <w:tcW w:w="1660" w:type="dxa"/>
            <w:vAlign w:val="bottom"/>
            <w:gridSpan w:val="2"/>
            <w:shd w:val="clear" w:color="auto" w:fill="E5FFFF"/>
          </w:tcPr>
          <w:p>
            <w:pPr>
              <w:jc w:val="center"/>
              <w:ind w:right="280"/>
              <w:spacing w:after="0"/>
              <w:rPr>
                <w:sz w:val="20"/>
                <w:szCs w:val="20"/>
                <w:color w:val="auto"/>
              </w:rPr>
            </w:pPr>
            <w:r>
              <w:rPr>
                <w:rFonts w:ascii="Arial" w:cs="Arial" w:eastAsia="Arial" w:hAnsi="Arial"/>
                <w:sz w:val="16"/>
                <w:szCs w:val="16"/>
                <w:color w:val="auto"/>
                <w:w w:val="91"/>
              </w:rPr>
              <w:t>August 2018</w:t>
            </w:r>
          </w:p>
        </w:tc>
        <w:tc>
          <w:tcPr>
            <w:tcW w:w="1440" w:type="dxa"/>
            <w:vAlign w:val="bottom"/>
            <w:gridSpan w:val="2"/>
            <w:shd w:val="clear" w:color="auto" w:fill="E5FFFF"/>
          </w:tcPr>
          <w:p>
            <w:pPr>
              <w:jc w:val="center"/>
              <w:ind w:right="280"/>
              <w:spacing w:after="0"/>
              <w:rPr>
                <w:sz w:val="20"/>
                <w:szCs w:val="20"/>
                <w:color w:val="auto"/>
              </w:rPr>
            </w:pPr>
            <w:r>
              <w:rPr>
                <w:rFonts w:ascii="Arial" w:cs="Arial" w:eastAsia="Arial" w:hAnsi="Arial"/>
                <w:sz w:val="16"/>
                <w:szCs w:val="16"/>
                <w:color w:val="auto"/>
                <w:w w:val="91"/>
              </w:rPr>
              <w:t>Q4 2020</w:t>
            </w:r>
          </w:p>
        </w:tc>
        <w:tc>
          <w:tcPr>
            <w:tcW w:w="116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174,000</w:t>
            </w:r>
          </w:p>
        </w:tc>
        <w:tc>
          <w:tcPr>
            <w:tcW w:w="120" w:type="dxa"/>
            <w:vAlign w:val="bottom"/>
            <w:shd w:val="clear" w:color="auto" w:fill="E5FFFF"/>
          </w:tcPr>
          <w:p>
            <w:pPr>
              <w:spacing w:after="0"/>
              <w:rPr>
                <w:sz w:val="17"/>
                <w:szCs w:val="17"/>
                <w:color w:val="auto"/>
              </w:rPr>
            </w:pPr>
          </w:p>
        </w:tc>
      </w:tr>
      <w:tr>
        <w:trPr>
          <w:trHeight w:val="203"/>
        </w:trPr>
        <w:tc>
          <w:tcPr>
            <w:tcW w:w="2560" w:type="dxa"/>
            <w:vAlign w:val="bottom"/>
            <w:gridSpan w:val="2"/>
          </w:tcPr>
          <w:p>
            <w:pPr>
              <w:spacing w:after="0"/>
              <w:rPr>
                <w:sz w:val="20"/>
                <w:szCs w:val="20"/>
                <w:color w:val="auto"/>
              </w:rPr>
            </w:pPr>
            <w:r>
              <w:rPr>
                <w:rFonts w:ascii="Arial" w:cs="Arial" w:eastAsia="Arial" w:hAnsi="Arial"/>
                <w:sz w:val="16"/>
                <w:szCs w:val="16"/>
                <w:color w:val="auto"/>
              </w:rPr>
              <w:t>GAS-thirty three Ltd.</w:t>
            </w:r>
          </w:p>
        </w:tc>
        <w:tc>
          <w:tcPr>
            <w:tcW w:w="1660" w:type="dxa"/>
            <w:vAlign w:val="bottom"/>
            <w:gridSpan w:val="2"/>
          </w:tcPr>
          <w:p>
            <w:pPr>
              <w:jc w:val="center"/>
              <w:ind w:right="280"/>
              <w:spacing w:after="0"/>
              <w:rPr>
                <w:sz w:val="20"/>
                <w:szCs w:val="20"/>
                <w:color w:val="auto"/>
              </w:rPr>
            </w:pPr>
            <w:r>
              <w:rPr>
                <w:rFonts w:ascii="Arial" w:cs="Arial" w:eastAsia="Arial" w:hAnsi="Arial"/>
                <w:sz w:val="16"/>
                <w:szCs w:val="16"/>
                <w:color w:val="auto"/>
                <w:w w:val="91"/>
              </w:rPr>
              <w:t>August 2018</w:t>
            </w:r>
          </w:p>
        </w:tc>
        <w:tc>
          <w:tcPr>
            <w:tcW w:w="1440" w:type="dxa"/>
            <w:vAlign w:val="bottom"/>
            <w:gridSpan w:val="2"/>
          </w:tcPr>
          <w:p>
            <w:pPr>
              <w:jc w:val="center"/>
              <w:ind w:right="280"/>
              <w:spacing w:after="0"/>
              <w:rPr>
                <w:sz w:val="20"/>
                <w:szCs w:val="20"/>
                <w:color w:val="auto"/>
              </w:rPr>
            </w:pPr>
            <w:r>
              <w:rPr>
                <w:rFonts w:ascii="Arial" w:cs="Arial" w:eastAsia="Arial" w:hAnsi="Arial"/>
                <w:sz w:val="16"/>
                <w:szCs w:val="16"/>
                <w:color w:val="auto"/>
                <w:w w:val="91"/>
              </w:rPr>
              <w:t>Q4 2020</w:t>
            </w:r>
          </w:p>
        </w:tc>
        <w:tc>
          <w:tcPr>
            <w:tcW w:w="1160" w:type="dxa"/>
            <w:vAlign w:val="bottom"/>
          </w:tcPr>
          <w:p>
            <w:pPr>
              <w:jc w:val="center"/>
              <w:spacing w:after="0"/>
              <w:rPr>
                <w:sz w:val="20"/>
                <w:szCs w:val="20"/>
                <w:color w:val="auto"/>
              </w:rPr>
            </w:pPr>
            <w:r>
              <w:rPr>
                <w:rFonts w:ascii="Arial" w:cs="Arial" w:eastAsia="Arial" w:hAnsi="Arial"/>
                <w:sz w:val="16"/>
                <w:szCs w:val="16"/>
                <w:color w:val="auto"/>
                <w:w w:val="89"/>
              </w:rPr>
              <w:t>174,000</w:t>
            </w:r>
          </w:p>
        </w:tc>
        <w:tc>
          <w:tcPr>
            <w:tcW w:w="120" w:type="dxa"/>
            <w:vAlign w:val="bottom"/>
          </w:tcPr>
          <w:p>
            <w:pPr>
              <w:spacing w:after="0"/>
              <w:rPr>
                <w:sz w:val="17"/>
                <w:szCs w:val="17"/>
                <w:color w:val="auto"/>
              </w:rPr>
            </w:pPr>
          </w:p>
        </w:tc>
      </w:tr>
      <w:tr>
        <w:trPr>
          <w:trHeight w:val="203"/>
        </w:trPr>
        <w:tc>
          <w:tcPr>
            <w:tcW w:w="256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GAS-thirty four Ltd.</w:t>
            </w:r>
          </w:p>
        </w:tc>
        <w:tc>
          <w:tcPr>
            <w:tcW w:w="1660" w:type="dxa"/>
            <w:vAlign w:val="bottom"/>
            <w:gridSpan w:val="2"/>
            <w:shd w:val="clear" w:color="auto" w:fill="E5FFFF"/>
          </w:tcPr>
          <w:p>
            <w:pPr>
              <w:jc w:val="center"/>
              <w:ind w:right="280"/>
              <w:spacing w:after="0"/>
              <w:rPr>
                <w:sz w:val="20"/>
                <w:szCs w:val="20"/>
                <w:color w:val="auto"/>
              </w:rPr>
            </w:pPr>
            <w:r>
              <w:rPr>
                <w:rFonts w:ascii="Arial" w:cs="Arial" w:eastAsia="Arial" w:hAnsi="Arial"/>
                <w:sz w:val="16"/>
                <w:szCs w:val="16"/>
                <w:color w:val="auto"/>
                <w:w w:val="89"/>
              </w:rPr>
              <w:t>December 2018</w:t>
            </w:r>
          </w:p>
        </w:tc>
        <w:tc>
          <w:tcPr>
            <w:tcW w:w="1440" w:type="dxa"/>
            <w:vAlign w:val="bottom"/>
            <w:gridSpan w:val="2"/>
            <w:shd w:val="clear" w:color="auto" w:fill="E5FFFF"/>
          </w:tcPr>
          <w:p>
            <w:pPr>
              <w:jc w:val="center"/>
              <w:ind w:right="280"/>
              <w:spacing w:after="0"/>
              <w:rPr>
                <w:sz w:val="20"/>
                <w:szCs w:val="20"/>
                <w:color w:val="auto"/>
              </w:rPr>
            </w:pPr>
            <w:r>
              <w:rPr>
                <w:rFonts w:ascii="Arial" w:cs="Arial" w:eastAsia="Arial" w:hAnsi="Arial"/>
                <w:sz w:val="16"/>
                <w:szCs w:val="16"/>
                <w:color w:val="auto"/>
                <w:w w:val="91"/>
              </w:rPr>
              <w:t>Q2 2021</w:t>
            </w:r>
          </w:p>
        </w:tc>
        <w:tc>
          <w:tcPr>
            <w:tcW w:w="116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180,000</w:t>
            </w:r>
          </w:p>
        </w:tc>
        <w:tc>
          <w:tcPr>
            <w:tcW w:w="120" w:type="dxa"/>
            <w:vAlign w:val="bottom"/>
            <w:shd w:val="clear" w:color="auto" w:fill="E5FFFF"/>
          </w:tcPr>
          <w:p>
            <w:pPr>
              <w:spacing w:after="0"/>
              <w:rPr>
                <w:sz w:val="17"/>
                <w:szCs w:val="17"/>
                <w:color w:val="auto"/>
              </w:rPr>
            </w:pPr>
          </w:p>
        </w:tc>
      </w:tr>
      <w:tr>
        <w:trPr>
          <w:trHeight w:val="206"/>
        </w:trPr>
        <w:tc>
          <w:tcPr>
            <w:tcW w:w="2560" w:type="dxa"/>
            <w:vAlign w:val="bottom"/>
            <w:gridSpan w:val="2"/>
          </w:tcPr>
          <w:p>
            <w:pPr>
              <w:spacing w:after="0"/>
              <w:rPr>
                <w:sz w:val="20"/>
                <w:szCs w:val="20"/>
                <w:color w:val="auto"/>
              </w:rPr>
            </w:pPr>
            <w:r>
              <w:rPr>
                <w:rFonts w:ascii="Arial" w:cs="Arial" w:eastAsia="Arial" w:hAnsi="Arial"/>
                <w:sz w:val="16"/>
                <w:szCs w:val="16"/>
                <w:color w:val="auto"/>
              </w:rPr>
              <w:t>GAS-thirty five Ltd.</w:t>
            </w:r>
          </w:p>
        </w:tc>
        <w:tc>
          <w:tcPr>
            <w:tcW w:w="1660" w:type="dxa"/>
            <w:vAlign w:val="bottom"/>
            <w:gridSpan w:val="2"/>
          </w:tcPr>
          <w:p>
            <w:pPr>
              <w:jc w:val="center"/>
              <w:ind w:right="280"/>
              <w:spacing w:after="0"/>
              <w:rPr>
                <w:sz w:val="20"/>
                <w:szCs w:val="20"/>
                <w:color w:val="auto"/>
              </w:rPr>
            </w:pPr>
            <w:r>
              <w:rPr>
                <w:rFonts w:ascii="Arial" w:cs="Arial" w:eastAsia="Arial" w:hAnsi="Arial"/>
                <w:sz w:val="16"/>
                <w:szCs w:val="16"/>
                <w:color w:val="auto"/>
                <w:w w:val="89"/>
              </w:rPr>
              <w:t>December 2018</w:t>
            </w:r>
          </w:p>
        </w:tc>
        <w:tc>
          <w:tcPr>
            <w:tcW w:w="1440" w:type="dxa"/>
            <w:vAlign w:val="bottom"/>
            <w:gridSpan w:val="2"/>
          </w:tcPr>
          <w:p>
            <w:pPr>
              <w:jc w:val="center"/>
              <w:ind w:right="280"/>
              <w:spacing w:after="0"/>
              <w:rPr>
                <w:sz w:val="20"/>
                <w:szCs w:val="20"/>
                <w:color w:val="auto"/>
              </w:rPr>
            </w:pPr>
            <w:r>
              <w:rPr>
                <w:rFonts w:ascii="Arial" w:cs="Arial" w:eastAsia="Arial" w:hAnsi="Arial"/>
                <w:sz w:val="16"/>
                <w:szCs w:val="16"/>
                <w:color w:val="auto"/>
                <w:w w:val="91"/>
              </w:rPr>
              <w:t>Q3 2021</w:t>
            </w:r>
          </w:p>
        </w:tc>
        <w:tc>
          <w:tcPr>
            <w:tcW w:w="1160" w:type="dxa"/>
            <w:vAlign w:val="bottom"/>
          </w:tcPr>
          <w:p>
            <w:pPr>
              <w:jc w:val="center"/>
              <w:spacing w:after="0"/>
              <w:rPr>
                <w:sz w:val="20"/>
                <w:szCs w:val="20"/>
                <w:color w:val="auto"/>
              </w:rPr>
            </w:pPr>
            <w:r>
              <w:rPr>
                <w:rFonts w:ascii="Arial" w:cs="Arial" w:eastAsia="Arial" w:hAnsi="Arial"/>
                <w:sz w:val="16"/>
                <w:szCs w:val="16"/>
                <w:color w:val="auto"/>
                <w:w w:val="89"/>
              </w:rPr>
              <w:t>180,000</w:t>
            </w:r>
          </w:p>
        </w:tc>
        <w:tc>
          <w:tcPr>
            <w:tcW w:w="120" w:type="dxa"/>
            <w:vAlign w:val="bottom"/>
          </w:tcPr>
          <w:p>
            <w:pPr>
              <w:spacing w:after="0"/>
              <w:rPr>
                <w:sz w:val="17"/>
                <w:szCs w:val="17"/>
                <w:color w:val="auto"/>
              </w:rPr>
            </w:pPr>
          </w:p>
        </w:tc>
      </w:tr>
    </w:tbl>
    <w:p>
      <w:pPr>
        <w:spacing w:after="0" w:line="202" w:lineRule="exact"/>
        <w:rPr>
          <w:sz w:val="20"/>
          <w:szCs w:val="20"/>
          <w:color w:val="auto"/>
        </w:rPr>
      </w:pPr>
    </w:p>
    <w:p>
      <w:pPr>
        <w:ind w:right="260" w:firstLine="436"/>
        <w:spacing w:after="0" w:line="293" w:lineRule="auto"/>
        <w:rPr>
          <w:sz w:val="20"/>
          <w:szCs w:val="20"/>
          <w:color w:val="auto"/>
        </w:rPr>
      </w:pPr>
      <w:r>
        <w:rPr>
          <w:rFonts w:ascii="Arial" w:cs="Arial" w:eastAsia="Arial" w:hAnsi="Arial"/>
          <w:sz w:val="16"/>
          <w:szCs w:val="16"/>
          <w:color w:val="auto"/>
        </w:rPr>
        <w:t>On March 21, 2017, GasLog entered into a Heads of Agreement (“HOA”) with Samsung for the engineering in relation to the potential Floating Storage Regasification Unit (“FSRU”) conversion of an existing vessel of the Group. As of March 31, 2019, $3,400 of the cost was paid, in</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35901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359015" cy="29845"/>
                    </a:xfrm>
                    <a:prstGeom prst="rect">
                      <a:avLst/>
                    </a:prstGeom>
                    <a:noFill/>
                  </pic:spPr>
                </pic:pic>
              </a:graphicData>
            </a:graphic>
          </wp:anchor>
        </w:drawing>
      </w:r>
    </w:p>
    <w:p>
      <w:pPr>
        <w:sectPr>
          <w:pgSz w:w="11900" w:h="16838" w:orient="portrait"/>
          <w:cols w:equalWidth="0" w:num="1">
            <w:col w:w="11560"/>
          </w:cols>
          <w:pgMar w:left="160" w:top="262" w:right="179"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16"/>
          <w:szCs w:val="16"/>
          <w:color w:val="auto"/>
        </w:rPr>
        <w:t>accordance with the payment terms.</w:t>
      </w:r>
    </w:p>
    <w:p>
      <w:pPr>
        <w:spacing w:after="0" w:line="235" w:lineRule="exact"/>
        <w:rPr>
          <w:sz w:val="20"/>
          <w:szCs w:val="20"/>
          <w:color w:val="auto"/>
        </w:rPr>
      </w:pPr>
    </w:p>
    <w:p>
      <w:pPr>
        <w:ind w:right="380" w:firstLine="436"/>
        <w:spacing w:after="0" w:line="293" w:lineRule="auto"/>
        <w:rPr>
          <w:sz w:val="20"/>
          <w:szCs w:val="20"/>
          <w:color w:val="auto"/>
        </w:rPr>
      </w:pPr>
      <w:r>
        <w:rPr>
          <w:rFonts w:ascii="Arial" w:cs="Arial" w:eastAsia="Arial" w:hAnsi="Arial"/>
          <w:sz w:val="16"/>
          <w:szCs w:val="16"/>
          <w:color w:val="auto"/>
        </w:rPr>
        <w:t>On July 10, 2017, GasLog entered into an agreement with Keppel Shipyard Limited (“Keppel”) for the detailed engineering in relation to an FSRU conversion of one vessel. As of March 31, 2019, $8,504 of the cost was paid, in accordance with the payment terms.</w:t>
      </w:r>
    </w:p>
    <w:p>
      <w:pPr>
        <w:spacing w:after="0" w:line="172" w:lineRule="exact"/>
        <w:rPr>
          <w:sz w:val="20"/>
          <w:szCs w:val="20"/>
          <w:color w:val="auto"/>
        </w:rPr>
      </w:pPr>
    </w:p>
    <w:p>
      <w:pPr>
        <w:ind w:right="20" w:firstLine="436"/>
        <w:spacing w:after="0" w:line="278" w:lineRule="auto"/>
        <w:rPr>
          <w:sz w:val="20"/>
          <w:szCs w:val="20"/>
          <w:color w:val="auto"/>
        </w:rPr>
      </w:pPr>
      <w:r>
        <w:rPr>
          <w:rFonts w:ascii="Arial" w:cs="Arial" w:eastAsia="Arial" w:hAnsi="Arial"/>
          <w:sz w:val="16"/>
          <w:szCs w:val="16"/>
          <w:color w:val="auto"/>
        </w:rPr>
        <w:t>Vessels under construction represent scheduled advance payments to the shipyards as well as certain capitalized expenditures. As of March 31, 2019, the Group has paid to the shipyard $151,689 for the vessels that are under construction and expects to pay the remaining installments as they come due upon each vessel’s keel laying, launching and delivery (Note 14).</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700" w:type="dxa"/>
            <w:vAlign w:val="bottom"/>
          </w:tcPr>
          <w:p>
            <w:pPr>
              <w:ind w:left="440"/>
              <w:spacing w:after="0"/>
              <w:rPr>
                <w:sz w:val="20"/>
                <w:szCs w:val="20"/>
                <w:color w:val="auto"/>
              </w:rPr>
            </w:pPr>
            <w:r>
              <w:rPr>
                <w:rFonts w:ascii="Arial" w:cs="Arial" w:eastAsia="Arial" w:hAnsi="Arial"/>
                <w:sz w:val="16"/>
                <w:szCs w:val="16"/>
                <w:color w:val="auto"/>
              </w:rPr>
              <w:t>The vessels under construction costs as of December 31, 2018 and March 31, 2019 are as follows:</w:t>
            </w:r>
          </w:p>
        </w:tc>
        <w:tc>
          <w:tcPr>
            <w:tcW w:w="1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422"/>
        </w:trPr>
        <w:tc>
          <w:tcPr>
            <w:tcW w:w="7700" w:type="dxa"/>
            <w:vAlign w:val="bottom"/>
          </w:tcPr>
          <w:p>
            <w:pPr>
              <w:spacing w:after="0"/>
              <w:rPr>
                <w:sz w:val="24"/>
                <w:szCs w:val="24"/>
                <w:color w:val="auto"/>
              </w:rPr>
            </w:pPr>
          </w:p>
        </w:tc>
        <w:tc>
          <w:tcPr>
            <w:tcW w:w="2140" w:type="dxa"/>
            <w:vAlign w:val="bottom"/>
            <w:gridSpan w:val="2"/>
          </w:tcPr>
          <w:p>
            <w:pPr>
              <w:ind w:left="280"/>
              <w:spacing w:after="0"/>
              <w:rPr>
                <w:sz w:val="20"/>
                <w:szCs w:val="20"/>
                <w:color w:val="auto"/>
              </w:rPr>
            </w:pPr>
            <w:r>
              <w:rPr>
                <w:rFonts w:ascii="Arial" w:cs="Arial" w:eastAsia="Arial" w:hAnsi="Arial"/>
                <w:sz w:val="16"/>
                <w:szCs w:val="16"/>
                <w:b w:val="1"/>
                <w:bCs w:val="1"/>
                <w:color w:val="auto"/>
              </w:rPr>
              <w:t>December 31, 2018</w:t>
            </w:r>
          </w:p>
        </w:tc>
        <w:tc>
          <w:tcPr>
            <w:tcW w:w="1720" w:type="dxa"/>
            <w:vAlign w:val="bottom"/>
            <w:gridSpan w:val="3"/>
          </w:tcPr>
          <w:p>
            <w:pPr>
              <w:ind w:left="280"/>
              <w:spacing w:after="0"/>
              <w:rPr>
                <w:sz w:val="20"/>
                <w:szCs w:val="20"/>
                <w:color w:val="auto"/>
              </w:rPr>
            </w:pPr>
            <w:r>
              <w:rPr>
                <w:rFonts w:ascii="Arial" w:cs="Arial" w:eastAsia="Arial" w:hAnsi="Arial"/>
                <w:sz w:val="16"/>
                <w:szCs w:val="16"/>
                <w:b w:val="1"/>
                <w:bCs w:val="1"/>
                <w:color w:val="auto"/>
              </w:rPr>
              <w:t>March 31, 2019</w:t>
            </w:r>
          </w:p>
        </w:tc>
      </w:tr>
      <w:tr>
        <w:trPr>
          <w:trHeight w:val="199"/>
        </w:trPr>
        <w:tc>
          <w:tcPr>
            <w:tcW w:w="770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Progress shipyard installments</w:t>
            </w:r>
          </w:p>
        </w:tc>
        <w:tc>
          <w:tcPr>
            <w:tcW w:w="18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152,075</w:t>
            </w:r>
          </w:p>
        </w:tc>
        <w:tc>
          <w:tcPr>
            <w:tcW w:w="280" w:type="dxa"/>
            <w:vAlign w:val="bottom"/>
            <w:tcBorders>
              <w:top w:val="single" w:sz="8" w:color="E5FFFF"/>
            </w:tcBorders>
            <w:shd w:val="clear" w:color="auto" w:fill="E5FFFF"/>
          </w:tcPr>
          <w:p>
            <w:pPr>
              <w:spacing w:after="0"/>
              <w:rPr>
                <w:sz w:val="17"/>
                <w:szCs w:val="17"/>
                <w:color w:val="auto"/>
              </w:rPr>
            </w:pPr>
          </w:p>
        </w:tc>
        <w:tc>
          <w:tcPr>
            <w:tcW w:w="162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151,689</w:t>
            </w:r>
          </w:p>
        </w:tc>
        <w:tc>
          <w:tcPr>
            <w:tcW w:w="20" w:type="dxa"/>
            <w:vAlign w:val="bottom"/>
            <w:tcBorders>
              <w:top w:val="single" w:sz="8" w:color="E5FFFF"/>
            </w:tcBorders>
            <w:shd w:val="clear" w:color="auto" w:fill="E5FFFF"/>
          </w:tcPr>
          <w:p>
            <w:pPr>
              <w:spacing w:after="0"/>
              <w:rPr>
                <w:sz w:val="17"/>
                <w:szCs w:val="17"/>
                <w:color w:val="auto"/>
              </w:rPr>
            </w:pPr>
          </w:p>
        </w:tc>
        <w:tc>
          <w:tcPr>
            <w:tcW w:w="80" w:type="dxa"/>
            <w:vAlign w:val="bottom"/>
            <w:tcBorders>
              <w:top w:val="single" w:sz="8" w:color="E5FFFF"/>
            </w:tcBorders>
            <w:shd w:val="clear" w:color="auto" w:fill="E5FFFF"/>
          </w:tcPr>
          <w:p>
            <w:pPr>
              <w:spacing w:after="0"/>
              <w:rPr>
                <w:sz w:val="17"/>
                <w:szCs w:val="17"/>
                <w:color w:val="auto"/>
              </w:rPr>
            </w:pPr>
          </w:p>
        </w:tc>
      </w:tr>
      <w:tr>
        <w:trPr>
          <w:trHeight w:val="203"/>
        </w:trPr>
        <w:tc>
          <w:tcPr>
            <w:tcW w:w="7700" w:type="dxa"/>
            <w:vAlign w:val="bottom"/>
          </w:tcPr>
          <w:p>
            <w:pPr>
              <w:spacing w:after="0"/>
              <w:rPr>
                <w:sz w:val="20"/>
                <w:szCs w:val="20"/>
                <w:color w:val="auto"/>
              </w:rPr>
            </w:pPr>
            <w:r>
              <w:rPr>
                <w:rFonts w:ascii="Arial" w:cs="Arial" w:eastAsia="Arial" w:hAnsi="Arial"/>
                <w:sz w:val="16"/>
                <w:szCs w:val="16"/>
                <w:color w:val="auto"/>
              </w:rPr>
              <w:t>Onsite supervision costs</w:t>
            </w:r>
          </w:p>
        </w:tc>
        <w:tc>
          <w:tcPr>
            <w:tcW w:w="1860" w:type="dxa"/>
            <w:vAlign w:val="bottom"/>
          </w:tcPr>
          <w:p>
            <w:pPr>
              <w:jc w:val="right"/>
              <w:spacing w:after="0"/>
              <w:rPr>
                <w:sz w:val="20"/>
                <w:szCs w:val="20"/>
                <w:color w:val="auto"/>
              </w:rPr>
            </w:pPr>
            <w:r>
              <w:rPr>
                <w:rFonts w:ascii="Arial" w:cs="Arial" w:eastAsia="Arial" w:hAnsi="Arial"/>
                <w:sz w:val="16"/>
                <w:szCs w:val="16"/>
                <w:color w:val="auto"/>
              </w:rPr>
              <w:t>5,766</w:t>
            </w:r>
          </w:p>
        </w:tc>
        <w:tc>
          <w:tcPr>
            <w:tcW w:w="280" w:type="dxa"/>
            <w:vAlign w:val="bottom"/>
          </w:tcPr>
          <w:p>
            <w:pPr>
              <w:spacing w:after="0"/>
              <w:rPr>
                <w:sz w:val="17"/>
                <w:szCs w:val="17"/>
                <w:color w:val="auto"/>
              </w:rPr>
            </w:pPr>
          </w:p>
        </w:tc>
        <w:tc>
          <w:tcPr>
            <w:tcW w:w="1640" w:type="dxa"/>
            <w:vAlign w:val="bottom"/>
            <w:gridSpan w:val="2"/>
          </w:tcPr>
          <w:p>
            <w:pPr>
              <w:jc w:val="right"/>
              <w:ind w:right="20"/>
              <w:spacing w:after="0"/>
              <w:rPr>
                <w:sz w:val="20"/>
                <w:szCs w:val="20"/>
                <w:color w:val="auto"/>
              </w:rPr>
            </w:pPr>
            <w:r>
              <w:rPr>
                <w:rFonts w:ascii="Arial" w:cs="Arial" w:eastAsia="Arial" w:hAnsi="Arial"/>
                <w:sz w:val="16"/>
                <w:szCs w:val="16"/>
                <w:color w:val="auto"/>
              </w:rPr>
              <w:t>3,573</w:t>
            </w:r>
          </w:p>
        </w:tc>
        <w:tc>
          <w:tcPr>
            <w:tcW w:w="80" w:type="dxa"/>
            <w:vAlign w:val="bottom"/>
          </w:tcPr>
          <w:p>
            <w:pPr>
              <w:spacing w:after="0"/>
              <w:rPr>
                <w:sz w:val="17"/>
                <w:szCs w:val="17"/>
                <w:color w:val="auto"/>
              </w:rPr>
            </w:pPr>
          </w:p>
        </w:tc>
      </w:tr>
      <w:tr>
        <w:trPr>
          <w:trHeight w:val="203"/>
        </w:trPr>
        <w:tc>
          <w:tcPr>
            <w:tcW w:w="7700" w:type="dxa"/>
            <w:vAlign w:val="bottom"/>
            <w:shd w:val="clear" w:color="auto" w:fill="E5FFFF"/>
          </w:tcPr>
          <w:p>
            <w:pPr>
              <w:spacing w:after="0"/>
              <w:rPr>
                <w:sz w:val="20"/>
                <w:szCs w:val="20"/>
                <w:color w:val="auto"/>
              </w:rPr>
            </w:pPr>
            <w:r>
              <w:rPr>
                <w:rFonts w:ascii="Arial" w:cs="Arial" w:eastAsia="Arial" w:hAnsi="Arial"/>
                <w:sz w:val="16"/>
                <w:szCs w:val="16"/>
                <w:color w:val="auto"/>
              </w:rPr>
              <w:t>Critical spare parts, equipment and other vessel delivery expenses</w:t>
            </w:r>
          </w:p>
        </w:tc>
        <w:tc>
          <w:tcPr>
            <w:tcW w:w="18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1,434</w:t>
            </w:r>
          </w:p>
        </w:tc>
        <w:tc>
          <w:tcPr>
            <w:tcW w:w="280" w:type="dxa"/>
            <w:vAlign w:val="bottom"/>
            <w:shd w:val="clear" w:color="auto" w:fill="E5FFFF"/>
          </w:tcPr>
          <w:p>
            <w:pPr>
              <w:spacing w:after="0"/>
              <w:rPr>
                <w:sz w:val="17"/>
                <w:szCs w:val="17"/>
                <w:color w:val="auto"/>
              </w:rPr>
            </w:pPr>
          </w:p>
        </w:tc>
        <w:tc>
          <w:tcPr>
            <w:tcW w:w="1640" w:type="dxa"/>
            <w:vAlign w:val="bottom"/>
            <w:gridSpan w:val="2"/>
            <w:shd w:val="clear" w:color="auto" w:fill="E5FFFF"/>
          </w:tcPr>
          <w:p>
            <w:pPr>
              <w:jc w:val="right"/>
              <w:ind w:right="20"/>
              <w:spacing w:after="0"/>
              <w:rPr>
                <w:sz w:val="20"/>
                <w:szCs w:val="20"/>
                <w:color w:val="auto"/>
              </w:rPr>
            </w:pPr>
            <w:r>
              <w:rPr>
                <w:rFonts w:ascii="Arial" w:cs="Arial" w:eastAsia="Arial" w:hAnsi="Arial"/>
                <w:sz w:val="16"/>
                <w:szCs w:val="16"/>
                <w:color w:val="auto"/>
              </w:rPr>
              <w:t>579</w:t>
            </w:r>
          </w:p>
        </w:tc>
        <w:tc>
          <w:tcPr>
            <w:tcW w:w="80" w:type="dxa"/>
            <w:vAlign w:val="bottom"/>
            <w:shd w:val="clear" w:color="auto" w:fill="E5FFFF"/>
          </w:tcPr>
          <w:p>
            <w:pPr>
              <w:spacing w:after="0"/>
              <w:rPr>
                <w:sz w:val="17"/>
                <w:szCs w:val="17"/>
                <w:color w:val="auto"/>
              </w:rPr>
            </w:pPr>
          </w:p>
        </w:tc>
      </w:tr>
      <w:tr>
        <w:trPr>
          <w:trHeight w:val="196"/>
        </w:trPr>
        <w:tc>
          <w:tcPr>
            <w:tcW w:w="7700" w:type="dxa"/>
            <w:vAlign w:val="bottom"/>
          </w:tcPr>
          <w:p>
            <w:pPr>
              <w:spacing w:after="0"/>
              <w:rPr>
                <w:sz w:val="20"/>
                <w:szCs w:val="20"/>
                <w:color w:val="auto"/>
              </w:rPr>
            </w:pPr>
            <w:r>
              <w:rPr>
                <w:rFonts w:ascii="Arial" w:cs="Arial" w:eastAsia="Arial" w:hAnsi="Arial"/>
                <w:sz w:val="16"/>
                <w:szCs w:val="16"/>
                <w:b w:val="1"/>
                <w:bCs w:val="1"/>
                <w:color w:val="auto"/>
              </w:rPr>
              <w:t>Total</w:t>
            </w:r>
          </w:p>
        </w:tc>
        <w:tc>
          <w:tcPr>
            <w:tcW w:w="1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159,275</w:t>
            </w:r>
          </w:p>
        </w:tc>
        <w:tc>
          <w:tcPr>
            <w:tcW w:w="280" w:type="dxa"/>
            <w:vAlign w:val="bottom"/>
          </w:tcPr>
          <w:p>
            <w:pPr>
              <w:spacing w:after="0"/>
              <w:rPr>
                <w:sz w:val="17"/>
                <w:szCs w:val="17"/>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155,841</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770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6. Leases</w:t>
      </w:r>
    </w:p>
    <w:p>
      <w:pPr>
        <w:spacing w:after="0" w:line="239" w:lineRule="exact"/>
        <w:rPr>
          <w:sz w:val="20"/>
          <w:szCs w:val="20"/>
          <w:color w:val="auto"/>
        </w:rPr>
      </w:pPr>
    </w:p>
    <w:p>
      <w:pPr>
        <w:jc w:val="both"/>
        <w:ind w:firstLine="383"/>
        <w:spacing w:after="0" w:line="278" w:lineRule="auto"/>
        <w:rPr>
          <w:sz w:val="20"/>
          <w:szCs w:val="20"/>
          <w:color w:val="auto"/>
        </w:rPr>
      </w:pPr>
      <w:r>
        <w:rPr>
          <w:rFonts w:ascii="Arial" w:cs="Arial" w:eastAsia="Arial" w:hAnsi="Arial"/>
          <w:sz w:val="16"/>
          <w:szCs w:val="16"/>
          <w:color w:val="auto"/>
        </w:rPr>
        <w:t xml:space="preserve">On adoption of IFRS 16, the Group recognised lease liabilities in relation to leases of various properties, vessel communication equipment and certain printers which had previously been classified as operating leases under IAS 17 </w:t>
      </w:r>
      <w:r>
        <w:rPr>
          <w:rFonts w:ascii="Arial" w:cs="Arial" w:eastAsia="Arial" w:hAnsi="Arial"/>
          <w:sz w:val="16"/>
          <w:szCs w:val="16"/>
          <w:i w:val="1"/>
          <w:iCs w:val="1"/>
          <w:color w:val="auto"/>
        </w:rPr>
        <w:t>Leases</w:t>
      </w:r>
      <w:r>
        <w:rPr>
          <w:rFonts w:ascii="Arial" w:cs="Arial" w:eastAsia="Arial" w:hAnsi="Arial"/>
          <w:sz w:val="16"/>
          <w:szCs w:val="16"/>
          <w:color w:val="auto"/>
        </w:rPr>
        <w:t>. As of January 1, 2019, these liabilities were measured at the present value of the remaining lease payments, discounted using a weighted average incremental borrowing rate of 4.8%.</w:t>
      </w:r>
    </w:p>
    <w:p>
      <w:pPr>
        <w:spacing w:after="0" w:line="184"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movements in right-of use assets are reported in the following table:</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680" w:type="dxa"/>
            <w:vAlign w:val="bottom"/>
          </w:tcPr>
          <w:p>
            <w:pPr>
              <w:spacing w:after="0"/>
              <w:rPr>
                <w:sz w:val="20"/>
                <w:szCs w:val="20"/>
                <w:color w:val="auto"/>
              </w:rPr>
            </w:pPr>
            <w:r>
              <w:rPr>
                <w:rFonts w:ascii="Arial" w:cs="Arial" w:eastAsia="Arial" w:hAnsi="Arial"/>
                <w:sz w:val="16"/>
                <w:szCs w:val="16"/>
                <w:b w:val="1"/>
                <w:bCs w:val="1"/>
                <w:color w:val="auto"/>
              </w:rPr>
              <w:t>Right-of-Use Assets</w:t>
            </w:r>
          </w:p>
        </w:tc>
        <w:tc>
          <w:tcPr>
            <w:tcW w:w="1800" w:type="dxa"/>
            <w:vAlign w:val="bottom"/>
            <w:gridSpan w:val="2"/>
          </w:tcPr>
          <w:p>
            <w:pPr>
              <w:ind w:left="520"/>
              <w:spacing w:after="0"/>
              <w:rPr>
                <w:sz w:val="20"/>
                <w:szCs w:val="20"/>
                <w:color w:val="auto"/>
              </w:rPr>
            </w:pPr>
            <w:r>
              <w:rPr>
                <w:rFonts w:ascii="Arial" w:cs="Arial" w:eastAsia="Arial" w:hAnsi="Arial"/>
                <w:sz w:val="16"/>
                <w:szCs w:val="16"/>
                <w:b w:val="1"/>
                <w:bCs w:val="1"/>
                <w:color w:val="auto"/>
              </w:rPr>
              <w:t>Vessels</w:t>
            </w:r>
          </w:p>
        </w:tc>
        <w:tc>
          <w:tcPr>
            <w:tcW w:w="1920" w:type="dxa"/>
            <w:vAlign w:val="bottom"/>
            <w:gridSpan w:val="2"/>
          </w:tcPr>
          <w:p>
            <w:pPr>
              <w:ind w:left="200"/>
              <w:spacing w:after="0"/>
              <w:rPr>
                <w:sz w:val="20"/>
                <w:szCs w:val="20"/>
                <w:color w:val="auto"/>
              </w:rPr>
            </w:pPr>
            <w:r>
              <w:rPr>
                <w:rFonts w:ascii="Arial" w:cs="Arial" w:eastAsia="Arial" w:hAnsi="Arial"/>
                <w:sz w:val="16"/>
                <w:szCs w:val="16"/>
                <w:b w:val="1"/>
                <w:bCs w:val="1"/>
                <w:color w:val="auto"/>
              </w:rPr>
              <w:t>Vessel Equipment</w:t>
            </w:r>
          </w:p>
        </w:tc>
        <w:tc>
          <w:tcPr>
            <w:tcW w:w="1780" w:type="dxa"/>
            <w:vAlign w:val="bottom"/>
            <w:gridSpan w:val="2"/>
          </w:tcPr>
          <w:p>
            <w:pPr>
              <w:ind w:left="380"/>
              <w:spacing w:after="0"/>
              <w:rPr>
                <w:sz w:val="20"/>
                <w:szCs w:val="20"/>
                <w:color w:val="auto"/>
              </w:rPr>
            </w:pPr>
            <w:r>
              <w:rPr>
                <w:rFonts w:ascii="Arial" w:cs="Arial" w:eastAsia="Arial" w:hAnsi="Arial"/>
                <w:sz w:val="16"/>
                <w:szCs w:val="16"/>
                <w:b w:val="1"/>
                <w:bCs w:val="1"/>
                <w:color w:val="auto"/>
              </w:rPr>
              <w:t>Properties</w:t>
            </w:r>
          </w:p>
        </w:tc>
        <w:tc>
          <w:tcPr>
            <w:tcW w:w="1060" w:type="dxa"/>
            <w:vAlign w:val="bottom"/>
          </w:tcPr>
          <w:p>
            <w:pPr>
              <w:ind w:left="540"/>
              <w:spacing w:after="0"/>
              <w:rPr>
                <w:sz w:val="20"/>
                <w:szCs w:val="20"/>
                <w:color w:val="auto"/>
              </w:rPr>
            </w:pPr>
            <w:r>
              <w:rPr>
                <w:rFonts w:ascii="Arial" w:cs="Arial" w:eastAsia="Arial" w:hAnsi="Arial"/>
                <w:sz w:val="16"/>
                <w:szCs w:val="16"/>
                <w:b w:val="1"/>
                <w:bCs w:val="1"/>
                <w:color w:val="auto"/>
              </w:rPr>
              <w:t>Other</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gridSpan w:val="2"/>
          </w:tcPr>
          <w:p>
            <w:pPr>
              <w:ind w:left="640"/>
              <w:spacing w:after="0"/>
              <w:rPr>
                <w:sz w:val="20"/>
                <w:szCs w:val="20"/>
                <w:color w:val="auto"/>
              </w:rPr>
            </w:pPr>
            <w:r>
              <w:rPr>
                <w:rFonts w:ascii="Arial" w:cs="Arial" w:eastAsia="Arial" w:hAnsi="Arial"/>
                <w:sz w:val="16"/>
                <w:szCs w:val="16"/>
                <w:b w:val="1"/>
                <w:bCs w:val="1"/>
                <w:color w:val="auto"/>
              </w:rPr>
              <w:t>Total</w:t>
            </w:r>
          </w:p>
        </w:tc>
      </w:tr>
      <w:tr>
        <w:trPr>
          <w:trHeight w:val="199"/>
        </w:trPr>
        <w:tc>
          <w:tcPr>
            <w:tcW w:w="268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As of January 1, 2019*</w:t>
            </w:r>
          </w:p>
        </w:tc>
        <w:tc>
          <w:tcPr>
            <w:tcW w:w="1520" w:type="dxa"/>
            <w:vAlign w:val="bottom"/>
            <w:tcBorders>
              <w:top w:val="single" w:sz="8" w:color="auto"/>
            </w:tcBorders>
            <w:shd w:val="clear" w:color="auto" w:fill="E5FFFF"/>
          </w:tcPr>
          <w:p>
            <w:pPr>
              <w:jc w:val="right"/>
              <w:ind w:right="59"/>
              <w:spacing w:after="0"/>
              <w:rPr>
                <w:sz w:val="20"/>
                <w:szCs w:val="20"/>
                <w:color w:val="auto"/>
              </w:rPr>
            </w:pPr>
            <w:r>
              <w:rPr>
                <w:rFonts w:ascii="Arial" w:cs="Arial" w:eastAsia="Arial" w:hAnsi="Arial"/>
                <w:sz w:val="16"/>
                <w:szCs w:val="16"/>
                <w:color w:val="auto"/>
              </w:rPr>
              <w:t>206,753</w:t>
            </w:r>
          </w:p>
        </w:tc>
        <w:tc>
          <w:tcPr>
            <w:tcW w:w="280" w:type="dxa"/>
            <w:vAlign w:val="bottom"/>
            <w:tcBorders>
              <w:top w:val="single" w:sz="8" w:color="E5FFFF"/>
            </w:tcBorders>
            <w:shd w:val="clear" w:color="auto" w:fill="E5FFFF"/>
          </w:tcPr>
          <w:p>
            <w:pPr>
              <w:spacing w:after="0"/>
              <w:rPr>
                <w:sz w:val="17"/>
                <w:szCs w:val="17"/>
                <w:color w:val="auto"/>
              </w:rPr>
            </w:pPr>
          </w:p>
        </w:tc>
        <w:tc>
          <w:tcPr>
            <w:tcW w:w="1620" w:type="dxa"/>
            <w:vAlign w:val="bottom"/>
            <w:tcBorders>
              <w:top w:val="single" w:sz="8" w:color="auto"/>
            </w:tcBorders>
            <w:shd w:val="clear" w:color="auto" w:fill="E5FFFF"/>
          </w:tcPr>
          <w:p>
            <w:pPr>
              <w:jc w:val="right"/>
              <w:ind w:right="39"/>
              <w:spacing w:after="0"/>
              <w:rPr>
                <w:sz w:val="20"/>
                <w:szCs w:val="20"/>
                <w:color w:val="auto"/>
              </w:rPr>
            </w:pPr>
            <w:r>
              <w:rPr>
                <w:rFonts w:ascii="Arial" w:cs="Arial" w:eastAsia="Arial" w:hAnsi="Arial"/>
                <w:sz w:val="16"/>
                <w:szCs w:val="16"/>
                <w:color w:val="auto"/>
              </w:rPr>
              <w:t>2,630</w:t>
            </w:r>
          </w:p>
        </w:tc>
        <w:tc>
          <w:tcPr>
            <w:tcW w:w="300" w:type="dxa"/>
            <w:vAlign w:val="bottom"/>
            <w:tcBorders>
              <w:top w:val="single" w:sz="8" w:color="E5FFFF"/>
            </w:tcBorders>
            <w:shd w:val="clear" w:color="auto" w:fill="E5FFFF"/>
          </w:tcPr>
          <w:p>
            <w:pPr>
              <w:spacing w:after="0"/>
              <w:rPr>
                <w:sz w:val="17"/>
                <w:szCs w:val="17"/>
                <w:color w:val="auto"/>
              </w:rPr>
            </w:pPr>
          </w:p>
        </w:tc>
        <w:tc>
          <w:tcPr>
            <w:tcW w:w="1500" w:type="dxa"/>
            <w:vAlign w:val="bottom"/>
            <w:tcBorders>
              <w:top w:val="single" w:sz="8" w:color="auto"/>
            </w:tcBorders>
            <w:shd w:val="clear" w:color="auto" w:fill="E5FFFF"/>
          </w:tcPr>
          <w:p>
            <w:pPr>
              <w:jc w:val="right"/>
              <w:ind w:right="59"/>
              <w:spacing w:after="0"/>
              <w:rPr>
                <w:sz w:val="20"/>
                <w:szCs w:val="20"/>
                <w:color w:val="auto"/>
              </w:rPr>
            </w:pPr>
            <w:r>
              <w:rPr>
                <w:rFonts w:ascii="Arial" w:cs="Arial" w:eastAsia="Arial" w:hAnsi="Arial"/>
                <w:sz w:val="16"/>
                <w:szCs w:val="16"/>
                <w:color w:val="auto"/>
              </w:rPr>
              <w:t>4,969</w:t>
            </w:r>
          </w:p>
        </w:tc>
        <w:tc>
          <w:tcPr>
            <w:tcW w:w="280" w:type="dxa"/>
            <w:vAlign w:val="bottom"/>
            <w:tcBorders>
              <w:top w:val="single" w:sz="8" w:color="E5FFFF"/>
            </w:tcBorders>
            <w:shd w:val="clear" w:color="auto" w:fill="E5FFFF"/>
          </w:tcPr>
          <w:p>
            <w:pPr>
              <w:spacing w:after="0"/>
              <w:rPr>
                <w:sz w:val="17"/>
                <w:szCs w:val="17"/>
                <w:color w:val="auto"/>
              </w:rPr>
            </w:pPr>
          </w:p>
        </w:tc>
        <w:tc>
          <w:tcPr>
            <w:tcW w:w="1060" w:type="dxa"/>
            <w:vAlign w:val="bottom"/>
            <w:tcBorders>
              <w:top w:val="single" w:sz="8" w:color="auto"/>
            </w:tcBorders>
            <w:shd w:val="clear" w:color="auto" w:fill="E5FFFF"/>
          </w:tcPr>
          <w:p>
            <w:pPr>
              <w:spacing w:after="0"/>
              <w:rPr>
                <w:sz w:val="17"/>
                <w:szCs w:val="17"/>
                <w:color w:val="auto"/>
              </w:rPr>
            </w:pPr>
          </w:p>
        </w:tc>
        <w:tc>
          <w:tcPr>
            <w:tcW w:w="440" w:type="dxa"/>
            <w:vAlign w:val="bottom"/>
            <w:tcBorders>
              <w:top w:val="single" w:sz="8" w:color="auto"/>
            </w:tcBorders>
            <w:shd w:val="clear" w:color="auto" w:fill="E5FFFF"/>
          </w:tcPr>
          <w:p>
            <w:pPr>
              <w:jc w:val="right"/>
              <w:ind w:right="59"/>
              <w:spacing w:after="0"/>
              <w:rPr>
                <w:sz w:val="20"/>
                <w:szCs w:val="20"/>
                <w:color w:val="auto"/>
              </w:rPr>
            </w:pPr>
            <w:r>
              <w:rPr>
                <w:rFonts w:ascii="Arial" w:cs="Arial" w:eastAsia="Arial" w:hAnsi="Arial"/>
                <w:sz w:val="16"/>
                <w:szCs w:val="16"/>
                <w:color w:val="auto"/>
              </w:rPr>
              <w:t>19</w:t>
            </w:r>
          </w:p>
        </w:tc>
        <w:tc>
          <w:tcPr>
            <w:tcW w:w="280" w:type="dxa"/>
            <w:vAlign w:val="bottom"/>
            <w:tcBorders>
              <w:top w:val="single" w:sz="8" w:color="E5FFFF"/>
            </w:tcBorders>
            <w:shd w:val="clear" w:color="auto" w:fill="E5FFFF"/>
          </w:tcPr>
          <w:p>
            <w:pPr>
              <w:spacing w:after="0"/>
              <w:rPr>
                <w:sz w:val="17"/>
                <w:szCs w:val="17"/>
                <w:color w:val="auto"/>
              </w:rPr>
            </w:pPr>
          </w:p>
        </w:tc>
        <w:tc>
          <w:tcPr>
            <w:tcW w:w="1500" w:type="dxa"/>
            <w:vAlign w:val="bottom"/>
            <w:tcBorders>
              <w:top w:val="single" w:sz="8" w:color="auto"/>
            </w:tcBorders>
            <w:shd w:val="clear" w:color="auto" w:fill="E5FFFF"/>
          </w:tcPr>
          <w:p>
            <w:pPr>
              <w:jc w:val="right"/>
              <w:ind w:right="59"/>
              <w:spacing w:after="0"/>
              <w:rPr>
                <w:sz w:val="20"/>
                <w:szCs w:val="20"/>
                <w:color w:val="auto"/>
              </w:rPr>
            </w:pPr>
            <w:r>
              <w:rPr>
                <w:rFonts w:ascii="Arial" w:cs="Arial" w:eastAsia="Arial" w:hAnsi="Arial"/>
                <w:sz w:val="16"/>
                <w:szCs w:val="16"/>
                <w:color w:val="auto"/>
              </w:rPr>
              <w:t>214,371</w:t>
            </w:r>
          </w:p>
        </w:tc>
        <w:tc>
          <w:tcPr>
            <w:tcW w:w="100" w:type="dxa"/>
            <w:vAlign w:val="bottom"/>
            <w:tcBorders>
              <w:top w:val="single" w:sz="8" w:color="E5FFFF"/>
            </w:tcBorders>
            <w:shd w:val="clear" w:color="auto" w:fill="E5FFFF"/>
          </w:tcPr>
          <w:p>
            <w:pPr>
              <w:spacing w:after="0"/>
              <w:rPr>
                <w:sz w:val="17"/>
                <w:szCs w:val="17"/>
                <w:color w:val="auto"/>
              </w:rPr>
            </w:pPr>
          </w:p>
        </w:tc>
      </w:tr>
      <w:tr>
        <w:trPr>
          <w:trHeight w:val="203"/>
        </w:trPr>
        <w:tc>
          <w:tcPr>
            <w:tcW w:w="2680" w:type="dxa"/>
            <w:vAlign w:val="bottom"/>
          </w:tcPr>
          <w:p>
            <w:pPr>
              <w:spacing w:after="0"/>
              <w:rPr>
                <w:sz w:val="20"/>
                <w:szCs w:val="20"/>
                <w:color w:val="auto"/>
              </w:rPr>
            </w:pPr>
            <w:r>
              <w:rPr>
                <w:rFonts w:ascii="Arial" w:cs="Arial" w:eastAsia="Arial" w:hAnsi="Arial"/>
                <w:sz w:val="16"/>
                <w:szCs w:val="16"/>
                <w:color w:val="auto"/>
              </w:rPr>
              <w:t>Additions</w:t>
            </w:r>
          </w:p>
        </w:tc>
        <w:tc>
          <w:tcPr>
            <w:tcW w:w="180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1620" w:type="dxa"/>
            <w:vAlign w:val="bottom"/>
          </w:tcPr>
          <w:p>
            <w:pPr>
              <w:jc w:val="right"/>
              <w:ind w:right="39"/>
              <w:spacing w:after="0"/>
              <w:rPr>
                <w:sz w:val="20"/>
                <w:szCs w:val="20"/>
                <w:color w:val="auto"/>
              </w:rPr>
            </w:pPr>
            <w:r>
              <w:rPr>
                <w:rFonts w:ascii="Arial" w:cs="Arial" w:eastAsia="Arial" w:hAnsi="Arial"/>
                <w:sz w:val="16"/>
                <w:szCs w:val="16"/>
                <w:color w:val="auto"/>
              </w:rPr>
              <w:t>170</w:t>
            </w:r>
          </w:p>
        </w:tc>
        <w:tc>
          <w:tcPr>
            <w:tcW w:w="300" w:type="dxa"/>
            <w:vAlign w:val="bottom"/>
          </w:tcPr>
          <w:p>
            <w:pPr>
              <w:spacing w:after="0"/>
              <w:rPr>
                <w:sz w:val="17"/>
                <w:szCs w:val="17"/>
                <w:color w:val="auto"/>
              </w:rPr>
            </w:pPr>
          </w:p>
        </w:tc>
        <w:tc>
          <w:tcPr>
            <w:tcW w:w="1500" w:type="dxa"/>
            <w:vAlign w:val="bottom"/>
          </w:tcPr>
          <w:p>
            <w:pPr>
              <w:jc w:val="right"/>
              <w:ind w:right="59"/>
              <w:spacing w:after="0"/>
              <w:rPr>
                <w:sz w:val="20"/>
                <w:szCs w:val="20"/>
                <w:color w:val="auto"/>
              </w:rPr>
            </w:pPr>
            <w:r>
              <w:rPr>
                <w:rFonts w:ascii="Arial" w:cs="Arial" w:eastAsia="Arial" w:hAnsi="Arial"/>
                <w:sz w:val="16"/>
                <w:szCs w:val="16"/>
                <w:color w:val="auto"/>
              </w:rPr>
              <w:t>894</w:t>
            </w: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2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59"/>
              <w:spacing w:after="0"/>
              <w:rPr>
                <w:sz w:val="20"/>
                <w:szCs w:val="20"/>
                <w:color w:val="auto"/>
              </w:rPr>
            </w:pPr>
            <w:r>
              <w:rPr>
                <w:rFonts w:ascii="Arial" w:cs="Arial" w:eastAsia="Arial" w:hAnsi="Arial"/>
                <w:sz w:val="16"/>
                <w:szCs w:val="16"/>
                <w:color w:val="auto"/>
              </w:rPr>
              <w:t>1,064</w:t>
            </w:r>
          </w:p>
        </w:tc>
        <w:tc>
          <w:tcPr>
            <w:tcW w:w="100" w:type="dxa"/>
            <w:vAlign w:val="bottom"/>
          </w:tcPr>
          <w:p>
            <w:pPr>
              <w:spacing w:after="0"/>
              <w:rPr>
                <w:sz w:val="17"/>
                <w:szCs w:val="17"/>
                <w:color w:val="auto"/>
              </w:rPr>
            </w:pPr>
          </w:p>
        </w:tc>
      </w:tr>
      <w:tr>
        <w:trPr>
          <w:trHeight w:val="203"/>
        </w:trPr>
        <w:tc>
          <w:tcPr>
            <w:tcW w:w="2680" w:type="dxa"/>
            <w:vAlign w:val="bottom"/>
            <w:shd w:val="clear" w:color="auto" w:fill="E5FFFF"/>
          </w:tcPr>
          <w:p>
            <w:pPr>
              <w:spacing w:after="0"/>
              <w:rPr>
                <w:sz w:val="20"/>
                <w:szCs w:val="20"/>
                <w:color w:val="auto"/>
              </w:rPr>
            </w:pPr>
            <w:r>
              <w:rPr>
                <w:rFonts w:ascii="Arial" w:cs="Arial" w:eastAsia="Arial" w:hAnsi="Arial"/>
                <w:sz w:val="16"/>
                <w:szCs w:val="16"/>
                <w:color w:val="auto"/>
              </w:rPr>
              <w:t>Depreciation expense</w:t>
            </w:r>
          </w:p>
        </w:tc>
        <w:tc>
          <w:tcPr>
            <w:tcW w:w="1520" w:type="dxa"/>
            <w:vAlign w:val="bottom"/>
            <w:tcBorders>
              <w:bottom w:val="single" w:sz="8" w:color="auto"/>
            </w:tcBorders>
            <w:shd w:val="clear" w:color="auto" w:fill="E5FFFF"/>
          </w:tcPr>
          <w:p>
            <w:pPr>
              <w:jc w:val="right"/>
              <w:ind w:right="59"/>
              <w:spacing w:after="0"/>
              <w:rPr>
                <w:sz w:val="20"/>
                <w:szCs w:val="20"/>
                <w:color w:val="auto"/>
              </w:rPr>
            </w:pPr>
            <w:r>
              <w:rPr>
                <w:rFonts w:ascii="Arial" w:cs="Arial" w:eastAsia="Arial" w:hAnsi="Arial"/>
                <w:sz w:val="16"/>
                <w:szCs w:val="16"/>
                <w:color w:val="auto"/>
              </w:rPr>
              <w:t>(1,905)</w:t>
            </w:r>
          </w:p>
        </w:tc>
        <w:tc>
          <w:tcPr>
            <w:tcW w:w="280" w:type="dxa"/>
            <w:vAlign w:val="bottom"/>
            <w:shd w:val="clear" w:color="auto" w:fill="E5FFFF"/>
          </w:tcPr>
          <w:p>
            <w:pPr>
              <w:spacing w:after="0"/>
              <w:rPr>
                <w:sz w:val="17"/>
                <w:szCs w:val="17"/>
                <w:color w:val="auto"/>
              </w:rPr>
            </w:pPr>
          </w:p>
        </w:tc>
        <w:tc>
          <w:tcPr>
            <w:tcW w:w="1620" w:type="dxa"/>
            <w:vAlign w:val="bottom"/>
            <w:tcBorders>
              <w:bottom w:val="single" w:sz="8" w:color="auto"/>
            </w:tcBorders>
            <w:shd w:val="clear" w:color="auto" w:fill="E5FFFF"/>
          </w:tcPr>
          <w:p>
            <w:pPr>
              <w:jc w:val="right"/>
              <w:ind w:right="39"/>
              <w:spacing w:after="0"/>
              <w:rPr>
                <w:sz w:val="20"/>
                <w:szCs w:val="20"/>
                <w:color w:val="auto"/>
              </w:rPr>
            </w:pPr>
            <w:r>
              <w:rPr>
                <w:rFonts w:ascii="Arial" w:cs="Arial" w:eastAsia="Arial" w:hAnsi="Arial"/>
                <w:sz w:val="16"/>
                <w:szCs w:val="16"/>
                <w:color w:val="auto"/>
              </w:rPr>
              <w:t>(258)</w:t>
            </w:r>
          </w:p>
        </w:tc>
        <w:tc>
          <w:tcPr>
            <w:tcW w:w="300" w:type="dxa"/>
            <w:vAlign w:val="bottom"/>
            <w:shd w:val="clear" w:color="auto" w:fill="E5FFFF"/>
          </w:tcPr>
          <w:p>
            <w:pPr>
              <w:spacing w:after="0"/>
              <w:rPr>
                <w:sz w:val="17"/>
                <w:szCs w:val="17"/>
                <w:color w:val="auto"/>
              </w:rPr>
            </w:pPr>
          </w:p>
        </w:tc>
        <w:tc>
          <w:tcPr>
            <w:tcW w:w="1500" w:type="dxa"/>
            <w:vAlign w:val="bottom"/>
            <w:tcBorders>
              <w:bottom w:val="single" w:sz="8" w:color="auto"/>
            </w:tcBorders>
            <w:shd w:val="clear" w:color="auto" w:fill="E5FFFF"/>
          </w:tcPr>
          <w:p>
            <w:pPr>
              <w:jc w:val="right"/>
              <w:ind w:right="59"/>
              <w:spacing w:after="0"/>
              <w:rPr>
                <w:sz w:val="20"/>
                <w:szCs w:val="20"/>
                <w:color w:val="auto"/>
              </w:rPr>
            </w:pPr>
            <w:r>
              <w:rPr>
                <w:rFonts w:ascii="Arial" w:cs="Arial" w:eastAsia="Arial" w:hAnsi="Arial"/>
                <w:sz w:val="16"/>
                <w:szCs w:val="16"/>
                <w:color w:val="auto"/>
              </w:rPr>
              <w:t>(352)</w:t>
            </w:r>
          </w:p>
        </w:tc>
        <w:tc>
          <w:tcPr>
            <w:tcW w:w="280" w:type="dxa"/>
            <w:vAlign w:val="bottom"/>
            <w:shd w:val="clear" w:color="auto" w:fill="E5FFFF"/>
          </w:tcPr>
          <w:p>
            <w:pPr>
              <w:spacing w:after="0"/>
              <w:rPr>
                <w:sz w:val="17"/>
                <w:szCs w:val="17"/>
                <w:color w:val="auto"/>
              </w:rPr>
            </w:pPr>
          </w:p>
        </w:tc>
        <w:tc>
          <w:tcPr>
            <w:tcW w:w="1060" w:type="dxa"/>
            <w:vAlign w:val="bottom"/>
            <w:tcBorders>
              <w:bottom w:val="single" w:sz="8" w:color="auto"/>
            </w:tcBorders>
            <w:shd w:val="clear" w:color="auto" w:fill="E5FFFF"/>
          </w:tcPr>
          <w:p>
            <w:pPr>
              <w:spacing w:after="0"/>
              <w:rPr>
                <w:sz w:val="17"/>
                <w:szCs w:val="17"/>
                <w:color w:val="auto"/>
              </w:rPr>
            </w:pPr>
          </w:p>
        </w:tc>
        <w:tc>
          <w:tcPr>
            <w:tcW w:w="440" w:type="dxa"/>
            <w:vAlign w:val="bottom"/>
            <w:tcBorders>
              <w:bottom w:val="single" w:sz="8" w:color="auto"/>
            </w:tcBorders>
            <w:shd w:val="clear" w:color="auto" w:fill="E5FFFF"/>
          </w:tcPr>
          <w:p>
            <w:pPr>
              <w:jc w:val="right"/>
              <w:ind w:right="59"/>
              <w:spacing w:after="0"/>
              <w:rPr>
                <w:sz w:val="20"/>
                <w:szCs w:val="20"/>
                <w:color w:val="auto"/>
              </w:rPr>
            </w:pPr>
            <w:r>
              <w:rPr>
                <w:rFonts w:ascii="Arial" w:cs="Arial" w:eastAsia="Arial" w:hAnsi="Arial"/>
                <w:sz w:val="16"/>
                <w:szCs w:val="16"/>
                <w:color w:val="auto"/>
              </w:rPr>
              <w:t>(2)</w:t>
            </w:r>
          </w:p>
        </w:tc>
        <w:tc>
          <w:tcPr>
            <w:tcW w:w="280" w:type="dxa"/>
            <w:vAlign w:val="bottom"/>
            <w:shd w:val="clear" w:color="auto" w:fill="E5FFFF"/>
          </w:tcPr>
          <w:p>
            <w:pPr>
              <w:spacing w:after="0"/>
              <w:rPr>
                <w:sz w:val="17"/>
                <w:szCs w:val="17"/>
                <w:color w:val="auto"/>
              </w:rPr>
            </w:pPr>
          </w:p>
        </w:tc>
        <w:tc>
          <w:tcPr>
            <w:tcW w:w="1500" w:type="dxa"/>
            <w:vAlign w:val="bottom"/>
            <w:tcBorders>
              <w:bottom w:val="single" w:sz="8" w:color="auto"/>
            </w:tcBorders>
            <w:shd w:val="clear" w:color="auto" w:fill="E5FFFF"/>
          </w:tcPr>
          <w:p>
            <w:pPr>
              <w:jc w:val="right"/>
              <w:ind w:right="59"/>
              <w:spacing w:after="0"/>
              <w:rPr>
                <w:sz w:val="20"/>
                <w:szCs w:val="20"/>
                <w:color w:val="auto"/>
              </w:rPr>
            </w:pPr>
            <w:r>
              <w:rPr>
                <w:rFonts w:ascii="Arial" w:cs="Arial" w:eastAsia="Arial" w:hAnsi="Arial"/>
                <w:sz w:val="16"/>
                <w:szCs w:val="16"/>
                <w:color w:val="auto"/>
              </w:rPr>
              <w:t>(2,517)</w:t>
            </w:r>
          </w:p>
        </w:tc>
        <w:tc>
          <w:tcPr>
            <w:tcW w:w="100" w:type="dxa"/>
            <w:vAlign w:val="bottom"/>
            <w:shd w:val="clear" w:color="auto" w:fill="E5FFFF"/>
          </w:tcPr>
          <w:p>
            <w:pPr>
              <w:spacing w:after="0"/>
              <w:rPr>
                <w:sz w:val="17"/>
                <w:szCs w:val="17"/>
                <w:color w:val="auto"/>
              </w:rPr>
            </w:pPr>
          </w:p>
        </w:tc>
      </w:tr>
      <w:tr>
        <w:trPr>
          <w:trHeight w:val="196"/>
        </w:trPr>
        <w:tc>
          <w:tcPr>
            <w:tcW w:w="2680" w:type="dxa"/>
            <w:vAlign w:val="bottom"/>
          </w:tcPr>
          <w:p>
            <w:pPr>
              <w:spacing w:after="0"/>
              <w:rPr>
                <w:sz w:val="20"/>
                <w:szCs w:val="20"/>
                <w:color w:val="auto"/>
              </w:rPr>
            </w:pPr>
            <w:r>
              <w:rPr>
                <w:rFonts w:ascii="Arial" w:cs="Arial" w:eastAsia="Arial" w:hAnsi="Arial"/>
                <w:sz w:val="16"/>
                <w:szCs w:val="16"/>
                <w:b w:val="1"/>
                <w:bCs w:val="1"/>
                <w:color w:val="auto"/>
              </w:rPr>
              <w:t>As of March 31, 2019</w:t>
            </w:r>
          </w:p>
        </w:tc>
        <w:tc>
          <w:tcPr>
            <w:tcW w:w="15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204,848</w:t>
            </w:r>
          </w:p>
        </w:tc>
        <w:tc>
          <w:tcPr>
            <w:tcW w:w="280" w:type="dxa"/>
            <w:vAlign w:val="bottom"/>
          </w:tcPr>
          <w:p>
            <w:pPr>
              <w:spacing w:after="0"/>
              <w:rPr>
                <w:sz w:val="17"/>
                <w:szCs w:val="17"/>
                <w:color w:val="auto"/>
              </w:rPr>
            </w:pPr>
          </w:p>
        </w:tc>
        <w:tc>
          <w:tcPr>
            <w:tcW w:w="16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2,542</w:t>
            </w:r>
          </w:p>
        </w:tc>
        <w:tc>
          <w:tcPr>
            <w:tcW w:w="300" w:type="dxa"/>
            <w:vAlign w:val="bottom"/>
          </w:tcPr>
          <w:p>
            <w:pPr>
              <w:spacing w:after="0"/>
              <w:rPr>
                <w:sz w:val="17"/>
                <w:szCs w:val="17"/>
                <w:color w:val="auto"/>
              </w:rPr>
            </w:pPr>
          </w:p>
        </w:tc>
        <w:tc>
          <w:tcPr>
            <w:tcW w:w="15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5,511</w:t>
            </w:r>
          </w:p>
        </w:tc>
        <w:tc>
          <w:tcPr>
            <w:tcW w:w="280" w:type="dxa"/>
            <w:vAlign w:val="bottom"/>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17</w:t>
            </w:r>
          </w:p>
        </w:tc>
        <w:tc>
          <w:tcPr>
            <w:tcW w:w="280" w:type="dxa"/>
            <w:vAlign w:val="bottom"/>
          </w:tcPr>
          <w:p>
            <w:pPr>
              <w:spacing w:after="0"/>
              <w:rPr>
                <w:sz w:val="17"/>
                <w:szCs w:val="17"/>
                <w:color w:val="auto"/>
              </w:rPr>
            </w:pPr>
          </w:p>
        </w:tc>
        <w:tc>
          <w:tcPr>
            <w:tcW w:w="15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212,918</w:t>
            </w:r>
          </w:p>
        </w:tc>
        <w:tc>
          <w:tcPr>
            <w:tcW w:w="100" w:type="dxa"/>
            <w:vAlign w:val="bottom"/>
          </w:tcPr>
          <w:p>
            <w:pPr>
              <w:spacing w:after="0"/>
              <w:rPr>
                <w:sz w:val="17"/>
                <w:szCs w:val="17"/>
                <w:color w:val="auto"/>
              </w:rPr>
            </w:pPr>
          </w:p>
        </w:tc>
      </w:tr>
      <w:tr>
        <w:trPr>
          <w:trHeight w:val="20"/>
        </w:trPr>
        <w:tc>
          <w:tcPr>
            <w:tcW w:w="268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6"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t>
      </w:r>
      <w:r>
        <w:rPr>
          <w:rFonts w:ascii="Arial" w:cs="Arial" w:eastAsia="Arial" w:hAnsi="Arial"/>
          <w:sz w:val="14"/>
          <w:szCs w:val="14"/>
          <w:color w:val="auto"/>
        </w:rPr>
        <w:t>The balance as of December 31, 2018 represented the vessel held under finance lease and was included in the financial statement line “Vessel held under finance lease”, which was renamed to “Right-of-use assets” as of January 1, 2019.</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800" w:type="dxa"/>
            <w:vAlign w:val="bottom"/>
          </w:tcPr>
          <w:p>
            <w:pPr>
              <w:ind w:left="420"/>
              <w:spacing w:after="0"/>
              <w:rPr>
                <w:sz w:val="20"/>
                <w:szCs w:val="20"/>
                <w:color w:val="auto"/>
              </w:rPr>
            </w:pPr>
            <w:r>
              <w:rPr>
                <w:rFonts w:ascii="Arial" w:cs="Arial" w:eastAsia="Arial" w:hAnsi="Arial"/>
                <w:sz w:val="16"/>
                <w:szCs w:val="16"/>
                <w:color w:val="auto"/>
              </w:rPr>
              <w:t>An analysis of the lease liabilities is as follows:</w:t>
            </w:r>
          </w:p>
        </w:tc>
        <w:tc>
          <w:tcPr>
            <w:tcW w:w="1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2"/>
        </w:trPr>
        <w:tc>
          <w:tcPr>
            <w:tcW w:w="8800" w:type="dxa"/>
            <w:vAlign w:val="bottom"/>
          </w:tcPr>
          <w:p>
            <w:pPr>
              <w:spacing w:after="0"/>
              <w:rPr>
                <w:sz w:val="24"/>
                <w:szCs w:val="24"/>
                <w:color w:val="auto"/>
              </w:rPr>
            </w:pPr>
          </w:p>
        </w:tc>
        <w:tc>
          <w:tcPr>
            <w:tcW w:w="1960" w:type="dxa"/>
            <w:vAlign w:val="bottom"/>
            <w:gridSpan w:val="3"/>
          </w:tcPr>
          <w:p>
            <w:pPr>
              <w:jc w:val="right"/>
              <w:ind w:right="120"/>
              <w:spacing w:after="0"/>
              <w:rPr>
                <w:sz w:val="20"/>
                <w:szCs w:val="20"/>
                <w:color w:val="auto"/>
              </w:rPr>
            </w:pPr>
            <w:r>
              <w:rPr>
                <w:rFonts w:ascii="Arial" w:cs="Arial" w:eastAsia="Arial" w:hAnsi="Arial"/>
                <w:sz w:val="16"/>
                <w:szCs w:val="16"/>
                <w:b w:val="1"/>
                <w:bCs w:val="1"/>
                <w:color w:val="auto"/>
              </w:rPr>
              <w:t>Lease Liabilities</w:t>
            </w:r>
          </w:p>
        </w:tc>
        <w:tc>
          <w:tcPr>
            <w:tcW w:w="0" w:type="dxa"/>
            <w:vAlign w:val="bottom"/>
          </w:tcPr>
          <w:p>
            <w:pPr>
              <w:spacing w:after="0"/>
              <w:rPr>
                <w:sz w:val="1"/>
                <w:szCs w:val="1"/>
                <w:color w:val="auto"/>
              </w:rPr>
            </w:pPr>
          </w:p>
        </w:tc>
      </w:tr>
      <w:tr>
        <w:trPr>
          <w:trHeight w:val="199"/>
        </w:trPr>
        <w:tc>
          <w:tcPr>
            <w:tcW w:w="880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As of January 1, 2019</w:t>
            </w:r>
          </w:p>
        </w:tc>
        <w:tc>
          <w:tcPr>
            <w:tcW w:w="184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213,374</w:t>
            </w:r>
          </w:p>
        </w:tc>
        <w:tc>
          <w:tcPr>
            <w:tcW w:w="20" w:type="dxa"/>
            <w:vAlign w:val="bottom"/>
            <w:tcBorders>
              <w:top w:val="single" w:sz="8" w:color="E5FFFF"/>
            </w:tcBorders>
            <w:shd w:val="clear" w:color="auto" w:fill="E5FFFF"/>
          </w:tcPr>
          <w:p>
            <w:pPr>
              <w:spacing w:after="0"/>
              <w:rPr>
                <w:sz w:val="17"/>
                <w:szCs w:val="17"/>
                <w:color w:val="auto"/>
              </w:rPr>
            </w:pPr>
          </w:p>
        </w:tc>
        <w:tc>
          <w:tcPr>
            <w:tcW w:w="100" w:type="dxa"/>
            <w:vAlign w:val="bottom"/>
            <w:tcBorders>
              <w:top w:val="single" w:sz="8" w:color="E5FFFF"/>
            </w:tcBorders>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00" w:type="dxa"/>
            <w:vAlign w:val="bottom"/>
          </w:tcPr>
          <w:p>
            <w:pPr>
              <w:spacing w:after="0"/>
              <w:rPr>
                <w:sz w:val="20"/>
                <w:szCs w:val="20"/>
                <w:color w:val="auto"/>
              </w:rPr>
            </w:pPr>
            <w:r>
              <w:rPr>
                <w:rFonts w:ascii="Arial" w:cs="Arial" w:eastAsia="Arial" w:hAnsi="Arial"/>
                <w:sz w:val="16"/>
                <w:szCs w:val="16"/>
                <w:color w:val="auto"/>
              </w:rPr>
              <w:t>Additions</w:t>
            </w:r>
          </w:p>
        </w:tc>
        <w:tc>
          <w:tcPr>
            <w:tcW w:w="1860" w:type="dxa"/>
            <w:vAlign w:val="bottom"/>
            <w:gridSpan w:val="2"/>
          </w:tcPr>
          <w:p>
            <w:pPr>
              <w:jc w:val="right"/>
              <w:ind w:right="20"/>
              <w:spacing w:after="0"/>
              <w:rPr>
                <w:sz w:val="20"/>
                <w:szCs w:val="20"/>
                <w:color w:val="auto"/>
              </w:rPr>
            </w:pPr>
            <w:r>
              <w:rPr>
                <w:rFonts w:ascii="Arial" w:cs="Arial" w:eastAsia="Arial" w:hAnsi="Arial"/>
                <w:sz w:val="16"/>
                <w:szCs w:val="16"/>
                <w:color w:val="auto"/>
              </w:rPr>
              <w:t>1,064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00" w:type="dxa"/>
            <w:vAlign w:val="bottom"/>
            <w:shd w:val="clear" w:color="auto" w:fill="E5FFFF"/>
          </w:tcPr>
          <w:p>
            <w:pPr>
              <w:spacing w:after="0"/>
              <w:rPr>
                <w:sz w:val="20"/>
                <w:szCs w:val="20"/>
                <w:color w:val="auto"/>
              </w:rPr>
            </w:pPr>
            <w:r>
              <w:rPr>
                <w:rFonts w:ascii="Arial" w:cs="Arial" w:eastAsia="Arial" w:hAnsi="Arial"/>
                <w:sz w:val="16"/>
                <w:szCs w:val="16"/>
                <w:color w:val="auto"/>
              </w:rPr>
              <w:t>Lease charge (Note 16)</w:t>
            </w:r>
          </w:p>
        </w:tc>
        <w:tc>
          <w:tcPr>
            <w:tcW w:w="1860" w:type="dxa"/>
            <w:vAlign w:val="bottom"/>
            <w:gridSpan w:val="2"/>
            <w:shd w:val="clear" w:color="auto" w:fill="E5FFFF"/>
          </w:tcPr>
          <w:p>
            <w:pPr>
              <w:jc w:val="right"/>
              <w:ind w:right="20"/>
              <w:spacing w:after="0"/>
              <w:rPr>
                <w:sz w:val="20"/>
                <w:szCs w:val="20"/>
                <w:color w:val="auto"/>
              </w:rPr>
            </w:pPr>
            <w:r>
              <w:rPr>
                <w:rFonts w:ascii="Arial" w:cs="Arial" w:eastAsia="Arial" w:hAnsi="Arial"/>
                <w:sz w:val="16"/>
                <w:szCs w:val="16"/>
                <w:color w:val="auto"/>
              </w:rPr>
              <w:t>2,629</w:t>
            </w:r>
          </w:p>
        </w:tc>
        <w:tc>
          <w:tcPr>
            <w:tcW w:w="10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00" w:type="dxa"/>
            <w:vAlign w:val="bottom"/>
          </w:tcPr>
          <w:p>
            <w:pPr>
              <w:spacing w:after="0"/>
              <w:rPr>
                <w:sz w:val="20"/>
                <w:szCs w:val="20"/>
                <w:color w:val="auto"/>
              </w:rPr>
            </w:pPr>
            <w:r>
              <w:rPr>
                <w:rFonts w:ascii="Arial" w:cs="Arial" w:eastAsia="Arial" w:hAnsi="Arial"/>
                <w:sz w:val="16"/>
                <w:szCs w:val="16"/>
                <w:color w:val="auto"/>
              </w:rPr>
              <w:t>Payments</w:t>
            </w:r>
          </w:p>
        </w:tc>
        <w:tc>
          <w:tcPr>
            <w:tcW w:w="1960" w:type="dxa"/>
            <w:vAlign w:val="bottom"/>
            <w:gridSpan w:val="3"/>
          </w:tcPr>
          <w:p>
            <w:pPr>
              <w:jc w:val="right"/>
              <w:ind w:right="60"/>
              <w:spacing w:after="0"/>
              <w:rPr>
                <w:sz w:val="20"/>
                <w:szCs w:val="20"/>
                <w:color w:val="auto"/>
              </w:rPr>
            </w:pPr>
            <w:r>
              <w:rPr>
                <w:rFonts w:ascii="Arial" w:cs="Arial" w:eastAsia="Arial" w:hAnsi="Arial"/>
                <w:sz w:val="16"/>
                <w:szCs w:val="16"/>
                <w:color w:val="auto"/>
              </w:rPr>
              <w:t>(5,008)</w:t>
            </w:r>
          </w:p>
        </w:tc>
        <w:tc>
          <w:tcPr>
            <w:tcW w:w="0" w:type="dxa"/>
            <w:vAlign w:val="bottom"/>
          </w:tcPr>
          <w:p>
            <w:pPr>
              <w:spacing w:after="0"/>
              <w:rPr>
                <w:sz w:val="1"/>
                <w:szCs w:val="1"/>
                <w:color w:val="auto"/>
              </w:rPr>
            </w:pPr>
          </w:p>
        </w:tc>
      </w:tr>
      <w:tr>
        <w:trPr>
          <w:trHeight w:val="196"/>
        </w:trPr>
        <w:tc>
          <w:tcPr>
            <w:tcW w:w="8800" w:type="dxa"/>
            <w:vAlign w:val="bottom"/>
            <w:tcBorders>
              <w:top w:val="single" w:sz="8" w:color="E5FFFF"/>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As of March 31, 2019</w:t>
            </w:r>
          </w:p>
        </w:tc>
        <w:tc>
          <w:tcPr>
            <w:tcW w:w="18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212,059</w:t>
            </w:r>
          </w:p>
        </w:tc>
        <w:tc>
          <w:tcPr>
            <w:tcW w:w="20" w:type="dxa"/>
            <w:vAlign w:val="bottom"/>
            <w:tcBorders>
              <w:top w:val="single" w:sz="8" w:color="E5FFFF"/>
              <w:bottom w:val="single" w:sz="8" w:color="E5FFFF"/>
            </w:tcBorders>
            <w:shd w:val="clear" w:color="auto" w:fill="E5FFFF"/>
          </w:tcPr>
          <w:p>
            <w:pPr>
              <w:spacing w:after="0"/>
              <w:rPr>
                <w:sz w:val="17"/>
                <w:szCs w:val="17"/>
                <w:color w:val="auto"/>
              </w:rPr>
            </w:pPr>
          </w:p>
        </w:tc>
        <w:tc>
          <w:tcPr>
            <w:tcW w:w="100" w:type="dxa"/>
            <w:vAlign w:val="bottom"/>
            <w:tcBorders>
              <w:top w:val="single" w:sz="8" w:color="E5FFFF"/>
              <w:bottom w:val="single" w:sz="8" w:color="E5FFFF"/>
            </w:tcBorders>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0" w:type="dxa"/>
            <w:vAlign w:val="bottom"/>
            <w:vMerge w:val="restart"/>
          </w:tcPr>
          <w:p>
            <w:pPr>
              <w:spacing w:after="0"/>
              <w:rPr>
                <w:sz w:val="20"/>
                <w:szCs w:val="20"/>
                <w:color w:val="auto"/>
              </w:rPr>
            </w:pPr>
            <w:r>
              <w:rPr>
                <w:rFonts w:ascii="Arial" w:cs="Arial" w:eastAsia="Arial" w:hAnsi="Arial"/>
                <w:sz w:val="16"/>
                <w:szCs w:val="16"/>
                <w:color w:val="auto"/>
              </w:rPr>
              <w:t>Lease liability, current portion</w:t>
            </w:r>
          </w:p>
        </w:tc>
        <w:tc>
          <w:tcPr>
            <w:tcW w:w="18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800" w:type="dxa"/>
            <w:vAlign w:val="bottom"/>
            <w:vMerge w:val="continue"/>
          </w:tcPr>
          <w:p>
            <w:pPr>
              <w:spacing w:after="0"/>
              <w:rPr>
                <w:sz w:val="15"/>
                <w:szCs w:val="15"/>
                <w:color w:val="auto"/>
              </w:rPr>
            </w:pPr>
          </w:p>
        </w:tc>
        <w:tc>
          <w:tcPr>
            <w:tcW w:w="1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8,959</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800" w:type="dxa"/>
            <w:vAlign w:val="bottom"/>
            <w:shd w:val="clear" w:color="auto" w:fill="E5FFFF"/>
          </w:tcPr>
          <w:p>
            <w:pPr>
              <w:spacing w:after="0"/>
              <w:rPr>
                <w:sz w:val="20"/>
                <w:szCs w:val="20"/>
                <w:color w:val="auto"/>
              </w:rPr>
            </w:pPr>
            <w:r>
              <w:rPr>
                <w:rFonts w:ascii="Arial" w:cs="Arial" w:eastAsia="Arial" w:hAnsi="Arial"/>
                <w:sz w:val="16"/>
                <w:szCs w:val="16"/>
                <w:color w:val="auto"/>
              </w:rPr>
              <w:t>Lease liability, non-current portion</w:t>
            </w:r>
          </w:p>
        </w:tc>
        <w:tc>
          <w:tcPr>
            <w:tcW w:w="1860" w:type="dxa"/>
            <w:vAlign w:val="bottom"/>
            <w:gridSpan w:val="2"/>
            <w:shd w:val="clear" w:color="auto" w:fill="E5FFFF"/>
          </w:tcPr>
          <w:p>
            <w:pPr>
              <w:jc w:val="right"/>
              <w:ind w:right="20"/>
              <w:spacing w:after="0"/>
              <w:rPr>
                <w:sz w:val="20"/>
                <w:szCs w:val="20"/>
                <w:color w:val="auto"/>
              </w:rPr>
            </w:pPr>
            <w:r>
              <w:rPr>
                <w:rFonts w:ascii="Arial" w:cs="Arial" w:eastAsia="Arial" w:hAnsi="Arial"/>
                <w:sz w:val="16"/>
                <w:szCs w:val="16"/>
                <w:color w:val="auto"/>
              </w:rPr>
              <w:t>203,100</w:t>
            </w:r>
          </w:p>
        </w:tc>
        <w:tc>
          <w:tcPr>
            <w:tcW w:w="10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0" w:type="dxa"/>
            <w:vAlign w:val="bottom"/>
          </w:tcPr>
          <w:p>
            <w:pPr>
              <w:spacing w:after="0"/>
              <w:rPr>
                <w:sz w:val="20"/>
                <w:szCs w:val="20"/>
                <w:color w:val="auto"/>
              </w:rPr>
            </w:pPr>
            <w:r>
              <w:rPr>
                <w:rFonts w:ascii="Arial" w:cs="Arial" w:eastAsia="Arial" w:hAnsi="Arial"/>
                <w:sz w:val="16"/>
                <w:szCs w:val="16"/>
                <w:b w:val="1"/>
                <w:bCs w:val="1"/>
                <w:color w:val="auto"/>
              </w:rPr>
              <w:t>Total</w:t>
            </w:r>
          </w:p>
        </w:tc>
        <w:tc>
          <w:tcPr>
            <w:tcW w:w="1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212,059</w:t>
            </w:r>
          </w:p>
        </w:tc>
        <w:tc>
          <w:tcPr>
            <w:tcW w:w="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right="320" w:firstLine="383"/>
        <w:spacing w:after="0" w:line="293" w:lineRule="auto"/>
        <w:rPr>
          <w:sz w:val="20"/>
          <w:szCs w:val="20"/>
          <w:color w:val="auto"/>
        </w:rPr>
      </w:pPr>
      <w:r>
        <w:rPr>
          <w:rFonts w:ascii="Arial" w:cs="Arial" w:eastAsia="Arial" w:hAnsi="Arial"/>
          <w:sz w:val="16"/>
          <w:szCs w:val="16"/>
          <w:color w:val="auto"/>
        </w:rPr>
        <w:t>An amount of $31 has been recognized in the unaudited condensed consolidated statement of profit or loss for the quarter ending March 31, 2019, which represents the lease expense incurred for low value leases not included in the measurement of the right-of-use assets and the lease liability.</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00" w:type="dxa"/>
            <w:vAlign w:val="bottom"/>
          </w:tcPr>
          <w:p>
            <w:pPr>
              <w:spacing w:after="0"/>
              <w:rPr>
                <w:sz w:val="20"/>
                <w:szCs w:val="20"/>
                <w:color w:val="auto"/>
              </w:rPr>
            </w:pPr>
            <w:r>
              <w:rPr>
                <w:rFonts w:ascii="Arial" w:cs="Arial" w:eastAsia="Arial" w:hAnsi="Arial"/>
                <w:sz w:val="16"/>
                <w:szCs w:val="16"/>
                <w:b w:val="1"/>
                <w:bCs w:val="1"/>
                <w:color w:val="auto"/>
              </w:rPr>
              <w:t>7. Borrowings</w:t>
            </w:r>
          </w:p>
        </w:tc>
        <w:tc>
          <w:tcPr>
            <w:tcW w:w="1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18"/>
        </w:trPr>
        <w:tc>
          <w:tcPr>
            <w:tcW w:w="7600" w:type="dxa"/>
            <w:vAlign w:val="bottom"/>
          </w:tcPr>
          <w:p>
            <w:pPr>
              <w:ind w:left="440"/>
              <w:spacing w:after="0"/>
              <w:rPr>
                <w:sz w:val="20"/>
                <w:szCs w:val="20"/>
                <w:color w:val="auto"/>
              </w:rPr>
            </w:pPr>
            <w:r>
              <w:rPr>
                <w:rFonts w:ascii="Arial" w:cs="Arial" w:eastAsia="Arial" w:hAnsi="Arial"/>
                <w:sz w:val="16"/>
                <w:szCs w:val="16"/>
                <w:color w:val="auto"/>
              </w:rPr>
              <w:t>An analysis of the borrowings is as follows:</w:t>
            </w:r>
          </w:p>
        </w:tc>
        <w:tc>
          <w:tcPr>
            <w:tcW w:w="1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2"/>
        </w:trPr>
        <w:tc>
          <w:tcPr>
            <w:tcW w:w="7600" w:type="dxa"/>
            <w:vAlign w:val="bottom"/>
          </w:tcPr>
          <w:p>
            <w:pPr>
              <w:spacing w:after="0"/>
              <w:rPr>
                <w:sz w:val="24"/>
                <w:szCs w:val="24"/>
                <w:color w:val="auto"/>
              </w:rPr>
            </w:pPr>
          </w:p>
        </w:tc>
        <w:tc>
          <w:tcPr>
            <w:tcW w:w="2120" w:type="dxa"/>
            <w:vAlign w:val="bottom"/>
            <w:gridSpan w:val="2"/>
          </w:tcPr>
          <w:p>
            <w:pPr>
              <w:jc w:val="right"/>
              <w:ind w:right="540"/>
              <w:spacing w:after="0"/>
              <w:rPr>
                <w:sz w:val="20"/>
                <w:szCs w:val="20"/>
                <w:color w:val="auto"/>
              </w:rPr>
            </w:pPr>
            <w:r>
              <w:rPr>
                <w:rFonts w:ascii="Arial" w:cs="Arial" w:eastAsia="Arial" w:hAnsi="Arial"/>
                <w:sz w:val="16"/>
                <w:szCs w:val="16"/>
                <w:b w:val="1"/>
                <w:bCs w:val="1"/>
                <w:color w:val="auto"/>
              </w:rPr>
              <w:t>December 31, 2018</w:t>
            </w:r>
          </w:p>
        </w:tc>
        <w:tc>
          <w:tcPr>
            <w:tcW w:w="184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rPr>
              <w:t>March 31, 2019</w:t>
            </w:r>
          </w:p>
        </w:tc>
      </w:tr>
      <w:tr>
        <w:trPr>
          <w:trHeight w:val="199"/>
        </w:trPr>
        <w:tc>
          <w:tcPr>
            <w:tcW w:w="760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Amounts due within one year</w:t>
            </w:r>
          </w:p>
        </w:tc>
        <w:tc>
          <w:tcPr>
            <w:tcW w:w="184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531,209</w:t>
            </w:r>
          </w:p>
        </w:tc>
        <w:tc>
          <w:tcPr>
            <w:tcW w:w="280" w:type="dxa"/>
            <w:vAlign w:val="bottom"/>
            <w:tcBorders>
              <w:top w:val="single" w:sz="8" w:color="E5FFFF"/>
            </w:tcBorders>
            <w:shd w:val="clear" w:color="auto" w:fill="E5FFFF"/>
          </w:tcPr>
          <w:p>
            <w:pPr>
              <w:spacing w:after="0"/>
              <w:rPr>
                <w:sz w:val="17"/>
                <w:szCs w:val="17"/>
                <w:color w:val="auto"/>
              </w:rPr>
            </w:pPr>
          </w:p>
        </w:tc>
        <w:tc>
          <w:tcPr>
            <w:tcW w:w="174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182,954</w:t>
            </w:r>
          </w:p>
        </w:tc>
        <w:tc>
          <w:tcPr>
            <w:tcW w:w="100" w:type="dxa"/>
            <w:vAlign w:val="bottom"/>
            <w:tcBorders>
              <w:top w:val="single" w:sz="8" w:color="E5FFFF"/>
            </w:tcBorders>
            <w:shd w:val="clear" w:color="auto" w:fill="E5FFFF"/>
          </w:tcPr>
          <w:p>
            <w:pPr>
              <w:spacing w:after="0"/>
              <w:rPr>
                <w:sz w:val="17"/>
                <w:szCs w:val="17"/>
                <w:color w:val="auto"/>
              </w:rPr>
            </w:pPr>
          </w:p>
        </w:tc>
      </w:tr>
      <w:tr>
        <w:trPr>
          <w:trHeight w:val="203"/>
        </w:trPr>
        <w:tc>
          <w:tcPr>
            <w:tcW w:w="7600" w:type="dxa"/>
            <w:vAlign w:val="bottom"/>
          </w:tcPr>
          <w:p>
            <w:pPr>
              <w:spacing w:after="0"/>
              <w:rPr>
                <w:sz w:val="20"/>
                <w:szCs w:val="20"/>
                <w:color w:val="auto"/>
              </w:rPr>
            </w:pPr>
            <w:r>
              <w:rPr>
                <w:rFonts w:ascii="Arial" w:cs="Arial" w:eastAsia="Arial" w:hAnsi="Arial"/>
                <w:sz w:val="16"/>
                <w:szCs w:val="16"/>
                <w:color w:val="auto"/>
              </w:rPr>
              <w:t>Less: unamortized deferred loan/bond issuance costs</w:t>
            </w:r>
          </w:p>
        </w:tc>
        <w:tc>
          <w:tcPr>
            <w:tcW w:w="2120" w:type="dxa"/>
            <w:vAlign w:val="bottom"/>
            <w:gridSpan w:val="2"/>
          </w:tcPr>
          <w:p>
            <w:pPr>
              <w:jc w:val="right"/>
              <w:ind w:right="220"/>
              <w:spacing w:after="0"/>
              <w:rPr>
                <w:sz w:val="20"/>
                <w:szCs w:val="20"/>
                <w:color w:val="auto"/>
              </w:rPr>
            </w:pPr>
            <w:r>
              <w:rPr>
                <w:rFonts w:ascii="Arial" w:cs="Arial" w:eastAsia="Arial" w:hAnsi="Arial"/>
                <w:sz w:val="16"/>
                <w:szCs w:val="16"/>
                <w:color w:val="auto"/>
              </w:rPr>
              <w:t>(10,659)</w:t>
            </w:r>
          </w:p>
        </w:tc>
        <w:tc>
          <w:tcPr>
            <w:tcW w:w="1840" w:type="dxa"/>
            <w:vAlign w:val="bottom"/>
            <w:gridSpan w:val="2"/>
          </w:tcPr>
          <w:p>
            <w:pPr>
              <w:jc w:val="right"/>
              <w:ind w:right="40"/>
              <w:spacing w:after="0"/>
              <w:rPr>
                <w:sz w:val="20"/>
                <w:szCs w:val="20"/>
                <w:color w:val="auto"/>
              </w:rPr>
            </w:pPr>
            <w:r>
              <w:rPr>
                <w:rFonts w:ascii="Arial" w:cs="Arial" w:eastAsia="Arial" w:hAnsi="Arial"/>
                <w:sz w:val="16"/>
                <w:szCs w:val="16"/>
                <w:color w:val="auto"/>
              </w:rPr>
              <w:t>(10,268)</w:t>
            </w:r>
          </w:p>
        </w:tc>
      </w:tr>
      <w:tr>
        <w:trPr>
          <w:trHeight w:val="196"/>
        </w:trPr>
        <w:tc>
          <w:tcPr>
            <w:tcW w:w="760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Borrowings, current portion</w:t>
            </w:r>
          </w:p>
        </w:tc>
        <w:tc>
          <w:tcPr>
            <w:tcW w:w="18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520,550</w:t>
            </w:r>
          </w:p>
        </w:tc>
        <w:tc>
          <w:tcPr>
            <w:tcW w:w="280" w:type="dxa"/>
            <w:vAlign w:val="bottom"/>
            <w:tcBorders>
              <w:top w:val="single" w:sz="8" w:color="E5FFFF"/>
            </w:tcBorders>
            <w:shd w:val="clear" w:color="auto" w:fill="E5FFFF"/>
          </w:tcPr>
          <w:p>
            <w:pPr>
              <w:spacing w:after="0"/>
              <w:rPr>
                <w:sz w:val="17"/>
                <w:szCs w:val="17"/>
                <w:color w:val="auto"/>
              </w:rPr>
            </w:pPr>
          </w:p>
        </w:tc>
        <w:tc>
          <w:tcPr>
            <w:tcW w:w="17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172,686</w:t>
            </w:r>
          </w:p>
        </w:tc>
        <w:tc>
          <w:tcPr>
            <w:tcW w:w="100" w:type="dxa"/>
            <w:vAlign w:val="bottom"/>
            <w:tcBorders>
              <w:top w:val="single" w:sz="8" w:color="E5FFFF"/>
            </w:tcBorders>
            <w:shd w:val="clear" w:color="auto" w:fill="E5FFFF"/>
          </w:tcPr>
          <w:p>
            <w:pPr>
              <w:spacing w:after="0"/>
              <w:rPr>
                <w:sz w:val="17"/>
                <w:szCs w:val="17"/>
                <w:color w:val="auto"/>
              </w:rPr>
            </w:pPr>
          </w:p>
        </w:tc>
      </w:tr>
      <w:tr>
        <w:trPr>
          <w:trHeight w:val="196"/>
        </w:trPr>
        <w:tc>
          <w:tcPr>
            <w:tcW w:w="7600" w:type="dxa"/>
            <w:vAlign w:val="bottom"/>
          </w:tcPr>
          <w:p>
            <w:pPr>
              <w:spacing w:after="0"/>
              <w:rPr>
                <w:sz w:val="20"/>
                <w:szCs w:val="20"/>
                <w:color w:val="auto"/>
              </w:rPr>
            </w:pPr>
            <w:r>
              <w:rPr>
                <w:rFonts w:ascii="Arial" w:cs="Arial" w:eastAsia="Arial" w:hAnsi="Arial"/>
                <w:sz w:val="16"/>
                <w:szCs w:val="16"/>
                <w:color w:val="auto"/>
              </w:rPr>
              <w:t>Amounts due after one year</w:t>
            </w:r>
          </w:p>
        </w:tc>
        <w:tc>
          <w:tcPr>
            <w:tcW w:w="1840" w:type="dxa"/>
            <w:vAlign w:val="bottom"/>
          </w:tcPr>
          <w:p>
            <w:pPr>
              <w:jc w:val="right"/>
              <w:spacing w:after="0"/>
              <w:rPr>
                <w:sz w:val="20"/>
                <w:szCs w:val="20"/>
                <w:color w:val="auto"/>
              </w:rPr>
            </w:pPr>
            <w:r>
              <w:rPr>
                <w:rFonts w:ascii="Arial" w:cs="Arial" w:eastAsia="Arial" w:hAnsi="Arial"/>
                <w:sz w:val="16"/>
                <w:szCs w:val="16"/>
                <w:color w:val="auto"/>
              </w:rPr>
              <w:t>2,344,389</w:t>
            </w:r>
          </w:p>
        </w:tc>
        <w:tc>
          <w:tcPr>
            <w:tcW w:w="28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2,792,945</w:t>
            </w:r>
          </w:p>
        </w:tc>
        <w:tc>
          <w:tcPr>
            <w:tcW w:w="100" w:type="dxa"/>
            <w:vAlign w:val="bottom"/>
          </w:tcPr>
          <w:p>
            <w:pPr>
              <w:spacing w:after="0"/>
              <w:rPr>
                <w:sz w:val="17"/>
                <w:szCs w:val="17"/>
                <w:color w:val="auto"/>
              </w:rPr>
            </w:pPr>
          </w:p>
        </w:tc>
      </w:tr>
      <w:tr>
        <w:trPr>
          <w:trHeight w:val="203"/>
        </w:trPr>
        <w:tc>
          <w:tcPr>
            <w:tcW w:w="7600" w:type="dxa"/>
            <w:vAlign w:val="bottom"/>
            <w:shd w:val="clear" w:color="auto" w:fill="E5FFFF"/>
          </w:tcPr>
          <w:p>
            <w:pPr>
              <w:spacing w:after="0"/>
              <w:rPr>
                <w:sz w:val="20"/>
                <w:szCs w:val="20"/>
                <w:color w:val="auto"/>
              </w:rPr>
            </w:pPr>
            <w:r>
              <w:rPr>
                <w:rFonts w:ascii="Arial" w:cs="Arial" w:eastAsia="Arial" w:hAnsi="Arial"/>
                <w:sz w:val="16"/>
                <w:szCs w:val="16"/>
                <w:color w:val="auto"/>
              </w:rPr>
              <w:t>Less: unamortized deferred loan/bond issuance costs</w:t>
            </w:r>
          </w:p>
        </w:tc>
        <w:tc>
          <w:tcPr>
            <w:tcW w:w="212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(36,480)</w:t>
            </w:r>
          </w:p>
        </w:tc>
        <w:tc>
          <w:tcPr>
            <w:tcW w:w="1840" w:type="dxa"/>
            <w:vAlign w:val="bottom"/>
            <w:gridSpan w:val="2"/>
            <w:shd w:val="clear" w:color="auto" w:fill="E5FFFF"/>
          </w:tcPr>
          <w:p>
            <w:pPr>
              <w:jc w:val="right"/>
              <w:ind w:right="40"/>
              <w:spacing w:after="0"/>
              <w:rPr>
                <w:sz w:val="20"/>
                <w:szCs w:val="20"/>
                <w:color w:val="auto"/>
              </w:rPr>
            </w:pPr>
            <w:r>
              <w:rPr>
                <w:rFonts w:ascii="Arial" w:cs="Arial" w:eastAsia="Arial" w:hAnsi="Arial"/>
                <w:sz w:val="16"/>
                <w:szCs w:val="16"/>
                <w:color w:val="auto"/>
              </w:rPr>
              <w:t>(44,910)</w:t>
            </w:r>
          </w:p>
        </w:tc>
      </w:tr>
      <w:tr>
        <w:trPr>
          <w:trHeight w:val="196"/>
        </w:trPr>
        <w:tc>
          <w:tcPr>
            <w:tcW w:w="760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Borrowings, non-current portion</w:t>
            </w:r>
          </w:p>
        </w:tc>
        <w:tc>
          <w:tcPr>
            <w:tcW w:w="1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2,307,909</w:t>
            </w:r>
          </w:p>
        </w:tc>
        <w:tc>
          <w:tcPr>
            <w:tcW w:w="280" w:type="dxa"/>
            <w:vAlign w:val="bottom"/>
            <w:tcBorders>
              <w:bottom w:val="single" w:sz="8" w:color="E5FFFF"/>
            </w:tcBorders>
          </w:tcPr>
          <w:p>
            <w:pPr>
              <w:spacing w:after="0"/>
              <w:rPr>
                <w:sz w:val="17"/>
                <w:szCs w:val="17"/>
                <w:color w:val="auto"/>
              </w:rPr>
            </w:pP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2,748,035</w:t>
            </w:r>
          </w:p>
        </w:tc>
        <w:tc>
          <w:tcPr>
            <w:tcW w:w="100" w:type="dxa"/>
            <w:vAlign w:val="bottom"/>
            <w:tcBorders>
              <w:bottom w:val="single" w:sz="8" w:color="E5FFFF"/>
            </w:tcBorders>
          </w:tcPr>
          <w:p>
            <w:pPr>
              <w:spacing w:after="0"/>
              <w:rPr>
                <w:sz w:val="17"/>
                <w:szCs w:val="17"/>
                <w:color w:val="auto"/>
              </w:rPr>
            </w:pPr>
          </w:p>
        </w:tc>
      </w:tr>
      <w:tr>
        <w:trPr>
          <w:trHeight w:val="196"/>
        </w:trPr>
        <w:tc>
          <w:tcPr>
            <w:tcW w:w="760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Total</w:t>
            </w:r>
          </w:p>
        </w:tc>
        <w:tc>
          <w:tcPr>
            <w:tcW w:w="18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2,828,459</w:t>
            </w:r>
          </w:p>
        </w:tc>
        <w:tc>
          <w:tcPr>
            <w:tcW w:w="280" w:type="dxa"/>
            <w:vAlign w:val="bottom"/>
            <w:tcBorders>
              <w:bottom w:val="single" w:sz="8" w:color="E5FFFF"/>
            </w:tcBorders>
            <w:shd w:val="clear" w:color="auto" w:fill="E5FFFF"/>
          </w:tcPr>
          <w:p>
            <w:pPr>
              <w:spacing w:after="0"/>
              <w:rPr>
                <w:sz w:val="17"/>
                <w:szCs w:val="17"/>
                <w:color w:val="auto"/>
              </w:rPr>
            </w:pPr>
          </w:p>
        </w:tc>
        <w:tc>
          <w:tcPr>
            <w:tcW w:w="17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2,920,721</w:t>
            </w:r>
          </w:p>
        </w:tc>
        <w:tc>
          <w:tcPr>
            <w:tcW w:w="100" w:type="dxa"/>
            <w:vAlign w:val="bottom"/>
            <w:tcBorders>
              <w:bottom w:val="single" w:sz="8" w:color="E5FFFF"/>
            </w:tcBorders>
            <w:shd w:val="clear" w:color="auto" w:fill="E5FFFF"/>
          </w:tcPr>
          <w:p>
            <w:pPr>
              <w:spacing w:after="0"/>
              <w:rPr>
                <w:sz w:val="17"/>
                <w:szCs w:val="17"/>
                <w:color w:val="auto"/>
              </w:rPr>
            </w:pPr>
          </w:p>
        </w:tc>
      </w:tr>
      <w:tr>
        <w:trPr>
          <w:trHeight w:val="20"/>
        </w:trPr>
        <w:tc>
          <w:tcPr>
            <w:tcW w:w="760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Bank Loans</w:t>
      </w:r>
    </w:p>
    <w:p>
      <w:pPr>
        <w:spacing w:after="0" w:line="235" w:lineRule="exact"/>
        <w:rPr>
          <w:sz w:val="20"/>
          <w:szCs w:val="20"/>
          <w:color w:val="auto"/>
        </w:rPr>
      </w:pPr>
    </w:p>
    <w:p>
      <w:pPr>
        <w:ind w:right="80" w:firstLine="383"/>
        <w:spacing w:after="0" w:line="293" w:lineRule="auto"/>
        <w:rPr>
          <w:sz w:val="20"/>
          <w:szCs w:val="20"/>
          <w:color w:val="auto"/>
        </w:rPr>
      </w:pPr>
      <w:r>
        <w:rPr>
          <w:rFonts w:ascii="Arial" w:cs="Arial" w:eastAsia="Arial" w:hAnsi="Arial"/>
          <w:sz w:val="16"/>
          <w:szCs w:val="16"/>
          <w:color w:val="auto"/>
        </w:rPr>
        <w:t>The main terms of the Group’s loan facilities in existence as of December 31, 2018 have been disclosed in the annual audited consolidated financial statements for the year ended December 31, 2018. Refer to Note 13 “Borrowings”.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35901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359015" cy="29845"/>
                    </a:xfrm>
                    <a:prstGeom prst="rect">
                      <a:avLst/>
                    </a:prstGeom>
                    <a:noFill/>
                  </pic:spPr>
                </pic:pic>
              </a:graphicData>
            </a:graphic>
          </wp:anchor>
        </w:drawing>
      </w:r>
    </w:p>
    <w:p>
      <w:pPr>
        <w:sectPr>
          <w:pgSz w:w="11900" w:h="16838" w:orient="portrait"/>
          <w:cols w:equalWidth="0" w:num="1">
            <w:col w:w="11560"/>
          </w:cols>
          <w:pgMar w:left="160" w:top="266" w:right="179" w:bottom="1440" w:gutter="0" w:footer="0" w:header="0"/>
        </w:sectPr>
      </w:pPr>
    </w:p>
    <w:bookmarkStart w:id="35" w:name="page36"/>
    <w:bookmarkEnd w:id="35"/>
    <w:p>
      <w:pPr>
        <w:ind w:right="740" w:firstLine="383"/>
        <w:spacing w:after="0" w:line="293" w:lineRule="auto"/>
        <w:rPr>
          <w:sz w:val="20"/>
          <w:szCs w:val="20"/>
          <w:color w:val="auto"/>
        </w:rPr>
      </w:pPr>
      <w:r>
        <w:rPr>
          <w:rFonts w:ascii="Arial" w:cs="Arial" w:eastAsia="Arial" w:hAnsi="Arial"/>
          <w:sz w:val="16"/>
          <w:szCs w:val="16"/>
          <w:color w:val="auto"/>
        </w:rPr>
        <w:t xml:space="preserve">During the three months ended March 31, 2019, the Group drew down $165,805 to partially finance the delivery of the </w:t>
      </w:r>
      <w:r>
        <w:rPr>
          <w:rFonts w:ascii="Arial" w:cs="Arial" w:eastAsia="Arial" w:hAnsi="Arial"/>
          <w:sz w:val="16"/>
          <w:szCs w:val="16"/>
          <w:i w:val="1"/>
          <w:iCs w:val="1"/>
          <w:color w:val="auto"/>
        </w:rPr>
        <w:t>GasLog Gladstone</w:t>
      </w:r>
      <w:r>
        <w:rPr>
          <w:rFonts w:ascii="Arial" w:cs="Arial" w:eastAsia="Arial" w:hAnsi="Arial"/>
          <w:sz w:val="16"/>
          <w:szCs w:val="16"/>
          <w:color w:val="auto"/>
        </w:rPr>
        <w:t xml:space="preserve"> and repaid $71,833 in accordance with the repayment terms under its loan facilities.</w:t>
      </w:r>
    </w:p>
    <w:p>
      <w:pPr>
        <w:spacing w:after="0" w:line="172" w:lineRule="exact"/>
        <w:rPr>
          <w:sz w:val="20"/>
          <w:szCs w:val="20"/>
          <w:color w:val="auto"/>
        </w:rPr>
      </w:pPr>
    </w:p>
    <w:p>
      <w:pPr>
        <w:ind w:firstLine="405"/>
        <w:spacing w:after="0" w:line="315" w:lineRule="auto"/>
        <w:rPr>
          <w:sz w:val="20"/>
          <w:szCs w:val="20"/>
          <w:color w:val="auto"/>
        </w:rPr>
      </w:pPr>
      <w:r>
        <w:rPr>
          <w:rFonts w:ascii="Arial" w:cs="Arial" w:eastAsia="Arial" w:hAnsi="Arial"/>
          <w:sz w:val="14"/>
          <w:szCs w:val="14"/>
          <w:color w:val="auto"/>
        </w:rPr>
        <w:t xml:space="preserve">In addition, on February 20, 2019, GAS-three Ltd., GAS-four Ltd., GAS-five Ltd., GAS-sixteen Ltd., GAS-seventeen Ltd., GasLog Partners and GasLog Partners Holdings LLC entered into a loan agreement with Credit Suisse AG, Nordea Bank Abp, filial i Norge (“Nordea”) and Iyo Bank Ltd., Singapore Branch, each an original lender and Nordea acting as security agent and trustee for and on behalf of the other finance parties mentioned above, for a credit facility for up to $450,000 (the “2019 Partnership Facility”) for the purpose of refinancing in full the existing facility agreement dated November 12, 2014, with Citibank N.A., London Branch, acting as security agent and trustee (the “Existing Partnership Facility”). Subsequently on the same date, the Development Bank of Japan, Inc. entered the facility as lender via transfer certificate. The vessels covered by the 2019 Partnership Facility are the </w:t>
      </w:r>
      <w:r>
        <w:rPr>
          <w:rFonts w:ascii="Arial" w:cs="Arial" w:eastAsia="Arial" w:hAnsi="Arial"/>
          <w:sz w:val="14"/>
          <w:szCs w:val="14"/>
          <w:i w:val="1"/>
          <w:iCs w:val="1"/>
          <w:color w:val="auto"/>
        </w:rPr>
        <w:t>GasLog Shanghai</w:t>
      </w:r>
      <w:r>
        <w:rPr>
          <w:rFonts w:ascii="Arial" w:cs="Arial" w:eastAsia="Arial" w:hAnsi="Arial"/>
          <w:sz w:val="14"/>
          <w:szCs w:val="14"/>
          <w:color w:val="auto"/>
        </w:rPr>
        <w:t xml:space="preserve">, the </w:t>
      </w:r>
      <w:r>
        <w:rPr>
          <w:rFonts w:ascii="Arial" w:cs="Arial" w:eastAsia="Arial" w:hAnsi="Arial"/>
          <w:sz w:val="14"/>
          <w:szCs w:val="14"/>
          <w:i w:val="1"/>
          <w:iCs w:val="1"/>
          <w:color w:val="auto"/>
        </w:rPr>
        <w:t>GasLog Santiago</w:t>
      </w:r>
      <w:r>
        <w:rPr>
          <w:rFonts w:ascii="Arial" w:cs="Arial" w:eastAsia="Arial" w:hAnsi="Arial"/>
          <w:sz w:val="14"/>
          <w:szCs w:val="14"/>
          <w:color w:val="auto"/>
        </w:rPr>
        <w:t xml:space="preserve">, the </w:t>
      </w:r>
      <w:r>
        <w:rPr>
          <w:rFonts w:ascii="Arial" w:cs="Arial" w:eastAsia="Arial" w:hAnsi="Arial"/>
          <w:sz w:val="14"/>
          <w:szCs w:val="14"/>
          <w:i w:val="1"/>
          <w:iCs w:val="1"/>
          <w:color w:val="auto"/>
        </w:rPr>
        <w:t>GasLog Sydney</w:t>
      </w:r>
      <w:r>
        <w:rPr>
          <w:rFonts w:ascii="Arial" w:cs="Arial" w:eastAsia="Arial" w:hAnsi="Arial"/>
          <w:sz w:val="14"/>
          <w:szCs w:val="14"/>
          <w:color w:val="auto"/>
        </w:rPr>
        <w:t xml:space="preserve">, the </w:t>
      </w:r>
      <w:r>
        <w:rPr>
          <w:rFonts w:ascii="Arial" w:cs="Arial" w:eastAsia="Arial" w:hAnsi="Arial"/>
          <w:sz w:val="14"/>
          <w:szCs w:val="14"/>
          <w:i w:val="1"/>
          <w:iCs w:val="1"/>
          <w:color w:val="auto"/>
        </w:rPr>
        <w:t>Methane Rita Andrea</w:t>
      </w:r>
      <w:r>
        <w:rPr>
          <w:rFonts w:ascii="Arial" w:cs="Arial" w:eastAsia="Arial" w:hAnsi="Arial"/>
          <w:sz w:val="14"/>
          <w:szCs w:val="14"/>
          <w:color w:val="auto"/>
        </w:rPr>
        <w:t xml:space="preserve"> and the </w:t>
      </w:r>
      <w:r>
        <w:rPr>
          <w:rFonts w:ascii="Arial" w:cs="Arial" w:eastAsia="Arial" w:hAnsi="Arial"/>
          <w:sz w:val="14"/>
          <w:szCs w:val="14"/>
          <w:i w:val="1"/>
          <w:iCs w:val="1"/>
          <w:color w:val="auto"/>
        </w:rPr>
        <w:t>Methane Jane Elizabeth</w:t>
      </w:r>
      <w:r>
        <w:rPr>
          <w:rFonts w:ascii="Arial" w:cs="Arial" w:eastAsia="Arial" w:hAnsi="Arial"/>
          <w:sz w:val="14"/>
          <w:szCs w:val="14"/>
          <w:color w:val="auto"/>
        </w:rPr>
        <w:t>.</w:t>
      </w:r>
    </w:p>
    <w:p>
      <w:pPr>
        <w:spacing w:after="0" w:line="163" w:lineRule="exact"/>
        <w:rPr>
          <w:sz w:val="20"/>
          <w:szCs w:val="20"/>
          <w:color w:val="auto"/>
        </w:rPr>
      </w:pPr>
    </w:p>
    <w:p>
      <w:pPr>
        <w:ind w:right="80" w:firstLine="405"/>
        <w:spacing w:after="0" w:line="273" w:lineRule="auto"/>
        <w:rPr>
          <w:sz w:val="20"/>
          <w:szCs w:val="20"/>
          <w:color w:val="auto"/>
        </w:rPr>
      </w:pPr>
      <w:r>
        <w:rPr>
          <w:rFonts w:ascii="Arial" w:cs="Arial" w:eastAsia="Arial" w:hAnsi="Arial"/>
          <w:sz w:val="16"/>
          <w:szCs w:val="16"/>
          <w:color w:val="auto"/>
        </w:rPr>
        <w:t>The agreement provides for an amortizing revolving credit facility which can be repaid and redrawn at any time, subject to the outstanding amount immediately after any drawdown not exceeding (i) 75% of the aggregate of the market values of all vessels under the agreement, or (ii) the total facility amount. The total facility amount reduces in 20 equal quarterly amounts of $7,357, with a final balloon amount of up to $302,860 together with the last quarterly reduction in February 2024. The credit facility bears interest at London Interbank Offered Rate (“LIBOR”) plus a margin.</w:t>
      </w:r>
    </w:p>
    <w:p>
      <w:pPr>
        <w:spacing w:after="0" w:line="189" w:lineRule="exact"/>
        <w:rPr>
          <w:sz w:val="20"/>
          <w:szCs w:val="20"/>
          <w:color w:val="auto"/>
        </w:rPr>
      </w:pPr>
    </w:p>
    <w:p>
      <w:pPr>
        <w:ind w:right="140" w:firstLine="405"/>
        <w:spacing w:after="0" w:line="335" w:lineRule="auto"/>
        <w:rPr>
          <w:sz w:val="20"/>
          <w:szCs w:val="20"/>
          <w:color w:val="auto"/>
        </w:rPr>
      </w:pPr>
      <w:r>
        <w:rPr>
          <w:rFonts w:ascii="Arial" w:cs="Arial" w:eastAsia="Arial" w:hAnsi="Arial"/>
          <w:sz w:val="14"/>
          <w:szCs w:val="14"/>
          <w:color w:val="auto"/>
        </w:rPr>
        <w:t xml:space="preserve">The obligations under the 2019 Partnership Facility are secured by a first priority mortgage over the vessels, a pledge of the share capital of the respective vessel-owning companies and a first priority assignment of earnings related to the vessels (excluding the </w:t>
      </w:r>
      <w:r>
        <w:rPr>
          <w:rFonts w:ascii="Arial" w:cs="Arial" w:eastAsia="Arial" w:hAnsi="Arial"/>
          <w:sz w:val="14"/>
          <w:szCs w:val="14"/>
          <w:i w:val="1"/>
          <w:iCs w:val="1"/>
          <w:color w:val="auto"/>
        </w:rPr>
        <w:t>GasLog Shanghai</w:t>
      </w:r>
      <w:r>
        <w:rPr>
          <w:rFonts w:ascii="Arial" w:cs="Arial" w:eastAsia="Arial" w:hAnsi="Arial"/>
          <w:sz w:val="14"/>
          <w:szCs w:val="14"/>
          <w:color w:val="auto"/>
        </w:rPr>
        <w:t xml:space="preserve"> which participates in the Cool Pool), including charter revenue, management revenue and any insurance and requisition compensation. The obligations under the facility are guaranteed by the Partnership and GasLog Partners Holdings LLC.</w:t>
      </w:r>
    </w:p>
    <w:p>
      <w:pPr>
        <w:spacing w:after="0" w:line="149" w:lineRule="exact"/>
        <w:rPr>
          <w:sz w:val="20"/>
          <w:szCs w:val="20"/>
          <w:color w:val="auto"/>
        </w:rPr>
      </w:pPr>
    </w:p>
    <w:p>
      <w:pPr>
        <w:ind w:right="440" w:firstLine="405"/>
        <w:spacing w:after="0" w:line="293" w:lineRule="auto"/>
        <w:rPr>
          <w:sz w:val="20"/>
          <w:szCs w:val="20"/>
          <w:color w:val="auto"/>
        </w:rPr>
      </w:pPr>
      <w:r>
        <w:rPr>
          <w:rFonts w:ascii="Arial" w:cs="Arial" w:eastAsia="Arial" w:hAnsi="Arial"/>
          <w:sz w:val="16"/>
          <w:szCs w:val="16"/>
          <w:color w:val="auto"/>
        </w:rPr>
        <w:t>The 2019 Partnership Facility is subject to specified financial covenants that apply to GasLog Partners on a consolidated basis. These financial covenants include the following:</w:t>
      </w:r>
    </w:p>
    <w:p>
      <w:pPr>
        <w:spacing w:after="0" w:line="185" w:lineRule="exact"/>
        <w:rPr>
          <w:sz w:val="20"/>
          <w:szCs w:val="20"/>
          <w:color w:val="auto"/>
        </w:rPr>
      </w:pPr>
    </w:p>
    <w:p>
      <w:pPr>
        <w:ind w:left="380" w:right="40" w:hanging="329"/>
        <w:spacing w:after="0" w:line="250" w:lineRule="auto"/>
        <w:tabs>
          <w:tab w:leader="none" w:pos="386" w:val="left"/>
        </w:tabs>
        <w:numPr>
          <w:ilvl w:val="0"/>
          <w:numId w:val="13"/>
        </w:numPr>
        <w:rPr>
          <w:rFonts w:ascii="Arial" w:cs="Arial" w:eastAsia="Arial" w:hAnsi="Arial"/>
          <w:sz w:val="18"/>
          <w:szCs w:val="18"/>
          <w:color w:val="auto"/>
        </w:rPr>
      </w:pPr>
      <w:r>
        <w:rPr>
          <w:rFonts w:ascii="Arial" w:cs="Arial" w:eastAsia="Arial" w:hAnsi="Arial"/>
          <w:sz w:val="16"/>
          <w:szCs w:val="16"/>
          <w:color w:val="auto"/>
        </w:rPr>
        <w:t>the aggregate amount of cash and cash equivalents, short-term investments and available undrawn facilities with remaining maturities of at least six months must be at least $45,000;</w:t>
      </w:r>
    </w:p>
    <w:p>
      <w:pPr>
        <w:spacing w:after="0" w:line="10" w:lineRule="exact"/>
        <w:rPr>
          <w:rFonts w:ascii="Arial" w:cs="Arial" w:eastAsia="Arial" w:hAnsi="Arial"/>
          <w:sz w:val="18"/>
          <w:szCs w:val="18"/>
          <w:color w:val="auto"/>
        </w:rPr>
      </w:pPr>
    </w:p>
    <w:p>
      <w:pPr>
        <w:ind w:left="380" w:hanging="329"/>
        <w:spacing w:after="0"/>
        <w:tabs>
          <w:tab w:leader="none" w:pos="380" w:val="left"/>
        </w:tabs>
        <w:numPr>
          <w:ilvl w:val="0"/>
          <w:numId w:val="13"/>
        </w:numPr>
        <w:rPr>
          <w:rFonts w:ascii="Arial" w:cs="Arial" w:eastAsia="Arial" w:hAnsi="Arial"/>
          <w:sz w:val="18"/>
          <w:szCs w:val="18"/>
          <w:color w:val="auto"/>
        </w:rPr>
      </w:pPr>
      <w:r>
        <w:rPr>
          <w:rFonts w:ascii="Arial" w:cs="Arial" w:eastAsia="Arial" w:hAnsi="Arial"/>
          <w:sz w:val="16"/>
          <w:szCs w:val="16"/>
          <w:color w:val="auto"/>
        </w:rPr>
        <w:t>total indebtedness divided by total assets must be less than 65.0%; and</w:t>
      </w:r>
    </w:p>
    <w:p>
      <w:pPr>
        <w:spacing w:after="0" w:line="9" w:lineRule="exact"/>
        <w:rPr>
          <w:rFonts w:ascii="Arial" w:cs="Arial" w:eastAsia="Arial" w:hAnsi="Arial"/>
          <w:sz w:val="18"/>
          <w:szCs w:val="18"/>
          <w:color w:val="auto"/>
        </w:rPr>
      </w:pPr>
    </w:p>
    <w:p>
      <w:pPr>
        <w:ind w:left="380" w:right="60" w:hanging="329"/>
        <w:spacing w:after="0" w:line="263" w:lineRule="auto"/>
        <w:tabs>
          <w:tab w:leader="none" w:pos="386" w:val="left"/>
        </w:tabs>
        <w:numPr>
          <w:ilvl w:val="0"/>
          <w:numId w:val="13"/>
        </w:numPr>
        <w:rPr>
          <w:rFonts w:ascii="Arial" w:cs="Arial" w:eastAsia="Arial" w:hAnsi="Arial"/>
          <w:sz w:val="18"/>
          <w:szCs w:val="18"/>
          <w:color w:val="auto"/>
        </w:rPr>
      </w:pPr>
      <w:r>
        <w:rPr>
          <w:rFonts w:ascii="Arial" w:cs="Arial" w:eastAsia="Arial" w:hAnsi="Arial"/>
          <w:sz w:val="16"/>
          <w:szCs w:val="16"/>
          <w:color w:val="auto"/>
        </w:rPr>
        <w:t>the Partnership is permitted to declare or pay any dividends or distributions, subject to no event of default having occurred or occurring as a consequence of the payment of such dividends or distributions.</w:t>
      </w:r>
    </w:p>
    <w:p>
      <w:pPr>
        <w:spacing w:after="0" w:line="193" w:lineRule="exact"/>
        <w:rPr>
          <w:sz w:val="20"/>
          <w:szCs w:val="20"/>
          <w:color w:val="auto"/>
        </w:rPr>
      </w:pPr>
    </w:p>
    <w:p>
      <w:pPr>
        <w:ind w:right="20" w:firstLine="405"/>
        <w:spacing w:after="0" w:line="289" w:lineRule="auto"/>
        <w:rPr>
          <w:sz w:val="20"/>
          <w:szCs w:val="20"/>
          <w:color w:val="auto"/>
        </w:rPr>
      </w:pPr>
      <w:r>
        <w:rPr>
          <w:rFonts w:ascii="Arial" w:cs="Arial" w:eastAsia="Arial" w:hAnsi="Arial"/>
          <w:sz w:val="15"/>
          <w:szCs w:val="15"/>
          <w:color w:val="auto"/>
        </w:rPr>
        <w:t>The 2019 Partnership Facility contains customary events of default, including non-payment of principal or interest, breach of covenants or material inaccuracy of representations, default under other material indebtedness and bankruptcy as well as an event of default in the event of the cancellation, rescission, frustration or withdrawal of a charter agreement prior to its scheduled expiration, if certain prepayment and security provisions are not met. In addition, the 2019 Partnership Facility contains covenants requiring us and certain of our subsidiaries to maintain the aggregate of (i) the market value, on a charter exclusive basis, of the mortgaged vessel or vessels and (ii) the market value of any additional security provided to the lenders, at a total value not less than 120.0% of the then-outstanding amount under the facility. If GasLog Partners fails to comply with these covenants and is not able to obtain covenant waivers or modifications, its lenders could require it to make prepayments or provide additional collateral sufficient to bring it into compliance with such covenants, and if it fails to do so its lenders could accelerate our indebtedness.</w:t>
      </w:r>
    </w:p>
    <w:p>
      <w:pPr>
        <w:spacing w:after="0" w:line="180" w:lineRule="exact"/>
        <w:rPr>
          <w:sz w:val="20"/>
          <w:szCs w:val="20"/>
          <w:color w:val="auto"/>
        </w:rPr>
      </w:pPr>
    </w:p>
    <w:p>
      <w:pPr>
        <w:ind w:right="180" w:firstLine="405"/>
        <w:spacing w:after="0" w:line="293" w:lineRule="auto"/>
        <w:rPr>
          <w:sz w:val="20"/>
          <w:szCs w:val="20"/>
          <w:color w:val="auto"/>
        </w:rPr>
      </w:pPr>
      <w:r>
        <w:rPr>
          <w:rFonts w:ascii="Arial" w:cs="Arial" w:eastAsia="Arial" w:hAnsi="Arial"/>
          <w:sz w:val="16"/>
          <w:szCs w:val="16"/>
          <w:color w:val="auto"/>
        </w:rPr>
        <w:t>The 2019 Partnership Facility also imposes certain restrictions relating to the Partnership, including restrictions that limit its ability to make any substantial change in the nature of its business or to the partnership structure without approval from the lenders.</w:t>
      </w:r>
    </w:p>
    <w:p>
      <w:pPr>
        <w:spacing w:after="0" w:line="172" w:lineRule="exact"/>
        <w:rPr>
          <w:sz w:val="20"/>
          <w:szCs w:val="20"/>
          <w:color w:val="auto"/>
        </w:rPr>
      </w:pPr>
    </w:p>
    <w:p>
      <w:pPr>
        <w:ind w:right="80" w:firstLine="405"/>
        <w:spacing w:after="0" w:line="278" w:lineRule="auto"/>
        <w:rPr>
          <w:sz w:val="20"/>
          <w:szCs w:val="20"/>
          <w:color w:val="auto"/>
        </w:rPr>
      </w:pPr>
      <w:r>
        <w:rPr>
          <w:rFonts w:ascii="Arial" w:cs="Arial" w:eastAsia="Arial" w:hAnsi="Arial"/>
          <w:sz w:val="16"/>
          <w:szCs w:val="16"/>
          <w:color w:val="auto"/>
        </w:rPr>
        <w:t>On March 6, 2019, the Partnership drew down $360,000 under the 2019 Partnership Facility, out of which $354,375 was used to prepay the outstanding debt of GAS-three Ltd., GAS-four Ltd., GAS-five Ltd., GAS-sixteen Ltd. and GAS-seventeen Ltd., which would have been due in November 2019. On March 7, 2019, the Existing Partnership Facility was terminated and the respective unamortized loan fees of $988 were written-off to profit or loss.</w:t>
      </w:r>
    </w:p>
    <w:p>
      <w:pPr>
        <w:spacing w:after="0" w:line="184" w:lineRule="exact"/>
        <w:rPr>
          <w:sz w:val="20"/>
          <w:szCs w:val="20"/>
          <w:color w:val="auto"/>
        </w:rPr>
      </w:pPr>
    </w:p>
    <w:p>
      <w:pPr>
        <w:ind w:right="200" w:firstLine="383"/>
        <w:spacing w:after="0" w:line="293" w:lineRule="auto"/>
        <w:rPr>
          <w:sz w:val="20"/>
          <w:szCs w:val="20"/>
          <w:color w:val="auto"/>
        </w:rPr>
      </w:pPr>
      <w:r>
        <w:rPr>
          <w:rFonts w:ascii="Arial" w:cs="Arial" w:eastAsia="Arial" w:hAnsi="Arial"/>
          <w:sz w:val="16"/>
          <w:szCs w:val="16"/>
          <w:color w:val="auto"/>
        </w:rPr>
        <w:t>The carrying amount of the Group’s bank debt recognized in the unaudited condensed consolidated financial statements approximates its fair value after adjusting for the unamortized loan/bond issuance costs.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Bonds</w:t>
      </w:r>
    </w:p>
    <w:p>
      <w:pPr>
        <w:spacing w:after="0" w:line="235" w:lineRule="exact"/>
        <w:rPr>
          <w:sz w:val="20"/>
          <w:szCs w:val="20"/>
          <w:color w:val="auto"/>
        </w:rPr>
      </w:pPr>
    </w:p>
    <w:p>
      <w:pPr>
        <w:ind w:right="80" w:firstLine="436"/>
        <w:spacing w:after="0" w:line="293" w:lineRule="auto"/>
        <w:rPr>
          <w:sz w:val="20"/>
          <w:szCs w:val="20"/>
          <w:color w:val="auto"/>
        </w:rPr>
      </w:pPr>
      <w:r>
        <w:rPr>
          <w:rFonts w:ascii="Arial" w:cs="Arial" w:eastAsia="Arial" w:hAnsi="Arial"/>
          <w:sz w:val="16"/>
          <w:szCs w:val="16"/>
          <w:color w:val="auto"/>
        </w:rPr>
        <w:t>The main terms of the Group’s bonds have been disclosed in the annual audited consolidated financial statements for the year ended December 31, 2018. Refer to Note 13 “Borrowings”.</w:t>
      </w:r>
    </w:p>
    <w:p>
      <w:pPr>
        <w:spacing w:after="0" w:line="172" w:lineRule="exact"/>
        <w:rPr>
          <w:sz w:val="20"/>
          <w:szCs w:val="20"/>
          <w:color w:val="auto"/>
        </w:rPr>
      </w:pPr>
    </w:p>
    <w:p>
      <w:pPr>
        <w:ind w:right="200" w:firstLine="436"/>
        <w:spacing w:after="0" w:line="278" w:lineRule="auto"/>
        <w:rPr>
          <w:sz w:val="20"/>
          <w:szCs w:val="20"/>
          <w:color w:val="auto"/>
        </w:rPr>
      </w:pPr>
      <w:r>
        <w:rPr>
          <w:rFonts w:ascii="Arial" w:cs="Arial" w:eastAsia="Arial" w:hAnsi="Arial"/>
          <w:sz w:val="16"/>
          <w:szCs w:val="16"/>
          <w:color w:val="auto"/>
        </w:rPr>
        <w:t>The carrying amount under the NOK bonds maturing in 2021 (the “NOK 2021 Bonds”), net of unamortized financing costs, as of March 31, 2019 is $86,026 (December 31, 2018: $85,231) while their fair value is $91,001 based on a USD/NOK exchange rate of 0.1158 as of March 31, 2019 (December 31, 2018: $91,664, based on a USD/NOK exchange rate of 0.1149).</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5"/>
          <w:szCs w:val="15"/>
          <w:color w:val="auto"/>
        </w:rPr>
        <w:t>The carrying amount under the 8.875% senior unsecured notes due in 2022, net of unamortized financing costs as of March 31, 2019 is $246,971 (December 31, 2018:</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$246,760).</w:t>
      </w:r>
    </w:p>
    <w:p>
      <w:pPr>
        <w:spacing w:after="0" w:line="231" w:lineRule="exact"/>
        <w:rPr>
          <w:sz w:val="20"/>
          <w:szCs w:val="20"/>
          <w:color w:val="auto"/>
        </w:rPr>
      </w:pPr>
    </w:p>
    <w:p>
      <w:pPr>
        <w:ind w:left="480"/>
        <w:spacing w:after="0"/>
        <w:rPr>
          <w:sz w:val="20"/>
          <w:szCs w:val="20"/>
          <w:color w:val="auto"/>
        </w:rPr>
      </w:pPr>
      <w:r>
        <w:rPr>
          <w:rFonts w:ascii="Arial" w:cs="Arial" w:eastAsia="Arial" w:hAnsi="Arial"/>
          <w:sz w:val="16"/>
          <w:szCs w:val="16"/>
          <w:color w:val="auto"/>
        </w:rPr>
        <w:t>The Group was in compliance with its financial covenants as of March 31, 2019.</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8. Related Party Transactions</w:t>
      </w:r>
    </w:p>
    <w:p>
      <w:pPr>
        <w:spacing w:after="0" w:line="239" w:lineRule="exact"/>
        <w:rPr>
          <w:sz w:val="20"/>
          <w:szCs w:val="20"/>
          <w:color w:val="auto"/>
        </w:rPr>
      </w:pPr>
    </w:p>
    <w:p>
      <w:pPr>
        <w:jc w:val="center"/>
        <w:ind w:right="420"/>
        <w:spacing w:after="0"/>
        <w:rPr>
          <w:sz w:val="20"/>
          <w:szCs w:val="20"/>
          <w:color w:val="auto"/>
        </w:rPr>
      </w:pPr>
      <w:r>
        <w:rPr>
          <w:rFonts w:ascii="Arial" w:cs="Arial" w:eastAsia="Arial" w:hAnsi="Arial"/>
          <w:sz w:val="15"/>
          <w:szCs w:val="15"/>
          <w:color w:val="auto"/>
        </w:rPr>
        <w:t>The Group has the following balances with related parties which have been included in the unaudited condensed consolidated statements of financial position:</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35901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359015" cy="29845"/>
                    </a:xfrm>
                    <a:prstGeom prst="rect">
                      <a:avLst/>
                    </a:prstGeom>
                    <a:noFill/>
                  </pic:spPr>
                </pic:pic>
              </a:graphicData>
            </a:graphic>
          </wp:anchor>
        </w:drawing>
      </w:r>
    </w:p>
    <w:p>
      <w:pPr>
        <w:sectPr>
          <w:pgSz w:w="11900" w:h="16838" w:orient="portrait"/>
          <w:cols w:equalWidth="0" w:num="1">
            <w:col w:w="11560"/>
          </w:cols>
          <w:pgMar w:left="160" w:top="266" w:right="17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06"/>
        </w:trPr>
        <w:tc>
          <w:tcPr>
            <w:tcW w:w="8400" w:type="dxa"/>
            <w:vAlign w:val="bottom"/>
          </w:tcPr>
          <w:p>
            <w:pPr>
              <w:spacing w:after="0"/>
              <w:rPr>
                <w:sz w:val="20"/>
                <w:szCs w:val="20"/>
                <w:color w:val="auto"/>
              </w:rPr>
            </w:pPr>
            <w:r>
              <w:rPr>
                <w:rFonts w:ascii="Arial" w:cs="Arial" w:eastAsia="Arial" w:hAnsi="Arial"/>
                <w:sz w:val="16"/>
                <w:szCs w:val="16"/>
                <w:b w:val="1"/>
                <w:bCs w:val="1"/>
                <w:i w:val="1"/>
                <w:iCs w:val="1"/>
                <w:color w:val="auto"/>
              </w:rPr>
              <w:t>Current Assets</w:t>
            </w:r>
          </w:p>
        </w:tc>
        <w:tc>
          <w:tcPr>
            <w:tcW w:w="1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8"/>
        </w:trPr>
        <w:tc>
          <w:tcPr>
            <w:tcW w:w="8400" w:type="dxa"/>
            <w:vAlign w:val="bottom"/>
          </w:tcPr>
          <w:p>
            <w:pPr>
              <w:spacing w:after="0"/>
              <w:rPr>
                <w:sz w:val="20"/>
                <w:szCs w:val="20"/>
                <w:color w:val="auto"/>
              </w:rPr>
            </w:pPr>
            <w:r>
              <w:rPr>
                <w:rFonts w:ascii="Arial" w:cs="Arial" w:eastAsia="Arial" w:hAnsi="Arial"/>
                <w:sz w:val="16"/>
                <w:szCs w:val="16"/>
                <w:b w:val="1"/>
                <w:bCs w:val="1"/>
                <w:i w:val="1"/>
                <w:iCs w:val="1"/>
                <w:color w:val="auto"/>
              </w:rPr>
              <w:t>Dividends receivable and other amounts due from related parties</w:t>
            </w:r>
          </w:p>
        </w:tc>
        <w:tc>
          <w:tcPr>
            <w:tcW w:w="1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8400" w:type="dxa"/>
            <w:vAlign w:val="bottom"/>
          </w:tcPr>
          <w:p>
            <w:pPr>
              <w:spacing w:after="0"/>
              <w:rPr>
                <w:sz w:val="24"/>
                <w:szCs w:val="24"/>
                <w:color w:val="auto"/>
              </w:rPr>
            </w:pPr>
          </w:p>
        </w:tc>
        <w:tc>
          <w:tcPr>
            <w:tcW w:w="16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December 31,</w:t>
            </w:r>
          </w:p>
        </w:tc>
        <w:tc>
          <w:tcPr>
            <w:tcW w:w="14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March 31,</w:t>
            </w:r>
          </w:p>
        </w:tc>
        <w:tc>
          <w:tcPr>
            <w:tcW w:w="0" w:type="dxa"/>
            <w:vAlign w:val="bottom"/>
          </w:tcPr>
          <w:p>
            <w:pPr>
              <w:spacing w:after="0"/>
              <w:rPr>
                <w:sz w:val="1"/>
                <w:szCs w:val="1"/>
                <w:color w:val="auto"/>
              </w:rPr>
            </w:pPr>
          </w:p>
        </w:tc>
      </w:tr>
      <w:tr>
        <w:trPr>
          <w:trHeight w:val="213"/>
        </w:trPr>
        <w:tc>
          <w:tcPr>
            <w:tcW w:w="8400" w:type="dxa"/>
            <w:vAlign w:val="bottom"/>
            <w:tcBorders>
              <w:bottom w:val="single" w:sz="8" w:color="E5FFFF"/>
            </w:tcBorders>
          </w:tcPr>
          <w:p>
            <w:pPr>
              <w:spacing w:after="0"/>
              <w:rPr>
                <w:sz w:val="18"/>
                <w:szCs w:val="18"/>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2018</w:t>
            </w:r>
          </w:p>
        </w:tc>
        <w:tc>
          <w:tcPr>
            <w:tcW w:w="280" w:type="dxa"/>
            <w:vAlign w:val="bottom"/>
            <w:tcBorders>
              <w:bottom w:val="single" w:sz="8" w:color="E5FFFF"/>
            </w:tcBorders>
          </w:tcPr>
          <w:p>
            <w:pPr>
              <w:spacing w:after="0"/>
              <w:rPr>
                <w:sz w:val="18"/>
                <w:szCs w:val="18"/>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2019</w:t>
            </w:r>
          </w:p>
        </w:tc>
        <w:tc>
          <w:tcPr>
            <w:tcW w:w="100" w:type="dxa"/>
            <w:vAlign w:val="bottom"/>
            <w:tcBorders>
              <w:bottom w:val="single" w:sz="8" w:color="E5FFFF"/>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8400" w:type="dxa"/>
            <w:vAlign w:val="bottom"/>
            <w:shd w:val="clear" w:color="auto" w:fill="E5FFFF"/>
          </w:tcPr>
          <w:p>
            <w:pPr>
              <w:spacing w:after="0"/>
              <w:rPr>
                <w:sz w:val="20"/>
                <w:szCs w:val="20"/>
                <w:color w:val="auto"/>
              </w:rPr>
            </w:pPr>
            <w:r>
              <w:rPr>
                <w:rFonts w:ascii="Arial" w:cs="Arial" w:eastAsia="Arial" w:hAnsi="Arial"/>
                <w:sz w:val="16"/>
                <w:szCs w:val="16"/>
                <w:color w:val="auto"/>
              </w:rPr>
              <w:t>Dividends receivable from associate</w:t>
            </w:r>
          </w:p>
        </w:tc>
        <w:tc>
          <w:tcPr>
            <w:tcW w:w="14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885</w:t>
            </w:r>
          </w:p>
        </w:tc>
        <w:tc>
          <w:tcPr>
            <w:tcW w:w="280" w:type="dxa"/>
            <w:vAlign w:val="bottom"/>
            <w:shd w:val="clear" w:color="auto" w:fill="E5FFFF"/>
          </w:tcPr>
          <w:p>
            <w:pPr>
              <w:spacing w:after="0"/>
              <w:rPr>
                <w:sz w:val="17"/>
                <w:szCs w:val="17"/>
                <w:color w:val="auto"/>
              </w:rPr>
            </w:pP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348</w:t>
            </w:r>
          </w:p>
        </w:tc>
        <w:tc>
          <w:tcPr>
            <w:tcW w:w="10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00" w:type="dxa"/>
            <w:vAlign w:val="bottom"/>
          </w:tcPr>
          <w:p>
            <w:pPr>
              <w:spacing w:after="0"/>
              <w:rPr>
                <w:sz w:val="20"/>
                <w:szCs w:val="20"/>
                <w:color w:val="auto"/>
              </w:rPr>
            </w:pPr>
            <w:r>
              <w:rPr>
                <w:rFonts w:ascii="Arial" w:cs="Arial" w:eastAsia="Arial" w:hAnsi="Arial"/>
                <w:sz w:val="16"/>
                <w:szCs w:val="16"/>
                <w:color w:val="auto"/>
              </w:rPr>
              <w:t>Due from The Cool Pool Limited</w:t>
            </w:r>
          </w:p>
        </w:tc>
        <w:tc>
          <w:tcPr>
            <w:tcW w:w="1400" w:type="dxa"/>
            <w:vAlign w:val="bottom"/>
          </w:tcPr>
          <w:p>
            <w:pPr>
              <w:jc w:val="right"/>
              <w:spacing w:after="0"/>
              <w:rPr>
                <w:sz w:val="20"/>
                <w:szCs w:val="20"/>
                <w:color w:val="auto"/>
              </w:rPr>
            </w:pPr>
            <w:r>
              <w:rPr>
                <w:rFonts w:ascii="Arial" w:cs="Arial" w:eastAsia="Arial" w:hAnsi="Arial"/>
                <w:sz w:val="16"/>
                <w:szCs w:val="16"/>
                <w:color w:val="auto"/>
              </w:rPr>
              <w:t>32,397</w:t>
            </w:r>
          </w:p>
        </w:tc>
        <w:tc>
          <w:tcPr>
            <w:tcW w:w="280" w:type="dxa"/>
            <w:vAlign w:val="bottom"/>
          </w:tcPr>
          <w:p>
            <w:pPr>
              <w:spacing w:after="0"/>
              <w:rPr>
                <w:sz w:val="17"/>
                <w:szCs w:val="17"/>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6"/>
                <w:szCs w:val="16"/>
                <w:color w:val="auto"/>
              </w:rPr>
              <w:t>4,760</w:t>
            </w:r>
          </w:p>
        </w:tc>
        <w:tc>
          <w:tcPr>
            <w:tcW w:w="0" w:type="dxa"/>
            <w:vAlign w:val="bottom"/>
          </w:tcPr>
          <w:p>
            <w:pPr>
              <w:spacing w:after="0"/>
              <w:rPr>
                <w:sz w:val="1"/>
                <w:szCs w:val="1"/>
                <w:color w:val="auto"/>
              </w:rPr>
            </w:pPr>
          </w:p>
        </w:tc>
      </w:tr>
      <w:tr>
        <w:trPr>
          <w:trHeight w:val="203"/>
        </w:trPr>
        <w:tc>
          <w:tcPr>
            <w:tcW w:w="8400" w:type="dxa"/>
            <w:vAlign w:val="bottom"/>
            <w:shd w:val="clear" w:color="auto" w:fill="E5FFFF"/>
          </w:tcPr>
          <w:p>
            <w:pPr>
              <w:spacing w:after="0"/>
              <w:rPr>
                <w:sz w:val="20"/>
                <w:szCs w:val="20"/>
                <w:color w:val="auto"/>
              </w:rPr>
            </w:pPr>
            <w:r>
              <w:rPr>
                <w:rFonts w:ascii="Arial" w:cs="Arial" w:eastAsia="Arial" w:hAnsi="Arial"/>
                <w:sz w:val="16"/>
                <w:szCs w:val="16"/>
                <w:color w:val="auto"/>
              </w:rPr>
              <w:t>Other receivables</w:t>
            </w:r>
          </w:p>
        </w:tc>
        <w:tc>
          <w:tcPr>
            <w:tcW w:w="168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113</w:t>
            </w:r>
          </w:p>
        </w:tc>
        <w:tc>
          <w:tcPr>
            <w:tcW w:w="148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222</w:t>
            </w:r>
          </w:p>
        </w:tc>
        <w:tc>
          <w:tcPr>
            <w:tcW w:w="0" w:type="dxa"/>
            <w:vAlign w:val="bottom"/>
          </w:tcPr>
          <w:p>
            <w:pPr>
              <w:spacing w:after="0"/>
              <w:rPr>
                <w:sz w:val="1"/>
                <w:szCs w:val="1"/>
                <w:color w:val="auto"/>
              </w:rPr>
            </w:pPr>
          </w:p>
        </w:tc>
      </w:tr>
      <w:tr>
        <w:trPr>
          <w:trHeight w:val="196"/>
        </w:trPr>
        <w:tc>
          <w:tcPr>
            <w:tcW w:w="8400" w:type="dxa"/>
            <w:vAlign w:val="bottom"/>
          </w:tcPr>
          <w:p>
            <w:pPr>
              <w:spacing w:after="0"/>
              <w:rPr>
                <w:sz w:val="20"/>
                <w:szCs w:val="20"/>
                <w:color w:val="auto"/>
              </w:rPr>
            </w:pPr>
            <w:r>
              <w:rPr>
                <w:rFonts w:ascii="Arial" w:cs="Arial" w:eastAsia="Arial" w:hAnsi="Arial"/>
                <w:sz w:val="16"/>
                <w:szCs w:val="16"/>
                <w:b w:val="1"/>
                <w:bCs w:val="1"/>
                <w:color w:val="auto"/>
              </w:rPr>
              <w:t>Total</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33,395</w:t>
            </w:r>
          </w:p>
        </w:tc>
        <w:tc>
          <w:tcPr>
            <w:tcW w:w="280" w:type="dxa"/>
            <w:vAlign w:val="bottom"/>
          </w:tcPr>
          <w:p>
            <w:pPr>
              <w:spacing w:after="0"/>
              <w:rPr>
                <w:sz w:val="17"/>
                <w:szCs w:val="17"/>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5,330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0" w:type="dxa"/>
            <w:vAlign w:val="bottom"/>
            <w:vMerge w:val="restart"/>
          </w:tcPr>
          <w:p>
            <w:pPr>
              <w:spacing w:after="0"/>
              <w:rPr>
                <w:sz w:val="20"/>
                <w:szCs w:val="20"/>
                <w:color w:val="auto"/>
              </w:rPr>
            </w:pPr>
            <w:r>
              <w:rPr>
                <w:rFonts w:ascii="Arial" w:cs="Arial" w:eastAsia="Arial" w:hAnsi="Arial"/>
                <w:sz w:val="16"/>
                <w:szCs w:val="16"/>
                <w:b w:val="1"/>
                <w:bCs w:val="1"/>
                <w:i w:val="1"/>
                <w:iCs w:val="1"/>
                <w:color w:val="auto"/>
              </w:rPr>
              <w:t>Current Liabilities</w:t>
            </w:r>
          </w:p>
        </w:tc>
        <w:tc>
          <w:tcPr>
            <w:tcW w:w="1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8400" w:type="dxa"/>
            <w:vAlign w:val="bottom"/>
            <w:vMerge w:val="continue"/>
          </w:tcPr>
          <w:p>
            <w:pPr>
              <w:spacing w:after="0"/>
              <w:rPr>
                <w:sz w:val="24"/>
                <w:szCs w:val="24"/>
                <w:color w:val="auto"/>
              </w:rPr>
            </w:pPr>
          </w:p>
        </w:tc>
        <w:tc>
          <w:tcPr>
            <w:tcW w:w="1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8400" w:type="dxa"/>
            <w:vAlign w:val="bottom"/>
          </w:tcPr>
          <w:p>
            <w:pPr>
              <w:spacing w:after="0"/>
              <w:rPr>
                <w:sz w:val="20"/>
                <w:szCs w:val="20"/>
                <w:color w:val="auto"/>
              </w:rPr>
            </w:pPr>
            <w:r>
              <w:rPr>
                <w:rFonts w:ascii="Arial" w:cs="Arial" w:eastAsia="Arial" w:hAnsi="Arial"/>
                <w:sz w:val="16"/>
                <w:szCs w:val="16"/>
                <w:b w:val="1"/>
                <w:bCs w:val="1"/>
                <w:i w:val="1"/>
                <w:iCs w:val="1"/>
                <w:color w:val="auto"/>
              </w:rPr>
              <w:t>Amounts due to related parties</w:t>
            </w:r>
          </w:p>
        </w:tc>
        <w:tc>
          <w:tcPr>
            <w:tcW w:w="1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8400" w:type="dxa"/>
            <w:vAlign w:val="bottom"/>
          </w:tcPr>
          <w:p>
            <w:pPr>
              <w:spacing w:after="0"/>
              <w:rPr>
                <w:sz w:val="24"/>
                <w:szCs w:val="24"/>
                <w:color w:val="auto"/>
              </w:rPr>
            </w:pPr>
          </w:p>
        </w:tc>
        <w:tc>
          <w:tcPr>
            <w:tcW w:w="16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December 31,</w:t>
            </w:r>
          </w:p>
        </w:tc>
        <w:tc>
          <w:tcPr>
            <w:tcW w:w="14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March 31,</w:t>
            </w:r>
          </w:p>
        </w:tc>
        <w:tc>
          <w:tcPr>
            <w:tcW w:w="0" w:type="dxa"/>
            <w:vAlign w:val="bottom"/>
          </w:tcPr>
          <w:p>
            <w:pPr>
              <w:spacing w:after="0"/>
              <w:rPr>
                <w:sz w:val="1"/>
                <w:szCs w:val="1"/>
                <w:color w:val="auto"/>
              </w:rPr>
            </w:pPr>
          </w:p>
        </w:tc>
      </w:tr>
      <w:tr>
        <w:trPr>
          <w:trHeight w:val="213"/>
        </w:trPr>
        <w:tc>
          <w:tcPr>
            <w:tcW w:w="8400" w:type="dxa"/>
            <w:vAlign w:val="bottom"/>
            <w:tcBorders>
              <w:bottom w:val="single" w:sz="8" w:color="E5FFFF"/>
            </w:tcBorders>
          </w:tcPr>
          <w:p>
            <w:pPr>
              <w:spacing w:after="0"/>
              <w:rPr>
                <w:sz w:val="18"/>
                <w:szCs w:val="18"/>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2018</w:t>
            </w:r>
          </w:p>
        </w:tc>
        <w:tc>
          <w:tcPr>
            <w:tcW w:w="280" w:type="dxa"/>
            <w:vAlign w:val="bottom"/>
            <w:tcBorders>
              <w:bottom w:val="single" w:sz="8" w:color="E5FFFF"/>
            </w:tcBorders>
          </w:tcPr>
          <w:p>
            <w:pPr>
              <w:spacing w:after="0"/>
              <w:rPr>
                <w:sz w:val="18"/>
                <w:szCs w:val="18"/>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2019</w:t>
            </w:r>
          </w:p>
        </w:tc>
        <w:tc>
          <w:tcPr>
            <w:tcW w:w="100" w:type="dxa"/>
            <w:vAlign w:val="bottom"/>
            <w:tcBorders>
              <w:bottom w:val="single" w:sz="8" w:color="E5FFFF"/>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8400" w:type="dxa"/>
            <w:vAlign w:val="bottom"/>
            <w:shd w:val="clear" w:color="auto" w:fill="E5FFFF"/>
          </w:tcPr>
          <w:p>
            <w:pPr>
              <w:spacing w:after="0"/>
              <w:rPr>
                <w:sz w:val="20"/>
                <w:szCs w:val="20"/>
                <w:color w:val="auto"/>
              </w:rPr>
            </w:pPr>
            <w:r>
              <w:rPr>
                <w:rFonts w:ascii="Arial" w:cs="Arial" w:eastAsia="Arial" w:hAnsi="Arial"/>
                <w:sz w:val="16"/>
                <w:szCs w:val="16"/>
                <w:color w:val="auto"/>
              </w:rPr>
              <w:t>Ship management creditors</w:t>
            </w:r>
          </w:p>
        </w:tc>
        <w:tc>
          <w:tcPr>
            <w:tcW w:w="14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268</w:t>
            </w:r>
          </w:p>
        </w:tc>
        <w:tc>
          <w:tcPr>
            <w:tcW w:w="280" w:type="dxa"/>
            <w:vAlign w:val="bottom"/>
            <w:shd w:val="clear" w:color="auto" w:fill="E5FFFF"/>
          </w:tcPr>
          <w:p>
            <w:pPr>
              <w:spacing w:after="0"/>
              <w:rPr>
                <w:sz w:val="17"/>
                <w:szCs w:val="17"/>
                <w:color w:val="auto"/>
              </w:rPr>
            </w:pP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448</w:t>
            </w:r>
          </w:p>
        </w:tc>
        <w:tc>
          <w:tcPr>
            <w:tcW w:w="10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400" w:type="dxa"/>
            <w:vAlign w:val="bottom"/>
          </w:tcPr>
          <w:p>
            <w:pPr>
              <w:spacing w:after="0"/>
              <w:rPr>
                <w:sz w:val="20"/>
                <w:szCs w:val="20"/>
                <w:color w:val="auto"/>
              </w:rPr>
            </w:pPr>
            <w:r>
              <w:rPr>
                <w:rFonts w:ascii="Arial" w:cs="Arial" w:eastAsia="Arial" w:hAnsi="Arial"/>
                <w:sz w:val="16"/>
                <w:szCs w:val="16"/>
                <w:color w:val="auto"/>
              </w:rPr>
              <w:t>Amounts due to related parties</w:t>
            </w:r>
          </w:p>
        </w:tc>
        <w:tc>
          <w:tcPr>
            <w:tcW w:w="1400" w:type="dxa"/>
            <w:vAlign w:val="bottom"/>
          </w:tcPr>
          <w:p>
            <w:pPr>
              <w:jc w:val="right"/>
              <w:spacing w:after="0"/>
              <w:rPr>
                <w:sz w:val="20"/>
                <w:szCs w:val="20"/>
                <w:color w:val="auto"/>
              </w:rPr>
            </w:pPr>
            <w:r>
              <w:rPr>
                <w:rFonts w:ascii="Arial" w:cs="Arial" w:eastAsia="Arial" w:hAnsi="Arial"/>
                <w:sz w:val="16"/>
                <w:szCs w:val="16"/>
                <w:color w:val="auto"/>
              </w:rPr>
              <w:t>169</w:t>
            </w:r>
          </w:p>
        </w:tc>
        <w:tc>
          <w:tcPr>
            <w:tcW w:w="280" w:type="dxa"/>
            <w:vAlign w:val="bottom"/>
          </w:tcPr>
          <w:p>
            <w:pPr>
              <w:spacing w:after="0"/>
              <w:rPr>
                <w:sz w:val="17"/>
                <w:szCs w:val="17"/>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5"/>
          <w:szCs w:val="15"/>
          <w:color w:val="auto"/>
        </w:rPr>
        <w:t>Ship management creditors’ liability comprises cash collected from Egypt LNG Shipping Ltd. to cover the obligations of its vessel under the Group’s management.</w:t>
      </w:r>
    </w:p>
    <w:p>
      <w:pPr>
        <w:spacing w:after="0" w:line="246" w:lineRule="exact"/>
        <w:rPr>
          <w:sz w:val="20"/>
          <w:szCs w:val="20"/>
          <w:color w:val="auto"/>
        </w:rPr>
      </w:pPr>
    </w:p>
    <w:p>
      <w:pPr>
        <w:ind w:right="160" w:firstLine="436"/>
        <w:spacing w:after="0" w:line="293" w:lineRule="auto"/>
        <w:rPr>
          <w:sz w:val="20"/>
          <w:szCs w:val="20"/>
          <w:color w:val="auto"/>
        </w:rPr>
      </w:pPr>
      <w:r>
        <w:rPr>
          <w:rFonts w:ascii="Arial" w:cs="Arial" w:eastAsia="Arial" w:hAnsi="Arial"/>
          <w:sz w:val="16"/>
          <w:szCs w:val="16"/>
          <w:color w:val="auto"/>
        </w:rPr>
        <w:t>Amounts due to related parties of $81 as of March 31, 2019 (December 31, 2018: $169) are expenses paid by a related party on behalf of the Group and payables to other related parties for the office lease and other operating expenses.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400" w:type="dxa"/>
            <w:vAlign w:val="bottom"/>
          </w:tcPr>
          <w:p>
            <w:pPr>
              <w:spacing w:after="0"/>
              <w:rPr>
                <w:sz w:val="20"/>
                <w:szCs w:val="20"/>
                <w:color w:val="auto"/>
              </w:rPr>
            </w:pPr>
            <w:r>
              <w:rPr>
                <w:rFonts w:ascii="Arial" w:cs="Arial" w:eastAsia="Arial" w:hAnsi="Arial"/>
                <w:sz w:val="16"/>
                <w:szCs w:val="16"/>
                <w:b w:val="1"/>
                <w:bCs w:val="1"/>
                <w:color w:val="auto"/>
              </w:rPr>
              <w:t>9. Revenues from Contracts with Customers</w:t>
            </w: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418"/>
        </w:trPr>
        <w:tc>
          <w:tcPr>
            <w:tcW w:w="8400" w:type="dxa"/>
            <w:vAlign w:val="bottom"/>
          </w:tcPr>
          <w:p>
            <w:pPr>
              <w:ind w:left="440"/>
              <w:spacing w:after="0"/>
              <w:rPr>
                <w:sz w:val="20"/>
                <w:szCs w:val="20"/>
                <w:color w:val="auto"/>
              </w:rPr>
            </w:pPr>
            <w:r>
              <w:rPr>
                <w:rFonts w:ascii="Arial" w:cs="Arial" w:eastAsia="Arial" w:hAnsi="Arial"/>
                <w:sz w:val="16"/>
                <w:szCs w:val="16"/>
                <w:color w:val="auto"/>
              </w:rPr>
              <w:t>The Group has recognized the following amounts relating to revenues:</w:t>
            </w:r>
          </w:p>
        </w:tc>
        <w:tc>
          <w:tcPr>
            <w:tcW w:w="1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1"/>
        </w:trPr>
        <w:tc>
          <w:tcPr>
            <w:tcW w:w="8400" w:type="dxa"/>
            <w:vAlign w:val="bottom"/>
          </w:tcPr>
          <w:p>
            <w:pPr>
              <w:spacing w:after="0"/>
              <w:rPr>
                <w:sz w:val="24"/>
                <w:szCs w:val="24"/>
                <w:color w:val="auto"/>
              </w:rPr>
            </w:pPr>
          </w:p>
        </w:tc>
        <w:tc>
          <w:tcPr>
            <w:tcW w:w="3160" w:type="dxa"/>
            <w:vAlign w:val="bottom"/>
            <w:gridSpan w:val="5"/>
          </w:tcPr>
          <w:p>
            <w:pPr>
              <w:ind w:left="580"/>
              <w:spacing w:after="0"/>
              <w:rPr>
                <w:sz w:val="20"/>
                <w:szCs w:val="20"/>
                <w:color w:val="auto"/>
              </w:rPr>
            </w:pPr>
            <w:r>
              <w:rPr>
                <w:rFonts w:ascii="Arial" w:cs="Arial" w:eastAsia="Arial" w:hAnsi="Arial"/>
                <w:sz w:val="16"/>
                <w:szCs w:val="16"/>
                <w:b w:val="1"/>
                <w:bCs w:val="1"/>
                <w:color w:val="auto"/>
              </w:rPr>
              <w:t>For the three months ended</w:t>
            </w:r>
          </w:p>
        </w:tc>
      </w:tr>
      <w:tr>
        <w:trPr>
          <w:trHeight w:val="213"/>
        </w:trPr>
        <w:tc>
          <w:tcPr>
            <w:tcW w:w="8400" w:type="dxa"/>
            <w:vAlign w:val="bottom"/>
          </w:tcPr>
          <w:p>
            <w:pPr>
              <w:spacing w:after="0"/>
              <w:rPr>
                <w:sz w:val="18"/>
                <w:szCs w:val="18"/>
                <w:color w:val="auto"/>
              </w:rPr>
            </w:pPr>
          </w:p>
        </w:tc>
        <w:tc>
          <w:tcPr>
            <w:tcW w:w="1680" w:type="dxa"/>
            <w:vAlign w:val="bottom"/>
            <w:gridSpan w:val="2"/>
          </w:tcPr>
          <w:p>
            <w:pPr>
              <w:ind w:left="160"/>
              <w:spacing w:after="0"/>
              <w:rPr>
                <w:sz w:val="20"/>
                <w:szCs w:val="20"/>
                <w:color w:val="auto"/>
              </w:rPr>
            </w:pPr>
            <w:r>
              <w:rPr>
                <w:rFonts w:ascii="Arial" w:cs="Arial" w:eastAsia="Arial" w:hAnsi="Arial"/>
                <w:sz w:val="16"/>
                <w:szCs w:val="16"/>
                <w:b w:val="1"/>
                <w:bCs w:val="1"/>
                <w:color w:val="auto"/>
              </w:rPr>
              <w:t>March 31, 2018</w:t>
            </w:r>
          </w:p>
        </w:tc>
        <w:tc>
          <w:tcPr>
            <w:tcW w:w="1480" w:type="dxa"/>
            <w:vAlign w:val="bottom"/>
            <w:gridSpan w:val="3"/>
          </w:tcPr>
          <w:p>
            <w:pPr>
              <w:ind w:left="160"/>
              <w:spacing w:after="0"/>
              <w:rPr>
                <w:sz w:val="20"/>
                <w:szCs w:val="20"/>
                <w:color w:val="auto"/>
              </w:rPr>
            </w:pPr>
            <w:r>
              <w:rPr>
                <w:rFonts w:ascii="Arial" w:cs="Arial" w:eastAsia="Arial" w:hAnsi="Arial"/>
                <w:sz w:val="16"/>
                <w:szCs w:val="16"/>
                <w:b w:val="1"/>
                <w:bCs w:val="1"/>
                <w:color w:val="auto"/>
              </w:rPr>
              <w:t>March 31, 2019</w:t>
            </w:r>
          </w:p>
        </w:tc>
      </w:tr>
      <w:tr>
        <w:trPr>
          <w:trHeight w:val="199"/>
        </w:trPr>
        <w:tc>
          <w:tcPr>
            <w:tcW w:w="840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Revenues from time charters</w:t>
            </w:r>
          </w:p>
        </w:tc>
        <w:tc>
          <w:tcPr>
            <w:tcW w:w="14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124,894</w:t>
            </w:r>
          </w:p>
        </w:tc>
        <w:tc>
          <w:tcPr>
            <w:tcW w:w="280" w:type="dxa"/>
            <w:vAlign w:val="bottom"/>
            <w:tcBorders>
              <w:top w:val="single" w:sz="8" w:color="E5FFFF"/>
            </w:tcBorders>
            <w:shd w:val="clear" w:color="auto" w:fill="E5FFFF"/>
          </w:tcPr>
          <w:p>
            <w:pPr>
              <w:spacing w:after="0"/>
              <w:rPr>
                <w:sz w:val="17"/>
                <w:szCs w:val="17"/>
                <w:color w:val="auto"/>
              </w:rPr>
            </w:pPr>
          </w:p>
        </w:tc>
        <w:tc>
          <w:tcPr>
            <w:tcW w:w="138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134,212</w:t>
            </w:r>
          </w:p>
        </w:tc>
        <w:tc>
          <w:tcPr>
            <w:tcW w:w="20" w:type="dxa"/>
            <w:vAlign w:val="bottom"/>
            <w:tcBorders>
              <w:top w:val="single" w:sz="8" w:color="E5FFFF"/>
            </w:tcBorders>
            <w:shd w:val="clear" w:color="auto" w:fill="E5FFFF"/>
          </w:tcPr>
          <w:p>
            <w:pPr>
              <w:spacing w:after="0"/>
              <w:rPr>
                <w:sz w:val="17"/>
                <w:szCs w:val="17"/>
                <w:color w:val="auto"/>
              </w:rPr>
            </w:pPr>
          </w:p>
        </w:tc>
        <w:tc>
          <w:tcPr>
            <w:tcW w:w="80" w:type="dxa"/>
            <w:vAlign w:val="bottom"/>
            <w:tcBorders>
              <w:top w:val="single" w:sz="8" w:color="E5FFFF"/>
            </w:tcBorders>
            <w:shd w:val="clear" w:color="auto" w:fill="E5FFFF"/>
          </w:tcPr>
          <w:p>
            <w:pPr>
              <w:spacing w:after="0"/>
              <w:rPr>
                <w:sz w:val="17"/>
                <w:szCs w:val="17"/>
                <w:color w:val="auto"/>
              </w:rPr>
            </w:pPr>
          </w:p>
        </w:tc>
      </w:tr>
      <w:tr>
        <w:trPr>
          <w:trHeight w:val="203"/>
        </w:trPr>
        <w:tc>
          <w:tcPr>
            <w:tcW w:w="8400" w:type="dxa"/>
            <w:vAlign w:val="bottom"/>
          </w:tcPr>
          <w:p>
            <w:pPr>
              <w:spacing w:after="0"/>
              <w:rPr>
                <w:sz w:val="20"/>
                <w:szCs w:val="20"/>
                <w:color w:val="auto"/>
              </w:rPr>
            </w:pPr>
            <w:r>
              <w:rPr>
                <w:rFonts w:ascii="Arial" w:cs="Arial" w:eastAsia="Arial" w:hAnsi="Arial"/>
                <w:sz w:val="16"/>
                <w:szCs w:val="16"/>
                <w:color w:val="auto"/>
              </w:rPr>
              <w:t>Revenues from The Cool Pool Limited (GasLog vessels)</w:t>
            </w:r>
          </w:p>
        </w:tc>
        <w:tc>
          <w:tcPr>
            <w:tcW w:w="1400" w:type="dxa"/>
            <w:vAlign w:val="bottom"/>
          </w:tcPr>
          <w:p>
            <w:pPr>
              <w:jc w:val="right"/>
              <w:spacing w:after="0"/>
              <w:rPr>
                <w:sz w:val="20"/>
                <w:szCs w:val="20"/>
                <w:color w:val="auto"/>
              </w:rPr>
            </w:pPr>
            <w:r>
              <w:rPr>
                <w:rFonts w:ascii="Arial" w:cs="Arial" w:eastAsia="Arial" w:hAnsi="Arial"/>
                <w:sz w:val="16"/>
                <w:szCs w:val="16"/>
                <w:color w:val="auto"/>
              </w:rPr>
              <w:t>13,405</w:t>
            </w:r>
          </w:p>
        </w:tc>
        <w:tc>
          <w:tcPr>
            <w:tcW w:w="280" w:type="dxa"/>
            <w:vAlign w:val="bottom"/>
          </w:tcPr>
          <w:p>
            <w:pPr>
              <w:spacing w:after="0"/>
              <w:rPr>
                <w:sz w:val="17"/>
                <w:szCs w:val="17"/>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6"/>
                <w:szCs w:val="16"/>
                <w:color w:val="auto"/>
              </w:rPr>
              <w:t>32,141</w:t>
            </w:r>
          </w:p>
        </w:tc>
        <w:tc>
          <w:tcPr>
            <w:tcW w:w="80" w:type="dxa"/>
            <w:vAlign w:val="bottom"/>
          </w:tcPr>
          <w:p>
            <w:pPr>
              <w:spacing w:after="0"/>
              <w:rPr>
                <w:sz w:val="17"/>
                <w:szCs w:val="17"/>
                <w:color w:val="auto"/>
              </w:rPr>
            </w:pPr>
          </w:p>
        </w:tc>
      </w:tr>
      <w:tr>
        <w:trPr>
          <w:trHeight w:val="203"/>
        </w:trPr>
        <w:tc>
          <w:tcPr>
            <w:tcW w:w="8400" w:type="dxa"/>
            <w:vAlign w:val="bottom"/>
            <w:shd w:val="clear" w:color="auto" w:fill="E5FFFF"/>
          </w:tcPr>
          <w:p>
            <w:pPr>
              <w:spacing w:after="0"/>
              <w:rPr>
                <w:sz w:val="20"/>
                <w:szCs w:val="20"/>
                <w:color w:val="auto"/>
              </w:rPr>
            </w:pPr>
            <w:r>
              <w:rPr>
                <w:rFonts w:ascii="Arial" w:cs="Arial" w:eastAsia="Arial" w:hAnsi="Arial"/>
                <w:sz w:val="16"/>
                <w:szCs w:val="16"/>
                <w:color w:val="auto"/>
              </w:rPr>
              <w:t>Revenues from vessel management services</w:t>
            </w:r>
          </w:p>
        </w:tc>
        <w:tc>
          <w:tcPr>
            <w:tcW w:w="14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179</w:t>
            </w:r>
          </w:p>
        </w:tc>
        <w:tc>
          <w:tcPr>
            <w:tcW w:w="280" w:type="dxa"/>
            <w:vAlign w:val="bottom"/>
            <w:shd w:val="clear" w:color="auto" w:fill="E5FFFF"/>
          </w:tcPr>
          <w:p>
            <w:pPr>
              <w:spacing w:after="0"/>
              <w:rPr>
                <w:sz w:val="17"/>
                <w:szCs w:val="17"/>
                <w:color w:val="auto"/>
              </w:rPr>
            </w:pPr>
          </w:p>
        </w:tc>
        <w:tc>
          <w:tcPr>
            <w:tcW w:w="1400" w:type="dxa"/>
            <w:vAlign w:val="bottom"/>
            <w:gridSpan w:val="2"/>
            <w:shd w:val="clear" w:color="auto" w:fill="E5FFFF"/>
          </w:tcPr>
          <w:p>
            <w:pPr>
              <w:jc w:val="right"/>
              <w:ind w:right="20"/>
              <w:spacing w:after="0"/>
              <w:rPr>
                <w:sz w:val="20"/>
                <w:szCs w:val="20"/>
                <w:color w:val="auto"/>
              </w:rPr>
            </w:pPr>
            <w:r>
              <w:rPr>
                <w:rFonts w:ascii="Arial" w:cs="Arial" w:eastAsia="Arial" w:hAnsi="Arial"/>
                <w:sz w:val="16"/>
                <w:szCs w:val="16"/>
                <w:color w:val="auto"/>
              </w:rPr>
              <w:t>194</w:t>
            </w:r>
          </w:p>
        </w:tc>
        <w:tc>
          <w:tcPr>
            <w:tcW w:w="80" w:type="dxa"/>
            <w:vAlign w:val="bottom"/>
            <w:shd w:val="clear" w:color="auto" w:fill="E5FFFF"/>
          </w:tcPr>
          <w:p>
            <w:pPr>
              <w:spacing w:after="0"/>
              <w:rPr>
                <w:sz w:val="17"/>
                <w:szCs w:val="17"/>
                <w:color w:val="auto"/>
              </w:rPr>
            </w:pPr>
          </w:p>
        </w:tc>
      </w:tr>
      <w:tr>
        <w:trPr>
          <w:trHeight w:val="196"/>
        </w:trPr>
        <w:tc>
          <w:tcPr>
            <w:tcW w:w="8400" w:type="dxa"/>
            <w:vAlign w:val="bottom"/>
          </w:tcPr>
          <w:p>
            <w:pPr>
              <w:spacing w:after="0"/>
              <w:rPr>
                <w:sz w:val="20"/>
                <w:szCs w:val="20"/>
                <w:color w:val="auto"/>
              </w:rPr>
            </w:pPr>
            <w:r>
              <w:rPr>
                <w:rFonts w:ascii="Arial" w:cs="Arial" w:eastAsia="Arial" w:hAnsi="Arial"/>
                <w:sz w:val="16"/>
                <w:szCs w:val="16"/>
                <w:b w:val="1"/>
                <w:bCs w:val="1"/>
                <w:color w:val="auto"/>
              </w:rPr>
              <w:t>Total</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138,478</w:t>
            </w:r>
          </w:p>
        </w:tc>
        <w:tc>
          <w:tcPr>
            <w:tcW w:w="280" w:type="dxa"/>
            <w:vAlign w:val="bottom"/>
          </w:tcPr>
          <w:p>
            <w:pPr>
              <w:spacing w:after="0"/>
              <w:rPr>
                <w:sz w:val="17"/>
                <w:szCs w:val="17"/>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166,547</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84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6" w:lineRule="exact"/>
        <w:rPr>
          <w:sz w:val="20"/>
          <w:szCs w:val="20"/>
          <w:color w:val="auto"/>
        </w:rPr>
      </w:pPr>
    </w:p>
    <w:p>
      <w:pPr>
        <w:ind w:right="120" w:firstLine="383"/>
        <w:spacing w:after="0" w:line="293" w:lineRule="auto"/>
        <w:rPr>
          <w:sz w:val="20"/>
          <w:szCs w:val="20"/>
          <w:color w:val="auto"/>
        </w:rPr>
      </w:pPr>
      <w:r>
        <w:rPr>
          <w:rFonts w:ascii="Arial" w:cs="Arial" w:eastAsia="Arial" w:hAnsi="Arial"/>
          <w:sz w:val="16"/>
          <w:szCs w:val="16"/>
          <w:color w:val="auto"/>
        </w:rPr>
        <w:t>Revenues from Cool Pool relate only to the pool revenues received from GasLog’s vessels operating in the Cool Pool and do not include the Net pool allocation to GasLog of ($6,738) for the three months ended March 31, 2019 ($8,653 for the three months ended March 31, 2018).</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240" w:type="dxa"/>
            <w:vAlign w:val="bottom"/>
          </w:tcPr>
          <w:p>
            <w:pPr>
              <w:spacing w:after="0"/>
              <w:rPr>
                <w:sz w:val="20"/>
                <w:szCs w:val="20"/>
                <w:color w:val="auto"/>
              </w:rPr>
            </w:pPr>
            <w:r>
              <w:rPr>
                <w:rFonts w:ascii="Arial" w:cs="Arial" w:eastAsia="Arial" w:hAnsi="Arial"/>
                <w:sz w:val="16"/>
                <w:szCs w:val="16"/>
                <w:b w:val="1"/>
                <w:bCs w:val="1"/>
                <w:color w:val="auto"/>
              </w:rPr>
              <w:t>10. General and Administrative Expenses</w:t>
            </w:r>
          </w:p>
        </w:tc>
        <w:tc>
          <w:tcPr>
            <w:tcW w:w="3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9"/>
        </w:trPr>
        <w:tc>
          <w:tcPr>
            <w:tcW w:w="5240" w:type="dxa"/>
            <w:vAlign w:val="bottom"/>
          </w:tcPr>
          <w:p>
            <w:pPr>
              <w:ind w:left="440"/>
              <w:spacing w:after="0"/>
              <w:rPr>
                <w:sz w:val="20"/>
                <w:szCs w:val="20"/>
                <w:color w:val="auto"/>
              </w:rPr>
            </w:pPr>
            <w:r>
              <w:rPr>
                <w:rFonts w:ascii="Arial" w:cs="Arial" w:eastAsia="Arial" w:hAnsi="Arial"/>
                <w:sz w:val="16"/>
                <w:szCs w:val="16"/>
                <w:color w:val="auto"/>
              </w:rPr>
              <w:t>An analysis of general and administrative expenses is as follows:</w:t>
            </w:r>
          </w:p>
        </w:tc>
        <w:tc>
          <w:tcPr>
            <w:tcW w:w="3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524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3160" w:type="dxa"/>
            <w:vAlign w:val="bottom"/>
            <w:gridSpan w:val="4"/>
          </w:tcPr>
          <w:p>
            <w:pPr>
              <w:ind w:left="580"/>
              <w:spacing w:after="0"/>
              <w:rPr>
                <w:sz w:val="20"/>
                <w:szCs w:val="20"/>
                <w:color w:val="auto"/>
              </w:rPr>
            </w:pPr>
            <w:r>
              <w:rPr>
                <w:rFonts w:ascii="Arial" w:cs="Arial" w:eastAsia="Arial" w:hAnsi="Arial"/>
                <w:sz w:val="16"/>
                <w:szCs w:val="16"/>
                <w:b w:val="1"/>
                <w:bCs w:val="1"/>
                <w:color w:val="auto"/>
              </w:rPr>
              <w:t>For the three months ended</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524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680" w:type="dxa"/>
            <w:vAlign w:val="bottom"/>
            <w:gridSpan w:val="2"/>
          </w:tcPr>
          <w:p>
            <w:pPr>
              <w:ind w:left="160"/>
              <w:spacing w:after="0"/>
              <w:rPr>
                <w:sz w:val="20"/>
                <w:szCs w:val="20"/>
                <w:color w:val="auto"/>
              </w:rPr>
            </w:pPr>
            <w:r>
              <w:rPr>
                <w:rFonts w:ascii="Arial" w:cs="Arial" w:eastAsia="Arial" w:hAnsi="Arial"/>
                <w:sz w:val="16"/>
                <w:szCs w:val="16"/>
                <w:b w:val="1"/>
                <w:bCs w:val="1"/>
                <w:color w:val="auto"/>
              </w:rPr>
              <w:t>March 31, 2018</w:t>
            </w:r>
          </w:p>
        </w:tc>
        <w:tc>
          <w:tcPr>
            <w:tcW w:w="1480" w:type="dxa"/>
            <w:vAlign w:val="bottom"/>
            <w:gridSpan w:val="2"/>
          </w:tcPr>
          <w:p>
            <w:pPr>
              <w:ind w:left="160"/>
              <w:spacing w:after="0"/>
              <w:rPr>
                <w:sz w:val="20"/>
                <w:szCs w:val="20"/>
                <w:color w:val="auto"/>
              </w:rPr>
            </w:pPr>
            <w:r>
              <w:rPr>
                <w:rFonts w:ascii="Arial" w:cs="Arial" w:eastAsia="Arial" w:hAnsi="Arial"/>
                <w:sz w:val="16"/>
                <w:szCs w:val="16"/>
                <w:b w:val="1"/>
                <w:bCs w:val="1"/>
                <w:color w:val="auto"/>
              </w:rPr>
              <w:t>March 31, 2019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524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Employee costs</w:t>
            </w:r>
          </w:p>
        </w:tc>
        <w:tc>
          <w:tcPr>
            <w:tcW w:w="3160" w:type="dxa"/>
            <w:vAlign w:val="bottom"/>
            <w:tcBorders>
              <w:top w:val="single" w:sz="8" w:color="E5FFFF"/>
            </w:tcBorders>
            <w:shd w:val="clear" w:color="auto" w:fill="E5FFFF"/>
          </w:tcPr>
          <w:p>
            <w:pPr>
              <w:spacing w:after="0"/>
              <w:rPr>
                <w:sz w:val="17"/>
                <w:szCs w:val="17"/>
                <w:color w:val="auto"/>
              </w:rPr>
            </w:pPr>
          </w:p>
        </w:tc>
        <w:tc>
          <w:tcPr>
            <w:tcW w:w="14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6,951</w:t>
            </w:r>
          </w:p>
        </w:tc>
        <w:tc>
          <w:tcPr>
            <w:tcW w:w="280" w:type="dxa"/>
            <w:vAlign w:val="bottom"/>
            <w:tcBorders>
              <w:top w:val="single" w:sz="8" w:color="E5FFFF"/>
            </w:tcBorders>
            <w:shd w:val="clear" w:color="auto" w:fill="E5FFFF"/>
          </w:tcPr>
          <w:p>
            <w:pPr>
              <w:spacing w:after="0"/>
              <w:rPr>
                <w:sz w:val="17"/>
                <w:szCs w:val="17"/>
                <w:color w:val="auto"/>
              </w:rPr>
            </w:pPr>
          </w:p>
        </w:tc>
        <w:tc>
          <w:tcPr>
            <w:tcW w:w="138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5,299</w:t>
            </w:r>
          </w:p>
        </w:tc>
        <w:tc>
          <w:tcPr>
            <w:tcW w:w="100" w:type="dxa"/>
            <w:vAlign w:val="bottom"/>
            <w:tcBorders>
              <w:top w:val="single" w:sz="8" w:color="E5FFFF"/>
            </w:tcBorders>
            <w:shd w:val="clear" w:color="auto" w:fill="E5FF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40" w:type="dxa"/>
            <w:vAlign w:val="bottom"/>
          </w:tcPr>
          <w:p>
            <w:pPr>
              <w:spacing w:after="0"/>
              <w:rPr>
                <w:sz w:val="20"/>
                <w:szCs w:val="20"/>
                <w:color w:val="auto"/>
              </w:rPr>
            </w:pPr>
            <w:r>
              <w:rPr>
                <w:rFonts w:ascii="Arial" w:cs="Arial" w:eastAsia="Arial" w:hAnsi="Arial"/>
                <w:sz w:val="16"/>
                <w:szCs w:val="16"/>
                <w:color w:val="auto"/>
              </w:rPr>
              <w:t>Share-based compensation (Note 18)</w:t>
            </w:r>
          </w:p>
        </w:tc>
        <w:tc>
          <w:tcPr>
            <w:tcW w:w="4560" w:type="dxa"/>
            <w:vAlign w:val="bottom"/>
            <w:gridSpan w:val="2"/>
          </w:tcPr>
          <w:p>
            <w:pPr>
              <w:jc w:val="right"/>
              <w:spacing w:after="0"/>
              <w:rPr>
                <w:sz w:val="20"/>
                <w:szCs w:val="20"/>
                <w:color w:val="auto"/>
              </w:rPr>
            </w:pPr>
            <w:r>
              <w:rPr>
                <w:rFonts w:ascii="Arial" w:cs="Arial" w:eastAsia="Arial" w:hAnsi="Arial"/>
                <w:sz w:val="16"/>
                <w:szCs w:val="16"/>
                <w:color w:val="auto"/>
              </w:rPr>
              <w:t>1,186</w:t>
            </w:r>
          </w:p>
        </w:tc>
        <w:tc>
          <w:tcPr>
            <w:tcW w:w="280" w:type="dxa"/>
            <w:vAlign w:val="bottom"/>
          </w:tcPr>
          <w:p>
            <w:pPr>
              <w:spacing w:after="0"/>
              <w:rPr>
                <w:sz w:val="17"/>
                <w:szCs w:val="17"/>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6"/>
                <w:szCs w:val="16"/>
                <w:color w:val="auto"/>
              </w:rPr>
              <w:t>1,201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40" w:type="dxa"/>
            <w:vAlign w:val="bottom"/>
            <w:shd w:val="clear" w:color="auto" w:fill="E5FFFF"/>
          </w:tcPr>
          <w:p>
            <w:pPr>
              <w:spacing w:after="0"/>
              <w:rPr>
                <w:sz w:val="20"/>
                <w:szCs w:val="20"/>
                <w:color w:val="auto"/>
              </w:rPr>
            </w:pPr>
            <w:r>
              <w:rPr>
                <w:rFonts w:ascii="Arial" w:cs="Arial" w:eastAsia="Arial" w:hAnsi="Arial"/>
                <w:sz w:val="16"/>
                <w:szCs w:val="16"/>
                <w:color w:val="auto"/>
              </w:rPr>
              <w:t>Other expenses</w:t>
            </w:r>
          </w:p>
        </w:tc>
        <w:tc>
          <w:tcPr>
            <w:tcW w:w="456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3,876</w:t>
            </w:r>
          </w:p>
        </w:tc>
        <w:tc>
          <w:tcPr>
            <w:tcW w:w="280" w:type="dxa"/>
            <w:vAlign w:val="bottom"/>
            <w:shd w:val="clear" w:color="auto" w:fill="E5FFFF"/>
          </w:tcPr>
          <w:p>
            <w:pPr>
              <w:spacing w:after="0"/>
              <w:rPr>
                <w:sz w:val="17"/>
                <w:szCs w:val="17"/>
                <w:color w:val="auto"/>
              </w:rPr>
            </w:pPr>
          </w:p>
        </w:tc>
        <w:tc>
          <w:tcPr>
            <w:tcW w:w="148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3,877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40" w:type="dxa"/>
            <w:vAlign w:val="bottom"/>
          </w:tcPr>
          <w:p>
            <w:pPr>
              <w:spacing w:after="0"/>
              <w:rPr>
                <w:sz w:val="20"/>
                <w:szCs w:val="20"/>
                <w:color w:val="auto"/>
              </w:rPr>
            </w:pPr>
            <w:r>
              <w:rPr>
                <w:rFonts w:ascii="Arial" w:cs="Arial" w:eastAsia="Arial" w:hAnsi="Arial"/>
                <w:sz w:val="16"/>
                <w:szCs w:val="16"/>
                <w:b w:val="1"/>
                <w:bCs w:val="1"/>
                <w:color w:val="auto"/>
              </w:rPr>
              <w:t>Total</w:t>
            </w:r>
          </w:p>
        </w:tc>
        <w:tc>
          <w:tcPr>
            <w:tcW w:w="3160" w:type="dxa"/>
            <w:vAlign w:val="bottom"/>
          </w:tcPr>
          <w:p>
            <w:pPr>
              <w:spacing w:after="0"/>
              <w:rPr>
                <w:sz w:val="17"/>
                <w:szCs w:val="17"/>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12,013</w:t>
            </w:r>
          </w:p>
        </w:tc>
        <w:tc>
          <w:tcPr>
            <w:tcW w:w="280" w:type="dxa"/>
            <w:vAlign w:val="bottom"/>
          </w:tcPr>
          <w:p>
            <w:pPr>
              <w:spacing w:after="0"/>
              <w:rPr>
                <w:sz w:val="17"/>
                <w:szCs w:val="17"/>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10,377</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40" w:type="dxa"/>
            <w:vAlign w:val="bottom"/>
            <w:vMerge w:val="restart"/>
          </w:tcPr>
          <w:p>
            <w:pPr>
              <w:spacing w:after="0"/>
              <w:rPr>
                <w:sz w:val="20"/>
                <w:szCs w:val="20"/>
                <w:color w:val="auto"/>
              </w:rPr>
            </w:pPr>
            <w:r>
              <w:rPr>
                <w:rFonts w:ascii="Arial" w:cs="Arial" w:eastAsia="Arial" w:hAnsi="Arial"/>
                <w:sz w:val="16"/>
                <w:szCs w:val="16"/>
                <w:b w:val="1"/>
                <w:bCs w:val="1"/>
                <w:color w:val="auto"/>
              </w:rPr>
              <w:t>11. Vessel Operating and Supervision Costs</w:t>
            </w:r>
          </w:p>
        </w:tc>
        <w:tc>
          <w:tcPr>
            <w:tcW w:w="316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5240" w:type="dxa"/>
            <w:vAlign w:val="bottom"/>
            <w:vMerge w:val="continue"/>
          </w:tcPr>
          <w:p>
            <w:pPr>
              <w:spacing w:after="0"/>
              <w:rPr>
                <w:sz w:val="24"/>
                <w:szCs w:val="24"/>
                <w:color w:val="auto"/>
              </w:rPr>
            </w:pPr>
          </w:p>
        </w:tc>
        <w:tc>
          <w:tcPr>
            <w:tcW w:w="3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5240" w:type="dxa"/>
            <w:vAlign w:val="bottom"/>
          </w:tcPr>
          <w:p>
            <w:pPr>
              <w:ind w:left="440"/>
              <w:spacing w:after="0"/>
              <w:rPr>
                <w:sz w:val="20"/>
                <w:szCs w:val="20"/>
                <w:color w:val="auto"/>
              </w:rPr>
            </w:pPr>
            <w:r>
              <w:rPr>
                <w:rFonts w:ascii="Arial" w:cs="Arial" w:eastAsia="Arial" w:hAnsi="Arial"/>
                <w:sz w:val="16"/>
                <w:szCs w:val="16"/>
                <w:color w:val="auto"/>
                <w:w w:val="99"/>
              </w:rPr>
              <w:t>An analysis of vessels operating and supervision costs is as follows:</w:t>
            </w:r>
          </w:p>
        </w:tc>
        <w:tc>
          <w:tcPr>
            <w:tcW w:w="3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524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3160" w:type="dxa"/>
            <w:vAlign w:val="bottom"/>
            <w:gridSpan w:val="4"/>
          </w:tcPr>
          <w:p>
            <w:pPr>
              <w:ind w:left="580"/>
              <w:spacing w:after="0"/>
              <w:rPr>
                <w:sz w:val="20"/>
                <w:szCs w:val="20"/>
                <w:color w:val="auto"/>
              </w:rPr>
            </w:pPr>
            <w:r>
              <w:rPr>
                <w:rFonts w:ascii="Arial" w:cs="Arial" w:eastAsia="Arial" w:hAnsi="Arial"/>
                <w:sz w:val="16"/>
                <w:szCs w:val="16"/>
                <w:b w:val="1"/>
                <w:bCs w:val="1"/>
                <w:color w:val="auto"/>
              </w:rPr>
              <w:t>For the three months ended</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524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680" w:type="dxa"/>
            <w:vAlign w:val="bottom"/>
            <w:gridSpan w:val="2"/>
          </w:tcPr>
          <w:p>
            <w:pPr>
              <w:ind w:left="160"/>
              <w:spacing w:after="0"/>
              <w:rPr>
                <w:sz w:val="20"/>
                <w:szCs w:val="20"/>
                <w:color w:val="auto"/>
              </w:rPr>
            </w:pPr>
            <w:r>
              <w:rPr>
                <w:rFonts w:ascii="Arial" w:cs="Arial" w:eastAsia="Arial" w:hAnsi="Arial"/>
                <w:sz w:val="16"/>
                <w:szCs w:val="16"/>
                <w:b w:val="1"/>
                <w:bCs w:val="1"/>
                <w:color w:val="auto"/>
              </w:rPr>
              <w:t>March 31, 2018</w:t>
            </w:r>
          </w:p>
        </w:tc>
        <w:tc>
          <w:tcPr>
            <w:tcW w:w="1480" w:type="dxa"/>
            <w:vAlign w:val="bottom"/>
            <w:gridSpan w:val="2"/>
          </w:tcPr>
          <w:p>
            <w:pPr>
              <w:ind w:left="160"/>
              <w:spacing w:after="0"/>
              <w:rPr>
                <w:sz w:val="20"/>
                <w:szCs w:val="20"/>
                <w:color w:val="auto"/>
              </w:rPr>
            </w:pPr>
            <w:r>
              <w:rPr>
                <w:rFonts w:ascii="Arial" w:cs="Arial" w:eastAsia="Arial" w:hAnsi="Arial"/>
                <w:sz w:val="16"/>
                <w:szCs w:val="16"/>
                <w:b w:val="1"/>
                <w:bCs w:val="1"/>
                <w:color w:val="auto"/>
              </w:rPr>
              <w:t>March 31, 2019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524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Crew wages and vessel management employee costs</w:t>
            </w:r>
          </w:p>
        </w:tc>
        <w:tc>
          <w:tcPr>
            <w:tcW w:w="3160" w:type="dxa"/>
            <w:vAlign w:val="bottom"/>
            <w:tcBorders>
              <w:top w:val="single" w:sz="8" w:color="E5FFFF"/>
            </w:tcBorders>
            <w:shd w:val="clear" w:color="auto" w:fill="E5FFFF"/>
          </w:tcPr>
          <w:p>
            <w:pPr>
              <w:spacing w:after="0"/>
              <w:rPr>
                <w:sz w:val="17"/>
                <w:szCs w:val="17"/>
                <w:color w:val="auto"/>
              </w:rPr>
            </w:pPr>
          </w:p>
        </w:tc>
        <w:tc>
          <w:tcPr>
            <w:tcW w:w="14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20,030</w:t>
            </w:r>
          </w:p>
        </w:tc>
        <w:tc>
          <w:tcPr>
            <w:tcW w:w="280" w:type="dxa"/>
            <w:vAlign w:val="bottom"/>
            <w:tcBorders>
              <w:top w:val="single" w:sz="8" w:color="E5FFFF"/>
            </w:tcBorders>
            <w:shd w:val="clear" w:color="auto" w:fill="E5FFFF"/>
          </w:tcPr>
          <w:p>
            <w:pPr>
              <w:spacing w:after="0"/>
              <w:rPr>
                <w:sz w:val="17"/>
                <w:szCs w:val="17"/>
                <w:color w:val="auto"/>
              </w:rPr>
            </w:pPr>
          </w:p>
        </w:tc>
        <w:tc>
          <w:tcPr>
            <w:tcW w:w="138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19,611</w:t>
            </w:r>
          </w:p>
        </w:tc>
        <w:tc>
          <w:tcPr>
            <w:tcW w:w="100" w:type="dxa"/>
            <w:vAlign w:val="bottom"/>
            <w:tcBorders>
              <w:top w:val="single" w:sz="8" w:color="E5FFFF"/>
            </w:tcBorders>
            <w:shd w:val="clear" w:color="auto" w:fill="E5FF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40" w:type="dxa"/>
            <w:vAlign w:val="bottom"/>
          </w:tcPr>
          <w:p>
            <w:pPr>
              <w:spacing w:after="0"/>
              <w:rPr>
                <w:sz w:val="20"/>
                <w:szCs w:val="20"/>
                <w:color w:val="auto"/>
              </w:rPr>
            </w:pPr>
            <w:r>
              <w:rPr>
                <w:rFonts w:ascii="Arial" w:cs="Arial" w:eastAsia="Arial" w:hAnsi="Arial"/>
                <w:sz w:val="16"/>
                <w:szCs w:val="16"/>
                <w:color w:val="auto"/>
              </w:rPr>
              <w:t>Technical maintenance expenses</w:t>
            </w:r>
          </w:p>
        </w:tc>
        <w:tc>
          <w:tcPr>
            <w:tcW w:w="4560" w:type="dxa"/>
            <w:vAlign w:val="bottom"/>
            <w:gridSpan w:val="2"/>
          </w:tcPr>
          <w:p>
            <w:pPr>
              <w:jc w:val="right"/>
              <w:spacing w:after="0"/>
              <w:rPr>
                <w:sz w:val="20"/>
                <w:szCs w:val="20"/>
                <w:color w:val="auto"/>
              </w:rPr>
            </w:pPr>
            <w:r>
              <w:rPr>
                <w:rFonts w:ascii="Arial" w:cs="Arial" w:eastAsia="Arial" w:hAnsi="Arial"/>
                <w:sz w:val="16"/>
                <w:szCs w:val="16"/>
                <w:color w:val="auto"/>
              </w:rPr>
              <w:t>8,682</w:t>
            </w:r>
          </w:p>
        </w:tc>
        <w:tc>
          <w:tcPr>
            <w:tcW w:w="280" w:type="dxa"/>
            <w:vAlign w:val="bottom"/>
          </w:tcPr>
          <w:p>
            <w:pPr>
              <w:spacing w:after="0"/>
              <w:rPr>
                <w:sz w:val="17"/>
                <w:szCs w:val="17"/>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6"/>
                <w:szCs w:val="16"/>
                <w:color w:val="auto"/>
              </w:rPr>
              <w:t>8,528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40" w:type="dxa"/>
            <w:vAlign w:val="bottom"/>
            <w:shd w:val="clear" w:color="auto" w:fill="E5FFFF"/>
          </w:tcPr>
          <w:p>
            <w:pPr>
              <w:spacing w:after="0"/>
              <w:rPr>
                <w:sz w:val="20"/>
                <w:szCs w:val="20"/>
                <w:color w:val="auto"/>
              </w:rPr>
            </w:pPr>
            <w:r>
              <w:rPr>
                <w:rFonts w:ascii="Arial" w:cs="Arial" w:eastAsia="Arial" w:hAnsi="Arial"/>
                <w:sz w:val="16"/>
                <w:szCs w:val="16"/>
                <w:color w:val="auto"/>
              </w:rPr>
              <w:t>Other vessel operating expenses</w:t>
            </w:r>
          </w:p>
        </w:tc>
        <w:tc>
          <w:tcPr>
            <w:tcW w:w="456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5,601</w:t>
            </w:r>
          </w:p>
        </w:tc>
        <w:tc>
          <w:tcPr>
            <w:tcW w:w="280" w:type="dxa"/>
            <w:vAlign w:val="bottom"/>
            <w:shd w:val="clear" w:color="auto" w:fill="E5FFFF"/>
          </w:tcPr>
          <w:p>
            <w:pPr>
              <w:spacing w:after="0"/>
              <w:rPr>
                <w:sz w:val="17"/>
                <w:szCs w:val="17"/>
                <w:color w:val="auto"/>
              </w:rPr>
            </w:pPr>
          </w:p>
        </w:tc>
        <w:tc>
          <w:tcPr>
            <w:tcW w:w="148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4,831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40" w:type="dxa"/>
            <w:vAlign w:val="bottom"/>
          </w:tcPr>
          <w:p>
            <w:pPr>
              <w:spacing w:after="0"/>
              <w:rPr>
                <w:sz w:val="20"/>
                <w:szCs w:val="20"/>
                <w:color w:val="auto"/>
              </w:rPr>
            </w:pPr>
            <w:r>
              <w:rPr>
                <w:rFonts w:ascii="Arial" w:cs="Arial" w:eastAsia="Arial" w:hAnsi="Arial"/>
                <w:sz w:val="16"/>
                <w:szCs w:val="16"/>
                <w:b w:val="1"/>
                <w:bCs w:val="1"/>
                <w:color w:val="auto"/>
              </w:rPr>
              <w:t>Total</w:t>
            </w:r>
          </w:p>
        </w:tc>
        <w:tc>
          <w:tcPr>
            <w:tcW w:w="3160" w:type="dxa"/>
            <w:vAlign w:val="bottom"/>
          </w:tcPr>
          <w:p>
            <w:pPr>
              <w:spacing w:after="0"/>
              <w:rPr>
                <w:sz w:val="17"/>
                <w:szCs w:val="17"/>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34,313</w:t>
            </w:r>
          </w:p>
        </w:tc>
        <w:tc>
          <w:tcPr>
            <w:tcW w:w="280" w:type="dxa"/>
            <w:vAlign w:val="bottom"/>
          </w:tcPr>
          <w:p>
            <w:pPr>
              <w:spacing w:after="0"/>
              <w:rPr>
                <w:sz w:val="17"/>
                <w:szCs w:val="17"/>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32,970</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5240" w:type="dxa"/>
            <w:vAlign w:val="bottom"/>
          </w:tcPr>
          <w:p>
            <w:pPr>
              <w:spacing w:after="0"/>
              <w:rPr>
                <w:sz w:val="24"/>
                <w:szCs w:val="24"/>
                <w:color w:val="auto"/>
              </w:rPr>
            </w:pPr>
          </w:p>
        </w:tc>
        <w:tc>
          <w:tcPr>
            <w:tcW w:w="4840" w:type="dxa"/>
            <w:vAlign w:val="bottom"/>
            <w:gridSpan w:val="3"/>
          </w:tcPr>
          <w:p>
            <w:pPr>
              <w:ind w:left="400"/>
              <w:spacing w:after="0"/>
              <w:rPr>
                <w:sz w:val="20"/>
                <w:szCs w:val="20"/>
                <w:color w:val="auto"/>
              </w:rPr>
            </w:pPr>
            <w:r>
              <w:rPr>
                <w:rFonts w:ascii="Arial" w:cs="Arial" w:eastAsia="Arial" w:hAnsi="Arial"/>
                <w:sz w:val="16"/>
                <w:szCs w:val="16"/>
                <w:color w:val="auto"/>
              </w:rPr>
              <w:t>F-13</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5240" w:type="dxa"/>
            <w:vAlign w:val="bottom"/>
            <w:tcBorders>
              <w:bottom w:val="single" w:sz="8" w:color="808080"/>
            </w:tcBorders>
          </w:tcPr>
          <w:p>
            <w:pPr>
              <w:spacing w:after="0"/>
              <w:rPr>
                <w:sz w:val="11"/>
                <w:szCs w:val="11"/>
                <w:color w:val="auto"/>
              </w:rPr>
            </w:pPr>
          </w:p>
        </w:tc>
        <w:tc>
          <w:tcPr>
            <w:tcW w:w="3160" w:type="dxa"/>
            <w:vAlign w:val="bottom"/>
            <w:tcBorders>
              <w:bottom w:val="single" w:sz="8" w:color="808080"/>
            </w:tcBorders>
          </w:tcPr>
          <w:p>
            <w:pPr>
              <w:spacing w:after="0"/>
              <w:rPr>
                <w:sz w:val="11"/>
                <w:szCs w:val="11"/>
                <w:color w:val="auto"/>
              </w:rPr>
            </w:pPr>
          </w:p>
        </w:tc>
        <w:tc>
          <w:tcPr>
            <w:tcW w:w="140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3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7349490</wp:posOffset>
            </wp:positionH>
            <wp:positionV relativeFrom="paragraph">
              <wp:posOffset>-29210</wp:posOffset>
            </wp:positionV>
            <wp:extent cx="1270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600"/>
          </w:cols>
          <w:pgMar w:left="160" w:top="266" w:right="1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10"/>
        </w:trPr>
        <w:tc>
          <w:tcPr>
            <w:tcW w:w="8520" w:type="dxa"/>
            <w:vAlign w:val="bottom"/>
          </w:tcPr>
          <w:p>
            <w:pPr>
              <w:spacing w:after="0"/>
              <w:rPr>
                <w:sz w:val="20"/>
                <w:szCs w:val="20"/>
                <w:color w:val="auto"/>
              </w:rPr>
            </w:pPr>
            <w:r>
              <w:rPr>
                <w:rFonts w:ascii="Arial" w:cs="Arial" w:eastAsia="Arial" w:hAnsi="Arial"/>
                <w:sz w:val="16"/>
                <w:szCs w:val="16"/>
                <w:b w:val="1"/>
                <w:bCs w:val="1"/>
                <w:color w:val="auto"/>
              </w:rPr>
              <w:t>12. Other Payables and Accruals</w:t>
            </w: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418"/>
        </w:trPr>
        <w:tc>
          <w:tcPr>
            <w:tcW w:w="8520" w:type="dxa"/>
            <w:vAlign w:val="bottom"/>
          </w:tcPr>
          <w:p>
            <w:pPr>
              <w:ind w:left="440"/>
              <w:spacing w:after="0"/>
              <w:rPr>
                <w:sz w:val="20"/>
                <w:szCs w:val="20"/>
                <w:color w:val="auto"/>
              </w:rPr>
            </w:pPr>
            <w:r>
              <w:rPr>
                <w:rFonts w:ascii="Arial" w:cs="Arial" w:eastAsia="Arial" w:hAnsi="Arial"/>
                <w:sz w:val="16"/>
                <w:szCs w:val="16"/>
                <w:color w:val="auto"/>
              </w:rPr>
              <w:t>An analysis of other payables and accruals is as follows:</w:t>
            </w: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411"/>
        </w:trPr>
        <w:tc>
          <w:tcPr>
            <w:tcW w:w="8520" w:type="dxa"/>
            <w:vAlign w:val="bottom"/>
          </w:tcPr>
          <w:p>
            <w:pPr>
              <w:spacing w:after="0"/>
              <w:rPr>
                <w:sz w:val="24"/>
                <w:szCs w:val="24"/>
                <w:color w:val="auto"/>
              </w:rPr>
            </w:pPr>
          </w:p>
        </w:tc>
        <w:tc>
          <w:tcPr>
            <w:tcW w:w="1660" w:type="dxa"/>
            <w:vAlign w:val="bottom"/>
            <w:gridSpan w:val="2"/>
          </w:tcPr>
          <w:p>
            <w:pPr>
              <w:ind w:left="220"/>
              <w:spacing w:after="0"/>
              <w:rPr>
                <w:sz w:val="20"/>
                <w:szCs w:val="20"/>
                <w:color w:val="auto"/>
              </w:rPr>
            </w:pPr>
            <w:r>
              <w:rPr>
                <w:rFonts w:ascii="Arial" w:cs="Arial" w:eastAsia="Arial" w:hAnsi="Arial"/>
                <w:sz w:val="16"/>
                <w:szCs w:val="16"/>
                <w:b w:val="1"/>
                <w:bCs w:val="1"/>
                <w:color w:val="auto"/>
              </w:rPr>
              <w:t>December 31,</w:t>
            </w:r>
          </w:p>
        </w:tc>
        <w:tc>
          <w:tcPr>
            <w:tcW w:w="1380" w:type="dxa"/>
            <w:vAlign w:val="bottom"/>
          </w:tcPr>
          <w:p>
            <w:pPr>
              <w:jc w:val="right"/>
              <w:ind w:right="259"/>
              <w:spacing w:after="0"/>
              <w:rPr>
                <w:sz w:val="20"/>
                <w:szCs w:val="20"/>
                <w:color w:val="auto"/>
              </w:rPr>
            </w:pPr>
            <w:r>
              <w:rPr>
                <w:rFonts w:ascii="Arial" w:cs="Arial" w:eastAsia="Arial" w:hAnsi="Arial"/>
                <w:sz w:val="16"/>
                <w:szCs w:val="16"/>
                <w:b w:val="1"/>
                <w:bCs w:val="1"/>
                <w:color w:val="auto"/>
              </w:rPr>
              <w:t>March 31,</w:t>
            </w:r>
          </w:p>
        </w:tc>
      </w:tr>
      <w:tr>
        <w:trPr>
          <w:trHeight w:val="213"/>
        </w:trPr>
        <w:tc>
          <w:tcPr>
            <w:tcW w:w="8520" w:type="dxa"/>
            <w:vAlign w:val="bottom"/>
            <w:tcBorders>
              <w:bottom w:val="single" w:sz="8" w:color="E5FFFF"/>
            </w:tcBorders>
          </w:tcPr>
          <w:p>
            <w:pPr>
              <w:spacing w:after="0"/>
              <w:rPr>
                <w:sz w:val="18"/>
                <w:szCs w:val="18"/>
                <w:color w:val="auto"/>
              </w:rPr>
            </w:pPr>
          </w:p>
        </w:tc>
        <w:tc>
          <w:tcPr>
            <w:tcW w:w="13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2018</w:t>
            </w:r>
          </w:p>
        </w:tc>
        <w:tc>
          <w:tcPr>
            <w:tcW w:w="280" w:type="dxa"/>
            <w:vAlign w:val="bottom"/>
            <w:tcBorders>
              <w:bottom w:val="single" w:sz="8" w:color="E5FFFF"/>
            </w:tcBorders>
          </w:tcPr>
          <w:p>
            <w:pPr>
              <w:spacing w:after="0"/>
              <w:rPr>
                <w:sz w:val="18"/>
                <w:szCs w:val="18"/>
                <w:color w:val="auto"/>
              </w:rPr>
            </w:pPr>
          </w:p>
        </w:tc>
        <w:tc>
          <w:tcPr>
            <w:tcW w:w="13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2019</w:t>
            </w:r>
          </w:p>
        </w:tc>
      </w:tr>
      <w:tr>
        <w:trPr>
          <w:trHeight w:val="199"/>
        </w:trPr>
        <w:tc>
          <w:tcPr>
            <w:tcW w:w="8520" w:type="dxa"/>
            <w:vAlign w:val="bottom"/>
            <w:shd w:val="clear" w:color="auto" w:fill="E5FFFF"/>
          </w:tcPr>
          <w:p>
            <w:pPr>
              <w:spacing w:after="0"/>
              <w:rPr>
                <w:sz w:val="20"/>
                <w:szCs w:val="20"/>
                <w:color w:val="auto"/>
              </w:rPr>
            </w:pPr>
            <w:r>
              <w:rPr>
                <w:rFonts w:ascii="Arial" w:cs="Arial" w:eastAsia="Arial" w:hAnsi="Arial"/>
                <w:sz w:val="16"/>
                <w:szCs w:val="16"/>
                <w:color w:val="auto"/>
              </w:rPr>
              <w:t>Unearned revenue</w:t>
            </w: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38,680</w:t>
            </w:r>
          </w:p>
        </w:tc>
        <w:tc>
          <w:tcPr>
            <w:tcW w:w="280" w:type="dxa"/>
            <w:vAlign w:val="bottom"/>
            <w:shd w:val="clear" w:color="auto" w:fill="E5FFFF"/>
          </w:tcPr>
          <w:p>
            <w:pPr>
              <w:spacing w:after="0"/>
              <w:rPr>
                <w:sz w:val="17"/>
                <w:szCs w:val="17"/>
                <w:color w:val="auto"/>
              </w:rPr>
            </w:pP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7,948</w:t>
            </w:r>
          </w:p>
        </w:tc>
      </w:tr>
      <w:tr>
        <w:trPr>
          <w:trHeight w:val="203"/>
        </w:trPr>
        <w:tc>
          <w:tcPr>
            <w:tcW w:w="8520" w:type="dxa"/>
            <w:vAlign w:val="bottom"/>
          </w:tcPr>
          <w:p>
            <w:pPr>
              <w:spacing w:after="0"/>
              <w:rPr>
                <w:sz w:val="20"/>
                <w:szCs w:val="20"/>
                <w:color w:val="auto"/>
              </w:rPr>
            </w:pPr>
            <w:r>
              <w:rPr>
                <w:rFonts w:ascii="Arial" w:cs="Arial" w:eastAsia="Arial" w:hAnsi="Arial"/>
                <w:sz w:val="16"/>
                <w:szCs w:val="16"/>
                <w:color w:val="auto"/>
              </w:rPr>
              <w:t>Accrued off-hire</w:t>
            </w:r>
          </w:p>
        </w:tc>
        <w:tc>
          <w:tcPr>
            <w:tcW w:w="1380" w:type="dxa"/>
            <w:vAlign w:val="bottom"/>
          </w:tcPr>
          <w:p>
            <w:pPr>
              <w:jc w:val="right"/>
              <w:spacing w:after="0"/>
              <w:rPr>
                <w:sz w:val="20"/>
                <w:szCs w:val="20"/>
                <w:color w:val="auto"/>
              </w:rPr>
            </w:pPr>
            <w:r>
              <w:rPr>
                <w:rFonts w:ascii="Arial" w:cs="Arial" w:eastAsia="Arial" w:hAnsi="Arial"/>
                <w:sz w:val="16"/>
                <w:szCs w:val="16"/>
                <w:color w:val="auto"/>
              </w:rPr>
              <w:t>7,376</w:t>
            </w:r>
          </w:p>
        </w:tc>
        <w:tc>
          <w:tcPr>
            <w:tcW w:w="2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6,993</w:t>
            </w:r>
          </w:p>
        </w:tc>
      </w:tr>
      <w:tr>
        <w:trPr>
          <w:trHeight w:val="203"/>
        </w:trPr>
        <w:tc>
          <w:tcPr>
            <w:tcW w:w="8520" w:type="dxa"/>
            <w:vAlign w:val="bottom"/>
            <w:shd w:val="clear" w:color="auto" w:fill="E5FFFF"/>
          </w:tcPr>
          <w:p>
            <w:pPr>
              <w:spacing w:after="0"/>
              <w:rPr>
                <w:sz w:val="20"/>
                <w:szCs w:val="20"/>
                <w:color w:val="auto"/>
              </w:rPr>
            </w:pPr>
            <w:r>
              <w:rPr>
                <w:rFonts w:ascii="Arial" w:cs="Arial" w:eastAsia="Arial" w:hAnsi="Arial"/>
                <w:sz w:val="16"/>
                <w:szCs w:val="16"/>
                <w:color w:val="auto"/>
              </w:rPr>
              <w:t>Accrued purchases</w:t>
            </w: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18,578</w:t>
            </w:r>
          </w:p>
        </w:tc>
        <w:tc>
          <w:tcPr>
            <w:tcW w:w="280" w:type="dxa"/>
            <w:vAlign w:val="bottom"/>
            <w:shd w:val="clear" w:color="auto" w:fill="E5FFFF"/>
          </w:tcPr>
          <w:p>
            <w:pPr>
              <w:spacing w:after="0"/>
              <w:rPr>
                <w:sz w:val="17"/>
                <w:szCs w:val="17"/>
                <w:color w:val="auto"/>
              </w:rPr>
            </w:pP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6,621</w:t>
            </w:r>
          </w:p>
        </w:tc>
      </w:tr>
      <w:tr>
        <w:trPr>
          <w:trHeight w:val="203"/>
        </w:trPr>
        <w:tc>
          <w:tcPr>
            <w:tcW w:w="8520" w:type="dxa"/>
            <w:vAlign w:val="bottom"/>
          </w:tcPr>
          <w:p>
            <w:pPr>
              <w:spacing w:after="0"/>
              <w:rPr>
                <w:sz w:val="20"/>
                <w:szCs w:val="20"/>
                <w:color w:val="auto"/>
              </w:rPr>
            </w:pPr>
            <w:r>
              <w:rPr>
                <w:rFonts w:ascii="Arial" w:cs="Arial" w:eastAsia="Arial" w:hAnsi="Arial"/>
                <w:sz w:val="16"/>
                <w:szCs w:val="16"/>
                <w:color w:val="auto"/>
              </w:rPr>
              <w:t>Accrued interest</w:t>
            </w:r>
          </w:p>
        </w:tc>
        <w:tc>
          <w:tcPr>
            <w:tcW w:w="1380" w:type="dxa"/>
            <w:vAlign w:val="bottom"/>
          </w:tcPr>
          <w:p>
            <w:pPr>
              <w:jc w:val="right"/>
              <w:spacing w:after="0"/>
              <w:rPr>
                <w:sz w:val="20"/>
                <w:szCs w:val="20"/>
                <w:color w:val="auto"/>
              </w:rPr>
            </w:pPr>
            <w:r>
              <w:rPr>
                <w:rFonts w:ascii="Arial" w:cs="Arial" w:eastAsia="Arial" w:hAnsi="Arial"/>
                <w:sz w:val="16"/>
                <w:szCs w:val="16"/>
                <w:color w:val="auto"/>
              </w:rPr>
              <w:t>38,107</w:t>
            </w:r>
          </w:p>
        </w:tc>
        <w:tc>
          <w:tcPr>
            <w:tcW w:w="2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21,412</w:t>
            </w:r>
          </w:p>
        </w:tc>
      </w:tr>
      <w:tr>
        <w:trPr>
          <w:trHeight w:val="203"/>
        </w:trPr>
        <w:tc>
          <w:tcPr>
            <w:tcW w:w="8520" w:type="dxa"/>
            <w:vAlign w:val="bottom"/>
            <w:shd w:val="clear" w:color="auto" w:fill="E5FFFF"/>
          </w:tcPr>
          <w:p>
            <w:pPr>
              <w:spacing w:after="0"/>
              <w:rPr>
                <w:sz w:val="20"/>
                <w:szCs w:val="20"/>
                <w:color w:val="auto"/>
              </w:rPr>
            </w:pPr>
            <w:r>
              <w:rPr>
                <w:rFonts w:ascii="Arial" w:cs="Arial" w:eastAsia="Arial" w:hAnsi="Arial"/>
                <w:sz w:val="16"/>
                <w:szCs w:val="16"/>
                <w:color w:val="auto"/>
              </w:rPr>
              <w:t>Other accruals</w:t>
            </w:r>
          </w:p>
        </w:tc>
        <w:tc>
          <w:tcPr>
            <w:tcW w:w="13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24,709</w:t>
            </w:r>
          </w:p>
        </w:tc>
        <w:tc>
          <w:tcPr>
            <w:tcW w:w="280" w:type="dxa"/>
            <w:vAlign w:val="bottom"/>
            <w:shd w:val="clear" w:color="auto" w:fill="E5FFFF"/>
          </w:tcPr>
          <w:p>
            <w:pPr>
              <w:spacing w:after="0"/>
              <w:rPr>
                <w:sz w:val="17"/>
                <w:szCs w:val="17"/>
                <w:color w:val="auto"/>
              </w:rPr>
            </w:pPr>
          </w:p>
        </w:tc>
        <w:tc>
          <w:tcPr>
            <w:tcW w:w="13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19,983</w:t>
            </w:r>
          </w:p>
        </w:tc>
      </w:tr>
      <w:tr>
        <w:trPr>
          <w:trHeight w:val="196"/>
        </w:trPr>
        <w:tc>
          <w:tcPr>
            <w:tcW w:w="8520" w:type="dxa"/>
            <w:vAlign w:val="bottom"/>
          </w:tcPr>
          <w:p>
            <w:pPr>
              <w:spacing w:after="0"/>
              <w:rPr>
                <w:sz w:val="20"/>
                <w:szCs w:val="20"/>
                <w:color w:val="auto"/>
              </w:rPr>
            </w:pPr>
            <w:r>
              <w:rPr>
                <w:rFonts w:ascii="Arial" w:cs="Arial" w:eastAsia="Arial" w:hAnsi="Arial"/>
                <w:sz w:val="16"/>
                <w:szCs w:val="16"/>
                <w:b w:val="1"/>
                <w:bCs w:val="1"/>
                <w:color w:val="auto"/>
              </w:rPr>
              <w:t>Total</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127,450</w:t>
            </w:r>
          </w:p>
        </w:tc>
        <w:tc>
          <w:tcPr>
            <w:tcW w:w="280" w:type="dxa"/>
            <w:vAlign w:val="bottom"/>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62,957</w:t>
            </w:r>
          </w:p>
        </w:tc>
      </w:tr>
      <w:tr>
        <w:trPr>
          <w:trHeight w:val="20"/>
        </w:trPr>
        <w:tc>
          <w:tcPr>
            <w:tcW w:w="85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13. Share Capital and Preference Shares</w:t>
      </w:r>
    </w:p>
    <w:p>
      <w:pPr>
        <w:spacing w:after="0" w:line="144" w:lineRule="exact"/>
        <w:rPr>
          <w:sz w:val="20"/>
          <w:szCs w:val="20"/>
          <w:color w:val="auto"/>
        </w:rPr>
      </w:pPr>
    </w:p>
    <w:p>
      <w:pPr>
        <w:ind w:left="400"/>
        <w:spacing w:after="0"/>
        <w:rPr>
          <w:sz w:val="20"/>
          <w:szCs w:val="20"/>
          <w:color w:val="auto"/>
        </w:rPr>
      </w:pPr>
      <w:r>
        <w:rPr>
          <w:rFonts w:ascii="Arial" w:cs="Arial" w:eastAsia="Arial" w:hAnsi="Arial"/>
          <w:sz w:val="16"/>
          <w:szCs w:val="16"/>
          <w:color w:val="auto"/>
        </w:rPr>
        <w:t>GasLog’s authorized share capital consists of 500,000,000 shares with a par value of $0.01 per share.</w:t>
      </w:r>
    </w:p>
    <w:p>
      <w:pPr>
        <w:spacing w:after="0" w:line="140" w:lineRule="exact"/>
        <w:rPr>
          <w:sz w:val="20"/>
          <w:szCs w:val="20"/>
          <w:color w:val="auto"/>
        </w:rPr>
      </w:pPr>
    </w:p>
    <w:p>
      <w:pPr>
        <w:jc w:val="both"/>
        <w:ind w:right="60" w:firstLine="396"/>
        <w:spacing w:after="0" w:line="278" w:lineRule="auto"/>
        <w:rPr>
          <w:sz w:val="20"/>
          <w:szCs w:val="20"/>
          <w:color w:val="auto"/>
        </w:rPr>
      </w:pPr>
      <w:r>
        <w:rPr>
          <w:rFonts w:ascii="Arial" w:cs="Arial" w:eastAsia="Arial" w:hAnsi="Arial"/>
          <w:sz w:val="16"/>
          <w:szCs w:val="16"/>
          <w:color w:val="auto"/>
        </w:rPr>
        <w:t>As of March 31, 2019, the share capital consisted of 80,649,135 issued and outstanding common shares, par value $0.01 per share, 343,991 treasury shares issued and held by GasLog and 4,600,000 preference shares issued and outstanding. The movements in the number of shares, the share capital, the preference shares, the contributed surplus and the treasury shares are reported in the following table:</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880" w:type="dxa"/>
            <w:vAlign w:val="bottom"/>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w w:val="98"/>
              </w:rPr>
              <w:t>Number of Shares</w:t>
            </w:r>
          </w:p>
        </w:tc>
        <w:tc>
          <w:tcPr>
            <w:tcW w:w="1520" w:type="dxa"/>
            <w:vAlign w:val="bottom"/>
            <w:tcBorders>
              <w:bottom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4"/>
          </w:tcPr>
          <w:p>
            <w:pPr>
              <w:jc w:val="right"/>
              <w:ind w:right="1120"/>
              <w:spacing w:after="0"/>
              <w:rPr>
                <w:sz w:val="20"/>
                <w:szCs w:val="20"/>
                <w:color w:val="auto"/>
              </w:rPr>
            </w:pPr>
            <w:r>
              <w:rPr>
                <w:rFonts w:ascii="Arial" w:cs="Arial" w:eastAsia="Arial" w:hAnsi="Arial"/>
                <w:sz w:val="16"/>
                <w:szCs w:val="16"/>
                <w:b w:val="1"/>
                <w:bCs w:val="1"/>
                <w:color w:val="auto"/>
              </w:rPr>
              <w:t>Amounts</w:t>
            </w:r>
          </w:p>
        </w:tc>
        <w:tc>
          <w:tcPr>
            <w:tcW w:w="9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1880" w:type="dxa"/>
            <w:vAlign w:val="bottom"/>
          </w:tcPr>
          <w:p>
            <w:pPr>
              <w:spacing w:after="0"/>
              <w:rPr>
                <w:sz w:val="16"/>
                <w:szCs w:val="16"/>
                <w:color w:val="auto"/>
              </w:rPr>
            </w:pPr>
          </w:p>
        </w:tc>
        <w:tc>
          <w:tcPr>
            <w:tcW w:w="152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rPr>
              <w:t>Number of</w:t>
            </w:r>
          </w:p>
        </w:tc>
        <w:tc>
          <w:tcPr>
            <w:tcW w:w="1500" w:type="dxa"/>
            <w:vAlign w:val="bottom"/>
            <w:gridSpan w:val="2"/>
          </w:tcPr>
          <w:p>
            <w:pPr>
              <w:ind w:left="300"/>
              <w:spacing w:after="0"/>
              <w:rPr>
                <w:sz w:val="20"/>
                <w:szCs w:val="20"/>
                <w:color w:val="auto"/>
              </w:rPr>
            </w:pPr>
            <w:r>
              <w:rPr>
                <w:rFonts w:ascii="Arial" w:cs="Arial" w:eastAsia="Arial" w:hAnsi="Arial"/>
                <w:sz w:val="16"/>
                <w:szCs w:val="16"/>
                <w:b w:val="1"/>
                <w:bCs w:val="1"/>
                <w:color w:val="auto"/>
              </w:rPr>
              <w:t>Number of</w:t>
            </w:r>
          </w:p>
        </w:tc>
        <w:tc>
          <w:tcPr>
            <w:tcW w:w="1520" w:type="dxa"/>
            <w:vAlign w:val="bottom"/>
          </w:tcPr>
          <w:p>
            <w:pPr>
              <w:jc w:val="right"/>
              <w:ind w:right="299"/>
              <w:spacing w:after="0"/>
              <w:rPr>
                <w:sz w:val="20"/>
                <w:szCs w:val="20"/>
                <w:color w:val="auto"/>
              </w:rPr>
            </w:pPr>
            <w:r>
              <w:rPr>
                <w:rFonts w:ascii="Arial" w:cs="Arial" w:eastAsia="Arial" w:hAnsi="Arial"/>
                <w:sz w:val="16"/>
                <w:szCs w:val="16"/>
                <w:b w:val="1"/>
                <w:bCs w:val="1"/>
                <w:color w:val="auto"/>
              </w:rPr>
              <w:t>Number of</w:t>
            </w: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Preference</w:t>
            </w:r>
          </w:p>
        </w:tc>
        <w:tc>
          <w:tcPr>
            <w:tcW w:w="126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Contributed</w:t>
            </w:r>
          </w:p>
        </w:tc>
        <w:tc>
          <w:tcPr>
            <w:tcW w:w="920" w:type="dxa"/>
            <w:vAlign w:val="bottom"/>
          </w:tcPr>
          <w:p>
            <w:pPr>
              <w:jc w:val="right"/>
              <w:ind w:right="79"/>
              <w:spacing w:after="0"/>
              <w:rPr>
                <w:sz w:val="20"/>
                <w:szCs w:val="20"/>
                <w:color w:val="auto"/>
              </w:rPr>
            </w:pPr>
            <w:r>
              <w:rPr>
                <w:rFonts w:ascii="Arial" w:cs="Arial" w:eastAsia="Arial" w:hAnsi="Arial"/>
                <w:sz w:val="16"/>
                <w:szCs w:val="16"/>
                <w:b w:val="1"/>
                <w:bCs w:val="1"/>
                <w:color w:val="auto"/>
              </w:rPr>
              <w:t>Treasury</w:t>
            </w:r>
          </w:p>
        </w:tc>
        <w:tc>
          <w:tcPr>
            <w:tcW w:w="6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1880" w:type="dxa"/>
            <w:vAlign w:val="bottom"/>
          </w:tcPr>
          <w:p>
            <w:pPr>
              <w:spacing w:after="0"/>
              <w:rPr>
                <w:sz w:val="18"/>
                <w:szCs w:val="18"/>
                <w:color w:val="auto"/>
              </w:rPr>
            </w:pPr>
          </w:p>
        </w:tc>
        <w:tc>
          <w:tcPr>
            <w:tcW w:w="152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w w:val="96"/>
              </w:rPr>
              <w:t>common shares</w:t>
            </w:r>
          </w:p>
        </w:tc>
        <w:tc>
          <w:tcPr>
            <w:tcW w:w="1500" w:type="dxa"/>
            <w:vAlign w:val="bottom"/>
            <w:gridSpan w:val="2"/>
          </w:tcPr>
          <w:p>
            <w:pPr>
              <w:ind w:left="140"/>
              <w:spacing w:after="0"/>
              <w:rPr>
                <w:sz w:val="20"/>
                <w:szCs w:val="20"/>
                <w:color w:val="auto"/>
              </w:rPr>
            </w:pPr>
            <w:r>
              <w:rPr>
                <w:rFonts w:ascii="Arial" w:cs="Arial" w:eastAsia="Arial" w:hAnsi="Arial"/>
                <w:sz w:val="16"/>
                <w:szCs w:val="16"/>
                <w:b w:val="1"/>
                <w:bCs w:val="1"/>
                <w:color w:val="auto"/>
              </w:rPr>
              <w:t>treasury shares</w:t>
            </w:r>
          </w:p>
        </w:tc>
        <w:tc>
          <w:tcPr>
            <w:tcW w:w="1880" w:type="dxa"/>
            <w:vAlign w:val="bottom"/>
            <w:gridSpan w:val="2"/>
          </w:tcPr>
          <w:p>
            <w:pPr>
              <w:jc w:val="right"/>
              <w:ind w:right="520"/>
              <w:spacing w:after="0"/>
              <w:rPr>
                <w:sz w:val="20"/>
                <w:szCs w:val="20"/>
                <w:color w:val="auto"/>
              </w:rPr>
            </w:pPr>
            <w:r>
              <w:rPr>
                <w:rFonts w:ascii="Arial" w:cs="Arial" w:eastAsia="Arial" w:hAnsi="Arial"/>
                <w:sz w:val="16"/>
                <w:szCs w:val="16"/>
                <w:b w:val="1"/>
                <w:bCs w:val="1"/>
                <w:color w:val="auto"/>
                <w:w w:val="97"/>
              </w:rPr>
              <w:t>preference shares</w:t>
            </w:r>
          </w:p>
        </w:tc>
        <w:tc>
          <w:tcPr>
            <w:tcW w:w="1320" w:type="dxa"/>
            <w:vAlign w:val="bottom"/>
            <w:gridSpan w:val="2"/>
          </w:tcPr>
          <w:p>
            <w:pPr>
              <w:ind w:left="120"/>
              <w:spacing w:after="0"/>
              <w:rPr>
                <w:sz w:val="20"/>
                <w:szCs w:val="20"/>
                <w:color w:val="auto"/>
              </w:rPr>
            </w:pPr>
            <w:r>
              <w:rPr>
                <w:rFonts w:ascii="Arial" w:cs="Arial" w:eastAsia="Arial" w:hAnsi="Arial"/>
                <w:sz w:val="16"/>
                <w:szCs w:val="16"/>
                <w:b w:val="1"/>
                <w:bCs w:val="1"/>
                <w:color w:val="auto"/>
              </w:rPr>
              <w:t>Share capital</w:t>
            </w:r>
          </w:p>
        </w:tc>
        <w:tc>
          <w:tcPr>
            <w:tcW w:w="118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rPr>
              <w:t>shares</w:t>
            </w:r>
          </w:p>
        </w:tc>
        <w:tc>
          <w:tcPr>
            <w:tcW w:w="1260" w:type="dxa"/>
            <w:vAlign w:val="bottom"/>
            <w:gridSpan w:val="2"/>
          </w:tcPr>
          <w:p>
            <w:pPr>
              <w:jc w:val="right"/>
              <w:ind w:right="460"/>
              <w:spacing w:after="0"/>
              <w:rPr>
                <w:sz w:val="20"/>
                <w:szCs w:val="20"/>
                <w:color w:val="auto"/>
              </w:rPr>
            </w:pPr>
            <w:r>
              <w:rPr>
                <w:rFonts w:ascii="Arial" w:cs="Arial" w:eastAsia="Arial" w:hAnsi="Arial"/>
                <w:sz w:val="16"/>
                <w:szCs w:val="16"/>
                <w:b w:val="1"/>
                <w:bCs w:val="1"/>
                <w:color w:val="auto"/>
              </w:rPr>
              <w:t>surplus</w:t>
            </w:r>
          </w:p>
        </w:tc>
        <w:tc>
          <w:tcPr>
            <w:tcW w:w="980" w:type="dxa"/>
            <w:vAlign w:val="bottom"/>
            <w:gridSpan w:val="3"/>
          </w:tcPr>
          <w:p>
            <w:pPr>
              <w:jc w:val="right"/>
              <w:ind w:right="300"/>
              <w:spacing w:after="0"/>
              <w:rPr>
                <w:sz w:val="20"/>
                <w:szCs w:val="20"/>
                <w:color w:val="auto"/>
              </w:rPr>
            </w:pPr>
            <w:r>
              <w:rPr>
                <w:rFonts w:ascii="Arial" w:cs="Arial" w:eastAsia="Arial" w:hAnsi="Arial"/>
                <w:sz w:val="16"/>
                <w:szCs w:val="16"/>
                <w:b w:val="1"/>
                <w:bCs w:val="1"/>
                <w:color w:val="auto"/>
              </w:rPr>
              <w:t>shares</w:t>
            </w:r>
          </w:p>
        </w:tc>
        <w:tc>
          <w:tcPr>
            <w:tcW w:w="0" w:type="dxa"/>
            <w:vAlign w:val="bottom"/>
          </w:tcPr>
          <w:p>
            <w:pPr>
              <w:spacing w:after="0"/>
              <w:rPr>
                <w:sz w:val="1"/>
                <w:szCs w:val="1"/>
                <w:color w:val="auto"/>
              </w:rPr>
            </w:pPr>
          </w:p>
        </w:tc>
      </w:tr>
      <w:tr>
        <w:trPr>
          <w:trHeight w:val="172"/>
        </w:trPr>
        <w:tc>
          <w:tcPr>
            <w:tcW w:w="1880" w:type="dxa"/>
            <w:vAlign w:val="bottom"/>
            <w:tcBorders>
              <w:top w:val="single" w:sz="8" w:color="E5FFFF"/>
            </w:tcBorders>
            <w:shd w:val="clear" w:color="auto" w:fill="E5FFFF"/>
          </w:tcPr>
          <w:p>
            <w:pPr>
              <w:spacing w:after="0" w:line="171" w:lineRule="exact"/>
              <w:rPr>
                <w:sz w:val="20"/>
                <w:szCs w:val="20"/>
                <w:color w:val="auto"/>
              </w:rPr>
            </w:pPr>
            <w:r>
              <w:rPr>
                <w:rFonts w:ascii="Arial" w:cs="Arial" w:eastAsia="Arial" w:hAnsi="Arial"/>
                <w:sz w:val="16"/>
                <w:szCs w:val="16"/>
                <w:b w:val="1"/>
                <w:bCs w:val="1"/>
                <w:color w:val="auto"/>
              </w:rPr>
              <w:t>Outstanding as of</w:t>
            </w:r>
          </w:p>
        </w:tc>
        <w:tc>
          <w:tcPr>
            <w:tcW w:w="1340" w:type="dxa"/>
            <w:vAlign w:val="bottom"/>
            <w:tcBorders>
              <w:top w:val="single" w:sz="8" w:color="auto"/>
            </w:tcBorders>
            <w:shd w:val="clear" w:color="auto" w:fill="E5FFFF"/>
          </w:tcPr>
          <w:p>
            <w:pPr>
              <w:spacing w:after="0"/>
              <w:rPr>
                <w:sz w:val="14"/>
                <w:szCs w:val="14"/>
                <w:color w:val="auto"/>
              </w:rPr>
            </w:pPr>
          </w:p>
        </w:tc>
        <w:tc>
          <w:tcPr>
            <w:tcW w:w="180" w:type="dxa"/>
            <w:vAlign w:val="bottom"/>
            <w:tcBorders>
              <w:top w:val="single" w:sz="8" w:color="E5FFFF"/>
            </w:tcBorders>
            <w:shd w:val="clear" w:color="auto" w:fill="E5FFFF"/>
          </w:tcPr>
          <w:p>
            <w:pPr>
              <w:spacing w:after="0"/>
              <w:rPr>
                <w:sz w:val="14"/>
                <w:szCs w:val="14"/>
                <w:color w:val="auto"/>
              </w:rPr>
            </w:pPr>
          </w:p>
        </w:tc>
        <w:tc>
          <w:tcPr>
            <w:tcW w:w="1340" w:type="dxa"/>
            <w:vAlign w:val="bottom"/>
            <w:tcBorders>
              <w:top w:val="single" w:sz="8" w:color="auto"/>
            </w:tcBorders>
            <w:shd w:val="clear" w:color="auto" w:fill="E5FFFF"/>
          </w:tcPr>
          <w:p>
            <w:pPr>
              <w:spacing w:after="0"/>
              <w:rPr>
                <w:sz w:val="14"/>
                <w:szCs w:val="14"/>
                <w:color w:val="auto"/>
              </w:rPr>
            </w:pPr>
          </w:p>
        </w:tc>
        <w:tc>
          <w:tcPr>
            <w:tcW w:w="160" w:type="dxa"/>
            <w:vAlign w:val="bottom"/>
            <w:tcBorders>
              <w:top w:val="single" w:sz="8" w:color="E5FFFF"/>
            </w:tcBorders>
            <w:shd w:val="clear" w:color="auto" w:fill="E5FFFF"/>
          </w:tcPr>
          <w:p>
            <w:pPr>
              <w:spacing w:after="0"/>
              <w:rPr>
                <w:sz w:val="14"/>
                <w:szCs w:val="14"/>
                <w:color w:val="auto"/>
              </w:rPr>
            </w:pPr>
          </w:p>
        </w:tc>
        <w:tc>
          <w:tcPr>
            <w:tcW w:w="1520" w:type="dxa"/>
            <w:vAlign w:val="bottom"/>
            <w:tcBorders>
              <w:top w:val="single" w:sz="8" w:color="auto"/>
            </w:tcBorders>
            <w:shd w:val="clear" w:color="auto" w:fill="E5FFFF"/>
          </w:tcPr>
          <w:p>
            <w:pPr>
              <w:spacing w:after="0"/>
              <w:rPr>
                <w:sz w:val="14"/>
                <w:szCs w:val="14"/>
                <w:color w:val="auto"/>
              </w:rPr>
            </w:pPr>
          </w:p>
        </w:tc>
        <w:tc>
          <w:tcPr>
            <w:tcW w:w="360" w:type="dxa"/>
            <w:vAlign w:val="bottom"/>
            <w:tcBorders>
              <w:top w:val="single" w:sz="8" w:color="E5FFFF"/>
            </w:tcBorders>
            <w:shd w:val="clear" w:color="auto" w:fill="E5FFFF"/>
          </w:tcPr>
          <w:p>
            <w:pPr>
              <w:spacing w:after="0"/>
              <w:rPr>
                <w:sz w:val="14"/>
                <w:szCs w:val="14"/>
                <w:color w:val="auto"/>
              </w:rPr>
            </w:pPr>
          </w:p>
        </w:tc>
        <w:tc>
          <w:tcPr>
            <w:tcW w:w="1160" w:type="dxa"/>
            <w:vAlign w:val="bottom"/>
            <w:tcBorders>
              <w:top w:val="single" w:sz="8" w:color="auto"/>
            </w:tcBorders>
            <w:shd w:val="clear" w:color="auto" w:fill="E5FFFF"/>
          </w:tcPr>
          <w:p>
            <w:pPr>
              <w:spacing w:after="0"/>
              <w:rPr>
                <w:sz w:val="14"/>
                <w:szCs w:val="14"/>
                <w:color w:val="auto"/>
              </w:rPr>
            </w:pPr>
          </w:p>
        </w:tc>
        <w:tc>
          <w:tcPr>
            <w:tcW w:w="160" w:type="dxa"/>
            <w:vAlign w:val="bottom"/>
            <w:tcBorders>
              <w:top w:val="single" w:sz="8" w:color="E5FFFF"/>
            </w:tcBorders>
            <w:shd w:val="clear" w:color="auto" w:fill="E5FFFF"/>
          </w:tcPr>
          <w:p>
            <w:pPr>
              <w:spacing w:after="0"/>
              <w:rPr>
                <w:sz w:val="14"/>
                <w:szCs w:val="14"/>
                <w:color w:val="auto"/>
              </w:rPr>
            </w:pPr>
          </w:p>
        </w:tc>
        <w:tc>
          <w:tcPr>
            <w:tcW w:w="1020" w:type="dxa"/>
            <w:vAlign w:val="bottom"/>
            <w:tcBorders>
              <w:top w:val="single" w:sz="8" w:color="auto"/>
            </w:tcBorders>
            <w:shd w:val="clear" w:color="auto" w:fill="E5FFFF"/>
          </w:tcPr>
          <w:p>
            <w:pPr>
              <w:spacing w:after="0"/>
              <w:rPr>
                <w:sz w:val="14"/>
                <w:szCs w:val="14"/>
                <w:color w:val="auto"/>
              </w:rPr>
            </w:pPr>
          </w:p>
        </w:tc>
        <w:tc>
          <w:tcPr>
            <w:tcW w:w="160" w:type="dxa"/>
            <w:vAlign w:val="bottom"/>
            <w:tcBorders>
              <w:top w:val="single" w:sz="8" w:color="E5FFFF"/>
            </w:tcBorders>
            <w:shd w:val="clear" w:color="auto" w:fill="E5FFFF"/>
          </w:tcPr>
          <w:p>
            <w:pPr>
              <w:spacing w:after="0"/>
              <w:rPr>
                <w:sz w:val="14"/>
                <w:szCs w:val="14"/>
                <w:color w:val="auto"/>
              </w:rPr>
            </w:pPr>
          </w:p>
        </w:tc>
        <w:tc>
          <w:tcPr>
            <w:tcW w:w="1100" w:type="dxa"/>
            <w:vAlign w:val="bottom"/>
            <w:tcBorders>
              <w:top w:val="single" w:sz="8" w:color="auto"/>
            </w:tcBorders>
            <w:shd w:val="clear" w:color="auto" w:fill="E5FFFF"/>
          </w:tcPr>
          <w:p>
            <w:pPr>
              <w:spacing w:after="0"/>
              <w:rPr>
                <w:sz w:val="14"/>
                <w:szCs w:val="14"/>
                <w:color w:val="auto"/>
              </w:rPr>
            </w:pPr>
          </w:p>
        </w:tc>
        <w:tc>
          <w:tcPr>
            <w:tcW w:w="160" w:type="dxa"/>
            <w:vAlign w:val="bottom"/>
            <w:tcBorders>
              <w:top w:val="single" w:sz="8" w:color="E5FFFF"/>
            </w:tcBorders>
            <w:shd w:val="clear" w:color="auto" w:fill="E5FFFF"/>
          </w:tcPr>
          <w:p>
            <w:pPr>
              <w:spacing w:after="0"/>
              <w:rPr>
                <w:sz w:val="14"/>
                <w:szCs w:val="14"/>
                <w:color w:val="auto"/>
              </w:rPr>
            </w:pPr>
          </w:p>
        </w:tc>
        <w:tc>
          <w:tcPr>
            <w:tcW w:w="920" w:type="dxa"/>
            <w:vAlign w:val="bottom"/>
            <w:tcBorders>
              <w:top w:val="single" w:sz="8" w:color="auto"/>
            </w:tcBorders>
            <w:shd w:val="clear" w:color="auto" w:fill="E5FFFF"/>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880" w:type="dxa"/>
            <w:vAlign w:val="bottom"/>
            <w:shd w:val="clear" w:color="auto" w:fill="E5FFFF"/>
          </w:tcPr>
          <w:p>
            <w:pPr>
              <w:ind w:left="180"/>
              <w:spacing w:after="0"/>
              <w:rPr>
                <w:sz w:val="20"/>
                <w:szCs w:val="20"/>
                <w:color w:val="auto"/>
              </w:rPr>
            </w:pPr>
            <w:r>
              <w:rPr>
                <w:rFonts w:ascii="Arial" w:cs="Arial" w:eastAsia="Arial" w:hAnsi="Arial"/>
                <w:sz w:val="16"/>
                <w:szCs w:val="16"/>
                <w:b w:val="1"/>
                <w:bCs w:val="1"/>
                <w:color w:val="auto"/>
              </w:rPr>
              <w:t>January 1, 2019</w:t>
            </w:r>
          </w:p>
        </w:tc>
        <w:tc>
          <w:tcPr>
            <w:tcW w:w="1520" w:type="dxa"/>
            <w:vAlign w:val="bottom"/>
            <w:gridSpan w:val="2"/>
            <w:shd w:val="clear" w:color="auto" w:fill="E5FFFF"/>
          </w:tcPr>
          <w:p>
            <w:pPr>
              <w:jc w:val="right"/>
              <w:ind w:right="180"/>
              <w:spacing w:after="0"/>
              <w:rPr>
                <w:sz w:val="20"/>
                <w:szCs w:val="20"/>
                <w:color w:val="auto"/>
              </w:rPr>
            </w:pPr>
            <w:r>
              <w:rPr>
                <w:rFonts w:ascii="Arial" w:cs="Arial" w:eastAsia="Arial" w:hAnsi="Arial"/>
                <w:sz w:val="16"/>
                <w:szCs w:val="16"/>
                <w:b w:val="1"/>
                <w:bCs w:val="1"/>
                <w:color w:val="auto"/>
              </w:rPr>
              <w:t>80,861,246</w:t>
            </w:r>
          </w:p>
        </w:tc>
        <w:tc>
          <w:tcPr>
            <w:tcW w:w="1500" w:type="dxa"/>
            <w:vAlign w:val="bottom"/>
            <w:gridSpan w:val="2"/>
            <w:shd w:val="clear" w:color="auto" w:fill="E5FFFF"/>
          </w:tcPr>
          <w:p>
            <w:pPr>
              <w:jc w:val="right"/>
              <w:ind w:right="160"/>
              <w:spacing w:after="0"/>
              <w:rPr>
                <w:sz w:val="20"/>
                <w:szCs w:val="20"/>
                <w:color w:val="auto"/>
              </w:rPr>
            </w:pPr>
            <w:r>
              <w:rPr>
                <w:rFonts w:ascii="Arial" w:cs="Arial" w:eastAsia="Arial" w:hAnsi="Arial"/>
                <w:sz w:val="16"/>
                <w:szCs w:val="16"/>
                <w:b w:val="1"/>
                <w:bCs w:val="1"/>
                <w:color w:val="auto"/>
              </w:rPr>
              <w:t>131,880</w:t>
            </w:r>
          </w:p>
        </w:tc>
        <w:tc>
          <w:tcPr>
            <w:tcW w:w="1520" w:type="dxa"/>
            <w:vAlign w:val="bottom"/>
            <w:shd w:val="clear" w:color="auto" w:fill="E5FFFF"/>
          </w:tcPr>
          <w:p>
            <w:pPr>
              <w:jc w:val="right"/>
              <w:spacing w:after="0"/>
              <w:rPr>
                <w:sz w:val="20"/>
                <w:szCs w:val="20"/>
                <w:color w:val="auto"/>
              </w:rPr>
            </w:pPr>
            <w:r>
              <w:rPr>
                <w:rFonts w:ascii="Arial" w:cs="Arial" w:eastAsia="Arial" w:hAnsi="Arial"/>
                <w:sz w:val="16"/>
                <w:szCs w:val="16"/>
                <w:b w:val="1"/>
                <w:bCs w:val="1"/>
                <w:color w:val="auto"/>
              </w:rPr>
              <w:t>4,600,000</w:t>
            </w:r>
          </w:p>
        </w:tc>
        <w:tc>
          <w:tcPr>
            <w:tcW w:w="360" w:type="dxa"/>
            <w:vAlign w:val="bottom"/>
            <w:shd w:val="clear" w:color="auto" w:fill="E5FFFF"/>
          </w:tcPr>
          <w:p>
            <w:pPr>
              <w:spacing w:after="0"/>
              <w:rPr>
                <w:sz w:val="18"/>
                <w:szCs w:val="18"/>
                <w:color w:val="auto"/>
              </w:rPr>
            </w:pPr>
          </w:p>
        </w:tc>
        <w:tc>
          <w:tcPr>
            <w:tcW w:w="1160" w:type="dxa"/>
            <w:vAlign w:val="bottom"/>
            <w:shd w:val="clear" w:color="auto" w:fill="E5FFFF"/>
          </w:tcPr>
          <w:p>
            <w:pPr>
              <w:jc w:val="right"/>
              <w:spacing w:after="0"/>
              <w:rPr>
                <w:sz w:val="20"/>
                <w:szCs w:val="20"/>
                <w:color w:val="auto"/>
              </w:rPr>
            </w:pPr>
            <w:r>
              <w:rPr>
                <w:rFonts w:ascii="Arial" w:cs="Arial" w:eastAsia="Arial" w:hAnsi="Arial"/>
                <w:sz w:val="16"/>
                <w:szCs w:val="16"/>
                <w:b w:val="1"/>
                <w:bCs w:val="1"/>
                <w:color w:val="auto"/>
              </w:rPr>
              <w:t>810</w:t>
            </w:r>
          </w:p>
        </w:tc>
        <w:tc>
          <w:tcPr>
            <w:tcW w:w="160" w:type="dxa"/>
            <w:vAlign w:val="bottom"/>
            <w:shd w:val="clear" w:color="auto" w:fill="E5FFFF"/>
          </w:tcPr>
          <w:p>
            <w:pPr>
              <w:spacing w:after="0"/>
              <w:rPr>
                <w:sz w:val="18"/>
                <w:szCs w:val="18"/>
                <w:color w:val="auto"/>
              </w:rPr>
            </w:pPr>
          </w:p>
        </w:tc>
        <w:tc>
          <w:tcPr>
            <w:tcW w:w="1020" w:type="dxa"/>
            <w:vAlign w:val="bottom"/>
            <w:shd w:val="clear" w:color="auto" w:fill="E5FFFF"/>
          </w:tcPr>
          <w:p>
            <w:pPr>
              <w:jc w:val="right"/>
              <w:spacing w:after="0"/>
              <w:rPr>
                <w:sz w:val="20"/>
                <w:szCs w:val="20"/>
                <w:color w:val="auto"/>
              </w:rPr>
            </w:pPr>
            <w:r>
              <w:rPr>
                <w:rFonts w:ascii="Arial" w:cs="Arial" w:eastAsia="Arial" w:hAnsi="Arial"/>
                <w:sz w:val="16"/>
                <w:szCs w:val="16"/>
                <w:b w:val="1"/>
                <w:bCs w:val="1"/>
                <w:color w:val="auto"/>
              </w:rPr>
              <w:t>46</w:t>
            </w:r>
          </w:p>
        </w:tc>
        <w:tc>
          <w:tcPr>
            <w:tcW w:w="160" w:type="dxa"/>
            <w:vAlign w:val="bottom"/>
            <w:shd w:val="clear" w:color="auto" w:fill="E5FFFF"/>
          </w:tcPr>
          <w:p>
            <w:pPr>
              <w:spacing w:after="0"/>
              <w:rPr>
                <w:sz w:val="18"/>
                <w:szCs w:val="18"/>
                <w:color w:val="auto"/>
              </w:rPr>
            </w:pPr>
          </w:p>
        </w:tc>
        <w:tc>
          <w:tcPr>
            <w:tcW w:w="1260" w:type="dxa"/>
            <w:vAlign w:val="bottom"/>
            <w:gridSpan w:val="2"/>
            <w:shd w:val="clear" w:color="auto" w:fill="E5FFFF"/>
          </w:tcPr>
          <w:p>
            <w:pPr>
              <w:jc w:val="right"/>
              <w:ind w:right="160"/>
              <w:spacing w:after="0"/>
              <w:rPr>
                <w:sz w:val="20"/>
                <w:szCs w:val="20"/>
                <w:color w:val="auto"/>
              </w:rPr>
            </w:pPr>
            <w:r>
              <w:rPr>
                <w:rFonts w:ascii="Arial" w:cs="Arial" w:eastAsia="Arial" w:hAnsi="Arial"/>
                <w:sz w:val="16"/>
                <w:szCs w:val="16"/>
                <w:b w:val="1"/>
                <w:bCs w:val="1"/>
                <w:color w:val="auto"/>
              </w:rPr>
              <w:t>850,576</w:t>
            </w:r>
          </w:p>
        </w:tc>
        <w:tc>
          <w:tcPr>
            <w:tcW w:w="920" w:type="dxa"/>
            <w:vAlign w:val="bottom"/>
            <w:shd w:val="clear" w:color="auto" w:fill="E5FFFF"/>
          </w:tcPr>
          <w:p>
            <w:pPr>
              <w:jc w:val="right"/>
              <w:spacing w:after="0"/>
              <w:rPr>
                <w:sz w:val="20"/>
                <w:szCs w:val="20"/>
                <w:color w:val="auto"/>
              </w:rPr>
            </w:pPr>
            <w:r>
              <w:rPr>
                <w:rFonts w:ascii="Arial" w:cs="Arial" w:eastAsia="Arial" w:hAnsi="Arial"/>
                <w:sz w:val="16"/>
                <w:szCs w:val="16"/>
                <w:b w:val="1"/>
                <w:bCs w:val="1"/>
                <w:color w:val="auto"/>
              </w:rPr>
              <w:t>(3,266)</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1880" w:type="dxa"/>
            <w:vAlign w:val="bottom"/>
          </w:tcPr>
          <w:p>
            <w:pPr>
              <w:spacing w:after="0" w:line="173" w:lineRule="exact"/>
              <w:rPr>
                <w:sz w:val="20"/>
                <w:szCs w:val="20"/>
                <w:color w:val="auto"/>
              </w:rPr>
            </w:pPr>
            <w:r>
              <w:rPr>
                <w:rFonts w:ascii="Arial" w:cs="Arial" w:eastAsia="Arial" w:hAnsi="Arial"/>
                <w:sz w:val="16"/>
                <w:szCs w:val="16"/>
                <w:color w:val="auto"/>
              </w:rPr>
              <w:t>Purchase of treasury</w:t>
            </w:r>
          </w:p>
        </w:tc>
        <w:tc>
          <w:tcPr>
            <w:tcW w:w="134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520" w:type="dxa"/>
            <w:vAlign w:val="bottom"/>
            <w:tcBorders>
              <w:top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880" w:type="dxa"/>
            <w:vAlign w:val="bottom"/>
          </w:tcPr>
          <w:p>
            <w:pPr>
              <w:ind w:left="180"/>
              <w:spacing w:after="0"/>
              <w:rPr>
                <w:sz w:val="20"/>
                <w:szCs w:val="20"/>
                <w:color w:val="auto"/>
              </w:rPr>
            </w:pPr>
            <w:r>
              <w:rPr>
                <w:rFonts w:ascii="Arial" w:cs="Arial" w:eastAsia="Arial" w:hAnsi="Arial"/>
                <w:sz w:val="16"/>
                <w:szCs w:val="16"/>
                <w:color w:val="auto"/>
              </w:rPr>
              <w:t>shares</w:t>
            </w:r>
          </w:p>
        </w:tc>
        <w:tc>
          <w:tcPr>
            <w:tcW w:w="1520" w:type="dxa"/>
            <w:vAlign w:val="bottom"/>
            <w:gridSpan w:val="2"/>
          </w:tcPr>
          <w:p>
            <w:pPr>
              <w:jc w:val="right"/>
              <w:ind w:right="120"/>
              <w:spacing w:after="0"/>
              <w:rPr>
                <w:sz w:val="20"/>
                <w:szCs w:val="20"/>
                <w:color w:val="auto"/>
              </w:rPr>
            </w:pPr>
            <w:r>
              <w:rPr>
                <w:rFonts w:ascii="Arial" w:cs="Arial" w:eastAsia="Arial" w:hAnsi="Arial"/>
                <w:sz w:val="16"/>
                <w:szCs w:val="16"/>
                <w:color w:val="auto"/>
              </w:rPr>
              <w:t>(212,111)</w:t>
            </w:r>
          </w:p>
        </w:tc>
        <w:tc>
          <w:tcPr>
            <w:tcW w:w="1500" w:type="dxa"/>
            <w:vAlign w:val="bottom"/>
            <w:gridSpan w:val="2"/>
          </w:tcPr>
          <w:p>
            <w:pPr>
              <w:jc w:val="right"/>
              <w:ind w:right="160"/>
              <w:spacing w:after="0"/>
              <w:rPr>
                <w:sz w:val="20"/>
                <w:szCs w:val="20"/>
                <w:color w:val="auto"/>
              </w:rPr>
            </w:pPr>
            <w:r>
              <w:rPr>
                <w:rFonts w:ascii="Arial" w:cs="Arial" w:eastAsia="Arial" w:hAnsi="Arial"/>
                <w:sz w:val="16"/>
                <w:szCs w:val="16"/>
                <w:color w:val="auto"/>
              </w:rPr>
              <w:t>212,111</w:t>
            </w:r>
          </w:p>
        </w:tc>
        <w:tc>
          <w:tcPr>
            <w:tcW w:w="188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gridSpan w:val="3"/>
          </w:tcPr>
          <w:p>
            <w:pPr>
              <w:jc w:val="right"/>
              <w:spacing w:after="0"/>
              <w:rPr>
                <w:sz w:val="20"/>
                <w:szCs w:val="20"/>
                <w:color w:val="auto"/>
              </w:rPr>
            </w:pPr>
            <w:r>
              <w:rPr>
                <w:rFonts w:ascii="Arial" w:cs="Arial" w:eastAsia="Arial" w:hAnsi="Arial"/>
                <w:sz w:val="16"/>
                <w:szCs w:val="16"/>
                <w:color w:val="auto"/>
              </w:rPr>
              <w:t>(3,752)</w:t>
            </w:r>
          </w:p>
        </w:tc>
        <w:tc>
          <w:tcPr>
            <w:tcW w:w="0" w:type="dxa"/>
            <w:vAlign w:val="bottom"/>
          </w:tcPr>
          <w:p>
            <w:pPr>
              <w:spacing w:after="0"/>
              <w:rPr>
                <w:sz w:val="1"/>
                <w:szCs w:val="1"/>
                <w:color w:val="auto"/>
              </w:rPr>
            </w:pPr>
          </w:p>
        </w:tc>
      </w:tr>
      <w:tr>
        <w:trPr>
          <w:trHeight w:val="196"/>
        </w:trPr>
        <w:tc>
          <w:tcPr>
            <w:tcW w:w="1880" w:type="dxa"/>
            <w:vAlign w:val="bottom"/>
            <w:shd w:val="clear" w:color="auto" w:fill="E5FFFF"/>
          </w:tcPr>
          <w:p>
            <w:pPr>
              <w:spacing w:after="0"/>
              <w:rPr>
                <w:sz w:val="20"/>
                <w:szCs w:val="20"/>
                <w:color w:val="auto"/>
              </w:rPr>
            </w:pPr>
            <w:r>
              <w:rPr>
                <w:rFonts w:ascii="Arial" w:cs="Arial" w:eastAsia="Arial" w:hAnsi="Arial"/>
                <w:sz w:val="16"/>
                <w:szCs w:val="16"/>
                <w:color w:val="auto"/>
              </w:rPr>
              <w:t>Dividends declared</w:t>
            </w:r>
          </w:p>
        </w:tc>
        <w:tc>
          <w:tcPr>
            <w:tcW w:w="134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134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520" w:type="dxa"/>
            <w:vAlign w:val="bottom"/>
            <w:shd w:val="clear" w:color="auto" w:fill="E5FFFF"/>
          </w:tcPr>
          <w:p>
            <w:pPr>
              <w:spacing w:after="0"/>
              <w:rPr>
                <w:sz w:val="17"/>
                <w:szCs w:val="17"/>
                <w:color w:val="auto"/>
              </w:rPr>
            </w:pPr>
          </w:p>
        </w:tc>
        <w:tc>
          <w:tcPr>
            <w:tcW w:w="360" w:type="dxa"/>
            <w:vAlign w:val="bottom"/>
            <w:shd w:val="clear" w:color="auto" w:fill="E5FFFF"/>
          </w:tcPr>
          <w:p>
            <w:pPr>
              <w:spacing w:after="0"/>
              <w:rPr>
                <w:sz w:val="17"/>
                <w:szCs w:val="17"/>
                <w:color w:val="auto"/>
              </w:rPr>
            </w:pPr>
          </w:p>
        </w:tc>
        <w:tc>
          <w:tcPr>
            <w:tcW w:w="116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0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10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920" w:type="dxa"/>
            <w:vAlign w:val="bottom"/>
            <w:shd w:val="clear" w:color="auto" w:fill="E5FFFF"/>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80" w:type="dxa"/>
            <w:vAlign w:val="bottom"/>
            <w:shd w:val="clear" w:color="auto" w:fill="E5FFFF"/>
          </w:tcPr>
          <w:p>
            <w:pPr>
              <w:ind w:left="180"/>
              <w:spacing w:after="0"/>
              <w:rPr>
                <w:sz w:val="20"/>
                <w:szCs w:val="20"/>
                <w:color w:val="auto"/>
              </w:rPr>
            </w:pPr>
            <w:r>
              <w:rPr>
                <w:rFonts w:ascii="Arial" w:cs="Arial" w:eastAsia="Arial" w:hAnsi="Arial"/>
                <w:sz w:val="16"/>
                <w:szCs w:val="16"/>
                <w:color w:val="auto"/>
              </w:rPr>
              <w:t>deducted from</w:t>
            </w:r>
          </w:p>
        </w:tc>
        <w:tc>
          <w:tcPr>
            <w:tcW w:w="134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134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520" w:type="dxa"/>
            <w:vAlign w:val="bottom"/>
            <w:shd w:val="clear" w:color="auto" w:fill="E5FFFF"/>
          </w:tcPr>
          <w:p>
            <w:pPr>
              <w:spacing w:after="0"/>
              <w:rPr>
                <w:sz w:val="17"/>
                <w:szCs w:val="17"/>
                <w:color w:val="auto"/>
              </w:rPr>
            </w:pPr>
          </w:p>
        </w:tc>
        <w:tc>
          <w:tcPr>
            <w:tcW w:w="360" w:type="dxa"/>
            <w:vAlign w:val="bottom"/>
            <w:shd w:val="clear" w:color="auto" w:fill="E5FFFF"/>
          </w:tcPr>
          <w:p>
            <w:pPr>
              <w:spacing w:after="0"/>
              <w:rPr>
                <w:sz w:val="17"/>
                <w:szCs w:val="17"/>
                <w:color w:val="auto"/>
              </w:rPr>
            </w:pPr>
          </w:p>
        </w:tc>
        <w:tc>
          <w:tcPr>
            <w:tcW w:w="116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0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10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920" w:type="dxa"/>
            <w:vAlign w:val="bottom"/>
            <w:shd w:val="clear" w:color="auto" w:fill="E5FFFF"/>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80" w:type="dxa"/>
            <w:vAlign w:val="bottom"/>
            <w:shd w:val="clear" w:color="auto" w:fill="E5FFFF"/>
          </w:tcPr>
          <w:p>
            <w:pPr>
              <w:ind w:left="180"/>
              <w:spacing w:after="0"/>
              <w:rPr>
                <w:sz w:val="20"/>
                <w:szCs w:val="20"/>
                <w:color w:val="auto"/>
              </w:rPr>
            </w:pPr>
            <w:r>
              <w:rPr>
                <w:rFonts w:ascii="Arial" w:cs="Arial" w:eastAsia="Arial" w:hAnsi="Arial"/>
                <w:sz w:val="16"/>
                <w:szCs w:val="16"/>
                <w:color w:val="auto"/>
              </w:rPr>
              <w:t>Contributed surplus</w:t>
            </w:r>
          </w:p>
        </w:tc>
        <w:tc>
          <w:tcPr>
            <w:tcW w:w="134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134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520" w:type="dxa"/>
            <w:vAlign w:val="bottom"/>
            <w:shd w:val="clear" w:color="auto" w:fill="E5FFFF"/>
          </w:tcPr>
          <w:p>
            <w:pPr>
              <w:spacing w:after="0"/>
              <w:rPr>
                <w:sz w:val="17"/>
                <w:szCs w:val="17"/>
                <w:color w:val="auto"/>
              </w:rPr>
            </w:pPr>
          </w:p>
        </w:tc>
        <w:tc>
          <w:tcPr>
            <w:tcW w:w="360" w:type="dxa"/>
            <w:vAlign w:val="bottom"/>
            <w:shd w:val="clear" w:color="auto" w:fill="E5FFFF"/>
          </w:tcPr>
          <w:p>
            <w:pPr>
              <w:spacing w:after="0"/>
              <w:rPr>
                <w:sz w:val="17"/>
                <w:szCs w:val="17"/>
                <w:color w:val="auto"/>
              </w:rPr>
            </w:pPr>
          </w:p>
        </w:tc>
        <w:tc>
          <w:tcPr>
            <w:tcW w:w="116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0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10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920" w:type="dxa"/>
            <w:vAlign w:val="bottom"/>
            <w:shd w:val="clear" w:color="auto" w:fill="E5FFFF"/>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80" w:type="dxa"/>
            <w:vAlign w:val="bottom"/>
            <w:shd w:val="clear" w:color="auto" w:fill="E5FFFF"/>
          </w:tcPr>
          <w:p>
            <w:pPr>
              <w:ind w:left="180"/>
              <w:spacing w:after="0"/>
              <w:rPr>
                <w:sz w:val="20"/>
                <w:szCs w:val="20"/>
                <w:color w:val="auto"/>
              </w:rPr>
            </w:pPr>
            <w:r>
              <w:rPr>
                <w:rFonts w:ascii="Arial" w:cs="Arial" w:eastAsia="Arial" w:hAnsi="Arial"/>
                <w:sz w:val="16"/>
                <w:szCs w:val="16"/>
                <w:color w:val="auto"/>
              </w:rPr>
              <w:t>due to accumulated</w:t>
            </w:r>
          </w:p>
        </w:tc>
        <w:tc>
          <w:tcPr>
            <w:tcW w:w="134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134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520" w:type="dxa"/>
            <w:vAlign w:val="bottom"/>
            <w:shd w:val="clear" w:color="auto" w:fill="E5FFFF"/>
          </w:tcPr>
          <w:p>
            <w:pPr>
              <w:spacing w:after="0"/>
              <w:rPr>
                <w:sz w:val="17"/>
                <w:szCs w:val="17"/>
                <w:color w:val="auto"/>
              </w:rPr>
            </w:pPr>
          </w:p>
        </w:tc>
        <w:tc>
          <w:tcPr>
            <w:tcW w:w="360" w:type="dxa"/>
            <w:vAlign w:val="bottom"/>
            <w:shd w:val="clear" w:color="auto" w:fill="E5FFFF"/>
          </w:tcPr>
          <w:p>
            <w:pPr>
              <w:spacing w:after="0"/>
              <w:rPr>
                <w:sz w:val="17"/>
                <w:szCs w:val="17"/>
                <w:color w:val="auto"/>
              </w:rPr>
            </w:pPr>
          </w:p>
        </w:tc>
        <w:tc>
          <w:tcPr>
            <w:tcW w:w="116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0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10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920" w:type="dxa"/>
            <w:vAlign w:val="bottom"/>
            <w:shd w:val="clear" w:color="auto" w:fill="E5FFFF"/>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880" w:type="dxa"/>
            <w:vAlign w:val="bottom"/>
            <w:shd w:val="clear" w:color="auto" w:fill="E5FFFF"/>
          </w:tcPr>
          <w:p>
            <w:pPr>
              <w:ind w:left="180"/>
              <w:spacing w:after="0"/>
              <w:rPr>
                <w:sz w:val="20"/>
                <w:szCs w:val="20"/>
                <w:color w:val="auto"/>
              </w:rPr>
            </w:pPr>
            <w:r>
              <w:rPr>
                <w:rFonts w:ascii="Arial" w:cs="Arial" w:eastAsia="Arial" w:hAnsi="Arial"/>
                <w:sz w:val="16"/>
                <w:szCs w:val="16"/>
                <w:color w:val="auto"/>
              </w:rPr>
              <w:t>deficit</w:t>
            </w:r>
          </w:p>
        </w:tc>
        <w:tc>
          <w:tcPr>
            <w:tcW w:w="1520" w:type="dxa"/>
            <w:vAlign w:val="bottom"/>
            <w:gridSpan w:val="2"/>
            <w:shd w:val="clear" w:color="auto" w:fill="E5FFFF"/>
          </w:tcPr>
          <w:p>
            <w:pPr>
              <w:jc w:val="right"/>
              <w:ind w:right="180"/>
              <w:spacing w:after="0"/>
              <w:rPr>
                <w:sz w:val="20"/>
                <w:szCs w:val="20"/>
                <w:color w:val="auto"/>
              </w:rPr>
            </w:pPr>
            <w:r>
              <w:rPr>
                <w:rFonts w:ascii="Arial" w:cs="Arial" w:eastAsia="Arial" w:hAnsi="Arial"/>
                <w:sz w:val="16"/>
                <w:szCs w:val="16"/>
                <w:color w:val="auto"/>
              </w:rPr>
              <w:t>—</w:t>
            </w:r>
          </w:p>
        </w:tc>
        <w:tc>
          <w:tcPr>
            <w:tcW w:w="1500" w:type="dxa"/>
            <w:vAlign w:val="bottom"/>
            <w:gridSpan w:val="2"/>
            <w:shd w:val="clear" w:color="auto" w:fill="E5FFFF"/>
          </w:tcPr>
          <w:p>
            <w:pPr>
              <w:jc w:val="right"/>
              <w:ind w:right="160"/>
              <w:spacing w:after="0"/>
              <w:rPr>
                <w:sz w:val="20"/>
                <w:szCs w:val="20"/>
                <w:color w:val="auto"/>
              </w:rPr>
            </w:pPr>
            <w:r>
              <w:rPr>
                <w:rFonts w:ascii="Arial" w:cs="Arial" w:eastAsia="Arial" w:hAnsi="Arial"/>
                <w:sz w:val="16"/>
                <w:szCs w:val="16"/>
                <w:color w:val="auto"/>
              </w:rPr>
              <w:t>—</w:t>
            </w:r>
          </w:p>
        </w:tc>
        <w:tc>
          <w:tcPr>
            <w:tcW w:w="1880" w:type="dxa"/>
            <w:vAlign w:val="bottom"/>
            <w:gridSpan w:val="2"/>
            <w:shd w:val="clear" w:color="auto" w:fill="E5FFFF"/>
          </w:tcPr>
          <w:p>
            <w:pPr>
              <w:jc w:val="right"/>
              <w:ind w:right="360"/>
              <w:spacing w:after="0"/>
              <w:rPr>
                <w:sz w:val="20"/>
                <w:szCs w:val="20"/>
                <w:color w:val="auto"/>
              </w:rPr>
            </w:pPr>
            <w:r>
              <w:rPr>
                <w:rFonts w:ascii="Arial" w:cs="Arial" w:eastAsia="Arial" w:hAnsi="Arial"/>
                <w:sz w:val="16"/>
                <w:szCs w:val="16"/>
                <w:color w:val="auto"/>
              </w:rPr>
              <w:t>—</w:t>
            </w:r>
          </w:p>
        </w:tc>
        <w:tc>
          <w:tcPr>
            <w:tcW w:w="1320" w:type="dxa"/>
            <w:vAlign w:val="bottom"/>
            <w:gridSpan w:val="2"/>
            <w:shd w:val="clear" w:color="auto" w:fill="E5FFFF"/>
          </w:tcPr>
          <w:p>
            <w:pPr>
              <w:jc w:val="right"/>
              <w:ind w:right="160"/>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E5FFFF"/>
          </w:tcPr>
          <w:p>
            <w:pPr>
              <w:jc w:val="right"/>
              <w:ind w:right="160"/>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(14,645)</w:t>
            </w:r>
          </w:p>
        </w:tc>
        <w:tc>
          <w:tcPr>
            <w:tcW w:w="9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80" w:type="dxa"/>
            <w:vAlign w:val="bottom"/>
            <w:vMerge w:val="restart"/>
          </w:tcPr>
          <w:p>
            <w:pPr>
              <w:spacing w:after="0"/>
              <w:rPr>
                <w:sz w:val="20"/>
                <w:szCs w:val="20"/>
                <w:color w:val="auto"/>
              </w:rPr>
            </w:pPr>
            <w:r>
              <w:rPr>
                <w:rFonts w:ascii="Arial" w:cs="Arial" w:eastAsia="Arial" w:hAnsi="Arial"/>
                <w:sz w:val="16"/>
                <w:szCs w:val="16"/>
                <w:b w:val="1"/>
                <w:bCs w:val="1"/>
                <w:color w:val="auto"/>
              </w:rPr>
              <w:t>Outstanding as of</w:t>
            </w:r>
          </w:p>
        </w:tc>
        <w:tc>
          <w:tcPr>
            <w:tcW w:w="1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880" w:type="dxa"/>
            <w:vAlign w:val="bottom"/>
            <w:vMerge w:val="continue"/>
          </w:tcPr>
          <w:p>
            <w:pPr>
              <w:spacing w:after="0"/>
              <w:rPr>
                <w:sz w:val="14"/>
                <w:szCs w:val="14"/>
                <w:color w:val="auto"/>
              </w:rPr>
            </w:pPr>
          </w:p>
        </w:tc>
        <w:tc>
          <w:tcPr>
            <w:tcW w:w="1520" w:type="dxa"/>
            <w:vAlign w:val="bottom"/>
            <w:gridSpan w:val="2"/>
            <w:vMerge w:val="restart"/>
          </w:tcPr>
          <w:p>
            <w:pPr>
              <w:jc w:val="right"/>
              <w:ind w:right="180"/>
              <w:spacing w:after="0"/>
              <w:rPr>
                <w:sz w:val="20"/>
                <w:szCs w:val="20"/>
                <w:color w:val="auto"/>
              </w:rPr>
            </w:pPr>
            <w:r>
              <w:rPr>
                <w:rFonts w:ascii="Arial" w:cs="Arial" w:eastAsia="Arial" w:hAnsi="Arial"/>
                <w:sz w:val="16"/>
                <w:szCs w:val="16"/>
                <w:b w:val="1"/>
                <w:bCs w:val="1"/>
                <w:color w:val="auto"/>
              </w:rPr>
              <w:t>80,649,135</w:t>
            </w:r>
          </w:p>
        </w:tc>
        <w:tc>
          <w:tcPr>
            <w:tcW w:w="1500" w:type="dxa"/>
            <w:vAlign w:val="bottom"/>
            <w:gridSpan w:val="2"/>
            <w:vMerge w:val="restart"/>
          </w:tcPr>
          <w:p>
            <w:pPr>
              <w:jc w:val="right"/>
              <w:ind w:right="160"/>
              <w:spacing w:after="0"/>
              <w:rPr>
                <w:sz w:val="20"/>
                <w:szCs w:val="20"/>
                <w:color w:val="auto"/>
              </w:rPr>
            </w:pPr>
            <w:r>
              <w:rPr>
                <w:rFonts w:ascii="Arial" w:cs="Arial" w:eastAsia="Arial" w:hAnsi="Arial"/>
                <w:sz w:val="16"/>
                <w:szCs w:val="16"/>
                <w:b w:val="1"/>
                <w:bCs w:val="1"/>
                <w:color w:val="auto"/>
              </w:rPr>
              <w:t>343,991</w:t>
            </w:r>
          </w:p>
        </w:tc>
        <w:tc>
          <w:tcPr>
            <w:tcW w:w="15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4,600,000</w:t>
            </w:r>
          </w:p>
        </w:tc>
        <w:tc>
          <w:tcPr>
            <w:tcW w:w="36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810</w:t>
            </w:r>
          </w:p>
        </w:tc>
        <w:tc>
          <w:tcPr>
            <w:tcW w:w="16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46</w:t>
            </w:r>
          </w:p>
        </w:tc>
        <w:tc>
          <w:tcPr>
            <w:tcW w:w="160" w:type="dxa"/>
            <w:vAlign w:val="bottom"/>
          </w:tcPr>
          <w:p>
            <w:pPr>
              <w:spacing w:after="0"/>
              <w:rPr>
                <w:sz w:val="14"/>
                <w:szCs w:val="14"/>
                <w:color w:val="auto"/>
              </w:rPr>
            </w:pPr>
          </w:p>
        </w:tc>
        <w:tc>
          <w:tcPr>
            <w:tcW w:w="1260" w:type="dxa"/>
            <w:vAlign w:val="bottom"/>
            <w:gridSpan w:val="2"/>
            <w:vMerge w:val="restart"/>
          </w:tcPr>
          <w:p>
            <w:pPr>
              <w:jc w:val="right"/>
              <w:ind w:right="160"/>
              <w:spacing w:after="0"/>
              <w:rPr>
                <w:sz w:val="20"/>
                <w:szCs w:val="20"/>
                <w:color w:val="auto"/>
              </w:rPr>
            </w:pPr>
            <w:r>
              <w:rPr>
                <w:rFonts w:ascii="Arial" w:cs="Arial" w:eastAsia="Arial" w:hAnsi="Arial"/>
                <w:sz w:val="16"/>
                <w:szCs w:val="16"/>
                <w:b w:val="1"/>
                <w:bCs w:val="1"/>
                <w:color w:val="auto"/>
              </w:rPr>
              <w:t>835,931</w:t>
            </w:r>
          </w:p>
        </w:tc>
        <w:tc>
          <w:tcPr>
            <w:tcW w:w="980" w:type="dxa"/>
            <w:vAlign w:val="bottom"/>
            <w:gridSpan w:val="3"/>
            <w:vMerge w:val="restart"/>
          </w:tcPr>
          <w:p>
            <w:pPr>
              <w:jc w:val="right"/>
              <w:spacing w:after="0"/>
              <w:rPr>
                <w:sz w:val="20"/>
                <w:szCs w:val="20"/>
                <w:color w:val="auto"/>
              </w:rPr>
            </w:pPr>
            <w:r>
              <w:rPr>
                <w:rFonts w:ascii="Arial" w:cs="Arial" w:eastAsia="Arial" w:hAnsi="Arial"/>
                <w:sz w:val="16"/>
                <w:szCs w:val="16"/>
                <w:b w:val="1"/>
                <w:bCs w:val="1"/>
                <w:color w:val="auto"/>
              </w:rPr>
              <w:t>(7,018)</w:t>
            </w:r>
          </w:p>
        </w:tc>
        <w:tc>
          <w:tcPr>
            <w:tcW w:w="0" w:type="dxa"/>
            <w:vAlign w:val="bottom"/>
          </w:tcPr>
          <w:p>
            <w:pPr>
              <w:spacing w:after="0"/>
              <w:rPr>
                <w:sz w:val="1"/>
                <w:szCs w:val="1"/>
                <w:color w:val="auto"/>
              </w:rPr>
            </w:pPr>
          </w:p>
        </w:tc>
      </w:tr>
      <w:tr>
        <w:trPr>
          <w:trHeight w:val="203"/>
        </w:trPr>
        <w:tc>
          <w:tcPr>
            <w:tcW w:w="1880" w:type="dxa"/>
            <w:vAlign w:val="bottom"/>
          </w:tcPr>
          <w:p>
            <w:pPr>
              <w:ind w:left="180"/>
              <w:spacing w:after="0"/>
              <w:rPr>
                <w:sz w:val="20"/>
                <w:szCs w:val="20"/>
                <w:color w:val="auto"/>
              </w:rPr>
            </w:pPr>
            <w:r>
              <w:rPr>
                <w:rFonts w:ascii="Arial" w:cs="Arial" w:eastAsia="Arial" w:hAnsi="Arial"/>
                <w:sz w:val="16"/>
                <w:szCs w:val="16"/>
                <w:b w:val="1"/>
                <w:bCs w:val="1"/>
                <w:color w:val="auto"/>
              </w:rPr>
              <w:t>March 31, 2019</w:t>
            </w:r>
          </w:p>
        </w:tc>
        <w:tc>
          <w:tcPr>
            <w:tcW w:w="1520" w:type="dxa"/>
            <w:vAlign w:val="bottom"/>
            <w:gridSpan w:val="2"/>
            <w:vMerge w:val="continue"/>
          </w:tcPr>
          <w:p>
            <w:pPr>
              <w:spacing w:after="0"/>
              <w:rPr>
                <w:sz w:val="17"/>
                <w:szCs w:val="17"/>
                <w:color w:val="auto"/>
              </w:rPr>
            </w:pPr>
          </w:p>
        </w:tc>
        <w:tc>
          <w:tcPr>
            <w:tcW w:w="1500" w:type="dxa"/>
            <w:vAlign w:val="bottom"/>
            <w:gridSpan w:val="2"/>
            <w:vMerge w:val="continue"/>
          </w:tcPr>
          <w:p>
            <w:pPr>
              <w:spacing w:after="0"/>
              <w:rPr>
                <w:sz w:val="17"/>
                <w:szCs w:val="17"/>
                <w:color w:val="auto"/>
              </w:rPr>
            </w:pPr>
          </w:p>
        </w:tc>
        <w:tc>
          <w:tcPr>
            <w:tcW w:w="152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vMerge w:val="continue"/>
          </w:tcPr>
          <w:p>
            <w:pPr>
              <w:spacing w:after="0"/>
              <w:rPr>
                <w:sz w:val="17"/>
                <w:szCs w:val="17"/>
                <w:color w:val="auto"/>
              </w:rPr>
            </w:pPr>
          </w:p>
        </w:tc>
        <w:tc>
          <w:tcPr>
            <w:tcW w:w="98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2"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treasury shares were acquired by GasLog in relation to the share-based compensation (Note 18).</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Dividend distribution</w:t>
      </w:r>
    </w:p>
    <w:p>
      <w:pPr>
        <w:spacing w:after="0" w:line="235" w:lineRule="exact"/>
        <w:rPr>
          <w:sz w:val="20"/>
          <w:szCs w:val="20"/>
          <w:color w:val="auto"/>
        </w:rPr>
      </w:pPr>
    </w:p>
    <w:p>
      <w:pPr>
        <w:ind w:right="160" w:firstLine="383"/>
        <w:spacing w:after="0" w:line="293" w:lineRule="auto"/>
        <w:rPr>
          <w:sz w:val="20"/>
          <w:szCs w:val="20"/>
          <w:color w:val="auto"/>
        </w:rPr>
      </w:pPr>
      <w:r>
        <w:rPr>
          <w:rFonts w:ascii="Arial" w:cs="Arial" w:eastAsia="Arial" w:hAnsi="Arial"/>
          <w:sz w:val="16"/>
          <w:szCs w:val="16"/>
          <w:color w:val="auto"/>
        </w:rPr>
        <w:t>On February 13, 2019, the board of directors declared a quarterly cash dividend of $0.15 per common share, which was paid on March 14, 2019 to shareholders of record as of March 4, 2019 for a total amount of $12,129.</w:t>
      </w:r>
    </w:p>
    <w:p>
      <w:pPr>
        <w:spacing w:after="0" w:line="172" w:lineRule="exact"/>
        <w:rPr>
          <w:sz w:val="20"/>
          <w:szCs w:val="20"/>
          <w:color w:val="auto"/>
        </w:rPr>
      </w:pPr>
    </w:p>
    <w:p>
      <w:pPr>
        <w:ind w:right="320" w:firstLine="383"/>
        <w:spacing w:after="0" w:line="293" w:lineRule="auto"/>
        <w:rPr>
          <w:sz w:val="20"/>
          <w:szCs w:val="20"/>
          <w:color w:val="auto"/>
        </w:rPr>
      </w:pPr>
      <w:r>
        <w:rPr>
          <w:rFonts w:ascii="Arial" w:cs="Arial" w:eastAsia="Arial" w:hAnsi="Arial"/>
          <w:sz w:val="16"/>
          <w:szCs w:val="16"/>
          <w:color w:val="auto"/>
        </w:rPr>
        <w:t>On March 7, 2019, the board of directors declared a dividend on the Series A Preference Shares of $0.546875 per share, or $2,516 in the aggregate, payable on April 1, 2019 to holders of record as of March 29, 2019. GasLog paid the declared dividend to the transfer agent on March 29, 2019.</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840" w:type="dxa"/>
            <w:vAlign w:val="bottom"/>
          </w:tcPr>
          <w:p>
            <w:pPr>
              <w:spacing w:after="0"/>
              <w:rPr>
                <w:sz w:val="20"/>
                <w:szCs w:val="20"/>
                <w:color w:val="auto"/>
              </w:rPr>
            </w:pPr>
            <w:r>
              <w:rPr>
                <w:rFonts w:ascii="Arial" w:cs="Arial" w:eastAsia="Arial" w:hAnsi="Arial"/>
                <w:sz w:val="16"/>
                <w:szCs w:val="16"/>
                <w:b w:val="1"/>
                <w:bCs w:val="1"/>
                <w:color w:val="auto"/>
              </w:rPr>
              <w:t>14. Commitments and Contingencies</w:t>
            </w:r>
          </w:p>
        </w:tc>
        <w:tc>
          <w:tcPr>
            <w:tcW w:w="1620" w:type="dxa"/>
            <w:vAlign w:val="bottom"/>
          </w:tcPr>
          <w:p>
            <w:pPr>
              <w:spacing w:after="0"/>
              <w:rPr>
                <w:sz w:val="18"/>
                <w:szCs w:val="18"/>
                <w:color w:val="auto"/>
              </w:rPr>
            </w:pPr>
          </w:p>
        </w:tc>
      </w:tr>
      <w:tr>
        <w:trPr>
          <w:trHeight w:val="567"/>
        </w:trPr>
        <w:tc>
          <w:tcPr>
            <w:tcW w:w="9840" w:type="dxa"/>
            <w:vAlign w:val="bottom"/>
          </w:tcPr>
          <w:p>
            <w:pPr>
              <w:spacing w:after="0"/>
              <w:rPr>
                <w:sz w:val="20"/>
                <w:szCs w:val="20"/>
                <w:color w:val="auto"/>
              </w:rPr>
            </w:pPr>
            <w:r>
              <w:rPr>
                <w:rFonts w:ascii="Arial" w:cs="Arial" w:eastAsia="Arial" w:hAnsi="Arial"/>
                <w:sz w:val="16"/>
                <w:szCs w:val="16"/>
                <w:color w:val="auto"/>
              </w:rPr>
              <w:t>(a) Commitments relating to the vessels under construction (Note 5) as of March 31, 2019 payable to Samsung were as follows:</w:t>
            </w:r>
          </w:p>
        </w:tc>
        <w:tc>
          <w:tcPr>
            <w:tcW w:w="1620" w:type="dxa"/>
            <w:vAlign w:val="bottom"/>
          </w:tcPr>
          <w:p>
            <w:pPr>
              <w:spacing w:after="0"/>
              <w:rPr>
                <w:sz w:val="24"/>
                <w:szCs w:val="24"/>
                <w:color w:val="auto"/>
              </w:rPr>
            </w:pPr>
          </w:p>
        </w:tc>
      </w:tr>
      <w:tr>
        <w:trPr>
          <w:trHeight w:val="273"/>
        </w:trPr>
        <w:tc>
          <w:tcPr>
            <w:tcW w:w="9840" w:type="dxa"/>
            <w:vAlign w:val="bottom"/>
            <w:tcBorders>
              <w:bottom w:val="single" w:sz="8" w:color="E5FFFF"/>
            </w:tcBorders>
          </w:tcPr>
          <w:p>
            <w:pPr>
              <w:spacing w:after="0"/>
              <w:rPr>
                <w:sz w:val="23"/>
                <w:szCs w:val="23"/>
                <w:color w:val="auto"/>
              </w:rPr>
            </w:pPr>
          </w:p>
        </w:tc>
        <w:tc>
          <w:tcPr>
            <w:tcW w:w="16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March 31, 2019</w:t>
            </w:r>
          </w:p>
        </w:tc>
      </w:tr>
      <w:tr>
        <w:trPr>
          <w:trHeight w:val="186"/>
        </w:trPr>
        <w:tc>
          <w:tcPr>
            <w:tcW w:w="9840" w:type="dxa"/>
            <w:vAlign w:val="bottom"/>
            <w:shd w:val="clear" w:color="auto" w:fill="E5FFFF"/>
          </w:tcPr>
          <w:p>
            <w:pPr>
              <w:spacing w:after="0"/>
              <w:rPr>
                <w:sz w:val="20"/>
                <w:szCs w:val="20"/>
                <w:color w:val="auto"/>
              </w:rPr>
            </w:pPr>
            <w:r>
              <w:rPr>
                <w:rFonts w:ascii="Arial" w:cs="Arial" w:eastAsia="Arial" w:hAnsi="Arial"/>
                <w:sz w:val="16"/>
                <w:szCs w:val="16"/>
                <w:b w:val="1"/>
                <w:bCs w:val="1"/>
                <w:i w:val="1"/>
                <w:iCs w:val="1"/>
                <w:color w:val="auto"/>
              </w:rPr>
              <w:t>Period</w:t>
            </w:r>
          </w:p>
        </w:tc>
        <w:tc>
          <w:tcPr>
            <w:tcW w:w="1620" w:type="dxa"/>
            <w:vAlign w:val="bottom"/>
            <w:shd w:val="clear" w:color="auto" w:fill="E5FFFF"/>
          </w:tcPr>
          <w:p>
            <w:pPr>
              <w:spacing w:after="0"/>
              <w:rPr>
                <w:sz w:val="16"/>
                <w:szCs w:val="16"/>
                <w:color w:val="auto"/>
              </w:rPr>
            </w:pPr>
          </w:p>
        </w:tc>
      </w:tr>
      <w:tr>
        <w:trPr>
          <w:trHeight w:val="203"/>
        </w:trPr>
        <w:tc>
          <w:tcPr>
            <w:tcW w:w="9840" w:type="dxa"/>
            <w:vAlign w:val="bottom"/>
          </w:tcPr>
          <w:p>
            <w:pPr>
              <w:spacing w:after="0"/>
              <w:rPr>
                <w:sz w:val="20"/>
                <w:szCs w:val="20"/>
                <w:color w:val="auto"/>
              </w:rPr>
            </w:pPr>
            <w:r>
              <w:rPr>
                <w:rFonts w:ascii="Arial" w:cs="Arial" w:eastAsia="Arial" w:hAnsi="Arial"/>
                <w:sz w:val="16"/>
                <w:szCs w:val="16"/>
                <w:color w:val="auto"/>
              </w:rPr>
              <w:t>Not later than one year</w:t>
            </w:r>
          </w:p>
        </w:tc>
        <w:tc>
          <w:tcPr>
            <w:tcW w:w="1620" w:type="dxa"/>
            <w:vAlign w:val="bottom"/>
          </w:tcPr>
          <w:p>
            <w:pPr>
              <w:jc w:val="right"/>
              <w:spacing w:after="0"/>
              <w:rPr>
                <w:sz w:val="20"/>
                <w:szCs w:val="20"/>
                <w:color w:val="auto"/>
              </w:rPr>
            </w:pPr>
            <w:r>
              <w:rPr>
                <w:rFonts w:ascii="Arial" w:cs="Arial" w:eastAsia="Arial" w:hAnsi="Arial"/>
                <w:sz w:val="16"/>
                <w:szCs w:val="16"/>
                <w:color w:val="auto"/>
              </w:rPr>
              <w:t>258,255</w:t>
            </w:r>
          </w:p>
        </w:tc>
      </w:tr>
      <w:tr>
        <w:trPr>
          <w:trHeight w:val="203"/>
        </w:trPr>
        <w:tc>
          <w:tcPr>
            <w:tcW w:w="9840" w:type="dxa"/>
            <w:vAlign w:val="bottom"/>
            <w:shd w:val="clear" w:color="auto" w:fill="E5FFFF"/>
          </w:tcPr>
          <w:p>
            <w:pPr>
              <w:spacing w:after="0"/>
              <w:rPr>
                <w:sz w:val="20"/>
                <w:szCs w:val="20"/>
                <w:color w:val="auto"/>
              </w:rPr>
            </w:pPr>
            <w:r>
              <w:rPr>
                <w:rFonts w:ascii="Arial" w:cs="Arial" w:eastAsia="Arial" w:hAnsi="Arial"/>
                <w:sz w:val="16"/>
                <w:szCs w:val="16"/>
                <w:color w:val="auto"/>
              </w:rPr>
              <w:t>Later than one year and not later than three years</w:t>
            </w:r>
          </w:p>
        </w:tc>
        <w:tc>
          <w:tcPr>
            <w:tcW w:w="16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1,085,375</w:t>
            </w:r>
          </w:p>
        </w:tc>
      </w:tr>
      <w:tr>
        <w:trPr>
          <w:trHeight w:val="196"/>
        </w:trPr>
        <w:tc>
          <w:tcPr>
            <w:tcW w:w="9840" w:type="dxa"/>
            <w:vAlign w:val="bottom"/>
          </w:tcPr>
          <w:p>
            <w:pPr>
              <w:spacing w:after="0"/>
              <w:rPr>
                <w:sz w:val="20"/>
                <w:szCs w:val="20"/>
                <w:color w:val="auto"/>
              </w:rPr>
            </w:pPr>
            <w:r>
              <w:rPr>
                <w:rFonts w:ascii="Arial" w:cs="Arial" w:eastAsia="Arial" w:hAnsi="Arial"/>
                <w:sz w:val="16"/>
                <w:szCs w:val="16"/>
                <w:b w:val="1"/>
                <w:bCs w:val="1"/>
                <w:color w:val="auto"/>
              </w:rPr>
              <w:t>Total</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1,343,630</w:t>
            </w:r>
          </w:p>
        </w:tc>
      </w:tr>
      <w:tr>
        <w:trPr>
          <w:trHeight w:val="20"/>
        </w:trPr>
        <w:tc>
          <w:tcPr>
            <w:tcW w:w="984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ind w:left="240" w:hanging="232"/>
        <w:spacing w:after="0"/>
        <w:tabs>
          <w:tab w:leader="none" w:pos="240" w:val="left"/>
        </w:tabs>
        <w:numPr>
          <w:ilvl w:val="0"/>
          <w:numId w:val="14"/>
        </w:numPr>
        <w:rPr>
          <w:rFonts w:ascii="Arial" w:cs="Arial" w:eastAsia="Arial" w:hAnsi="Arial"/>
          <w:sz w:val="15"/>
          <w:szCs w:val="15"/>
          <w:color w:val="auto"/>
        </w:rPr>
      </w:pPr>
      <w:r>
        <w:rPr>
          <w:rFonts w:ascii="Arial" w:cs="Arial" w:eastAsia="Arial" w:hAnsi="Arial"/>
          <w:sz w:val="15"/>
          <w:szCs w:val="15"/>
          <w:color w:val="auto"/>
        </w:rPr>
        <w:t>Future gross minimum revenues receivable in relation to non-cancellable time charter agreements for vessels in operation, including a vessel under a lease (Note 6), as of</w:t>
      </w:r>
    </w:p>
    <w:p>
      <w:pPr>
        <w:spacing w:after="0" w:line="33" w:lineRule="exact"/>
        <w:rPr>
          <w:rFonts w:ascii="Arial" w:cs="Arial" w:eastAsia="Arial" w:hAnsi="Arial"/>
          <w:sz w:val="15"/>
          <w:szCs w:val="15"/>
          <w:color w:val="auto"/>
        </w:rPr>
      </w:pPr>
    </w:p>
    <w:p>
      <w:pPr>
        <w:ind w:right="100"/>
        <w:spacing w:after="0" w:line="288" w:lineRule="auto"/>
        <w:rPr>
          <w:rFonts w:ascii="Arial" w:cs="Arial" w:eastAsia="Arial" w:hAnsi="Arial"/>
          <w:sz w:val="15"/>
          <w:szCs w:val="15"/>
          <w:color w:val="auto"/>
        </w:rPr>
      </w:pPr>
      <w:r>
        <w:rPr>
          <w:rFonts w:ascii="Arial" w:cs="Arial" w:eastAsia="Arial" w:hAnsi="Arial"/>
          <w:sz w:val="16"/>
          <w:szCs w:val="16"/>
          <w:color w:val="auto"/>
        </w:rPr>
        <w:t>March 31, 2019 are as follows (30 off-hire days are assumed when each vessel will undergo scheduled dry-docking; in addition, early delivery of the vessels by the charterers or any exercise of the charterers’ options to extend the terms of the charters are not accounted for):</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35901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359015" cy="29845"/>
                    </a:xfrm>
                    <a:prstGeom prst="rect">
                      <a:avLst/>
                    </a:prstGeom>
                    <a:noFill/>
                  </pic:spPr>
                </pic:pic>
              </a:graphicData>
            </a:graphic>
          </wp:anchor>
        </w:drawing>
      </w:r>
    </w:p>
    <w:p>
      <w:pPr>
        <w:sectPr>
          <w:pgSz w:w="11900" w:h="16838" w:orient="portrait"/>
          <w:cols w:equalWidth="0" w:num="1">
            <w:col w:w="11560"/>
          </w:cols>
          <w:pgMar w:left="160" w:top="262" w:right="17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13"/>
        </w:trPr>
        <w:tc>
          <w:tcPr>
            <w:tcW w:w="9840" w:type="dxa"/>
            <w:vAlign w:val="bottom"/>
            <w:tcBorders>
              <w:bottom w:val="single" w:sz="8" w:color="E5FFFF"/>
            </w:tcBorders>
          </w:tcPr>
          <w:p>
            <w:pPr>
              <w:spacing w:after="0"/>
              <w:rPr>
                <w:sz w:val="18"/>
                <w:szCs w:val="18"/>
                <w:color w:val="auto"/>
              </w:rPr>
            </w:pPr>
          </w:p>
        </w:tc>
        <w:tc>
          <w:tcPr>
            <w:tcW w:w="16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March 31, 2019</w:t>
            </w:r>
          </w:p>
        </w:tc>
      </w:tr>
      <w:tr>
        <w:trPr>
          <w:trHeight w:val="186"/>
        </w:trPr>
        <w:tc>
          <w:tcPr>
            <w:tcW w:w="9840" w:type="dxa"/>
            <w:vAlign w:val="bottom"/>
            <w:shd w:val="clear" w:color="auto" w:fill="E5FFFF"/>
          </w:tcPr>
          <w:p>
            <w:pPr>
              <w:spacing w:after="0"/>
              <w:rPr>
                <w:sz w:val="20"/>
                <w:szCs w:val="20"/>
                <w:color w:val="auto"/>
              </w:rPr>
            </w:pPr>
            <w:r>
              <w:rPr>
                <w:rFonts w:ascii="Arial" w:cs="Arial" w:eastAsia="Arial" w:hAnsi="Arial"/>
                <w:sz w:val="16"/>
                <w:szCs w:val="16"/>
                <w:b w:val="1"/>
                <w:bCs w:val="1"/>
                <w:i w:val="1"/>
                <w:iCs w:val="1"/>
                <w:color w:val="auto"/>
              </w:rPr>
              <w:t>Period</w:t>
            </w:r>
          </w:p>
        </w:tc>
        <w:tc>
          <w:tcPr>
            <w:tcW w:w="1620" w:type="dxa"/>
            <w:vAlign w:val="bottom"/>
            <w:shd w:val="clear" w:color="auto" w:fill="E5FFFF"/>
          </w:tcPr>
          <w:p>
            <w:pPr>
              <w:spacing w:after="0"/>
              <w:rPr>
                <w:sz w:val="16"/>
                <w:szCs w:val="16"/>
                <w:color w:val="auto"/>
              </w:rPr>
            </w:pPr>
          </w:p>
        </w:tc>
      </w:tr>
      <w:tr>
        <w:trPr>
          <w:trHeight w:val="203"/>
        </w:trPr>
        <w:tc>
          <w:tcPr>
            <w:tcW w:w="9840" w:type="dxa"/>
            <w:vAlign w:val="bottom"/>
          </w:tcPr>
          <w:p>
            <w:pPr>
              <w:spacing w:after="0"/>
              <w:rPr>
                <w:sz w:val="20"/>
                <w:szCs w:val="20"/>
                <w:color w:val="auto"/>
              </w:rPr>
            </w:pPr>
            <w:r>
              <w:rPr>
                <w:rFonts w:ascii="Arial" w:cs="Arial" w:eastAsia="Arial" w:hAnsi="Arial"/>
                <w:sz w:val="16"/>
                <w:szCs w:val="16"/>
                <w:color w:val="auto"/>
              </w:rPr>
              <w:t>Not later than one year</w:t>
            </w:r>
          </w:p>
        </w:tc>
        <w:tc>
          <w:tcPr>
            <w:tcW w:w="1620" w:type="dxa"/>
            <w:vAlign w:val="bottom"/>
          </w:tcPr>
          <w:p>
            <w:pPr>
              <w:jc w:val="right"/>
              <w:spacing w:after="0"/>
              <w:rPr>
                <w:sz w:val="20"/>
                <w:szCs w:val="20"/>
                <w:color w:val="auto"/>
              </w:rPr>
            </w:pPr>
            <w:r>
              <w:rPr>
                <w:rFonts w:ascii="Arial" w:cs="Arial" w:eastAsia="Arial" w:hAnsi="Arial"/>
                <w:sz w:val="16"/>
                <w:szCs w:val="16"/>
                <w:color w:val="auto"/>
              </w:rPr>
              <w:t>423,040</w:t>
            </w:r>
          </w:p>
        </w:tc>
      </w:tr>
      <w:tr>
        <w:trPr>
          <w:trHeight w:val="203"/>
        </w:trPr>
        <w:tc>
          <w:tcPr>
            <w:tcW w:w="9840" w:type="dxa"/>
            <w:vAlign w:val="bottom"/>
            <w:shd w:val="clear" w:color="auto" w:fill="E5FFFF"/>
          </w:tcPr>
          <w:p>
            <w:pPr>
              <w:spacing w:after="0"/>
              <w:rPr>
                <w:sz w:val="20"/>
                <w:szCs w:val="20"/>
                <w:color w:val="auto"/>
              </w:rPr>
            </w:pPr>
            <w:r>
              <w:rPr>
                <w:rFonts w:ascii="Arial" w:cs="Arial" w:eastAsia="Arial" w:hAnsi="Arial"/>
                <w:sz w:val="16"/>
                <w:szCs w:val="16"/>
                <w:color w:val="auto"/>
              </w:rPr>
              <w:t>Later than one year and not later than three years</w:t>
            </w:r>
          </w:p>
        </w:tc>
        <w:tc>
          <w:tcPr>
            <w:tcW w:w="16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579,424</w:t>
            </w:r>
          </w:p>
        </w:tc>
      </w:tr>
      <w:tr>
        <w:trPr>
          <w:trHeight w:val="203"/>
        </w:trPr>
        <w:tc>
          <w:tcPr>
            <w:tcW w:w="9840" w:type="dxa"/>
            <w:vAlign w:val="bottom"/>
          </w:tcPr>
          <w:p>
            <w:pPr>
              <w:spacing w:after="0"/>
              <w:rPr>
                <w:sz w:val="20"/>
                <w:szCs w:val="20"/>
                <w:color w:val="auto"/>
              </w:rPr>
            </w:pPr>
            <w:r>
              <w:rPr>
                <w:rFonts w:ascii="Arial" w:cs="Arial" w:eastAsia="Arial" w:hAnsi="Arial"/>
                <w:sz w:val="16"/>
                <w:szCs w:val="16"/>
                <w:color w:val="auto"/>
              </w:rPr>
              <w:t>Later than three years and not later than five years</w:t>
            </w:r>
          </w:p>
        </w:tc>
        <w:tc>
          <w:tcPr>
            <w:tcW w:w="1620" w:type="dxa"/>
            <w:vAlign w:val="bottom"/>
          </w:tcPr>
          <w:p>
            <w:pPr>
              <w:jc w:val="right"/>
              <w:spacing w:after="0"/>
              <w:rPr>
                <w:sz w:val="20"/>
                <w:szCs w:val="20"/>
                <w:color w:val="auto"/>
              </w:rPr>
            </w:pPr>
            <w:r>
              <w:rPr>
                <w:rFonts w:ascii="Arial" w:cs="Arial" w:eastAsia="Arial" w:hAnsi="Arial"/>
                <w:sz w:val="16"/>
                <w:szCs w:val="16"/>
                <w:color w:val="auto"/>
              </w:rPr>
              <w:t>447,157</w:t>
            </w:r>
          </w:p>
        </w:tc>
      </w:tr>
      <w:tr>
        <w:trPr>
          <w:trHeight w:val="203"/>
        </w:trPr>
        <w:tc>
          <w:tcPr>
            <w:tcW w:w="9840" w:type="dxa"/>
            <w:vAlign w:val="bottom"/>
            <w:shd w:val="clear" w:color="auto" w:fill="E5FFFF"/>
          </w:tcPr>
          <w:p>
            <w:pPr>
              <w:spacing w:after="0"/>
              <w:rPr>
                <w:sz w:val="20"/>
                <w:szCs w:val="20"/>
                <w:color w:val="auto"/>
              </w:rPr>
            </w:pPr>
            <w:r>
              <w:rPr>
                <w:rFonts w:ascii="Arial" w:cs="Arial" w:eastAsia="Arial" w:hAnsi="Arial"/>
                <w:sz w:val="16"/>
                <w:szCs w:val="16"/>
                <w:color w:val="auto"/>
              </w:rPr>
              <w:t>More than five years</w:t>
            </w:r>
          </w:p>
        </w:tc>
        <w:tc>
          <w:tcPr>
            <w:tcW w:w="16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471,019</w:t>
            </w:r>
          </w:p>
        </w:tc>
      </w:tr>
      <w:tr>
        <w:trPr>
          <w:trHeight w:val="196"/>
        </w:trPr>
        <w:tc>
          <w:tcPr>
            <w:tcW w:w="9840" w:type="dxa"/>
            <w:vAlign w:val="bottom"/>
          </w:tcPr>
          <w:p>
            <w:pPr>
              <w:spacing w:after="0"/>
              <w:rPr>
                <w:sz w:val="20"/>
                <w:szCs w:val="20"/>
                <w:color w:val="auto"/>
              </w:rPr>
            </w:pPr>
            <w:r>
              <w:rPr>
                <w:rFonts w:ascii="Arial" w:cs="Arial" w:eastAsia="Arial" w:hAnsi="Arial"/>
                <w:sz w:val="16"/>
                <w:szCs w:val="16"/>
                <w:b w:val="1"/>
                <w:bCs w:val="1"/>
                <w:color w:val="auto"/>
              </w:rPr>
              <w:t>Total</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1,920,640</w:t>
            </w:r>
          </w:p>
        </w:tc>
      </w:tr>
      <w:tr>
        <w:trPr>
          <w:trHeight w:val="20"/>
        </w:trPr>
        <w:tc>
          <w:tcPr>
            <w:tcW w:w="984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Future gross minimum lease payments disclosed in the above table excludes the lease payments of the vessels that are under construction.</w:t>
      </w:r>
    </w:p>
    <w:p>
      <w:pPr>
        <w:spacing w:after="0" w:line="200" w:lineRule="exact"/>
        <w:rPr>
          <w:sz w:val="20"/>
          <w:szCs w:val="20"/>
          <w:color w:val="auto"/>
        </w:rPr>
      </w:pPr>
    </w:p>
    <w:p>
      <w:pPr>
        <w:spacing w:after="0" w:line="251" w:lineRule="exact"/>
        <w:rPr>
          <w:sz w:val="20"/>
          <w:szCs w:val="20"/>
          <w:color w:val="auto"/>
        </w:rPr>
      </w:pPr>
    </w:p>
    <w:p>
      <w:pPr>
        <w:ind w:left="260" w:right="180" w:hanging="252"/>
        <w:spacing w:after="0" w:line="278" w:lineRule="auto"/>
        <w:tabs>
          <w:tab w:leader="none" w:pos="265"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 April and May 2017, GasLog LNG Services Ltd. entered into agreements in relation to some of the Group’s vessels, with the aim of enhancing their operational performance. Commitments relating to these agreements, without including additional estimated costs for which no agreement had been signed as of March 31, 2019, are as follows:</w:t>
      </w:r>
    </w:p>
    <w:p>
      <w:pPr>
        <w:sectPr>
          <w:pgSz w:w="11900" w:h="16838" w:orient="portrait"/>
          <w:cols w:equalWidth="0" w:num="1">
            <w:col w:w="11600"/>
          </w:cols>
          <w:pgMar w:left="160" w:top="262" w:right="139" w:bottom="1440" w:gutter="0" w:footer="0" w:header="0"/>
        </w:sectPr>
      </w:pP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-109855</wp:posOffset>
            </wp:positionV>
            <wp:extent cx="7269480" cy="1289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9480" cy="128905"/>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Not later than one year</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7269480" cy="1460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9480"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March 31, 2019</w:t>
      </w:r>
    </w:p>
    <w:p>
      <w:pPr>
        <w:spacing w:after="0" w:line="225" w:lineRule="exact"/>
        <w:rPr>
          <w:sz w:val="20"/>
          <w:szCs w:val="20"/>
          <w:color w:val="auto"/>
        </w:rPr>
      </w:pPr>
    </w:p>
    <w:p>
      <w:pPr>
        <w:jc w:val="right"/>
        <w:ind w:right="140"/>
        <w:spacing w:after="0"/>
        <w:rPr>
          <w:sz w:val="20"/>
          <w:szCs w:val="20"/>
          <w:color w:val="auto"/>
        </w:rPr>
      </w:pPr>
      <w:r>
        <w:rPr>
          <w:rFonts w:ascii="Arial" w:cs="Arial" w:eastAsia="Arial" w:hAnsi="Arial"/>
          <w:sz w:val="16"/>
          <w:szCs w:val="16"/>
          <w:color w:val="auto"/>
        </w:rPr>
        <w:t>2,241</w:t>
      </w:r>
    </w:p>
    <w:p>
      <w:pPr>
        <w:spacing w:after="0" w:line="28" w:lineRule="exact"/>
        <w:rPr>
          <w:sz w:val="20"/>
          <w:szCs w:val="20"/>
          <w:color w:val="auto"/>
        </w:rPr>
      </w:pPr>
    </w:p>
    <w:p>
      <w:pPr>
        <w:jc w:val="right"/>
        <w:ind w:right="140"/>
        <w:spacing w:after="0"/>
        <w:rPr>
          <w:sz w:val="20"/>
          <w:szCs w:val="20"/>
          <w:color w:val="auto"/>
        </w:rPr>
      </w:pPr>
      <w:r>
        <w:rPr>
          <w:rFonts w:ascii="Arial" w:cs="Arial" w:eastAsia="Arial" w:hAnsi="Arial"/>
          <w:sz w:val="16"/>
          <w:szCs w:val="16"/>
          <w:b w:val="1"/>
          <w:bCs w:val="1"/>
          <w:color w:val="auto"/>
        </w:rPr>
        <w:t>2,241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-171450</wp:posOffset>
            </wp:positionH>
            <wp:positionV relativeFrom="paragraph">
              <wp:posOffset>37465</wp:posOffset>
            </wp:positionV>
            <wp:extent cx="101981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01981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400" w:space="720"/>
            <w:col w:w="1480"/>
          </w:cols>
          <w:pgMar w:left="160" w:top="262" w:right="139" w:bottom="1440" w:gutter="0" w:footer="0" w:header="0"/>
          <w:type w:val="continuous"/>
        </w:sectPr>
      </w:pPr>
    </w:p>
    <w:p>
      <w:pPr>
        <w:spacing w:after="0" w:line="309" w:lineRule="exact"/>
        <w:rPr>
          <w:sz w:val="20"/>
          <w:szCs w:val="20"/>
          <w:color w:val="auto"/>
        </w:rPr>
      </w:pPr>
    </w:p>
    <w:p>
      <w:pPr>
        <w:ind w:left="260" w:right="40" w:hanging="252"/>
        <w:spacing w:after="0" w:line="262" w:lineRule="auto"/>
        <w:tabs>
          <w:tab w:leader="none" w:pos="268" w:val="left"/>
        </w:tabs>
        <w:numPr>
          <w:ilvl w:val="0"/>
          <w:numId w:val="16"/>
        </w:numPr>
        <w:rPr>
          <w:rFonts w:ascii="Arial" w:cs="Arial" w:eastAsia="Arial" w:hAnsi="Arial"/>
          <w:sz w:val="18"/>
          <w:szCs w:val="18"/>
          <w:color w:val="auto"/>
        </w:rPr>
      </w:pPr>
      <w:r>
        <w:rPr>
          <w:rFonts w:ascii="Arial" w:cs="Arial" w:eastAsia="Arial" w:hAnsi="Arial"/>
          <w:sz w:val="16"/>
          <w:szCs w:val="16"/>
          <w:color w:val="auto"/>
        </w:rPr>
        <w:t>Related to the acquisition of six vessels from a subsidiary of MSL in 2014 and another two vessels in 2015, the Group is committed to purchase depot spares from MSL with an aggregate value of $8,000 of which depot spares with value of $660 have been purchased and paid as of March 31, 2019 and are included in Tangible fixed assets (Note 5). The remaining spares are expected to be acquired before March 31, 2020.</w:t>
      </w:r>
    </w:p>
    <w:p>
      <w:pPr>
        <w:spacing w:after="0" w:line="209" w:lineRule="exact"/>
        <w:rPr>
          <w:rFonts w:ascii="Arial" w:cs="Arial" w:eastAsia="Arial" w:hAnsi="Arial"/>
          <w:sz w:val="18"/>
          <w:szCs w:val="18"/>
          <w:color w:val="auto"/>
        </w:rPr>
      </w:pPr>
    </w:p>
    <w:p>
      <w:pPr>
        <w:ind w:left="260" w:right="60" w:hanging="252"/>
        <w:spacing w:after="0" w:line="262" w:lineRule="auto"/>
        <w:tabs>
          <w:tab w:leader="none" w:pos="272" w:val="left"/>
        </w:tabs>
        <w:numPr>
          <w:ilvl w:val="0"/>
          <w:numId w:val="16"/>
        </w:numPr>
        <w:rPr>
          <w:rFonts w:ascii="Arial" w:cs="Arial" w:eastAsia="Arial" w:hAnsi="Arial"/>
          <w:sz w:val="18"/>
          <w:szCs w:val="18"/>
          <w:color w:val="auto"/>
        </w:rPr>
      </w:pPr>
      <w:r>
        <w:rPr>
          <w:rFonts w:ascii="Arial" w:cs="Arial" w:eastAsia="Arial" w:hAnsi="Arial"/>
          <w:sz w:val="16"/>
          <w:szCs w:val="16"/>
          <w:color w:val="auto"/>
        </w:rPr>
        <w:t>On October 11, 2016, GasLog LNG Services Ltd. entered into an arrangement whereby it has access to all long lead items (“LLIs”) necessary for the conversion of a GasLog LNG carrier vessel into an FSRU whereby such conversion work would be undertaken by Keppel. GasLog is only obligated to pay for such LLIs if utilized for a GasLog vessel conversion or, if the LLIs have not been utilized in a GasLog vessel conversion within three years from November 2016, the items may be put to GasLog at 85% of the original cost, or GasLog may call for the purchase of such LLIs at 115% of the original cost.</w:t>
      </w:r>
    </w:p>
    <w:p>
      <w:pPr>
        <w:spacing w:after="0" w:line="210" w:lineRule="exact"/>
        <w:rPr>
          <w:rFonts w:ascii="Arial" w:cs="Arial" w:eastAsia="Arial" w:hAnsi="Arial"/>
          <w:sz w:val="18"/>
          <w:szCs w:val="18"/>
          <w:color w:val="auto"/>
        </w:rPr>
      </w:pPr>
    </w:p>
    <w:p>
      <w:pPr>
        <w:ind w:left="260" w:right="360" w:hanging="252"/>
        <w:spacing w:after="0" w:line="262" w:lineRule="auto"/>
        <w:tabs>
          <w:tab w:leader="none" w:pos="265" w:val="left"/>
        </w:tabs>
        <w:numPr>
          <w:ilvl w:val="0"/>
          <w:numId w:val="16"/>
        </w:numPr>
        <w:rPr>
          <w:rFonts w:ascii="Arial" w:cs="Arial" w:eastAsia="Arial" w:hAnsi="Arial"/>
          <w:sz w:val="18"/>
          <w:szCs w:val="18"/>
          <w:color w:val="auto"/>
        </w:rPr>
      </w:pPr>
      <w:r>
        <w:rPr>
          <w:rFonts w:ascii="Arial" w:cs="Arial" w:eastAsia="Arial" w:hAnsi="Arial"/>
          <w:sz w:val="16"/>
          <w:szCs w:val="16"/>
          <w:color w:val="auto"/>
        </w:rPr>
        <w:t>In September 2017 (and in addition to the seven existing maintenance agreements signed in 2015 in relation to GasLog vessels), GasLog LNG Services Ltd. entered into further maintenance agreements with Wartsila Greece S.A. in respect of eight additional GasLog LNG carriers. In July 2018, GasLog LNG Services Ltd. renewed the maintenance agreements signed in 2015 with Wartsila. The agreements ensure dynamic maintenance planning, technical support, security of spare parts supply, specialist technical personnel and performance monitoring.</w:t>
      </w:r>
    </w:p>
    <w:p>
      <w:pPr>
        <w:spacing w:after="0" w:line="210" w:lineRule="exact"/>
        <w:rPr>
          <w:rFonts w:ascii="Arial" w:cs="Arial" w:eastAsia="Arial" w:hAnsi="Arial"/>
          <w:sz w:val="18"/>
          <w:szCs w:val="18"/>
          <w:color w:val="auto"/>
        </w:rPr>
      </w:pPr>
    </w:p>
    <w:p>
      <w:pPr>
        <w:ind w:left="260" w:right="200" w:hanging="252"/>
        <w:spacing w:after="0" w:line="296" w:lineRule="auto"/>
        <w:tabs>
          <w:tab w:leader="none" w:pos="282" w:val="left"/>
        </w:tabs>
        <w:numPr>
          <w:ilvl w:val="0"/>
          <w:numId w:val="16"/>
        </w:numPr>
        <w:rPr>
          <w:rFonts w:ascii="Arial" w:cs="Arial" w:eastAsia="Arial" w:hAnsi="Arial"/>
          <w:sz w:val="17"/>
          <w:szCs w:val="17"/>
          <w:color w:val="auto"/>
        </w:rPr>
      </w:pPr>
      <w:r>
        <w:rPr>
          <w:rFonts w:ascii="Arial" w:cs="Arial" w:eastAsia="Arial" w:hAnsi="Arial"/>
          <w:sz w:val="15"/>
          <w:szCs w:val="15"/>
          <w:color w:val="auto"/>
        </w:rPr>
        <w:t>In March 2019, GasLog LNG Services entered into an agreement with Samsung in respect of twenty of GasLog’s vessels. The agreement covers the supply of ballast water management systems on board the vessels by Samsung and associated field, commissioning and engineering services for a firm period of six years.</w:t>
      </w:r>
    </w:p>
    <w:p>
      <w:pPr>
        <w:spacing w:after="0" w:line="167" w:lineRule="exact"/>
        <w:rPr>
          <w:sz w:val="20"/>
          <w:szCs w:val="20"/>
          <w:color w:val="auto"/>
        </w:rPr>
      </w:pPr>
    </w:p>
    <w:p>
      <w:pPr>
        <w:jc w:val="both"/>
        <w:ind w:right="120" w:firstLine="436"/>
        <w:spacing w:after="0" w:line="305" w:lineRule="auto"/>
        <w:rPr>
          <w:sz w:val="20"/>
          <w:szCs w:val="20"/>
          <w:color w:val="auto"/>
        </w:rPr>
      </w:pPr>
      <w:r>
        <w:rPr>
          <w:rFonts w:ascii="Arial" w:cs="Arial" w:eastAsia="Arial" w:hAnsi="Arial"/>
          <w:sz w:val="15"/>
          <w:szCs w:val="15"/>
          <w:color w:val="auto"/>
        </w:rPr>
        <w:t>Various claims, suits and complaints, including those involving government regulations, arise in the ordinary course of the shipping business. In addition, losses may arise from disputes with charterers, environmental claims, agents and insurers and from claims with suppliers relating to the operations of the Group’s vessels. Currently, management is not aware of any such claims or contingent liabilities requiring disclosure in the unaudited condensed consolidated financial statements.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420" w:type="dxa"/>
            <w:vAlign w:val="bottom"/>
            <w:gridSpan w:val="2"/>
          </w:tcPr>
          <w:p>
            <w:pPr>
              <w:spacing w:after="0"/>
              <w:rPr>
                <w:sz w:val="20"/>
                <w:szCs w:val="20"/>
                <w:color w:val="auto"/>
              </w:rPr>
            </w:pPr>
            <w:r>
              <w:rPr>
                <w:rFonts w:ascii="Arial" w:cs="Arial" w:eastAsia="Arial" w:hAnsi="Arial"/>
                <w:sz w:val="16"/>
                <w:szCs w:val="16"/>
                <w:b w:val="1"/>
                <w:bCs w:val="1"/>
                <w:color w:val="auto"/>
              </w:rPr>
              <w:t>15. Derivative Financial Instruments</w:t>
            </w: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8420" w:type="dxa"/>
            <w:vAlign w:val="bottom"/>
            <w:gridSpan w:val="2"/>
          </w:tcPr>
          <w:p>
            <w:pPr>
              <w:ind w:left="380"/>
              <w:spacing w:after="0"/>
              <w:rPr>
                <w:sz w:val="20"/>
                <w:szCs w:val="20"/>
                <w:color w:val="auto"/>
              </w:rPr>
            </w:pPr>
            <w:r>
              <w:rPr>
                <w:rFonts w:ascii="Arial" w:cs="Arial" w:eastAsia="Arial" w:hAnsi="Arial"/>
                <w:sz w:val="16"/>
                <w:szCs w:val="16"/>
                <w:color w:val="auto"/>
              </w:rPr>
              <w:t>The fair value of the derivative assets is as follows:</w:t>
            </w: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380" w:type="dxa"/>
            <w:vAlign w:val="bottom"/>
          </w:tcPr>
          <w:p>
            <w:pPr>
              <w:spacing w:after="0"/>
              <w:rPr>
                <w:sz w:val="24"/>
                <w:szCs w:val="24"/>
                <w:color w:val="auto"/>
              </w:rPr>
            </w:pPr>
          </w:p>
        </w:tc>
        <w:tc>
          <w:tcPr>
            <w:tcW w:w="8040" w:type="dxa"/>
            <w:vAlign w:val="bottom"/>
          </w:tcPr>
          <w:p>
            <w:pPr>
              <w:spacing w:after="0"/>
              <w:rPr>
                <w:sz w:val="24"/>
                <w:szCs w:val="24"/>
                <w:color w:val="auto"/>
              </w:rPr>
            </w:pPr>
          </w:p>
        </w:tc>
        <w:tc>
          <w:tcPr>
            <w:tcW w:w="16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December 31,</w:t>
            </w: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w w:val="94"/>
              </w:rPr>
              <w:t>March 31,</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80" w:type="dxa"/>
            <w:vAlign w:val="bottom"/>
          </w:tcPr>
          <w:p>
            <w:pPr>
              <w:spacing w:after="0"/>
              <w:rPr>
                <w:sz w:val="18"/>
                <w:szCs w:val="18"/>
                <w:color w:val="auto"/>
              </w:rPr>
            </w:pPr>
          </w:p>
        </w:tc>
        <w:tc>
          <w:tcPr>
            <w:tcW w:w="8040" w:type="dxa"/>
            <w:vAlign w:val="bottom"/>
            <w:tcBorders>
              <w:bottom w:val="single" w:sz="8" w:color="E5FFFF"/>
            </w:tcBorders>
          </w:tcPr>
          <w:p>
            <w:pPr>
              <w:spacing w:after="0"/>
              <w:rPr>
                <w:sz w:val="18"/>
                <w:szCs w:val="18"/>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2018</w:t>
            </w:r>
          </w:p>
        </w:tc>
        <w:tc>
          <w:tcPr>
            <w:tcW w:w="280" w:type="dxa"/>
            <w:vAlign w:val="bottom"/>
            <w:tcBorders>
              <w:bottom w:val="single" w:sz="8" w:color="E5FFFF"/>
            </w:tcBorders>
          </w:tcPr>
          <w:p>
            <w:pPr>
              <w:spacing w:after="0"/>
              <w:rPr>
                <w:sz w:val="18"/>
                <w:szCs w:val="18"/>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380" w:type="dxa"/>
            <w:vAlign w:val="bottom"/>
          </w:tcPr>
          <w:p>
            <w:pPr>
              <w:spacing w:after="0"/>
              <w:rPr>
                <w:sz w:val="16"/>
                <w:szCs w:val="16"/>
                <w:color w:val="auto"/>
              </w:rPr>
            </w:pPr>
          </w:p>
        </w:tc>
        <w:tc>
          <w:tcPr>
            <w:tcW w:w="804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Derivative assets carried at fair value through profit or loss (FVTPL)</w:t>
            </w:r>
          </w:p>
        </w:tc>
        <w:tc>
          <w:tcPr>
            <w:tcW w:w="1380" w:type="dxa"/>
            <w:vAlign w:val="bottom"/>
            <w:shd w:val="clear" w:color="auto" w:fill="E5FFFF"/>
          </w:tcPr>
          <w:p>
            <w:pPr>
              <w:spacing w:after="0"/>
              <w:rPr>
                <w:sz w:val="16"/>
                <w:szCs w:val="16"/>
                <w:color w:val="auto"/>
              </w:rPr>
            </w:pPr>
          </w:p>
        </w:tc>
        <w:tc>
          <w:tcPr>
            <w:tcW w:w="280" w:type="dxa"/>
            <w:vAlign w:val="bottom"/>
            <w:shd w:val="clear" w:color="auto" w:fill="E5FFFF"/>
          </w:tcPr>
          <w:p>
            <w:pPr>
              <w:spacing w:after="0"/>
              <w:rPr>
                <w:sz w:val="16"/>
                <w:szCs w:val="16"/>
                <w:color w:val="auto"/>
              </w:rPr>
            </w:pPr>
          </w:p>
        </w:tc>
        <w:tc>
          <w:tcPr>
            <w:tcW w:w="1380" w:type="dxa"/>
            <w:vAlign w:val="bottom"/>
            <w:shd w:val="clear" w:color="auto" w:fill="E5FFFF"/>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8040" w:type="dxa"/>
            <w:vAlign w:val="bottom"/>
            <w:tcBorders>
              <w:bottom w:val="single" w:sz="8" w:color="E5FFFF"/>
            </w:tcBorders>
          </w:tcPr>
          <w:p>
            <w:pPr>
              <w:spacing w:after="0"/>
              <w:rPr>
                <w:sz w:val="20"/>
                <w:szCs w:val="20"/>
                <w:color w:val="auto"/>
              </w:rPr>
            </w:pPr>
            <w:r>
              <w:rPr>
                <w:rFonts w:ascii="Arial" w:cs="Arial" w:eastAsia="Arial" w:hAnsi="Arial"/>
                <w:sz w:val="16"/>
                <w:szCs w:val="16"/>
                <w:color w:val="auto"/>
              </w:rPr>
              <w:t>Interest rate swaps</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15,188</w:t>
            </w:r>
          </w:p>
        </w:tc>
        <w:tc>
          <w:tcPr>
            <w:tcW w:w="280" w:type="dxa"/>
            <w:vAlign w:val="bottom"/>
            <w:tcBorders>
              <w:bottom w:val="single" w:sz="8" w:color="E5FFFF"/>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7,194</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804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Total</w:t>
            </w:r>
          </w:p>
        </w:tc>
        <w:tc>
          <w:tcPr>
            <w:tcW w:w="13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15,188</w:t>
            </w:r>
          </w:p>
        </w:tc>
        <w:tc>
          <w:tcPr>
            <w:tcW w:w="280" w:type="dxa"/>
            <w:vAlign w:val="bottom"/>
            <w:tcBorders>
              <w:bottom w:val="single" w:sz="8" w:color="E5FFFF"/>
            </w:tcBorders>
            <w:shd w:val="clear" w:color="auto" w:fill="E5FFFF"/>
          </w:tcPr>
          <w:p>
            <w:pPr>
              <w:spacing w:after="0"/>
              <w:rPr>
                <w:sz w:val="17"/>
                <w:szCs w:val="17"/>
                <w:color w:val="auto"/>
              </w:rPr>
            </w:pPr>
          </w:p>
        </w:tc>
        <w:tc>
          <w:tcPr>
            <w:tcW w:w="13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7,194</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8040" w:type="dxa"/>
            <w:vAlign w:val="bottom"/>
            <w:vMerge w:val="restart"/>
          </w:tcPr>
          <w:p>
            <w:pPr>
              <w:spacing w:after="0"/>
              <w:rPr>
                <w:sz w:val="20"/>
                <w:szCs w:val="20"/>
                <w:color w:val="auto"/>
              </w:rPr>
            </w:pPr>
            <w:r>
              <w:rPr>
                <w:rFonts w:ascii="Arial" w:cs="Arial" w:eastAsia="Arial" w:hAnsi="Arial"/>
                <w:sz w:val="16"/>
                <w:szCs w:val="16"/>
                <w:color w:val="auto"/>
              </w:rPr>
              <w:t>Derivative financial instruments, current assets</w:t>
            </w: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80" w:type="dxa"/>
            <w:vAlign w:val="bottom"/>
          </w:tcPr>
          <w:p>
            <w:pPr>
              <w:spacing w:after="0"/>
              <w:rPr>
                <w:sz w:val="15"/>
                <w:szCs w:val="15"/>
                <w:color w:val="auto"/>
              </w:rPr>
            </w:pPr>
          </w:p>
        </w:tc>
        <w:tc>
          <w:tcPr>
            <w:tcW w:w="8040" w:type="dxa"/>
            <w:vAlign w:val="bottom"/>
            <w:vMerge w:val="continue"/>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6,222</w:t>
            </w:r>
          </w:p>
        </w:tc>
        <w:tc>
          <w:tcPr>
            <w:tcW w:w="28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4,236</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8040" w:type="dxa"/>
            <w:vAlign w:val="bottom"/>
            <w:shd w:val="clear" w:color="auto" w:fill="E5FFFF"/>
          </w:tcPr>
          <w:p>
            <w:pPr>
              <w:spacing w:after="0"/>
              <w:rPr>
                <w:sz w:val="20"/>
                <w:szCs w:val="20"/>
                <w:color w:val="auto"/>
              </w:rPr>
            </w:pPr>
            <w:r>
              <w:rPr>
                <w:rFonts w:ascii="Arial" w:cs="Arial" w:eastAsia="Arial" w:hAnsi="Arial"/>
                <w:sz w:val="16"/>
                <w:szCs w:val="16"/>
                <w:color w:val="auto"/>
              </w:rPr>
              <w:t>Derivative financial instruments, non-current assets</w:t>
            </w:r>
          </w:p>
        </w:tc>
        <w:tc>
          <w:tcPr>
            <w:tcW w:w="13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8,966</w:t>
            </w:r>
          </w:p>
        </w:tc>
        <w:tc>
          <w:tcPr>
            <w:tcW w:w="280" w:type="dxa"/>
            <w:vAlign w:val="bottom"/>
            <w:shd w:val="clear" w:color="auto" w:fill="E5FFFF"/>
          </w:tcPr>
          <w:p>
            <w:pPr>
              <w:spacing w:after="0"/>
              <w:rPr>
                <w:sz w:val="17"/>
                <w:szCs w:val="17"/>
                <w:color w:val="auto"/>
              </w:rPr>
            </w:pPr>
          </w:p>
        </w:tc>
        <w:tc>
          <w:tcPr>
            <w:tcW w:w="13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2,958</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8040" w:type="dxa"/>
            <w:vAlign w:val="bottom"/>
          </w:tcPr>
          <w:p>
            <w:pPr>
              <w:spacing w:after="0"/>
              <w:rPr>
                <w:sz w:val="20"/>
                <w:szCs w:val="20"/>
                <w:color w:val="auto"/>
              </w:rPr>
            </w:pPr>
            <w:r>
              <w:rPr>
                <w:rFonts w:ascii="Arial" w:cs="Arial" w:eastAsia="Arial" w:hAnsi="Arial"/>
                <w:sz w:val="16"/>
                <w:szCs w:val="16"/>
                <w:b w:val="1"/>
                <w:bCs w:val="1"/>
                <w:color w:val="auto"/>
              </w:rPr>
              <w:t>Total</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15,188</w:t>
            </w:r>
          </w:p>
        </w:tc>
        <w:tc>
          <w:tcPr>
            <w:tcW w:w="280" w:type="dxa"/>
            <w:vAlign w:val="bottom"/>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7,194</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8040" w:type="dxa"/>
            <w:vAlign w:val="bottom"/>
            <w:vMerge w:val="restart"/>
          </w:tcPr>
          <w:p>
            <w:pPr>
              <w:ind w:left="20"/>
              <w:spacing w:after="0"/>
              <w:rPr>
                <w:sz w:val="20"/>
                <w:szCs w:val="20"/>
                <w:color w:val="auto"/>
              </w:rPr>
            </w:pPr>
            <w:r>
              <w:rPr>
                <w:rFonts w:ascii="Arial" w:cs="Arial" w:eastAsia="Arial" w:hAnsi="Arial"/>
                <w:sz w:val="16"/>
                <w:szCs w:val="16"/>
                <w:color w:val="auto"/>
              </w:rPr>
              <w:t>The fair value of the derivative liabilities is as follows:</w:t>
            </w: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380" w:type="dxa"/>
            <w:vAlign w:val="bottom"/>
          </w:tcPr>
          <w:p>
            <w:pPr>
              <w:spacing w:after="0"/>
              <w:rPr>
                <w:sz w:val="24"/>
                <w:szCs w:val="24"/>
                <w:color w:val="auto"/>
              </w:rPr>
            </w:pPr>
          </w:p>
        </w:tc>
        <w:tc>
          <w:tcPr>
            <w:tcW w:w="8040" w:type="dxa"/>
            <w:vAlign w:val="bottom"/>
            <w:vMerge w:val="continue"/>
          </w:tcPr>
          <w:p>
            <w:pPr>
              <w:spacing w:after="0"/>
              <w:rPr>
                <w:sz w:val="24"/>
                <w:szCs w:val="24"/>
                <w:color w:val="auto"/>
              </w:rPr>
            </w:pP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380" w:type="dxa"/>
            <w:vAlign w:val="bottom"/>
          </w:tcPr>
          <w:p>
            <w:pPr>
              <w:spacing w:after="0"/>
              <w:rPr>
                <w:sz w:val="24"/>
                <w:szCs w:val="24"/>
                <w:color w:val="auto"/>
              </w:rPr>
            </w:pPr>
          </w:p>
        </w:tc>
        <w:tc>
          <w:tcPr>
            <w:tcW w:w="8040" w:type="dxa"/>
            <w:vAlign w:val="bottom"/>
          </w:tcPr>
          <w:p>
            <w:pPr>
              <w:spacing w:after="0"/>
              <w:rPr>
                <w:sz w:val="24"/>
                <w:szCs w:val="24"/>
                <w:color w:val="auto"/>
              </w:rPr>
            </w:pPr>
          </w:p>
        </w:tc>
        <w:tc>
          <w:tcPr>
            <w:tcW w:w="16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December 31,</w:t>
            </w: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w w:val="94"/>
              </w:rPr>
              <w:t>March 31,</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80" w:type="dxa"/>
            <w:vAlign w:val="bottom"/>
          </w:tcPr>
          <w:p>
            <w:pPr>
              <w:spacing w:after="0"/>
              <w:rPr>
                <w:sz w:val="18"/>
                <w:szCs w:val="18"/>
                <w:color w:val="auto"/>
              </w:rPr>
            </w:pPr>
          </w:p>
        </w:tc>
        <w:tc>
          <w:tcPr>
            <w:tcW w:w="8040" w:type="dxa"/>
            <w:vAlign w:val="bottom"/>
            <w:tcBorders>
              <w:bottom w:val="single" w:sz="8" w:color="E5FFFF"/>
            </w:tcBorders>
          </w:tcPr>
          <w:p>
            <w:pPr>
              <w:spacing w:after="0"/>
              <w:rPr>
                <w:sz w:val="18"/>
                <w:szCs w:val="18"/>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2018</w:t>
            </w:r>
          </w:p>
        </w:tc>
        <w:tc>
          <w:tcPr>
            <w:tcW w:w="280" w:type="dxa"/>
            <w:vAlign w:val="bottom"/>
            <w:tcBorders>
              <w:bottom w:val="single" w:sz="8" w:color="E5FFFF"/>
            </w:tcBorders>
          </w:tcPr>
          <w:p>
            <w:pPr>
              <w:spacing w:after="0"/>
              <w:rPr>
                <w:sz w:val="18"/>
                <w:szCs w:val="18"/>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80" w:type="dxa"/>
            <w:vAlign w:val="bottom"/>
          </w:tcPr>
          <w:p>
            <w:pPr>
              <w:spacing w:after="0"/>
              <w:rPr>
                <w:sz w:val="16"/>
                <w:szCs w:val="16"/>
                <w:color w:val="auto"/>
              </w:rPr>
            </w:pPr>
          </w:p>
        </w:tc>
        <w:tc>
          <w:tcPr>
            <w:tcW w:w="804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Derivative liabilities carried at fair value through profit or loss (FVTPL)</w:t>
            </w:r>
          </w:p>
        </w:tc>
        <w:tc>
          <w:tcPr>
            <w:tcW w:w="1380" w:type="dxa"/>
            <w:vAlign w:val="bottom"/>
            <w:shd w:val="clear" w:color="auto" w:fill="E5FFFF"/>
          </w:tcPr>
          <w:p>
            <w:pPr>
              <w:spacing w:after="0"/>
              <w:rPr>
                <w:sz w:val="16"/>
                <w:szCs w:val="16"/>
                <w:color w:val="auto"/>
              </w:rPr>
            </w:pPr>
          </w:p>
        </w:tc>
        <w:tc>
          <w:tcPr>
            <w:tcW w:w="280" w:type="dxa"/>
            <w:vAlign w:val="bottom"/>
            <w:shd w:val="clear" w:color="auto" w:fill="E5FFFF"/>
          </w:tcPr>
          <w:p>
            <w:pPr>
              <w:spacing w:after="0"/>
              <w:rPr>
                <w:sz w:val="16"/>
                <w:szCs w:val="16"/>
                <w:color w:val="auto"/>
              </w:rPr>
            </w:pPr>
          </w:p>
        </w:tc>
        <w:tc>
          <w:tcPr>
            <w:tcW w:w="1380" w:type="dxa"/>
            <w:vAlign w:val="bottom"/>
            <w:shd w:val="clear" w:color="auto" w:fill="E5FFFF"/>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8040" w:type="dxa"/>
            <w:vAlign w:val="bottom"/>
          </w:tcPr>
          <w:p>
            <w:pPr>
              <w:spacing w:after="0"/>
              <w:rPr>
                <w:sz w:val="20"/>
                <w:szCs w:val="20"/>
                <w:color w:val="auto"/>
              </w:rPr>
            </w:pPr>
            <w:r>
              <w:rPr>
                <w:rFonts w:ascii="Arial" w:cs="Arial" w:eastAsia="Arial" w:hAnsi="Arial"/>
                <w:sz w:val="16"/>
                <w:szCs w:val="16"/>
                <w:color w:val="auto"/>
              </w:rPr>
              <w:t>Interest rate swaps</w:t>
            </w:r>
          </w:p>
        </w:tc>
        <w:tc>
          <w:tcPr>
            <w:tcW w:w="1380" w:type="dxa"/>
            <w:vAlign w:val="bottom"/>
          </w:tcPr>
          <w:p>
            <w:pPr>
              <w:jc w:val="right"/>
              <w:spacing w:after="0"/>
              <w:rPr>
                <w:sz w:val="20"/>
                <w:szCs w:val="20"/>
                <w:color w:val="auto"/>
              </w:rPr>
            </w:pPr>
            <w:r>
              <w:rPr>
                <w:rFonts w:ascii="Arial" w:cs="Arial" w:eastAsia="Arial" w:hAnsi="Arial"/>
                <w:sz w:val="16"/>
                <w:szCs w:val="16"/>
                <w:color w:val="auto"/>
              </w:rPr>
              <w:t>9,196</w:t>
            </w:r>
          </w:p>
        </w:tc>
        <w:tc>
          <w:tcPr>
            <w:tcW w:w="2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21,956</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8040" w:type="dxa"/>
            <w:vAlign w:val="bottom"/>
            <w:shd w:val="clear" w:color="auto" w:fill="E5FFFF"/>
          </w:tcPr>
          <w:p>
            <w:pPr>
              <w:spacing w:after="0"/>
              <w:rPr>
                <w:sz w:val="20"/>
                <w:szCs w:val="20"/>
                <w:color w:val="auto"/>
              </w:rPr>
            </w:pPr>
            <w:r>
              <w:rPr>
                <w:rFonts w:ascii="Arial" w:cs="Arial" w:eastAsia="Arial" w:hAnsi="Arial"/>
                <w:sz w:val="16"/>
                <w:szCs w:val="16"/>
                <w:color w:val="auto"/>
              </w:rPr>
              <w:t>Forward foreign exchange contracts</w:t>
            </w: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1,467</w:t>
            </w:r>
          </w:p>
        </w:tc>
        <w:tc>
          <w:tcPr>
            <w:tcW w:w="280" w:type="dxa"/>
            <w:vAlign w:val="bottom"/>
            <w:shd w:val="clear" w:color="auto" w:fill="E5FFFF"/>
          </w:tcPr>
          <w:p>
            <w:pPr>
              <w:spacing w:after="0"/>
              <w:rPr>
                <w:sz w:val="17"/>
                <w:szCs w:val="17"/>
                <w:color w:val="auto"/>
              </w:rPr>
            </w:pP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1,864</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8040" w:type="dxa"/>
            <w:vAlign w:val="bottom"/>
          </w:tcPr>
          <w:p>
            <w:pPr>
              <w:spacing w:after="0"/>
              <w:rPr>
                <w:sz w:val="20"/>
                <w:szCs w:val="20"/>
                <w:color w:val="auto"/>
              </w:rPr>
            </w:pPr>
            <w:r>
              <w:rPr>
                <w:rFonts w:ascii="Arial" w:cs="Arial" w:eastAsia="Arial" w:hAnsi="Arial"/>
                <w:sz w:val="16"/>
                <w:szCs w:val="16"/>
                <w:b w:val="1"/>
                <w:bCs w:val="1"/>
                <w:color w:val="auto"/>
              </w:rPr>
              <w:t>Derivative liabilities designated and effective as hedging instruments carried at fair value</w:t>
            </w:r>
          </w:p>
        </w:tc>
        <w:tc>
          <w:tcPr>
            <w:tcW w:w="1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8040" w:type="dxa"/>
            <w:vAlign w:val="bottom"/>
            <w:shd w:val="clear" w:color="auto" w:fill="E5FFFF"/>
          </w:tcPr>
          <w:p>
            <w:pPr>
              <w:spacing w:after="0"/>
              <w:rPr>
                <w:sz w:val="20"/>
                <w:szCs w:val="20"/>
                <w:color w:val="auto"/>
              </w:rPr>
            </w:pPr>
            <w:r>
              <w:rPr>
                <w:rFonts w:ascii="Arial" w:cs="Arial" w:eastAsia="Arial" w:hAnsi="Arial"/>
                <w:sz w:val="16"/>
                <w:szCs w:val="16"/>
                <w:color w:val="auto"/>
              </w:rPr>
              <w:t>Cross currency swaps</w:t>
            </w:r>
          </w:p>
        </w:tc>
        <w:tc>
          <w:tcPr>
            <w:tcW w:w="13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1,429</w:t>
            </w:r>
          </w:p>
        </w:tc>
        <w:tc>
          <w:tcPr>
            <w:tcW w:w="280" w:type="dxa"/>
            <w:vAlign w:val="bottom"/>
            <w:shd w:val="clear" w:color="auto" w:fill="E5FFFF"/>
          </w:tcPr>
          <w:p>
            <w:pPr>
              <w:spacing w:after="0"/>
              <w:rPr>
                <w:sz w:val="17"/>
                <w:szCs w:val="17"/>
                <w:color w:val="auto"/>
              </w:rPr>
            </w:pPr>
          </w:p>
        </w:tc>
        <w:tc>
          <w:tcPr>
            <w:tcW w:w="13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1,917</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380" w:type="dxa"/>
            <w:vAlign w:val="bottom"/>
          </w:tcPr>
          <w:p>
            <w:pPr>
              <w:spacing w:after="0"/>
              <w:rPr>
                <w:sz w:val="20"/>
                <w:szCs w:val="20"/>
                <w:color w:val="auto"/>
              </w:rPr>
            </w:pPr>
          </w:p>
        </w:tc>
        <w:tc>
          <w:tcPr>
            <w:tcW w:w="804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Total</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12,092</w:t>
            </w:r>
          </w:p>
        </w:tc>
        <w:tc>
          <w:tcPr>
            <w:tcW w:w="280" w:type="dxa"/>
            <w:vAlign w:val="bottom"/>
            <w:tcBorders>
              <w:bottom w:val="single" w:sz="8" w:color="E5FFFF"/>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25,737</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380" w:type="dxa"/>
            <w:vAlign w:val="bottom"/>
          </w:tcPr>
          <w:p>
            <w:pPr>
              <w:spacing w:after="0"/>
              <w:rPr>
                <w:sz w:val="15"/>
                <w:szCs w:val="15"/>
                <w:color w:val="auto"/>
              </w:rPr>
            </w:pPr>
          </w:p>
        </w:tc>
        <w:tc>
          <w:tcPr>
            <w:tcW w:w="8040" w:type="dxa"/>
            <w:vAlign w:val="bottom"/>
            <w:shd w:val="clear" w:color="auto" w:fill="E5FFFF"/>
          </w:tcPr>
          <w:p>
            <w:pPr>
              <w:spacing w:after="0" w:line="166" w:lineRule="exact"/>
              <w:rPr>
                <w:sz w:val="20"/>
                <w:szCs w:val="20"/>
                <w:color w:val="auto"/>
              </w:rPr>
            </w:pPr>
            <w:r>
              <w:rPr>
                <w:rFonts w:ascii="Arial" w:cs="Arial" w:eastAsia="Arial" w:hAnsi="Arial"/>
                <w:sz w:val="16"/>
                <w:szCs w:val="16"/>
                <w:color w:val="auto"/>
              </w:rPr>
              <w:t>Derivative financial instruments, current liability</w:t>
            </w: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2,091</w:t>
            </w:r>
          </w:p>
        </w:tc>
        <w:tc>
          <w:tcPr>
            <w:tcW w:w="280" w:type="dxa"/>
            <w:vAlign w:val="bottom"/>
            <w:shd w:val="clear" w:color="auto" w:fill="E5FFFF"/>
          </w:tcPr>
          <w:p>
            <w:pPr>
              <w:spacing w:after="0"/>
              <w:rPr>
                <w:sz w:val="15"/>
                <w:szCs w:val="15"/>
                <w:color w:val="auto"/>
              </w:rPr>
            </w:pP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2,785</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8040" w:type="dxa"/>
            <w:vAlign w:val="bottom"/>
            <w:tcBorders>
              <w:bottom w:val="single" w:sz="8" w:color="E5FFFF"/>
            </w:tcBorders>
          </w:tcPr>
          <w:p>
            <w:pPr>
              <w:spacing w:after="0"/>
              <w:rPr>
                <w:sz w:val="20"/>
                <w:szCs w:val="20"/>
                <w:color w:val="auto"/>
              </w:rPr>
            </w:pPr>
            <w:r>
              <w:rPr>
                <w:rFonts w:ascii="Arial" w:cs="Arial" w:eastAsia="Arial" w:hAnsi="Arial"/>
                <w:sz w:val="16"/>
                <w:szCs w:val="16"/>
                <w:color w:val="auto"/>
              </w:rPr>
              <w:t>Derivative financial instruments, non-current liability</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10,001</w:t>
            </w:r>
          </w:p>
        </w:tc>
        <w:tc>
          <w:tcPr>
            <w:tcW w:w="280" w:type="dxa"/>
            <w:vAlign w:val="bottom"/>
            <w:tcBorders>
              <w:bottom w:val="single" w:sz="8" w:color="E5FFFF"/>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22,952</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804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Total</w:t>
            </w:r>
          </w:p>
        </w:tc>
        <w:tc>
          <w:tcPr>
            <w:tcW w:w="13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12,092</w:t>
            </w:r>
          </w:p>
        </w:tc>
        <w:tc>
          <w:tcPr>
            <w:tcW w:w="280" w:type="dxa"/>
            <w:vAlign w:val="bottom"/>
            <w:tcBorders>
              <w:bottom w:val="single" w:sz="8" w:color="E5FFFF"/>
            </w:tcBorders>
            <w:shd w:val="clear" w:color="auto" w:fill="E5FFFF"/>
          </w:tcPr>
          <w:p>
            <w:pPr>
              <w:spacing w:after="0"/>
              <w:rPr>
                <w:sz w:val="17"/>
                <w:szCs w:val="17"/>
                <w:color w:val="auto"/>
              </w:rPr>
            </w:pPr>
          </w:p>
        </w:tc>
        <w:tc>
          <w:tcPr>
            <w:tcW w:w="13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25,737</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8040" w:type="dxa"/>
            <w:vAlign w:val="bottom"/>
            <w:vMerge w:val="restart"/>
          </w:tcPr>
          <w:p>
            <w:pPr>
              <w:ind w:left="5260"/>
              <w:spacing w:after="0"/>
              <w:rPr>
                <w:sz w:val="20"/>
                <w:szCs w:val="20"/>
                <w:color w:val="auto"/>
              </w:rPr>
            </w:pPr>
            <w:r>
              <w:rPr>
                <w:rFonts w:ascii="Arial" w:cs="Arial" w:eastAsia="Arial" w:hAnsi="Arial"/>
                <w:sz w:val="16"/>
                <w:szCs w:val="16"/>
                <w:color w:val="auto"/>
              </w:rPr>
              <w:t>F-15</w:t>
            </w: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380" w:type="dxa"/>
            <w:vAlign w:val="bottom"/>
          </w:tcPr>
          <w:p>
            <w:pPr>
              <w:spacing w:after="0"/>
              <w:rPr>
                <w:sz w:val="24"/>
                <w:szCs w:val="24"/>
                <w:color w:val="auto"/>
              </w:rPr>
            </w:pPr>
          </w:p>
        </w:tc>
        <w:tc>
          <w:tcPr>
            <w:tcW w:w="8040" w:type="dxa"/>
            <w:vAlign w:val="bottom"/>
            <w:vMerge w:val="continue"/>
          </w:tcPr>
          <w:p>
            <w:pPr>
              <w:spacing w:after="0"/>
              <w:rPr>
                <w:sz w:val="24"/>
                <w:szCs w:val="24"/>
                <w:color w:val="auto"/>
              </w:rPr>
            </w:pP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380" w:type="dxa"/>
            <w:vAlign w:val="bottom"/>
            <w:tcBorders>
              <w:bottom w:val="single" w:sz="8" w:color="808080"/>
            </w:tcBorders>
          </w:tcPr>
          <w:p>
            <w:pPr>
              <w:spacing w:after="0"/>
              <w:rPr>
                <w:sz w:val="11"/>
                <w:szCs w:val="11"/>
                <w:color w:val="auto"/>
              </w:rPr>
            </w:pPr>
          </w:p>
        </w:tc>
        <w:tc>
          <w:tcPr>
            <w:tcW w:w="8040" w:type="dxa"/>
            <w:vAlign w:val="bottom"/>
            <w:tcBorders>
              <w:bottom w:val="single" w:sz="8" w:color="808080"/>
            </w:tcBorders>
          </w:tcPr>
          <w:p>
            <w:pPr>
              <w:spacing w:after="0"/>
              <w:rPr>
                <w:sz w:val="11"/>
                <w:szCs w:val="11"/>
                <w:color w:val="auto"/>
              </w:rPr>
            </w:pPr>
          </w:p>
        </w:tc>
        <w:tc>
          <w:tcPr>
            <w:tcW w:w="138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38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7349490</wp:posOffset>
            </wp:positionH>
            <wp:positionV relativeFrom="paragraph">
              <wp:posOffset>-29210</wp:posOffset>
            </wp:positionV>
            <wp:extent cx="1270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600"/>
          </w:cols>
          <w:pgMar w:left="160" w:top="262" w:right="139" w:bottom="1440" w:gutter="0" w:footer="0" w:header="0"/>
          <w:type w:val="continuous"/>
        </w:sectPr>
      </w:pPr>
    </w:p>
    <w:bookmarkStart w:id="39" w:name="page40"/>
    <w:bookmarkEnd w:id="39"/>
    <w:p>
      <w:pPr>
        <w:spacing w:after="0"/>
        <w:rPr>
          <w:sz w:val="20"/>
          <w:szCs w:val="20"/>
          <w:color w:val="auto"/>
        </w:rPr>
      </w:pPr>
      <w:r>
        <w:rPr>
          <w:rFonts w:ascii="Arial" w:cs="Arial" w:eastAsia="Arial" w:hAnsi="Arial"/>
          <w:sz w:val="16"/>
          <w:szCs w:val="16"/>
          <w:b w:val="1"/>
          <w:bCs w:val="1"/>
          <w:color w:val="auto"/>
        </w:rPr>
        <w:t>Interest rate swap agreements</w:t>
      </w:r>
    </w:p>
    <w:p>
      <w:pPr>
        <w:spacing w:after="0" w:line="239" w:lineRule="exact"/>
        <w:rPr>
          <w:sz w:val="20"/>
          <w:szCs w:val="20"/>
          <w:color w:val="auto"/>
        </w:rPr>
      </w:pPr>
    </w:p>
    <w:p>
      <w:pPr>
        <w:jc w:val="both"/>
        <w:ind w:right="320" w:firstLine="356"/>
        <w:spacing w:after="0" w:line="335" w:lineRule="auto"/>
        <w:rPr>
          <w:sz w:val="20"/>
          <w:szCs w:val="20"/>
          <w:color w:val="auto"/>
        </w:rPr>
      </w:pPr>
      <w:r>
        <w:rPr>
          <w:rFonts w:ascii="Arial" w:cs="Arial" w:eastAsia="Arial" w:hAnsi="Arial"/>
          <w:sz w:val="14"/>
          <w:szCs w:val="14"/>
          <w:color w:val="auto"/>
        </w:rPr>
        <w:t>The Group enters into interest rate swap agreements which convert the floating interest rate exposure into a fixed interest rate in order to hedge a portion of the Group’s exposure to fluctuations in prevailing market interest rates. Under the interest rate swaps, the bank counterparty effects quarterly floating-rate payments to the Group for the notional amount based on the U.S. dollar LIBOR, and the Group effects quarterly payments to the bank on the notional amounts at the respective fixed rates.</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Interest rate swaps held for trading</w:t>
      </w:r>
    </w:p>
    <w:p>
      <w:pPr>
        <w:spacing w:after="0" w:line="23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principal terms of the interest rate swaps held for trading are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20" w:type="dxa"/>
            <w:vAlign w:val="bottom"/>
            <w:gridSpan w:val="4"/>
          </w:tcPr>
          <w:p>
            <w:pPr>
              <w:ind w:left="800"/>
              <w:spacing w:after="0"/>
              <w:rPr>
                <w:sz w:val="20"/>
                <w:szCs w:val="20"/>
                <w:color w:val="auto"/>
              </w:rPr>
            </w:pPr>
            <w:r>
              <w:rPr>
                <w:rFonts w:ascii="Arial" w:cs="Arial" w:eastAsia="Arial" w:hAnsi="Arial"/>
                <w:sz w:val="16"/>
                <w:szCs w:val="16"/>
                <w:b w:val="1"/>
                <w:bCs w:val="1"/>
                <w:color w:val="auto"/>
              </w:rPr>
              <w:t>Notional Amount</w:t>
            </w:r>
          </w:p>
        </w:tc>
      </w:tr>
      <w:tr>
        <w:trPr>
          <w:trHeight w:val="188"/>
        </w:trPr>
        <w:tc>
          <w:tcPr>
            <w:tcW w:w="1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1"/>
              </w:rPr>
              <w:t>Trade</w:t>
            </w:r>
          </w:p>
        </w:tc>
        <w:tc>
          <w:tcPr>
            <w:tcW w:w="132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2"/>
              </w:rPr>
              <w:t>Effective</w:t>
            </w:r>
          </w:p>
        </w:tc>
        <w:tc>
          <w:tcPr>
            <w:tcW w:w="134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3"/>
              </w:rPr>
              <w:t>Termination</w:t>
            </w:r>
          </w:p>
        </w:tc>
        <w:tc>
          <w:tcPr>
            <w:tcW w:w="144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2"/>
              </w:rPr>
              <w:t>Fixed Interest</w:t>
            </w:r>
          </w:p>
        </w:tc>
        <w:tc>
          <w:tcPr>
            <w:tcW w:w="1540" w:type="dxa"/>
            <w:vAlign w:val="bottom"/>
            <w:tcBorders>
              <w:top w:val="single" w:sz="8" w:color="auto"/>
            </w:tcBorders>
            <w:gridSpan w:val="2"/>
          </w:tcPr>
          <w:p>
            <w:pPr>
              <w:ind w:left="220"/>
              <w:spacing w:after="0"/>
              <w:rPr>
                <w:sz w:val="20"/>
                <w:szCs w:val="20"/>
                <w:color w:val="auto"/>
              </w:rPr>
            </w:pPr>
            <w:r>
              <w:rPr>
                <w:rFonts w:ascii="Arial" w:cs="Arial" w:eastAsia="Arial" w:hAnsi="Arial"/>
                <w:sz w:val="16"/>
                <w:szCs w:val="16"/>
                <w:b w:val="1"/>
                <w:bCs w:val="1"/>
                <w:color w:val="auto"/>
              </w:rPr>
              <w:t>December 31,</w:t>
            </w:r>
          </w:p>
        </w:tc>
        <w:tc>
          <w:tcPr>
            <w:tcW w:w="126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March 31,</w:t>
            </w:r>
          </w:p>
        </w:tc>
        <w:tc>
          <w:tcPr>
            <w:tcW w:w="20" w:type="dxa"/>
            <w:vAlign w:val="bottom"/>
          </w:tcPr>
          <w:p>
            <w:pPr>
              <w:spacing w:after="0"/>
              <w:rPr>
                <w:sz w:val="16"/>
                <w:szCs w:val="16"/>
                <w:color w:val="auto"/>
              </w:rPr>
            </w:pPr>
          </w:p>
        </w:tc>
      </w:tr>
      <w:tr>
        <w:trPr>
          <w:trHeight w:val="213"/>
        </w:trPr>
        <w:tc>
          <w:tcPr>
            <w:tcW w:w="1220" w:type="dxa"/>
            <w:vAlign w:val="bottom"/>
          </w:tcPr>
          <w:p>
            <w:pPr>
              <w:spacing w:after="0"/>
              <w:rPr>
                <w:sz w:val="20"/>
                <w:szCs w:val="20"/>
                <w:color w:val="auto"/>
              </w:rPr>
            </w:pPr>
            <w:r>
              <w:rPr>
                <w:rFonts w:ascii="Arial" w:cs="Arial" w:eastAsia="Arial" w:hAnsi="Arial"/>
                <w:sz w:val="16"/>
                <w:szCs w:val="16"/>
                <w:b w:val="1"/>
                <w:bCs w:val="1"/>
                <w:color w:val="auto"/>
              </w:rPr>
              <w:t>Company</w:t>
            </w:r>
          </w:p>
        </w:tc>
        <w:tc>
          <w:tcPr>
            <w:tcW w:w="180" w:type="dxa"/>
            <w:vAlign w:val="bottom"/>
          </w:tcPr>
          <w:p>
            <w:pPr>
              <w:spacing w:after="0"/>
              <w:rPr>
                <w:sz w:val="18"/>
                <w:szCs w:val="18"/>
                <w:color w:val="auto"/>
              </w:rPr>
            </w:pPr>
          </w:p>
        </w:tc>
        <w:tc>
          <w:tcPr>
            <w:tcW w:w="1920" w:type="dxa"/>
            <w:vAlign w:val="bottom"/>
            <w:gridSpan w:val="2"/>
          </w:tcPr>
          <w:p>
            <w:pPr>
              <w:ind w:left="400"/>
              <w:spacing w:after="0"/>
              <w:rPr>
                <w:sz w:val="20"/>
                <w:szCs w:val="20"/>
                <w:color w:val="auto"/>
              </w:rPr>
            </w:pPr>
            <w:r>
              <w:rPr>
                <w:rFonts w:ascii="Arial" w:cs="Arial" w:eastAsia="Arial" w:hAnsi="Arial"/>
                <w:sz w:val="16"/>
                <w:szCs w:val="16"/>
                <w:b w:val="1"/>
                <w:bCs w:val="1"/>
                <w:color w:val="auto"/>
              </w:rPr>
              <w:t>Counterparty</w:t>
            </w:r>
          </w:p>
        </w:tc>
        <w:tc>
          <w:tcPr>
            <w:tcW w:w="134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2"/>
              </w:rPr>
              <w:t>Date</w:t>
            </w:r>
          </w:p>
        </w:tc>
        <w:tc>
          <w:tcPr>
            <w:tcW w:w="132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2"/>
              </w:rPr>
              <w:t>Date</w:t>
            </w:r>
          </w:p>
        </w:tc>
        <w:tc>
          <w:tcPr>
            <w:tcW w:w="134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7"/>
              </w:rPr>
              <w:t>Date</w:t>
            </w:r>
          </w:p>
        </w:tc>
        <w:tc>
          <w:tcPr>
            <w:tcW w:w="144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2"/>
              </w:rPr>
              <w:t>Rate</w:t>
            </w:r>
          </w:p>
        </w:tc>
        <w:tc>
          <w:tcPr>
            <w:tcW w:w="1380" w:type="dxa"/>
            <w:vAlign w:val="bottom"/>
          </w:tcPr>
          <w:p>
            <w:pPr>
              <w:jc w:val="right"/>
              <w:ind w:right="459"/>
              <w:spacing w:after="0"/>
              <w:rPr>
                <w:sz w:val="20"/>
                <w:szCs w:val="20"/>
                <w:color w:val="auto"/>
              </w:rPr>
            </w:pPr>
            <w:r>
              <w:rPr>
                <w:rFonts w:ascii="Arial" w:cs="Arial" w:eastAsia="Arial" w:hAnsi="Arial"/>
                <w:sz w:val="16"/>
                <w:szCs w:val="16"/>
                <w:b w:val="1"/>
                <w:bCs w:val="1"/>
                <w:color w:val="auto"/>
              </w:rPr>
              <w:t>2018</w:t>
            </w:r>
          </w:p>
        </w:tc>
        <w:tc>
          <w:tcPr>
            <w:tcW w:w="160" w:type="dxa"/>
            <w:vAlign w:val="bottom"/>
          </w:tcPr>
          <w:p>
            <w:pPr>
              <w:spacing w:after="0"/>
              <w:rPr>
                <w:sz w:val="18"/>
                <w:szCs w:val="18"/>
                <w:color w:val="auto"/>
              </w:rPr>
            </w:pPr>
          </w:p>
        </w:tc>
        <w:tc>
          <w:tcPr>
            <w:tcW w:w="1260" w:type="dxa"/>
            <w:vAlign w:val="bottom"/>
          </w:tcPr>
          <w:p>
            <w:pPr>
              <w:jc w:val="right"/>
              <w:ind w:right="379"/>
              <w:spacing w:after="0"/>
              <w:rPr>
                <w:sz w:val="20"/>
                <w:szCs w:val="20"/>
                <w:color w:val="auto"/>
              </w:rPr>
            </w:pPr>
            <w:r>
              <w:rPr>
                <w:rFonts w:ascii="Arial" w:cs="Arial" w:eastAsia="Arial" w:hAnsi="Arial"/>
                <w:sz w:val="16"/>
                <w:szCs w:val="16"/>
                <w:b w:val="1"/>
                <w:bCs w:val="1"/>
                <w:color w:val="auto"/>
              </w:rPr>
              <w:t>2019</w:t>
            </w:r>
          </w:p>
        </w:tc>
        <w:tc>
          <w:tcPr>
            <w:tcW w:w="20" w:type="dxa"/>
            <w:vAlign w:val="bottom"/>
          </w:tcPr>
          <w:p>
            <w:pPr>
              <w:spacing w:after="0"/>
              <w:rPr>
                <w:sz w:val="18"/>
                <w:szCs w:val="18"/>
                <w:color w:val="auto"/>
              </w:rPr>
            </w:pPr>
          </w:p>
        </w:tc>
      </w:tr>
      <w:tr>
        <w:trPr>
          <w:trHeight w:val="199"/>
        </w:trPr>
        <w:tc>
          <w:tcPr>
            <w:tcW w:w="1220" w:type="dxa"/>
            <w:vAlign w:val="bottom"/>
            <w:tcBorders>
              <w:top w:val="single" w:sz="8" w:color="auto"/>
            </w:tcBorders>
            <w:shd w:val="clear" w:color="auto" w:fill="E5FFFF"/>
          </w:tcPr>
          <w:p>
            <w:pPr>
              <w:spacing w:after="0"/>
              <w:rPr>
                <w:sz w:val="20"/>
                <w:szCs w:val="20"/>
                <w:color w:val="auto"/>
              </w:rPr>
            </w:pPr>
            <w:r>
              <w:rPr>
                <w:rFonts w:ascii="Arial" w:cs="Arial" w:eastAsia="Arial" w:hAnsi="Arial"/>
                <w:sz w:val="16"/>
                <w:szCs w:val="16"/>
                <w:color w:val="auto"/>
              </w:rPr>
              <w:t>GasLog</w:t>
            </w:r>
          </w:p>
        </w:tc>
        <w:tc>
          <w:tcPr>
            <w:tcW w:w="180" w:type="dxa"/>
            <w:vAlign w:val="bottom"/>
            <w:tcBorders>
              <w:top w:val="single" w:sz="8" w:color="E5FFFF"/>
            </w:tcBorders>
            <w:shd w:val="clear" w:color="auto" w:fill="E5FFFF"/>
          </w:tcPr>
          <w:p>
            <w:pPr>
              <w:spacing w:after="0"/>
              <w:rPr>
                <w:sz w:val="17"/>
                <w:szCs w:val="17"/>
                <w:color w:val="auto"/>
              </w:rPr>
            </w:pPr>
          </w:p>
        </w:tc>
        <w:tc>
          <w:tcPr>
            <w:tcW w:w="1740" w:type="dxa"/>
            <w:vAlign w:val="bottom"/>
            <w:tcBorders>
              <w:top w:val="single" w:sz="8" w:color="auto"/>
            </w:tcBorders>
            <w:shd w:val="clear" w:color="auto" w:fill="E5FFFF"/>
          </w:tcPr>
          <w:p>
            <w:pPr>
              <w:spacing w:after="0"/>
              <w:rPr>
                <w:sz w:val="20"/>
                <w:szCs w:val="20"/>
                <w:color w:val="auto"/>
              </w:rPr>
            </w:pPr>
            <w:r>
              <w:rPr>
                <w:rFonts w:ascii="Arial" w:cs="Arial" w:eastAsia="Arial" w:hAnsi="Arial"/>
                <w:sz w:val="16"/>
                <w:szCs w:val="16"/>
                <w:color w:val="auto"/>
              </w:rPr>
              <w:t>Deutsche Bank AG</w:t>
            </w:r>
          </w:p>
        </w:tc>
        <w:tc>
          <w:tcPr>
            <w:tcW w:w="180" w:type="dxa"/>
            <w:vAlign w:val="bottom"/>
            <w:tcBorders>
              <w:top w:val="single" w:sz="8" w:color="E5FFFF"/>
            </w:tcBorders>
            <w:shd w:val="clear" w:color="auto" w:fill="E5FFFF"/>
          </w:tcPr>
          <w:p>
            <w:pPr>
              <w:spacing w:after="0"/>
              <w:rPr>
                <w:sz w:val="17"/>
                <w:szCs w:val="17"/>
                <w:color w:val="auto"/>
              </w:rPr>
            </w:pPr>
          </w:p>
        </w:tc>
        <w:tc>
          <w:tcPr>
            <w:tcW w:w="116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93"/>
              </w:rPr>
              <w:t>July 2016</w:t>
            </w:r>
          </w:p>
        </w:tc>
        <w:tc>
          <w:tcPr>
            <w:tcW w:w="180" w:type="dxa"/>
            <w:vAlign w:val="bottom"/>
            <w:tcBorders>
              <w:top w:val="single" w:sz="8" w:color="E5FFFF"/>
            </w:tcBorders>
            <w:shd w:val="clear" w:color="auto" w:fill="E5FFFF"/>
          </w:tcPr>
          <w:p>
            <w:pPr>
              <w:spacing w:after="0"/>
              <w:rPr>
                <w:sz w:val="17"/>
                <w:szCs w:val="17"/>
                <w:color w:val="auto"/>
              </w:rPr>
            </w:pPr>
          </w:p>
        </w:tc>
        <w:tc>
          <w:tcPr>
            <w:tcW w:w="116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90"/>
              </w:rPr>
              <w:t>July 2016</w:t>
            </w:r>
          </w:p>
        </w:tc>
        <w:tc>
          <w:tcPr>
            <w:tcW w:w="160" w:type="dxa"/>
            <w:vAlign w:val="bottom"/>
            <w:tcBorders>
              <w:top w:val="single" w:sz="8" w:color="E5FFFF"/>
            </w:tcBorders>
            <w:shd w:val="clear" w:color="auto" w:fill="E5FFFF"/>
          </w:tcPr>
          <w:p>
            <w:pPr>
              <w:spacing w:after="0"/>
              <w:rPr>
                <w:sz w:val="17"/>
                <w:szCs w:val="17"/>
                <w:color w:val="auto"/>
              </w:rPr>
            </w:pPr>
          </w:p>
        </w:tc>
        <w:tc>
          <w:tcPr>
            <w:tcW w:w="116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90"/>
              </w:rPr>
              <w:t>July 2020</w:t>
            </w:r>
          </w:p>
        </w:tc>
        <w:tc>
          <w:tcPr>
            <w:tcW w:w="180" w:type="dxa"/>
            <w:vAlign w:val="bottom"/>
            <w:tcBorders>
              <w:top w:val="single" w:sz="8" w:color="E5FFFF"/>
            </w:tcBorders>
            <w:shd w:val="clear" w:color="auto" w:fill="E5FFFF"/>
          </w:tcPr>
          <w:p>
            <w:pPr>
              <w:spacing w:after="0"/>
              <w:rPr>
                <w:sz w:val="17"/>
                <w:szCs w:val="17"/>
                <w:color w:val="auto"/>
              </w:rPr>
            </w:pPr>
          </w:p>
        </w:tc>
        <w:tc>
          <w:tcPr>
            <w:tcW w:w="128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88"/>
              </w:rPr>
              <w:t>1.98%</w:t>
            </w:r>
          </w:p>
        </w:tc>
        <w:tc>
          <w:tcPr>
            <w:tcW w:w="160" w:type="dxa"/>
            <w:vAlign w:val="bottom"/>
            <w:tcBorders>
              <w:top w:val="single" w:sz="8" w:color="E5FFFF"/>
            </w:tcBorders>
            <w:shd w:val="clear" w:color="auto" w:fill="E5FFFF"/>
          </w:tcPr>
          <w:p>
            <w:pPr>
              <w:spacing w:after="0"/>
              <w:rPr>
                <w:sz w:val="17"/>
                <w:szCs w:val="17"/>
                <w:color w:val="auto"/>
              </w:rPr>
            </w:pPr>
          </w:p>
        </w:tc>
        <w:tc>
          <w:tcPr>
            <w:tcW w:w="138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66,667</w:t>
            </w:r>
          </w:p>
        </w:tc>
        <w:tc>
          <w:tcPr>
            <w:tcW w:w="160" w:type="dxa"/>
            <w:vAlign w:val="bottom"/>
            <w:tcBorders>
              <w:top w:val="single" w:sz="8" w:color="E5FFFF"/>
            </w:tcBorders>
            <w:shd w:val="clear" w:color="auto" w:fill="E5FFFF"/>
          </w:tcPr>
          <w:p>
            <w:pPr>
              <w:spacing w:after="0"/>
              <w:rPr>
                <w:sz w:val="17"/>
                <w:szCs w:val="17"/>
                <w:color w:val="auto"/>
              </w:rPr>
            </w:pPr>
          </w:p>
        </w:tc>
        <w:tc>
          <w:tcPr>
            <w:tcW w:w="12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66,667</w:t>
            </w:r>
          </w:p>
        </w:tc>
        <w:tc>
          <w:tcPr>
            <w:tcW w:w="20" w:type="dxa"/>
            <w:vAlign w:val="bottom"/>
          </w:tcPr>
          <w:p>
            <w:pPr>
              <w:spacing w:after="0"/>
              <w:rPr>
                <w:sz w:val="17"/>
                <w:szCs w:val="17"/>
                <w:color w:val="auto"/>
              </w:rPr>
            </w:pPr>
          </w:p>
        </w:tc>
      </w:tr>
      <w:tr>
        <w:trPr>
          <w:trHeight w:val="203"/>
        </w:trPr>
        <w:tc>
          <w:tcPr>
            <w:tcW w:w="1220" w:type="dxa"/>
            <w:vAlign w:val="bottom"/>
          </w:tcPr>
          <w:p>
            <w:pPr>
              <w:spacing w:after="0"/>
              <w:rPr>
                <w:sz w:val="20"/>
                <w:szCs w:val="20"/>
                <w:color w:val="auto"/>
              </w:rPr>
            </w:pPr>
            <w:r>
              <w:rPr>
                <w:rFonts w:ascii="Arial" w:cs="Arial" w:eastAsia="Arial" w:hAnsi="Arial"/>
                <w:sz w:val="16"/>
                <w:szCs w:val="16"/>
                <w:color w:val="auto"/>
              </w:rPr>
              <w:t>GasLog</w:t>
            </w:r>
          </w:p>
        </w:tc>
        <w:tc>
          <w:tcPr>
            <w:tcW w:w="2100" w:type="dxa"/>
            <w:vAlign w:val="bottom"/>
            <w:gridSpan w:val="3"/>
          </w:tcPr>
          <w:p>
            <w:pPr>
              <w:ind w:left="180"/>
              <w:spacing w:after="0"/>
              <w:rPr>
                <w:sz w:val="20"/>
                <w:szCs w:val="20"/>
                <w:color w:val="auto"/>
              </w:rPr>
            </w:pPr>
            <w:r>
              <w:rPr>
                <w:rFonts w:ascii="Arial" w:cs="Arial" w:eastAsia="Arial" w:hAnsi="Arial"/>
                <w:sz w:val="16"/>
                <w:szCs w:val="16"/>
                <w:color w:val="auto"/>
              </w:rPr>
              <w:t>Deutsche Bank AG</w:t>
            </w:r>
          </w:p>
        </w:tc>
        <w:tc>
          <w:tcPr>
            <w:tcW w:w="1340" w:type="dxa"/>
            <w:vAlign w:val="bottom"/>
            <w:gridSpan w:val="2"/>
          </w:tcPr>
          <w:p>
            <w:pPr>
              <w:jc w:val="center"/>
              <w:ind w:right="180"/>
              <w:spacing w:after="0"/>
              <w:rPr>
                <w:sz w:val="20"/>
                <w:szCs w:val="20"/>
                <w:color w:val="auto"/>
              </w:rPr>
            </w:pPr>
            <w:r>
              <w:rPr>
                <w:rFonts w:ascii="Arial" w:cs="Arial" w:eastAsia="Arial" w:hAnsi="Arial"/>
                <w:sz w:val="16"/>
                <w:szCs w:val="16"/>
                <w:color w:val="auto"/>
                <w:w w:val="93"/>
              </w:rPr>
              <w:t>July 2016</w:t>
            </w:r>
          </w:p>
        </w:tc>
        <w:tc>
          <w:tcPr>
            <w:tcW w:w="1320" w:type="dxa"/>
            <w:vAlign w:val="bottom"/>
            <w:gridSpan w:val="2"/>
          </w:tcPr>
          <w:p>
            <w:pPr>
              <w:jc w:val="center"/>
              <w:ind w:right="180"/>
              <w:spacing w:after="0"/>
              <w:rPr>
                <w:sz w:val="20"/>
                <w:szCs w:val="20"/>
                <w:color w:val="auto"/>
              </w:rPr>
            </w:pPr>
            <w:r>
              <w:rPr>
                <w:rFonts w:ascii="Arial" w:cs="Arial" w:eastAsia="Arial" w:hAnsi="Arial"/>
                <w:sz w:val="16"/>
                <w:szCs w:val="16"/>
                <w:color w:val="auto"/>
                <w:w w:val="90"/>
              </w:rPr>
              <w:t>July 2016</w:t>
            </w:r>
          </w:p>
        </w:tc>
        <w:tc>
          <w:tcPr>
            <w:tcW w:w="1340" w:type="dxa"/>
            <w:vAlign w:val="bottom"/>
            <w:gridSpan w:val="2"/>
          </w:tcPr>
          <w:p>
            <w:pPr>
              <w:jc w:val="center"/>
              <w:ind w:right="160"/>
              <w:spacing w:after="0"/>
              <w:rPr>
                <w:sz w:val="20"/>
                <w:szCs w:val="20"/>
                <w:color w:val="auto"/>
              </w:rPr>
            </w:pPr>
            <w:r>
              <w:rPr>
                <w:rFonts w:ascii="Arial" w:cs="Arial" w:eastAsia="Arial" w:hAnsi="Arial"/>
                <w:sz w:val="16"/>
                <w:szCs w:val="16"/>
                <w:color w:val="auto"/>
                <w:w w:val="90"/>
              </w:rPr>
              <w:t>July 2021</w:t>
            </w:r>
          </w:p>
        </w:tc>
        <w:tc>
          <w:tcPr>
            <w:tcW w:w="1280" w:type="dxa"/>
            <w:vAlign w:val="bottom"/>
          </w:tcPr>
          <w:p>
            <w:pPr>
              <w:jc w:val="center"/>
              <w:spacing w:after="0"/>
              <w:rPr>
                <w:sz w:val="20"/>
                <w:szCs w:val="20"/>
                <w:color w:val="auto"/>
              </w:rPr>
            </w:pPr>
            <w:r>
              <w:rPr>
                <w:rFonts w:ascii="Arial" w:cs="Arial" w:eastAsia="Arial" w:hAnsi="Arial"/>
                <w:sz w:val="16"/>
                <w:szCs w:val="16"/>
                <w:color w:val="auto"/>
                <w:w w:val="88"/>
              </w:rPr>
              <w:t>1.98%</w:t>
            </w:r>
          </w:p>
        </w:tc>
        <w:tc>
          <w:tcPr>
            <w:tcW w:w="160" w:type="dxa"/>
            <w:vAlign w:val="bottom"/>
          </w:tcPr>
          <w:p>
            <w:pPr>
              <w:spacing w:after="0"/>
              <w:rPr>
                <w:sz w:val="17"/>
                <w:szCs w:val="17"/>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6"/>
                <w:szCs w:val="16"/>
                <w:color w:val="auto"/>
              </w:rPr>
              <w:t>66,667</w:t>
            </w:r>
          </w:p>
        </w:tc>
        <w:tc>
          <w:tcPr>
            <w:tcW w:w="1260" w:type="dxa"/>
            <w:vAlign w:val="bottom"/>
          </w:tcPr>
          <w:p>
            <w:pPr>
              <w:jc w:val="right"/>
              <w:spacing w:after="0"/>
              <w:rPr>
                <w:sz w:val="20"/>
                <w:szCs w:val="20"/>
                <w:color w:val="auto"/>
              </w:rPr>
            </w:pPr>
            <w:r>
              <w:rPr>
                <w:rFonts w:ascii="Arial" w:cs="Arial" w:eastAsia="Arial" w:hAnsi="Arial"/>
                <w:sz w:val="16"/>
                <w:szCs w:val="16"/>
                <w:color w:val="auto"/>
              </w:rPr>
              <w:t>66,667</w:t>
            </w:r>
          </w:p>
        </w:tc>
        <w:tc>
          <w:tcPr>
            <w:tcW w:w="20" w:type="dxa"/>
            <w:vAlign w:val="bottom"/>
          </w:tcPr>
          <w:p>
            <w:pPr>
              <w:spacing w:after="0"/>
              <w:rPr>
                <w:sz w:val="17"/>
                <w:szCs w:val="17"/>
                <w:color w:val="auto"/>
              </w:rPr>
            </w:pPr>
          </w:p>
        </w:tc>
      </w:tr>
      <w:tr>
        <w:trPr>
          <w:trHeight w:val="203"/>
        </w:trPr>
        <w:tc>
          <w:tcPr>
            <w:tcW w:w="1220" w:type="dxa"/>
            <w:vAlign w:val="bottom"/>
            <w:shd w:val="clear" w:color="auto" w:fill="E5FFFF"/>
          </w:tcPr>
          <w:p>
            <w:pPr>
              <w:spacing w:after="0"/>
              <w:rPr>
                <w:sz w:val="20"/>
                <w:szCs w:val="20"/>
                <w:color w:val="auto"/>
              </w:rPr>
            </w:pPr>
            <w:r>
              <w:rPr>
                <w:rFonts w:ascii="Arial" w:cs="Arial" w:eastAsia="Arial" w:hAnsi="Arial"/>
                <w:sz w:val="16"/>
                <w:szCs w:val="16"/>
                <w:color w:val="auto"/>
              </w:rPr>
              <w:t>GasLog</w:t>
            </w:r>
          </w:p>
        </w:tc>
        <w:tc>
          <w:tcPr>
            <w:tcW w:w="2100" w:type="dxa"/>
            <w:vAlign w:val="bottom"/>
            <w:gridSpan w:val="3"/>
            <w:shd w:val="clear" w:color="auto" w:fill="E5FFFF"/>
          </w:tcPr>
          <w:p>
            <w:pPr>
              <w:ind w:left="180"/>
              <w:spacing w:after="0"/>
              <w:rPr>
                <w:sz w:val="20"/>
                <w:szCs w:val="20"/>
                <w:color w:val="auto"/>
              </w:rPr>
            </w:pPr>
            <w:r>
              <w:rPr>
                <w:rFonts w:ascii="Arial" w:cs="Arial" w:eastAsia="Arial" w:hAnsi="Arial"/>
                <w:sz w:val="16"/>
                <w:szCs w:val="16"/>
                <w:color w:val="auto"/>
              </w:rPr>
              <w:t>Deutsche Bank AG</w:t>
            </w:r>
          </w:p>
        </w:tc>
        <w:tc>
          <w:tcPr>
            <w:tcW w:w="1340" w:type="dxa"/>
            <w:vAlign w:val="bottom"/>
            <w:gridSpan w:val="2"/>
            <w:shd w:val="clear" w:color="auto" w:fill="E5FFFF"/>
          </w:tcPr>
          <w:p>
            <w:pPr>
              <w:jc w:val="center"/>
              <w:ind w:right="180"/>
              <w:spacing w:after="0"/>
              <w:rPr>
                <w:sz w:val="20"/>
                <w:szCs w:val="20"/>
                <w:color w:val="auto"/>
              </w:rPr>
            </w:pPr>
            <w:r>
              <w:rPr>
                <w:rFonts w:ascii="Arial" w:cs="Arial" w:eastAsia="Arial" w:hAnsi="Arial"/>
                <w:sz w:val="16"/>
                <w:szCs w:val="16"/>
                <w:color w:val="auto"/>
                <w:w w:val="93"/>
              </w:rPr>
              <w:t>July 2016</w:t>
            </w:r>
          </w:p>
        </w:tc>
        <w:tc>
          <w:tcPr>
            <w:tcW w:w="1320" w:type="dxa"/>
            <w:vAlign w:val="bottom"/>
            <w:gridSpan w:val="2"/>
            <w:shd w:val="clear" w:color="auto" w:fill="E5FFFF"/>
          </w:tcPr>
          <w:p>
            <w:pPr>
              <w:jc w:val="center"/>
              <w:ind w:right="180"/>
              <w:spacing w:after="0"/>
              <w:rPr>
                <w:sz w:val="20"/>
                <w:szCs w:val="20"/>
                <w:color w:val="auto"/>
              </w:rPr>
            </w:pPr>
            <w:r>
              <w:rPr>
                <w:rFonts w:ascii="Arial" w:cs="Arial" w:eastAsia="Arial" w:hAnsi="Arial"/>
                <w:sz w:val="16"/>
                <w:szCs w:val="16"/>
                <w:color w:val="auto"/>
                <w:w w:val="90"/>
              </w:rPr>
              <w:t>July 2016</w:t>
            </w:r>
          </w:p>
        </w:tc>
        <w:tc>
          <w:tcPr>
            <w:tcW w:w="1340" w:type="dxa"/>
            <w:vAlign w:val="bottom"/>
            <w:gridSpan w:val="2"/>
            <w:shd w:val="clear" w:color="auto" w:fill="E5FFFF"/>
          </w:tcPr>
          <w:p>
            <w:pPr>
              <w:jc w:val="center"/>
              <w:ind w:right="160"/>
              <w:spacing w:after="0"/>
              <w:rPr>
                <w:sz w:val="20"/>
                <w:szCs w:val="20"/>
                <w:color w:val="auto"/>
              </w:rPr>
            </w:pPr>
            <w:r>
              <w:rPr>
                <w:rFonts w:ascii="Arial" w:cs="Arial" w:eastAsia="Arial" w:hAnsi="Arial"/>
                <w:sz w:val="16"/>
                <w:szCs w:val="16"/>
                <w:color w:val="auto"/>
                <w:w w:val="90"/>
              </w:rPr>
              <w:t>July 2022</w:t>
            </w:r>
          </w:p>
        </w:tc>
        <w:tc>
          <w:tcPr>
            <w:tcW w:w="128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8"/>
              </w:rPr>
              <w:t>1.98%</w:t>
            </w:r>
          </w:p>
        </w:tc>
        <w:tc>
          <w:tcPr>
            <w:tcW w:w="160" w:type="dxa"/>
            <w:vAlign w:val="bottom"/>
            <w:shd w:val="clear" w:color="auto" w:fill="E5FFFF"/>
          </w:tcPr>
          <w:p>
            <w:pPr>
              <w:spacing w:after="0"/>
              <w:rPr>
                <w:sz w:val="17"/>
                <w:szCs w:val="17"/>
                <w:color w:val="auto"/>
              </w:rPr>
            </w:pPr>
          </w:p>
        </w:tc>
        <w:tc>
          <w:tcPr>
            <w:tcW w:w="1540" w:type="dxa"/>
            <w:vAlign w:val="bottom"/>
            <w:gridSpan w:val="2"/>
            <w:shd w:val="clear" w:color="auto" w:fill="E5FFFF"/>
          </w:tcPr>
          <w:p>
            <w:pPr>
              <w:jc w:val="right"/>
              <w:ind w:right="160"/>
              <w:spacing w:after="0"/>
              <w:rPr>
                <w:sz w:val="20"/>
                <w:szCs w:val="20"/>
                <w:color w:val="auto"/>
              </w:rPr>
            </w:pPr>
            <w:r>
              <w:rPr>
                <w:rFonts w:ascii="Arial" w:cs="Arial" w:eastAsia="Arial" w:hAnsi="Arial"/>
                <w:sz w:val="16"/>
                <w:szCs w:val="16"/>
                <w:color w:val="auto"/>
              </w:rPr>
              <w:t>66,667</w:t>
            </w:r>
          </w:p>
        </w:tc>
        <w:tc>
          <w:tcPr>
            <w:tcW w:w="12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66,667</w:t>
            </w:r>
          </w:p>
        </w:tc>
        <w:tc>
          <w:tcPr>
            <w:tcW w:w="20" w:type="dxa"/>
            <w:vAlign w:val="bottom"/>
          </w:tcPr>
          <w:p>
            <w:pPr>
              <w:spacing w:after="0"/>
              <w:rPr>
                <w:sz w:val="17"/>
                <w:szCs w:val="17"/>
                <w:color w:val="auto"/>
              </w:rPr>
            </w:pPr>
          </w:p>
        </w:tc>
      </w:tr>
      <w:tr>
        <w:trPr>
          <w:trHeight w:val="203"/>
        </w:trPr>
        <w:tc>
          <w:tcPr>
            <w:tcW w:w="1220" w:type="dxa"/>
            <w:vAlign w:val="bottom"/>
          </w:tcPr>
          <w:p>
            <w:pPr>
              <w:spacing w:after="0"/>
              <w:rPr>
                <w:sz w:val="20"/>
                <w:szCs w:val="20"/>
                <w:color w:val="auto"/>
              </w:rPr>
            </w:pPr>
            <w:r>
              <w:rPr>
                <w:rFonts w:ascii="Arial" w:cs="Arial" w:eastAsia="Arial" w:hAnsi="Arial"/>
                <w:sz w:val="16"/>
                <w:szCs w:val="16"/>
                <w:color w:val="auto"/>
              </w:rPr>
              <w:t>GasLog</w:t>
            </w:r>
          </w:p>
        </w:tc>
        <w:tc>
          <w:tcPr>
            <w:tcW w:w="2100" w:type="dxa"/>
            <w:vAlign w:val="bottom"/>
            <w:gridSpan w:val="3"/>
          </w:tcPr>
          <w:p>
            <w:pPr>
              <w:ind w:left="180"/>
              <w:spacing w:after="0"/>
              <w:rPr>
                <w:sz w:val="20"/>
                <w:szCs w:val="20"/>
                <w:color w:val="auto"/>
              </w:rPr>
            </w:pPr>
            <w:r>
              <w:rPr>
                <w:rFonts w:ascii="Arial" w:cs="Arial" w:eastAsia="Arial" w:hAnsi="Arial"/>
                <w:sz w:val="16"/>
                <w:szCs w:val="16"/>
                <w:color w:val="auto"/>
              </w:rPr>
              <w:t>DNB Bank ASA (“DNB”)</w:t>
            </w:r>
          </w:p>
        </w:tc>
        <w:tc>
          <w:tcPr>
            <w:tcW w:w="1340" w:type="dxa"/>
            <w:vAlign w:val="bottom"/>
            <w:gridSpan w:val="2"/>
          </w:tcPr>
          <w:p>
            <w:pPr>
              <w:jc w:val="center"/>
              <w:ind w:right="180"/>
              <w:spacing w:after="0"/>
              <w:rPr>
                <w:sz w:val="20"/>
                <w:szCs w:val="20"/>
                <w:color w:val="auto"/>
              </w:rPr>
            </w:pPr>
            <w:r>
              <w:rPr>
                <w:rFonts w:ascii="Arial" w:cs="Arial" w:eastAsia="Arial" w:hAnsi="Arial"/>
                <w:sz w:val="16"/>
                <w:szCs w:val="16"/>
                <w:color w:val="auto"/>
                <w:w w:val="93"/>
              </w:rPr>
              <w:t>July 2016</w:t>
            </w:r>
          </w:p>
        </w:tc>
        <w:tc>
          <w:tcPr>
            <w:tcW w:w="1320" w:type="dxa"/>
            <w:vAlign w:val="bottom"/>
            <w:gridSpan w:val="2"/>
          </w:tcPr>
          <w:p>
            <w:pPr>
              <w:jc w:val="center"/>
              <w:ind w:right="180"/>
              <w:spacing w:after="0"/>
              <w:rPr>
                <w:sz w:val="20"/>
                <w:szCs w:val="20"/>
                <w:color w:val="auto"/>
              </w:rPr>
            </w:pPr>
            <w:r>
              <w:rPr>
                <w:rFonts w:ascii="Arial" w:cs="Arial" w:eastAsia="Arial" w:hAnsi="Arial"/>
                <w:sz w:val="16"/>
                <w:szCs w:val="16"/>
                <w:color w:val="auto"/>
                <w:w w:val="90"/>
              </w:rPr>
              <w:t>July 2016</w:t>
            </w:r>
          </w:p>
        </w:tc>
        <w:tc>
          <w:tcPr>
            <w:tcW w:w="1340" w:type="dxa"/>
            <w:vAlign w:val="bottom"/>
            <w:gridSpan w:val="2"/>
          </w:tcPr>
          <w:p>
            <w:pPr>
              <w:jc w:val="center"/>
              <w:ind w:right="160"/>
              <w:spacing w:after="0"/>
              <w:rPr>
                <w:sz w:val="20"/>
                <w:szCs w:val="20"/>
                <w:color w:val="auto"/>
              </w:rPr>
            </w:pPr>
            <w:r>
              <w:rPr>
                <w:rFonts w:ascii="Arial" w:cs="Arial" w:eastAsia="Arial" w:hAnsi="Arial"/>
                <w:sz w:val="16"/>
                <w:szCs w:val="16"/>
                <w:color w:val="auto"/>
                <w:w w:val="90"/>
              </w:rPr>
              <w:t>July 2020</w:t>
            </w:r>
          </w:p>
        </w:tc>
        <w:tc>
          <w:tcPr>
            <w:tcW w:w="1280" w:type="dxa"/>
            <w:vAlign w:val="bottom"/>
          </w:tcPr>
          <w:p>
            <w:pPr>
              <w:jc w:val="center"/>
              <w:spacing w:after="0"/>
              <w:rPr>
                <w:sz w:val="20"/>
                <w:szCs w:val="20"/>
                <w:color w:val="auto"/>
              </w:rPr>
            </w:pPr>
            <w:r>
              <w:rPr>
                <w:rFonts w:ascii="Arial" w:cs="Arial" w:eastAsia="Arial" w:hAnsi="Arial"/>
                <w:sz w:val="16"/>
                <w:szCs w:val="16"/>
                <w:color w:val="auto"/>
                <w:w w:val="92"/>
              </w:rPr>
              <w:t>1.784%</w:t>
            </w:r>
          </w:p>
        </w:tc>
        <w:tc>
          <w:tcPr>
            <w:tcW w:w="160" w:type="dxa"/>
            <w:vAlign w:val="bottom"/>
          </w:tcPr>
          <w:p>
            <w:pPr>
              <w:spacing w:after="0"/>
              <w:rPr>
                <w:sz w:val="17"/>
                <w:szCs w:val="17"/>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6"/>
                <w:szCs w:val="16"/>
                <w:color w:val="auto"/>
              </w:rPr>
              <w:t>73,333</w:t>
            </w:r>
          </w:p>
        </w:tc>
        <w:tc>
          <w:tcPr>
            <w:tcW w:w="1260" w:type="dxa"/>
            <w:vAlign w:val="bottom"/>
          </w:tcPr>
          <w:p>
            <w:pPr>
              <w:jc w:val="right"/>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7"/>
                <w:szCs w:val="17"/>
                <w:color w:val="auto"/>
              </w:rPr>
            </w:pPr>
          </w:p>
        </w:tc>
      </w:tr>
      <w:tr>
        <w:trPr>
          <w:trHeight w:val="203"/>
        </w:trPr>
        <w:tc>
          <w:tcPr>
            <w:tcW w:w="1220" w:type="dxa"/>
            <w:vAlign w:val="bottom"/>
            <w:shd w:val="clear" w:color="auto" w:fill="E5FFFF"/>
          </w:tcPr>
          <w:p>
            <w:pPr>
              <w:spacing w:after="0"/>
              <w:rPr>
                <w:sz w:val="20"/>
                <w:szCs w:val="20"/>
                <w:color w:val="auto"/>
              </w:rPr>
            </w:pPr>
            <w:r>
              <w:rPr>
                <w:rFonts w:ascii="Arial" w:cs="Arial" w:eastAsia="Arial" w:hAnsi="Arial"/>
                <w:sz w:val="16"/>
                <w:szCs w:val="16"/>
                <w:color w:val="auto"/>
              </w:rPr>
              <w:t>GasLog</w:t>
            </w:r>
          </w:p>
        </w:tc>
        <w:tc>
          <w:tcPr>
            <w:tcW w:w="2100" w:type="dxa"/>
            <w:vAlign w:val="bottom"/>
            <w:gridSpan w:val="3"/>
            <w:shd w:val="clear" w:color="auto" w:fill="E5FFFF"/>
          </w:tcPr>
          <w:p>
            <w:pPr>
              <w:ind w:left="180"/>
              <w:spacing w:after="0"/>
              <w:rPr>
                <w:sz w:val="20"/>
                <w:szCs w:val="20"/>
                <w:color w:val="auto"/>
              </w:rPr>
            </w:pPr>
            <w:r>
              <w:rPr>
                <w:rFonts w:ascii="Arial" w:cs="Arial" w:eastAsia="Arial" w:hAnsi="Arial"/>
                <w:sz w:val="16"/>
                <w:szCs w:val="16"/>
                <w:color w:val="auto"/>
              </w:rPr>
              <w:t>DNB</w:t>
            </w:r>
          </w:p>
        </w:tc>
        <w:tc>
          <w:tcPr>
            <w:tcW w:w="1340" w:type="dxa"/>
            <w:vAlign w:val="bottom"/>
            <w:gridSpan w:val="2"/>
            <w:shd w:val="clear" w:color="auto" w:fill="E5FFFF"/>
          </w:tcPr>
          <w:p>
            <w:pPr>
              <w:jc w:val="center"/>
              <w:ind w:right="180"/>
              <w:spacing w:after="0"/>
              <w:rPr>
                <w:sz w:val="20"/>
                <w:szCs w:val="20"/>
                <w:color w:val="auto"/>
              </w:rPr>
            </w:pPr>
            <w:r>
              <w:rPr>
                <w:rFonts w:ascii="Arial" w:cs="Arial" w:eastAsia="Arial" w:hAnsi="Arial"/>
                <w:sz w:val="16"/>
                <w:szCs w:val="16"/>
                <w:color w:val="auto"/>
                <w:w w:val="93"/>
              </w:rPr>
              <w:t>July 2016</w:t>
            </w:r>
          </w:p>
        </w:tc>
        <w:tc>
          <w:tcPr>
            <w:tcW w:w="1320" w:type="dxa"/>
            <w:vAlign w:val="bottom"/>
            <w:gridSpan w:val="2"/>
            <w:shd w:val="clear" w:color="auto" w:fill="E5FFFF"/>
          </w:tcPr>
          <w:p>
            <w:pPr>
              <w:jc w:val="center"/>
              <w:ind w:right="180"/>
              <w:spacing w:after="0"/>
              <w:rPr>
                <w:sz w:val="20"/>
                <w:szCs w:val="20"/>
                <w:color w:val="auto"/>
              </w:rPr>
            </w:pPr>
            <w:r>
              <w:rPr>
                <w:rFonts w:ascii="Arial" w:cs="Arial" w:eastAsia="Arial" w:hAnsi="Arial"/>
                <w:sz w:val="16"/>
                <w:szCs w:val="16"/>
                <w:color w:val="auto"/>
                <w:w w:val="90"/>
              </w:rPr>
              <w:t>July 2016</w:t>
            </w:r>
          </w:p>
        </w:tc>
        <w:tc>
          <w:tcPr>
            <w:tcW w:w="1340" w:type="dxa"/>
            <w:vAlign w:val="bottom"/>
            <w:gridSpan w:val="2"/>
            <w:shd w:val="clear" w:color="auto" w:fill="E5FFFF"/>
          </w:tcPr>
          <w:p>
            <w:pPr>
              <w:jc w:val="center"/>
              <w:ind w:right="160"/>
              <w:spacing w:after="0"/>
              <w:rPr>
                <w:sz w:val="20"/>
                <w:szCs w:val="20"/>
                <w:color w:val="auto"/>
              </w:rPr>
            </w:pPr>
            <w:r>
              <w:rPr>
                <w:rFonts w:ascii="Arial" w:cs="Arial" w:eastAsia="Arial" w:hAnsi="Arial"/>
                <w:sz w:val="16"/>
                <w:szCs w:val="16"/>
                <w:color w:val="auto"/>
                <w:w w:val="90"/>
              </w:rPr>
              <w:t>July 2022</w:t>
            </w:r>
          </w:p>
        </w:tc>
        <w:tc>
          <w:tcPr>
            <w:tcW w:w="128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2"/>
              </w:rPr>
              <w:t>1.719%</w:t>
            </w:r>
          </w:p>
        </w:tc>
        <w:tc>
          <w:tcPr>
            <w:tcW w:w="160" w:type="dxa"/>
            <w:vAlign w:val="bottom"/>
            <w:shd w:val="clear" w:color="auto" w:fill="E5FFFF"/>
          </w:tcPr>
          <w:p>
            <w:pPr>
              <w:spacing w:after="0"/>
              <w:rPr>
                <w:sz w:val="17"/>
                <w:szCs w:val="17"/>
                <w:color w:val="auto"/>
              </w:rPr>
            </w:pPr>
          </w:p>
        </w:tc>
        <w:tc>
          <w:tcPr>
            <w:tcW w:w="1540" w:type="dxa"/>
            <w:vAlign w:val="bottom"/>
            <w:gridSpan w:val="2"/>
            <w:shd w:val="clear" w:color="auto" w:fill="E5FFFF"/>
          </w:tcPr>
          <w:p>
            <w:pPr>
              <w:jc w:val="right"/>
              <w:ind w:right="160"/>
              <w:spacing w:after="0"/>
              <w:rPr>
                <w:sz w:val="20"/>
                <w:szCs w:val="20"/>
                <w:color w:val="auto"/>
              </w:rPr>
            </w:pPr>
            <w:r>
              <w:rPr>
                <w:rFonts w:ascii="Arial" w:cs="Arial" w:eastAsia="Arial" w:hAnsi="Arial"/>
                <w:sz w:val="16"/>
                <w:szCs w:val="16"/>
                <w:color w:val="auto"/>
              </w:rPr>
              <w:t>73,333</w:t>
            </w:r>
          </w:p>
        </w:tc>
        <w:tc>
          <w:tcPr>
            <w:tcW w:w="12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73,333</w:t>
            </w:r>
          </w:p>
        </w:tc>
        <w:tc>
          <w:tcPr>
            <w:tcW w:w="20" w:type="dxa"/>
            <w:vAlign w:val="bottom"/>
          </w:tcPr>
          <w:p>
            <w:pPr>
              <w:spacing w:after="0"/>
              <w:rPr>
                <w:sz w:val="17"/>
                <w:szCs w:val="17"/>
                <w:color w:val="auto"/>
              </w:rPr>
            </w:pPr>
          </w:p>
        </w:tc>
      </w:tr>
      <w:tr>
        <w:trPr>
          <w:trHeight w:val="203"/>
        </w:trPr>
        <w:tc>
          <w:tcPr>
            <w:tcW w:w="1220" w:type="dxa"/>
            <w:vAlign w:val="bottom"/>
          </w:tcPr>
          <w:p>
            <w:pPr>
              <w:spacing w:after="0"/>
              <w:rPr>
                <w:sz w:val="20"/>
                <w:szCs w:val="20"/>
                <w:color w:val="auto"/>
              </w:rPr>
            </w:pPr>
            <w:r>
              <w:rPr>
                <w:rFonts w:ascii="Arial" w:cs="Arial" w:eastAsia="Arial" w:hAnsi="Arial"/>
                <w:sz w:val="16"/>
                <w:szCs w:val="16"/>
                <w:color w:val="auto"/>
              </w:rPr>
              <w:t>GasLog</w:t>
            </w:r>
          </w:p>
        </w:tc>
        <w:tc>
          <w:tcPr>
            <w:tcW w:w="2100" w:type="dxa"/>
            <w:vAlign w:val="bottom"/>
            <w:gridSpan w:val="3"/>
          </w:tcPr>
          <w:p>
            <w:pPr>
              <w:ind w:left="180"/>
              <w:spacing w:after="0"/>
              <w:rPr>
                <w:sz w:val="20"/>
                <w:szCs w:val="20"/>
                <w:color w:val="auto"/>
              </w:rPr>
            </w:pPr>
            <w:r>
              <w:rPr>
                <w:rFonts w:ascii="Arial" w:cs="Arial" w:eastAsia="Arial" w:hAnsi="Arial"/>
                <w:sz w:val="16"/>
                <w:szCs w:val="16"/>
                <w:color w:val="auto"/>
              </w:rPr>
              <w:t>HSBC Bank plc (“HSBC”</w:t>
            </w:r>
          </w:p>
        </w:tc>
        <w:tc>
          <w:tcPr>
            <w:tcW w:w="1340" w:type="dxa"/>
            <w:vAlign w:val="bottom"/>
            <w:gridSpan w:val="2"/>
          </w:tcPr>
          <w:p>
            <w:pPr>
              <w:jc w:val="center"/>
              <w:ind w:right="180"/>
              <w:spacing w:after="0"/>
              <w:rPr>
                <w:sz w:val="20"/>
                <w:szCs w:val="20"/>
                <w:color w:val="auto"/>
              </w:rPr>
            </w:pPr>
            <w:r>
              <w:rPr>
                <w:rFonts w:ascii="Arial" w:cs="Arial" w:eastAsia="Arial" w:hAnsi="Arial"/>
                <w:sz w:val="16"/>
                <w:szCs w:val="16"/>
                <w:color w:val="auto"/>
                <w:w w:val="93"/>
              </w:rPr>
              <w:t>July 2016</w:t>
            </w:r>
          </w:p>
        </w:tc>
        <w:tc>
          <w:tcPr>
            <w:tcW w:w="1320" w:type="dxa"/>
            <w:vAlign w:val="bottom"/>
            <w:gridSpan w:val="2"/>
          </w:tcPr>
          <w:p>
            <w:pPr>
              <w:jc w:val="center"/>
              <w:ind w:right="180"/>
              <w:spacing w:after="0"/>
              <w:rPr>
                <w:sz w:val="20"/>
                <w:szCs w:val="20"/>
                <w:color w:val="auto"/>
              </w:rPr>
            </w:pPr>
            <w:r>
              <w:rPr>
                <w:rFonts w:ascii="Arial" w:cs="Arial" w:eastAsia="Arial" w:hAnsi="Arial"/>
                <w:sz w:val="16"/>
                <w:szCs w:val="16"/>
                <w:color w:val="auto"/>
                <w:w w:val="90"/>
              </w:rPr>
              <w:t>July 2016</w:t>
            </w:r>
          </w:p>
        </w:tc>
        <w:tc>
          <w:tcPr>
            <w:tcW w:w="1340" w:type="dxa"/>
            <w:vAlign w:val="bottom"/>
            <w:gridSpan w:val="2"/>
          </w:tcPr>
          <w:p>
            <w:pPr>
              <w:jc w:val="center"/>
              <w:ind w:right="160"/>
              <w:spacing w:after="0"/>
              <w:rPr>
                <w:sz w:val="20"/>
                <w:szCs w:val="20"/>
                <w:color w:val="auto"/>
              </w:rPr>
            </w:pPr>
            <w:r>
              <w:rPr>
                <w:rFonts w:ascii="Arial" w:cs="Arial" w:eastAsia="Arial" w:hAnsi="Arial"/>
                <w:sz w:val="16"/>
                <w:szCs w:val="16"/>
                <w:color w:val="auto"/>
                <w:w w:val="90"/>
              </w:rPr>
              <w:t>July 2022</w:t>
            </w:r>
          </w:p>
        </w:tc>
        <w:tc>
          <w:tcPr>
            <w:tcW w:w="1280" w:type="dxa"/>
            <w:vAlign w:val="bottom"/>
          </w:tcPr>
          <w:p>
            <w:pPr>
              <w:jc w:val="center"/>
              <w:spacing w:after="0"/>
              <w:rPr>
                <w:sz w:val="20"/>
                <w:szCs w:val="20"/>
                <w:color w:val="auto"/>
              </w:rPr>
            </w:pPr>
            <w:r>
              <w:rPr>
                <w:rFonts w:ascii="Arial" w:cs="Arial" w:eastAsia="Arial" w:hAnsi="Arial"/>
                <w:sz w:val="16"/>
                <w:szCs w:val="16"/>
                <w:color w:val="auto"/>
                <w:w w:val="88"/>
              </w:rPr>
              <w:t>1.79%</w:t>
            </w:r>
          </w:p>
        </w:tc>
        <w:tc>
          <w:tcPr>
            <w:tcW w:w="160" w:type="dxa"/>
            <w:vAlign w:val="bottom"/>
          </w:tcPr>
          <w:p>
            <w:pPr>
              <w:spacing w:after="0"/>
              <w:rPr>
                <w:sz w:val="17"/>
                <w:szCs w:val="17"/>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6"/>
                <w:szCs w:val="16"/>
                <w:color w:val="auto"/>
              </w:rPr>
              <w:t>33,333</w:t>
            </w:r>
          </w:p>
        </w:tc>
        <w:tc>
          <w:tcPr>
            <w:tcW w:w="1260" w:type="dxa"/>
            <w:vAlign w:val="bottom"/>
          </w:tcPr>
          <w:p>
            <w:pPr>
              <w:jc w:val="right"/>
              <w:spacing w:after="0"/>
              <w:rPr>
                <w:sz w:val="20"/>
                <w:szCs w:val="20"/>
                <w:color w:val="auto"/>
              </w:rPr>
            </w:pPr>
            <w:r>
              <w:rPr>
                <w:rFonts w:ascii="Arial" w:cs="Arial" w:eastAsia="Arial" w:hAnsi="Arial"/>
                <w:sz w:val="16"/>
                <w:szCs w:val="16"/>
                <w:color w:val="auto"/>
              </w:rPr>
              <w:t>33,333</w:t>
            </w:r>
          </w:p>
        </w:tc>
        <w:tc>
          <w:tcPr>
            <w:tcW w:w="20" w:type="dxa"/>
            <w:vAlign w:val="bottom"/>
          </w:tcPr>
          <w:p>
            <w:pPr>
              <w:spacing w:after="0"/>
              <w:rPr>
                <w:sz w:val="17"/>
                <w:szCs w:val="17"/>
                <w:color w:val="auto"/>
              </w:rPr>
            </w:pPr>
          </w:p>
        </w:tc>
      </w:tr>
      <w:tr>
        <w:trPr>
          <w:trHeight w:val="203"/>
        </w:trPr>
        <w:tc>
          <w:tcPr>
            <w:tcW w:w="1220" w:type="dxa"/>
            <w:vAlign w:val="bottom"/>
            <w:shd w:val="clear" w:color="auto" w:fill="E5FFFF"/>
          </w:tcPr>
          <w:p>
            <w:pPr>
              <w:spacing w:after="0"/>
              <w:rPr>
                <w:sz w:val="20"/>
                <w:szCs w:val="20"/>
                <w:color w:val="auto"/>
              </w:rPr>
            </w:pPr>
            <w:r>
              <w:rPr>
                <w:rFonts w:ascii="Arial" w:cs="Arial" w:eastAsia="Arial" w:hAnsi="Arial"/>
                <w:sz w:val="16"/>
                <w:szCs w:val="16"/>
                <w:color w:val="auto"/>
              </w:rPr>
              <w:t>GasLog</w:t>
            </w:r>
          </w:p>
        </w:tc>
        <w:tc>
          <w:tcPr>
            <w:tcW w:w="2100" w:type="dxa"/>
            <w:vAlign w:val="bottom"/>
            <w:gridSpan w:val="3"/>
            <w:shd w:val="clear" w:color="auto" w:fill="E5FFFF"/>
          </w:tcPr>
          <w:p>
            <w:pPr>
              <w:ind w:left="180"/>
              <w:spacing w:after="0"/>
              <w:rPr>
                <w:sz w:val="20"/>
                <w:szCs w:val="20"/>
                <w:color w:val="auto"/>
              </w:rPr>
            </w:pPr>
            <w:r>
              <w:rPr>
                <w:rFonts w:ascii="Arial" w:cs="Arial" w:eastAsia="Arial" w:hAnsi="Arial"/>
                <w:sz w:val="16"/>
                <w:szCs w:val="16"/>
                <w:color w:val="auto"/>
              </w:rPr>
              <w:t>Nordea Bank Finland</w:t>
            </w:r>
          </w:p>
        </w:tc>
        <w:tc>
          <w:tcPr>
            <w:tcW w:w="1340" w:type="dxa"/>
            <w:vAlign w:val="bottom"/>
            <w:gridSpan w:val="2"/>
            <w:shd w:val="clear" w:color="auto" w:fill="E5FFFF"/>
          </w:tcPr>
          <w:p>
            <w:pPr>
              <w:jc w:val="center"/>
              <w:ind w:right="180"/>
              <w:spacing w:after="0"/>
              <w:rPr>
                <w:sz w:val="20"/>
                <w:szCs w:val="20"/>
                <w:color w:val="auto"/>
              </w:rPr>
            </w:pPr>
            <w:r>
              <w:rPr>
                <w:rFonts w:ascii="Arial" w:cs="Arial" w:eastAsia="Arial" w:hAnsi="Arial"/>
                <w:sz w:val="16"/>
                <w:szCs w:val="16"/>
                <w:color w:val="auto"/>
                <w:w w:val="93"/>
              </w:rPr>
              <w:t>July 2016</w:t>
            </w:r>
          </w:p>
        </w:tc>
        <w:tc>
          <w:tcPr>
            <w:tcW w:w="1320" w:type="dxa"/>
            <w:vAlign w:val="bottom"/>
            <w:gridSpan w:val="2"/>
            <w:shd w:val="clear" w:color="auto" w:fill="E5FFFF"/>
          </w:tcPr>
          <w:p>
            <w:pPr>
              <w:jc w:val="center"/>
              <w:ind w:right="180"/>
              <w:spacing w:after="0"/>
              <w:rPr>
                <w:sz w:val="20"/>
                <w:szCs w:val="20"/>
                <w:color w:val="auto"/>
              </w:rPr>
            </w:pPr>
            <w:r>
              <w:rPr>
                <w:rFonts w:ascii="Arial" w:cs="Arial" w:eastAsia="Arial" w:hAnsi="Arial"/>
                <w:sz w:val="16"/>
                <w:szCs w:val="16"/>
                <w:color w:val="auto"/>
                <w:w w:val="90"/>
              </w:rPr>
              <w:t>July 2016</w:t>
            </w:r>
          </w:p>
        </w:tc>
        <w:tc>
          <w:tcPr>
            <w:tcW w:w="1340" w:type="dxa"/>
            <w:vAlign w:val="bottom"/>
            <w:gridSpan w:val="2"/>
            <w:shd w:val="clear" w:color="auto" w:fill="E5FFFF"/>
          </w:tcPr>
          <w:p>
            <w:pPr>
              <w:jc w:val="center"/>
              <w:ind w:right="160"/>
              <w:spacing w:after="0"/>
              <w:rPr>
                <w:sz w:val="20"/>
                <w:szCs w:val="20"/>
                <w:color w:val="auto"/>
              </w:rPr>
            </w:pPr>
            <w:r>
              <w:rPr>
                <w:rFonts w:ascii="Arial" w:cs="Arial" w:eastAsia="Arial" w:hAnsi="Arial"/>
                <w:sz w:val="16"/>
                <w:szCs w:val="16"/>
                <w:color w:val="auto"/>
                <w:w w:val="90"/>
              </w:rPr>
              <w:t>July 2022</w:t>
            </w:r>
          </w:p>
        </w:tc>
        <w:tc>
          <w:tcPr>
            <w:tcW w:w="128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2"/>
              </w:rPr>
              <w:t>1.815%</w:t>
            </w:r>
          </w:p>
        </w:tc>
        <w:tc>
          <w:tcPr>
            <w:tcW w:w="160" w:type="dxa"/>
            <w:vAlign w:val="bottom"/>
            <w:shd w:val="clear" w:color="auto" w:fill="E5FFFF"/>
          </w:tcPr>
          <w:p>
            <w:pPr>
              <w:spacing w:after="0"/>
              <w:rPr>
                <w:sz w:val="17"/>
                <w:szCs w:val="17"/>
                <w:color w:val="auto"/>
              </w:rPr>
            </w:pPr>
          </w:p>
        </w:tc>
        <w:tc>
          <w:tcPr>
            <w:tcW w:w="1540" w:type="dxa"/>
            <w:vAlign w:val="bottom"/>
            <w:gridSpan w:val="2"/>
            <w:shd w:val="clear" w:color="auto" w:fill="E5FFFF"/>
          </w:tcPr>
          <w:p>
            <w:pPr>
              <w:jc w:val="right"/>
              <w:ind w:right="160"/>
              <w:spacing w:after="0"/>
              <w:rPr>
                <w:sz w:val="20"/>
                <w:szCs w:val="20"/>
                <w:color w:val="auto"/>
              </w:rPr>
            </w:pPr>
            <w:r>
              <w:rPr>
                <w:rFonts w:ascii="Arial" w:cs="Arial" w:eastAsia="Arial" w:hAnsi="Arial"/>
                <w:sz w:val="16"/>
                <w:szCs w:val="16"/>
                <w:color w:val="auto"/>
              </w:rPr>
              <w:t>66,667</w:t>
            </w:r>
          </w:p>
        </w:tc>
        <w:tc>
          <w:tcPr>
            <w:tcW w:w="12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66,667</w:t>
            </w:r>
          </w:p>
        </w:tc>
        <w:tc>
          <w:tcPr>
            <w:tcW w:w="20" w:type="dxa"/>
            <w:vAlign w:val="bottom"/>
          </w:tcPr>
          <w:p>
            <w:pPr>
              <w:spacing w:after="0"/>
              <w:rPr>
                <w:sz w:val="17"/>
                <w:szCs w:val="17"/>
                <w:color w:val="auto"/>
              </w:rPr>
            </w:pPr>
          </w:p>
        </w:tc>
      </w:tr>
      <w:tr>
        <w:trPr>
          <w:trHeight w:val="193"/>
        </w:trPr>
        <w:tc>
          <w:tcPr>
            <w:tcW w:w="1220" w:type="dxa"/>
            <w:vAlign w:val="bottom"/>
          </w:tcPr>
          <w:p>
            <w:pPr>
              <w:spacing w:after="0"/>
              <w:rPr>
                <w:sz w:val="16"/>
                <w:szCs w:val="16"/>
                <w:color w:val="auto"/>
              </w:rPr>
            </w:pPr>
          </w:p>
        </w:tc>
        <w:tc>
          <w:tcPr>
            <w:tcW w:w="2100" w:type="dxa"/>
            <w:vAlign w:val="bottom"/>
            <w:gridSpan w:val="3"/>
          </w:tcPr>
          <w:p>
            <w:pPr>
              <w:ind w:left="180"/>
              <w:spacing w:after="0"/>
              <w:rPr>
                <w:sz w:val="20"/>
                <w:szCs w:val="20"/>
                <w:color w:val="auto"/>
              </w:rPr>
            </w:pPr>
            <w:r>
              <w:rPr>
                <w:rFonts w:ascii="Arial" w:cs="Arial" w:eastAsia="Arial" w:hAnsi="Arial"/>
                <w:sz w:val="16"/>
                <w:szCs w:val="16"/>
                <w:color w:val="auto"/>
              </w:rPr>
              <w:t>Skandinavinska Enskilda</w:t>
            </w:r>
          </w:p>
        </w:tc>
        <w:tc>
          <w:tcPr>
            <w:tcW w:w="1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6"/>
        </w:trPr>
        <w:tc>
          <w:tcPr>
            <w:tcW w:w="1220" w:type="dxa"/>
            <w:vAlign w:val="bottom"/>
          </w:tcPr>
          <w:p>
            <w:pPr>
              <w:spacing w:after="0"/>
              <w:rPr>
                <w:sz w:val="20"/>
                <w:szCs w:val="20"/>
                <w:color w:val="auto"/>
              </w:rPr>
            </w:pPr>
            <w:r>
              <w:rPr>
                <w:rFonts w:ascii="Arial" w:cs="Arial" w:eastAsia="Arial" w:hAnsi="Arial"/>
                <w:sz w:val="16"/>
                <w:szCs w:val="16"/>
                <w:color w:val="auto"/>
              </w:rPr>
              <w:t>GasLog</w:t>
            </w:r>
          </w:p>
        </w:tc>
        <w:tc>
          <w:tcPr>
            <w:tcW w:w="2100" w:type="dxa"/>
            <w:vAlign w:val="bottom"/>
            <w:gridSpan w:val="3"/>
          </w:tcPr>
          <w:p>
            <w:pPr>
              <w:ind w:left="180"/>
              <w:spacing w:after="0"/>
              <w:rPr>
                <w:sz w:val="20"/>
                <w:szCs w:val="20"/>
                <w:color w:val="auto"/>
              </w:rPr>
            </w:pPr>
            <w:r>
              <w:rPr>
                <w:rFonts w:ascii="Arial" w:cs="Arial" w:eastAsia="Arial" w:hAnsi="Arial"/>
                <w:sz w:val="16"/>
                <w:szCs w:val="16"/>
                <w:color w:val="auto"/>
              </w:rPr>
              <w:t>Banken AB (“SEB”)</w:t>
            </w:r>
          </w:p>
        </w:tc>
        <w:tc>
          <w:tcPr>
            <w:tcW w:w="1340" w:type="dxa"/>
            <w:vAlign w:val="bottom"/>
            <w:gridSpan w:val="2"/>
          </w:tcPr>
          <w:p>
            <w:pPr>
              <w:jc w:val="center"/>
              <w:ind w:right="180"/>
              <w:spacing w:after="0"/>
              <w:rPr>
                <w:sz w:val="20"/>
                <w:szCs w:val="20"/>
                <w:color w:val="auto"/>
              </w:rPr>
            </w:pPr>
            <w:r>
              <w:rPr>
                <w:rFonts w:ascii="Arial" w:cs="Arial" w:eastAsia="Arial" w:hAnsi="Arial"/>
                <w:sz w:val="16"/>
                <w:szCs w:val="16"/>
                <w:color w:val="auto"/>
                <w:w w:val="93"/>
              </w:rPr>
              <w:t>July 2016</w:t>
            </w:r>
          </w:p>
        </w:tc>
        <w:tc>
          <w:tcPr>
            <w:tcW w:w="1320" w:type="dxa"/>
            <w:vAlign w:val="bottom"/>
            <w:gridSpan w:val="2"/>
          </w:tcPr>
          <w:p>
            <w:pPr>
              <w:jc w:val="center"/>
              <w:ind w:right="180"/>
              <w:spacing w:after="0"/>
              <w:rPr>
                <w:sz w:val="20"/>
                <w:szCs w:val="20"/>
                <w:color w:val="auto"/>
              </w:rPr>
            </w:pPr>
            <w:r>
              <w:rPr>
                <w:rFonts w:ascii="Arial" w:cs="Arial" w:eastAsia="Arial" w:hAnsi="Arial"/>
                <w:sz w:val="16"/>
                <w:szCs w:val="16"/>
                <w:color w:val="auto"/>
                <w:w w:val="90"/>
              </w:rPr>
              <w:t>July 2016</w:t>
            </w:r>
          </w:p>
        </w:tc>
        <w:tc>
          <w:tcPr>
            <w:tcW w:w="1340" w:type="dxa"/>
            <w:vAlign w:val="bottom"/>
            <w:gridSpan w:val="2"/>
          </w:tcPr>
          <w:p>
            <w:pPr>
              <w:jc w:val="center"/>
              <w:ind w:right="160"/>
              <w:spacing w:after="0"/>
              <w:rPr>
                <w:sz w:val="20"/>
                <w:szCs w:val="20"/>
                <w:color w:val="auto"/>
              </w:rPr>
            </w:pPr>
            <w:r>
              <w:rPr>
                <w:rFonts w:ascii="Arial" w:cs="Arial" w:eastAsia="Arial" w:hAnsi="Arial"/>
                <w:sz w:val="16"/>
                <w:szCs w:val="16"/>
                <w:color w:val="auto"/>
                <w:w w:val="90"/>
              </w:rPr>
              <w:t>July 2021</w:t>
            </w:r>
          </w:p>
        </w:tc>
        <w:tc>
          <w:tcPr>
            <w:tcW w:w="1280" w:type="dxa"/>
            <w:vAlign w:val="bottom"/>
          </w:tcPr>
          <w:p>
            <w:pPr>
              <w:jc w:val="center"/>
              <w:spacing w:after="0"/>
              <w:rPr>
                <w:sz w:val="20"/>
                <w:szCs w:val="20"/>
                <w:color w:val="auto"/>
              </w:rPr>
            </w:pPr>
            <w:r>
              <w:rPr>
                <w:rFonts w:ascii="Arial" w:cs="Arial" w:eastAsia="Arial" w:hAnsi="Arial"/>
                <w:sz w:val="16"/>
                <w:szCs w:val="16"/>
                <w:color w:val="auto"/>
                <w:w w:val="91"/>
              </w:rPr>
              <w:t>1.8405%</w:t>
            </w:r>
          </w:p>
        </w:tc>
        <w:tc>
          <w:tcPr>
            <w:tcW w:w="160" w:type="dxa"/>
            <w:vAlign w:val="bottom"/>
          </w:tcPr>
          <w:p>
            <w:pPr>
              <w:spacing w:after="0"/>
              <w:rPr>
                <w:sz w:val="17"/>
                <w:szCs w:val="17"/>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6"/>
                <w:szCs w:val="16"/>
                <w:color w:val="auto"/>
              </w:rPr>
              <w:t>50,000</w:t>
            </w:r>
          </w:p>
        </w:tc>
        <w:tc>
          <w:tcPr>
            <w:tcW w:w="1260" w:type="dxa"/>
            <w:vAlign w:val="bottom"/>
          </w:tcPr>
          <w:p>
            <w:pPr>
              <w:jc w:val="right"/>
              <w:spacing w:after="0"/>
              <w:rPr>
                <w:sz w:val="20"/>
                <w:szCs w:val="20"/>
                <w:color w:val="auto"/>
              </w:rPr>
            </w:pPr>
            <w:r>
              <w:rPr>
                <w:rFonts w:ascii="Arial" w:cs="Arial" w:eastAsia="Arial" w:hAnsi="Arial"/>
                <w:sz w:val="16"/>
                <w:szCs w:val="16"/>
                <w:color w:val="auto"/>
              </w:rPr>
              <w:t>50,000</w:t>
            </w:r>
          </w:p>
        </w:tc>
        <w:tc>
          <w:tcPr>
            <w:tcW w:w="20" w:type="dxa"/>
            <w:vAlign w:val="bottom"/>
          </w:tcPr>
          <w:p>
            <w:pPr>
              <w:spacing w:after="0"/>
              <w:rPr>
                <w:sz w:val="17"/>
                <w:szCs w:val="17"/>
                <w:color w:val="auto"/>
              </w:rPr>
            </w:pPr>
          </w:p>
        </w:tc>
      </w:tr>
      <w:tr>
        <w:trPr>
          <w:trHeight w:val="208"/>
        </w:trPr>
        <w:tc>
          <w:tcPr>
            <w:tcW w:w="1220" w:type="dxa"/>
            <w:vAlign w:val="bottom"/>
            <w:shd w:val="clear" w:color="auto" w:fill="E5FFFF"/>
          </w:tcPr>
          <w:p>
            <w:pPr>
              <w:spacing w:after="0"/>
              <w:rPr>
                <w:sz w:val="20"/>
                <w:szCs w:val="20"/>
                <w:color w:val="auto"/>
              </w:rPr>
            </w:pPr>
            <w:r>
              <w:rPr>
                <w:rFonts w:ascii="Arial" w:cs="Arial" w:eastAsia="Arial" w:hAnsi="Arial"/>
                <w:sz w:val="16"/>
                <w:szCs w:val="16"/>
                <w:color w:val="auto"/>
              </w:rPr>
              <w:t>GasLog</w:t>
            </w:r>
          </w:p>
        </w:tc>
        <w:tc>
          <w:tcPr>
            <w:tcW w:w="2100" w:type="dxa"/>
            <w:vAlign w:val="bottom"/>
            <w:gridSpan w:val="3"/>
            <w:shd w:val="clear" w:color="auto" w:fill="E5FFFF"/>
          </w:tcPr>
          <w:p>
            <w:pPr>
              <w:ind w:left="180"/>
              <w:spacing w:after="0"/>
              <w:rPr>
                <w:sz w:val="20"/>
                <w:szCs w:val="20"/>
                <w:color w:val="auto"/>
              </w:rPr>
            </w:pPr>
            <w:r>
              <w:rPr>
                <w:rFonts w:ascii="Arial" w:cs="Arial" w:eastAsia="Arial" w:hAnsi="Arial"/>
                <w:sz w:val="16"/>
                <w:szCs w:val="16"/>
                <w:color w:val="auto"/>
              </w:rPr>
              <w:t>HSBC</w:t>
            </w:r>
          </w:p>
        </w:tc>
        <w:tc>
          <w:tcPr>
            <w:tcW w:w="1340" w:type="dxa"/>
            <w:vAlign w:val="bottom"/>
            <w:gridSpan w:val="2"/>
            <w:shd w:val="clear" w:color="auto" w:fill="E5FFFF"/>
          </w:tcPr>
          <w:p>
            <w:pPr>
              <w:jc w:val="center"/>
              <w:ind w:right="180"/>
              <w:spacing w:after="0"/>
              <w:rPr>
                <w:sz w:val="20"/>
                <w:szCs w:val="20"/>
                <w:color w:val="auto"/>
              </w:rPr>
            </w:pPr>
            <w:r>
              <w:rPr>
                <w:rFonts w:ascii="Arial" w:cs="Arial" w:eastAsia="Arial" w:hAnsi="Arial"/>
                <w:sz w:val="16"/>
                <w:szCs w:val="16"/>
                <w:color w:val="auto"/>
                <w:w w:val="88"/>
              </w:rPr>
              <w:t>Feb 2017</w:t>
            </w:r>
          </w:p>
        </w:tc>
        <w:tc>
          <w:tcPr>
            <w:tcW w:w="1320" w:type="dxa"/>
            <w:vAlign w:val="bottom"/>
            <w:gridSpan w:val="2"/>
            <w:shd w:val="clear" w:color="auto" w:fill="E5FFFF"/>
          </w:tcPr>
          <w:p>
            <w:pPr>
              <w:jc w:val="center"/>
              <w:ind w:right="180"/>
              <w:spacing w:after="0"/>
              <w:rPr>
                <w:sz w:val="20"/>
                <w:szCs w:val="20"/>
                <w:color w:val="auto"/>
              </w:rPr>
            </w:pPr>
            <w:r>
              <w:rPr>
                <w:rFonts w:ascii="Arial" w:cs="Arial" w:eastAsia="Arial" w:hAnsi="Arial"/>
                <w:sz w:val="16"/>
                <w:szCs w:val="16"/>
                <w:color w:val="auto"/>
                <w:w w:val="91"/>
              </w:rPr>
              <w:t>Feb 2017</w:t>
            </w:r>
          </w:p>
        </w:tc>
        <w:tc>
          <w:tcPr>
            <w:tcW w:w="1340" w:type="dxa"/>
            <w:vAlign w:val="bottom"/>
            <w:gridSpan w:val="2"/>
            <w:shd w:val="clear" w:color="auto" w:fill="E5FFFF"/>
          </w:tcPr>
          <w:p>
            <w:pPr>
              <w:jc w:val="center"/>
              <w:ind w:right="160"/>
              <w:spacing w:after="0"/>
              <w:rPr>
                <w:sz w:val="20"/>
                <w:szCs w:val="20"/>
                <w:color w:val="auto"/>
              </w:rPr>
            </w:pPr>
            <w:r>
              <w:rPr>
                <w:rFonts w:ascii="Arial" w:cs="Arial" w:eastAsia="Arial" w:hAnsi="Arial"/>
                <w:sz w:val="16"/>
                <w:szCs w:val="16"/>
                <w:color w:val="auto"/>
                <w:w w:val="91"/>
              </w:rPr>
              <w:t>Feb 2022</w:t>
            </w:r>
          </w:p>
        </w:tc>
        <w:tc>
          <w:tcPr>
            <w:tcW w:w="128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2"/>
              </w:rPr>
              <w:t>2.005%</w:t>
            </w:r>
          </w:p>
        </w:tc>
        <w:tc>
          <w:tcPr>
            <w:tcW w:w="160" w:type="dxa"/>
            <w:vAlign w:val="bottom"/>
            <w:shd w:val="clear" w:color="auto" w:fill="E5FFFF"/>
          </w:tcPr>
          <w:p>
            <w:pPr>
              <w:spacing w:after="0"/>
              <w:rPr>
                <w:sz w:val="18"/>
                <w:szCs w:val="18"/>
                <w:color w:val="auto"/>
              </w:rPr>
            </w:pPr>
          </w:p>
        </w:tc>
        <w:tc>
          <w:tcPr>
            <w:tcW w:w="1540" w:type="dxa"/>
            <w:vAlign w:val="bottom"/>
            <w:gridSpan w:val="2"/>
            <w:shd w:val="clear" w:color="auto" w:fill="E5FFFF"/>
          </w:tcPr>
          <w:p>
            <w:pPr>
              <w:jc w:val="right"/>
              <w:ind w:right="160"/>
              <w:spacing w:after="0"/>
              <w:rPr>
                <w:sz w:val="20"/>
                <w:szCs w:val="20"/>
                <w:color w:val="auto"/>
              </w:rPr>
            </w:pPr>
            <w:r>
              <w:rPr>
                <w:rFonts w:ascii="Arial" w:cs="Arial" w:eastAsia="Arial" w:hAnsi="Arial"/>
                <w:sz w:val="16"/>
                <w:szCs w:val="16"/>
                <w:color w:val="auto"/>
              </w:rPr>
              <w:t>100,000</w:t>
            </w:r>
          </w:p>
        </w:tc>
        <w:tc>
          <w:tcPr>
            <w:tcW w:w="12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100,000</w:t>
            </w:r>
          </w:p>
        </w:tc>
        <w:tc>
          <w:tcPr>
            <w:tcW w:w="20" w:type="dxa"/>
            <w:vAlign w:val="bottom"/>
          </w:tcPr>
          <w:p>
            <w:pPr>
              <w:spacing w:after="0"/>
              <w:rPr>
                <w:sz w:val="18"/>
                <w:szCs w:val="18"/>
                <w:color w:val="auto"/>
              </w:rPr>
            </w:pPr>
          </w:p>
        </w:tc>
      </w:tr>
      <w:tr>
        <w:trPr>
          <w:trHeight w:val="203"/>
        </w:trPr>
        <w:tc>
          <w:tcPr>
            <w:tcW w:w="1220" w:type="dxa"/>
            <w:vAlign w:val="bottom"/>
          </w:tcPr>
          <w:p>
            <w:pPr>
              <w:spacing w:after="0"/>
              <w:rPr>
                <w:sz w:val="20"/>
                <w:szCs w:val="20"/>
                <w:color w:val="auto"/>
              </w:rPr>
            </w:pPr>
            <w:r>
              <w:rPr>
                <w:rFonts w:ascii="Arial" w:cs="Arial" w:eastAsia="Arial" w:hAnsi="Arial"/>
                <w:sz w:val="16"/>
                <w:szCs w:val="16"/>
                <w:color w:val="auto"/>
              </w:rPr>
              <w:t>GasLog</w:t>
            </w:r>
          </w:p>
        </w:tc>
        <w:tc>
          <w:tcPr>
            <w:tcW w:w="2100" w:type="dxa"/>
            <w:vAlign w:val="bottom"/>
            <w:gridSpan w:val="3"/>
          </w:tcPr>
          <w:p>
            <w:pPr>
              <w:ind w:left="180"/>
              <w:spacing w:after="0"/>
              <w:rPr>
                <w:sz w:val="20"/>
                <w:szCs w:val="20"/>
                <w:color w:val="auto"/>
              </w:rPr>
            </w:pPr>
            <w:r>
              <w:rPr>
                <w:rFonts w:ascii="Arial" w:cs="Arial" w:eastAsia="Arial" w:hAnsi="Arial"/>
                <w:sz w:val="16"/>
                <w:szCs w:val="16"/>
                <w:color w:val="auto"/>
              </w:rPr>
              <w:t>Nordea Bank Finland</w:t>
            </w:r>
          </w:p>
        </w:tc>
        <w:tc>
          <w:tcPr>
            <w:tcW w:w="1340" w:type="dxa"/>
            <w:vAlign w:val="bottom"/>
            <w:gridSpan w:val="2"/>
          </w:tcPr>
          <w:p>
            <w:pPr>
              <w:jc w:val="center"/>
              <w:ind w:right="180"/>
              <w:spacing w:after="0"/>
              <w:rPr>
                <w:sz w:val="20"/>
                <w:szCs w:val="20"/>
                <w:color w:val="auto"/>
              </w:rPr>
            </w:pPr>
            <w:r>
              <w:rPr>
                <w:rFonts w:ascii="Arial" w:cs="Arial" w:eastAsia="Arial" w:hAnsi="Arial"/>
                <w:sz w:val="16"/>
                <w:szCs w:val="16"/>
                <w:color w:val="auto"/>
                <w:w w:val="88"/>
              </w:rPr>
              <w:t>Feb 2017</w:t>
            </w:r>
          </w:p>
        </w:tc>
        <w:tc>
          <w:tcPr>
            <w:tcW w:w="1320" w:type="dxa"/>
            <w:vAlign w:val="bottom"/>
            <w:gridSpan w:val="2"/>
          </w:tcPr>
          <w:p>
            <w:pPr>
              <w:jc w:val="center"/>
              <w:ind w:right="180"/>
              <w:spacing w:after="0"/>
              <w:rPr>
                <w:sz w:val="20"/>
                <w:szCs w:val="20"/>
                <w:color w:val="auto"/>
              </w:rPr>
            </w:pPr>
            <w:r>
              <w:rPr>
                <w:rFonts w:ascii="Arial" w:cs="Arial" w:eastAsia="Arial" w:hAnsi="Arial"/>
                <w:sz w:val="16"/>
                <w:szCs w:val="16"/>
                <w:color w:val="auto"/>
                <w:w w:val="91"/>
              </w:rPr>
              <w:t>Feb 2017</w:t>
            </w:r>
          </w:p>
        </w:tc>
        <w:tc>
          <w:tcPr>
            <w:tcW w:w="1340" w:type="dxa"/>
            <w:vAlign w:val="bottom"/>
            <w:gridSpan w:val="2"/>
          </w:tcPr>
          <w:p>
            <w:pPr>
              <w:jc w:val="center"/>
              <w:ind w:right="160"/>
              <w:spacing w:after="0"/>
              <w:rPr>
                <w:sz w:val="20"/>
                <w:szCs w:val="20"/>
                <w:color w:val="auto"/>
              </w:rPr>
            </w:pPr>
            <w:r>
              <w:rPr>
                <w:rFonts w:ascii="Arial" w:cs="Arial" w:eastAsia="Arial" w:hAnsi="Arial"/>
                <w:sz w:val="16"/>
                <w:szCs w:val="16"/>
                <w:color w:val="auto"/>
                <w:w w:val="91"/>
              </w:rPr>
              <w:t>Mar 2022</w:t>
            </w:r>
          </w:p>
        </w:tc>
        <w:tc>
          <w:tcPr>
            <w:tcW w:w="1280" w:type="dxa"/>
            <w:vAlign w:val="bottom"/>
          </w:tcPr>
          <w:p>
            <w:pPr>
              <w:jc w:val="center"/>
              <w:spacing w:after="0"/>
              <w:rPr>
                <w:sz w:val="20"/>
                <w:szCs w:val="20"/>
                <w:color w:val="auto"/>
              </w:rPr>
            </w:pPr>
            <w:r>
              <w:rPr>
                <w:rFonts w:ascii="Arial" w:cs="Arial" w:eastAsia="Arial" w:hAnsi="Arial"/>
                <w:sz w:val="16"/>
                <w:szCs w:val="16"/>
                <w:color w:val="auto"/>
                <w:w w:val="91"/>
              </w:rPr>
              <w:t>2.0145%</w:t>
            </w:r>
          </w:p>
        </w:tc>
        <w:tc>
          <w:tcPr>
            <w:tcW w:w="160" w:type="dxa"/>
            <w:vAlign w:val="bottom"/>
          </w:tcPr>
          <w:p>
            <w:pPr>
              <w:spacing w:after="0"/>
              <w:rPr>
                <w:sz w:val="17"/>
                <w:szCs w:val="17"/>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6"/>
                <w:szCs w:val="16"/>
                <w:color w:val="auto"/>
              </w:rPr>
              <w:t>100,000</w:t>
            </w:r>
          </w:p>
        </w:tc>
        <w:tc>
          <w:tcPr>
            <w:tcW w:w="1260" w:type="dxa"/>
            <w:vAlign w:val="bottom"/>
          </w:tcPr>
          <w:p>
            <w:pPr>
              <w:jc w:val="right"/>
              <w:spacing w:after="0"/>
              <w:rPr>
                <w:sz w:val="20"/>
                <w:szCs w:val="20"/>
                <w:color w:val="auto"/>
              </w:rPr>
            </w:pPr>
            <w:r>
              <w:rPr>
                <w:rFonts w:ascii="Arial" w:cs="Arial" w:eastAsia="Arial" w:hAnsi="Arial"/>
                <w:sz w:val="16"/>
                <w:szCs w:val="16"/>
                <w:color w:val="auto"/>
              </w:rPr>
              <w:t>100,000</w:t>
            </w:r>
          </w:p>
        </w:tc>
        <w:tc>
          <w:tcPr>
            <w:tcW w:w="20" w:type="dxa"/>
            <w:vAlign w:val="bottom"/>
          </w:tcPr>
          <w:p>
            <w:pPr>
              <w:spacing w:after="0"/>
              <w:rPr>
                <w:sz w:val="17"/>
                <w:szCs w:val="17"/>
                <w:color w:val="auto"/>
              </w:rPr>
            </w:pPr>
          </w:p>
        </w:tc>
      </w:tr>
      <w:tr>
        <w:trPr>
          <w:trHeight w:val="193"/>
        </w:trPr>
        <w:tc>
          <w:tcPr>
            <w:tcW w:w="1220" w:type="dxa"/>
            <w:vAlign w:val="bottom"/>
            <w:shd w:val="clear" w:color="auto" w:fill="E5FFFF"/>
          </w:tcPr>
          <w:p>
            <w:pPr>
              <w:spacing w:after="0"/>
              <w:rPr>
                <w:sz w:val="16"/>
                <w:szCs w:val="16"/>
                <w:color w:val="auto"/>
              </w:rPr>
            </w:pPr>
          </w:p>
        </w:tc>
        <w:tc>
          <w:tcPr>
            <w:tcW w:w="2100" w:type="dxa"/>
            <w:vAlign w:val="bottom"/>
            <w:gridSpan w:val="3"/>
            <w:shd w:val="clear" w:color="auto" w:fill="E5FFFF"/>
          </w:tcPr>
          <w:p>
            <w:pPr>
              <w:ind w:left="180"/>
              <w:spacing w:after="0"/>
              <w:rPr>
                <w:sz w:val="20"/>
                <w:szCs w:val="20"/>
                <w:color w:val="auto"/>
              </w:rPr>
            </w:pPr>
            <w:r>
              <w:rPr>
                <w:rFonts w:ascii="Arial" w:cs="Arial" w:eastAsia="Arial" w:hAnsi="Arial"/>
                <w:sz w:val="16"/>
                <w:szCs w:val="16"/>
                <w:color w:val="auto"/>
              </w:rPr>
              <w:t>ABN Amro Bank NV</w:t>
            </w:r>
          </w:p>
        </w:tc>
        <w:tc>
          <w:tcPr>
            <w:tcW w:w="1160" w:type="dxa"/>
            <w:vAlign w:val="bottom"/>
            <w:shd w:val="clear" w:color="auto" w:fill="E5FFFF"/>
          </w:tcPr>
          <w:p>
            <w:pPr>
              <w:spacing w:after="0"/>
              <w:rPr>
                <w:sz w:val="16"/>
                <w:szCs w:val="16"/>
                <w:color w:val="auto"/>
              </w:rPr>
            </w:pPr>
          </w:p>
        </w:tc>
        <w:tc>
          <w:tcPr>
            <w:tcW w:w="180" w:type="dxa"/>
            <w:vAlign w:val="bottom"/>
            <w:shd w:val="clear" w:color="auto" w:fill="E5FFFF"/>
          </w:tcPr>
          <w:p>
            <w:pPr>
              <w:spacing w:after="0"/>
              <w:rPr>
                <w:sz w:val="16"/>
                <w:szCs w:val="16"/>
                <w:color w:val="auto"/>
              </w:rPr>
            </w:pPr>
          </w:p>
        </w:tc>
        <w:tc>
          <w:tcPr>
            <w:tcW w:w="1160" w:type="dxa"/>
            <w:vAlign w:val="bottom"/>
            <w:shd w:val="clear" w:color="auto" w:fill="E5FFFF"/>
          </w:tcPr>
          <w:p>
            <w:pPr>
              <w:spacing w:after="0"/>
              <w:rPr>
                <w:sz w:val="16"/>
                <w:szCs w:val="16"/>
                <w:color w:val="auto"/>
              </w:rPr>
            </w:pPr>
          </w:p>
        </w:tc>
        <w:tc>
          <w:tcPr>
            <w:tcW w:w="160" w:type="dxa"/>
            <w:vAlign w:val="bottom"/>
            <w:shd w:val="clear" w:color="auto" w:fill="E5FFFF"/>
          </w:tcPr>
          <w:p>
            <w:pPr>
              <w:spacing w:after="0"/>
              <w:rPr>
                <w:sz w:val="16"/>
                <w:szCs w:val="16"/>
                <w:color w:val="auto"/>
              </w:rPr>
            </w:pPr>
          </w:p>
        </w:tc>
        <w:tc>
          <w:tcPr>
            <w:tcW w:w="1160" w:type="dxa"/>
            <w:vAlign w:val="bottom"/>
            <w:shd w:val="clear" w:color="auto" w:fill="E5FFFF"/>
          </w:tcPr>
          <w:p>
            <w:pPr>
              <w:spacing w:after="0"/>
              <w:rPr>
                <w:sz w:val="16"/>
                <w:szCs w:val="16"/>
                <w:color w:val="auto"/>
              </w:rPr>
            </w:pPr>
          </w:p>
        </w:tc>
        <w:tc>
          <w:tcPr>
            <w:tcW w:w="180" w:type="dxa"/>
            <w:vAlign w:val="bottom"/>
            <w:shd w:val="clear" w:color="auto" w:fill="E5FFFF"/>
          </w:tcPr>
          <w:p>
            <w:pPr>
              <w:spacing w:after="0"/>
              <w:rPr>
                <w:sz w:val="16"/>
                <w:szCs w:val="16"/>
                <w:color w:val="auto"/>
              </w:rPr>
            </w:pPr>
          </w:p>
        </w:tc>
        <w:tc>
          <w:tcPr>
            <w:tcW w:w="1280" w:type="dxa"/>
            <w:vAlign w:val="bottom"/>
            <w:shd w:val="clear" w:color="auto" w:fill="E5FFFF"/>
          </w:tcPr>
          <w:p>
            <w:pPr>
              <w:spacing w:after="0"/>
              <w:rPr>
                <w:sz w:val="16"/>
                <w:szCs w:val="16"/>
                <w:color w:val="auto"/>
              </w:rPr>
            </w:pPr>
          </w:p>
        </w:tc>
        <w:tc>
          <w:tcPr>
            <w:tcW w:w="160" w:type="dxa"/>
            <w:vAlign w:val="bottom"/>
            <w:shd w:val="clear" w:color="auto" w:fill="E5FFFF"/>
          </w:tcPr>
          <w:p>
            <w:pPr>
              <w:spacing w:after="0"/>
              <w:rPr>
                <w:sz w:val="16"/>
                <w:szCs w:val="16"/>
                <w:color w:val="auto"/>
              </w:rPr>
            </w:pPr>
          </w:p>
        </w:tc>
        <w:tc>
          <w:tcPr>
            <w:tcW w:w="1380" w:type="dxa"/>
            <w:vAlign w:val="bottom"/>
            <w:shd w:val="clear" w:color="auto" w:fill="E5FFFF"/>
          </w:tcPr>
          <w:p>
            <w:pPr>
              <w:spacing w:after="0"/>
              <w:rPr>
                <w:sz w:val="16"/>
                <w:szCs w:val="16"/>
                <w:color w:val="auto"/>
              </w:rPr>
            </w:pPr>
          </w:p>
        </w:tc>
        <w:tc>
          <w:tcPr>
            <w:tcW w:w="160" w:type="dxa"/>
            <w:vAlign w:val="bottom"/>
            <w:shd w:val="clear" w:color="auto" w:fill="E5FFFF"/>
          </w:tcPr>
          <w:p>
            <w:pPr>
              <w:spacing w:after="0"/>
              <w:rPr>
                <w:sz w:val="16"/>
                <w:szCs w:val="16"/>
                <w:color w:val="auto"/>
              </w:rPr>
            </w:pPr>
          </w:p>
        </w:tc>
        <w:tc>
          <w:tcPr>
            <w:tcW w:w="1260" w:type="dxa"/>
            <w:vAlign w:val="bottom"/>
            <w:shd w:val="clear" w:color="auto" w:fill="E5FFFF"/>
          </w:tcPr>
          <w:p>
            <w:pPr>
              <w:spacing w:after="0"/>
              <w:rPr>
                <w:sz w:val="16"/>
                <w:szCs w:val="16"/>
                <w:color w:val="auto"/>
              </w:rPr>
            </w:pPr>
          </w:p>
        </w:tc>
        <w:tc>
          <w:tcPr>
            <w:tcW w:w="20" w:type="dxa"/>
            <w:vAlign w:val="bottom"/>
          </w:tcPr>
          <w:p>
            <w:pPr>
              <w:spacing w:after="0"/>
              <w:rPr>
                <w:sz w:val="16"/>
                <w:szCs w:val="16"/>
                <w:color w:val="auto"/>
              </w:rPr>
            </w:pPr>
          </w:p>
        </w:tc>
      </w:tr>
      <w:tr>
        <w:trPr>
          <w:trHeight w:val="212"/>
        </w:trPr>
        <w:tc>
          <w:tcPr>
            <w:tcW w:w="1220" w:type="dxa"/>
            <w:vAlign w:val="bottom"/>
            <w:shd w:val="clear" w:color="auto" w:fill="E5FFFF"/>
          </w:tcPr>
          <w:p>
            <w:pPr>
              <w:spacing w:after="0"/>
              <w:rPr>
                <w:sz w:val="20"/>
                <w:szCs w:val="20"/>
                <w:color w:val="auto"/>
              </w:rPr>
            </w:pPr>
            <w:r>
              <w:rPr>
                <w:rFonts w:ascii="Arial" w:cs="Arial" w:eastAsia="Arial" w:hAnsi="Arial"/>
                <w:sz w:val="16"/>
                <w:szCs w:val="16"/>
                <w:color w:val="auto"/>
              </w:rPr>
              <w:t>GasLog</w:t>
            </w:r>
          </w:p>
        </w:tc>
        <w:tc>
          <w:tcPr>
            <w:tcW w:w="2100" w:type="dxa"/>
            <w:vAlign w:val="bottom"/>
            <w:gridSpan w:val="3"/>
            <w:shd w:val="clear" w:color="auto" w:fill="E5FFFF"/>
          </w:tcPr>
          <w:p>
            <w:pPr>
              <w:ind w:left="180"/>
              <w:spacing w:after="0"/>
              <w:rPr>
                <w:sz w:val="20"/>
                <w:szCs w:val="20"/>
                <w:color w:val="auto"/>
              </w:rPr>
            </w:pPr>
            <w:r>
              <w:rPr>
                <w:rFonts w:ascii="Arial" w:cs="Arial" w:eastAsia="Arial" w:hAnsi="Arial"/>
                <w:sz w:val="16"/>
                <w:szCs w:val="16"/>
                <w:color w:val="auto"/>
              </w:rPr>
              <w:t>(“ABN”)</w:t>
            </w:r>
          </w:p>
        </w:tc>
        <w:tc>
          <w:tcPr>
            <w:tcW w:w="1340" w:type="dxa"/>
            <w:vAlign w:val="bottom"/>
            <w:gridSpan w:val="2"/>
            <w:shd w:val="clear" w:color="auto" w:fill="E5FFFF"/>
          </w:tcPr>
          <w:p>
            <w:pPr>
              <w:jc w:val="center"/>
              <w:ind w:right="180"/>
              <w:spacing w:after="0"/>
              <w:rPr>
                <w:sz w:val="20"/>
                <w:szCs w:val="20"/>
                <w:color w:val="auto"/>
              </w:rPr>
            </w:pPr>
            <w:r>
              <w:rPr>
                <w:rFonts w:ascii="Arial" w:cs="Arial" w:eastAsia="Arial" w:hAnsi="Arial"/>
                <w:sz w:val="16"/>
                <w:szCs w:val="16"/>
                <w:color w:val="auto"/>
                <w:w w:val="88"/>
              </w:rPr>
              <w:t>Feb 2017</w:t>
            </w:r>
          </w:p>
        </w:tc>
        <w:tc>
          <w:tcPr>
            <w:tcW w:w="1320" w:type="dxa"/>
            <w:vAlign w:val="bottom"/>
            <w:gridSpan w:val="2"/>
            <w:shd w:val="clear" w:color="auto" w:fill="E5FFFF"/>
          </w:tcPr>
          <w:p>
            <w:pPr>
              <w:jc w:val="center"/>
              <w:ind w:right="180"/>
              <w:spacing w:after="0"/>
              <w:rPr>
                <w:sz w:val="20"/>
                <w:szCs w:val="20"/>
                <w:color w:val="auto"/>
              </w:rPr>
            </w:pPr>
            <w:r>
              <w:rPr>
                <w:rFonts w:ascii="Arial" w:cs="Arial" w:eastAsia="Arial" w:hAnsi="Arial"/>
                <w:sz w:val="16"/>
                <w:szCs w:val="16"/>
                <w:color w:val="auto"/>
                <w:w w:val="91"/>
              </w:rPr>
              <w:t>Feb 2017</w:t>
            </w:r>
          </w:p>
        </w:tc>
        <w:tc>
          <w:tcPr>
            <w:tcW w:w="1340" w:type="dxa"/>
            <w:vAlign w:val="bottom"/>
            <w:gridSpan w:val="2"/>
            <w:shd w:val="clear" w:color="auto" w:fill="E5FFFF"/>
          </w:tcPr>
          <w:p>
            <w:pPr>
              <w:jc w:val="center"/>
              <w:ind w:right="160"/>
              <w:spacing w:after="0"/>
              <w:rPr>
                <w:sz w:val="20"/>
                <w:szCs w:val="20"/>
                <w:color w:val="auto"/>
              </w:rPr>
            </w:pPr>
            <w:r>
              <w:rPr>
                <w:rFonts w:ascii="Arial" w:cs="Arial" w:eastAsia="Arial" w:hAnsi="Arial"/>
                <w:sz w:val="16"/>
                <w:szCs w:val="16"/>
                <w:color w:val="auto"/>
                <w:w w:val="91"/>
              </w:rPr>
              <w:t>Mar 2022</w:t>
            </w:r>
          </w:p>
        </w:tc>
        <w:tc>
          <w:tcPr>
            <w:tcW w:w="128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2"/>
              </w:rPr>
              <w:t>2.003%</w:t>
            </w:r>
          </w:p>
        </w:tc>
        <w:tc>
          <w:tcPr>
            <w:tcW w:w="160" w:type="dxa"/>
            <w:vAlign w:val="bottom"/>
            <w:shd w:val="clear" w:color="auto" w:fill="E5FFFF"/>
          </w:tcPr>
          <w:p>
            <w:pPr>
              <w:spacing w:after="0"/>
              <w:rPr>
                <w:sz w:val="18"/>
                <w:szCs w:val="18"/>
                <w:color w:val="auto"/>
              </w:rPr>
            </w:pPr>
          </w:p>
        </w:tc>
        <w:tc>
          <w:tcPr>
            <w:tcW w:w="1540" w:type="dxa"/>
            <w:vAlign w:val="bottom"/>
            <w:gridSpan w:val="2"/>
            <w:shd w:val="clear" w:color="auto" w:fill="E5FFFF"/>
          </w:tcPr>
          <w:p>
            <w:pPr>
              <w:jc w:val="right"/>
              <w:ind w:right="160"/>
              <w:spacing w:after="0"/>
              <w:rPr>
                <w:sz w:val="20"/>
                <w:szCs w:val="20"/>
                <w:color w:val="auto"/>
              </w:rPr>
            </w:pPr>
            <w:r>
              <w:rPr>
                <w:rFonts w:ascii="Arial" w:cs="Arial" w:eastAsia="Arial" w:hAnsi="Arial"/>
                <w:sz w:val="16"/>
                <w:szCs w:val="16"/>
                <w:color w:val="auto"/>
              </w:rPr>
              <w:t>100,000</w:t>
            </w:r>
          </w:p>
        </w:tc>
        <w:tc>
          <w:tcPr>
            <w:tcW w:w="12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100,000</w:t>
            </w:r>
          </w:p>
        </w:tc>
        <w:tc>
          <w:tcPr>
            <w:tcW w:w="20" w:type="dxa"/>
            <w:vAlign w:val="bottom"/>
          </w:tcPr>
          <w:p>
            <w:pPr>
              <w:spacing w:after="0"/>
              <w:rPr>
                <w:sz w:val="18"/>
                <w:szCs w:val="18"/>
                <w:color w:val="auto"/>
              </w:rPr>
            </w:pPr>
          </w:p>
        </w:tc>
      </w:tr>
      <w:tr>
        <w:trPr>
          <w:trHeight w:val="203"/>
        </w:trPr>
        <w:tc>
          <w:tcPr>
            <w:tcW w:w="1220" w:type="dxa"/>
            <w:vAlign w:val="bottom"/>
          </w:tcPr>
          <w:p>
            <w:pPr>
              <w:spacing w:after="0"/>
              <w:rPr>
                <w:sz w:val="20"/>
                <w:szCs w:val="20"/>
                <w:color w:val="auto"/>
              </w:rPr>
            </w:pPr>
            <w:r>
              <w:rPr>
                <w:rFonts w:ascii="Arial" w:cs="Arial" w:eastAsia="Arial" w:hAnsi="Arial"/>
                <w:sz w:val="16"/>
                <w:szCs w:val="16"/>
                <w:color w:val="auto"/>
              </w:rPr>
              <w:t>GasLog</w:t>
            </w:r>
          </w:p>
        </w:tc>
        <w:tc>
          <w:tcPr>
            <w:tcW w:w="2100" w:type="dxa"/>
            <w:vAlign w:val="bottom"/>
            <w:gridSpan w:val="3"/>
          </w:tcPr>
          <w:p>
            <w:pPr>
              <w:ind w:left="180"/>
              <w:spacing w:after="0"/>
              <w:rPr>
                <w:sz w:val="20"/>
                <w:szCs w:val="20"/>
                <w:color w:val="auto"/>
              </w:rPr>
            </w:pPr>
            <w:r>
              <w:rPr>
                <w:rFonts w:ascii="Arial" w:cs="Arial" w:eastAsia="Arial" w:hAnsi="Arial"/>
                <w:sz w:val="16"/>
                <w:szCs w:val="16"/>
                <w:color w:val="auto"/>
              </w:rPr>
              <w:t>Nordea Bank Finland</w:t>
            </w:r>
          </w:p>
        </w:tc>
        <w:tc>
          <w:tcPr>
            <w:tcW w:w="1340" w:type="dxa"/>
            <w:vAlign w:val="bottom"/>
            <w:gridSpan w:val="2"/>
          </w:tcPr>
          <w:p>
            <w:pPr>
              <w:jc w:val="center"/>
              <w:ind w:right="200"/>
              <w:spacing w:after="0"/>
              <w:rPr>
                <w:sz w:val="20"/>
                <w:szCs w:val="20"/>
                <w:color w:val="auto"/>
              </w:rPr>
            </w:pPr>
            <w:r>
              <w:rPr>
                <w:rFonts w:ascii="Arial" w:cs="Arial" w:eastAsia="Arial" w:hAnsi="Arial"/>
                <w:sz w:val="16"/>
                <w:szCs w:val="16"/>
                <w:color w:val="auto"/>
                <w:w w:val="93"/>
              </w:rPr>
              <w:t>May 2018</w:t>
            </w:r>
          </w:p>
        </w:tc>
        <w:tc>
          <w:tcPr>
            <w:tcW w:w="1320" w:type="dxa"/>
            <w:vAlign w:val="bottom"/>
            <w:gridSpan w:val="2"/>
          </w:tcPr>
          <w:p>
            <w:pPr>
              <w:jc w:val="center"/>
              <w:ind w:right="180"/>
              <w:spacing w:after="0"/>
              <w:rPr>
                <w:sz w:val="20"/>
                <w:szCs w:val="20"/>
                <w:color w:val="auto"/>
              </w:rPr>
            </w:pPr>
            <w:r>
              <w:rPr>
                <w:rFonts w:ascii="Arial" w:cs="Arial" w:eastAsia="Arial" w:hAnsi="Arial"/>
                <w:sz w:val="16"/>
                <w:szCs w:val="16"/>
                <w:color w:val="auto"/>
                <w:w w:val="90"/>
              </w:rPr>
              <w:t>July 2020</w:t>
            </w:r>
          </w:p>
        </w:tc>
        <w:tc>
          <w:tcPr>
            <w:tcW w:w="1340" w:type="dxa"/>
            <w:vAlign w:val="bottom"/>
            <w:gridSpan w:val="2"/>
          </w:tcPr>
          <w:p>
            <w:pPr>
              <w:jc w:val="center"/>
              <w:ind w:right="160"/>
              <w:spacing w:after="0"/>
              <w:rPr>
                <w:sz w:val="20"/>
                <w:szCs w:val="20"/>
                <w:color w:val="auto"/>
              </w:rPr>
            </w:pPr>
            <w:r>
              <w:rPr>
                <w:rFonts w:ascii="Arial" w:cs="Arial" w:eastAsia="Arial" w:hAnsi="Arial"/>
                <w:sz w:val="16"/>
                <w:szCs w:val="16"/>
                <w:color w:val="auto"/>
                <w:w w:val="90"/>
              </w:rPr>
              <w:t>July 2026</w:t>
            </w:r>
          </w:p>
        </w:tc>
        <w:tc>
          <w:tcPr>
            <w:tcW w:w="1280" w:type="dxa"/>
            <w:vAlign w:val="bottom"/>
          </w:tcPr>
          <w:p>
            <w:pPr>
              <w:jc w:val="center"/>
              <w:spacing w:after="0"/>
              <w:rPr>
                <w:sz w:val="20"/>
                <w:szCs w:val="20"/>
                <w:color w:val="auto"/>
              </w:rPr>
            </w:pPr>
            <w:r>
              <w:rPr>
                <w:rFonts w:ascii="Arial" w:cs="Arial" w:eastAsia="Arial" w:hAnsi="Arial"/>
                <w:sz w:val="16"/>
                <w:szCs w:val="16"/>
                <w:color w:val="auto"/>
                <w:w w:val="92"/>
              </w:rPr>
              <w:t>3.070%</w:t>
            </w:r>
          </w:p>
        </w:tc>
        <w:tc>
          <w:tcPr>
            <w:tcW w:w="160" w:type="dxa"/>
            <w:vAlign w:val="bottom"/>
          </w:tcPr>
          <w:p>
            <w:pPr>
              <w:spacing w:after="0"/>
              <w:rPr>
                <w:sz w:val="17"/>
                <w:szCs w:val="17"/>
                <w:color w:val="auto"/>
              </w:rPr>
            </w:pPr>
          </w:p>
        </w:tc>
        <w:tc>
          <w:tcPr>
            <w:tcW w:w="1540" w:type="dxa"/>
            <w:vAlign w:val="bottom"/>
            <w:gridSpan w:val="2"/>
          </w:tcPr>
          <w:p>
            <w:pPr>
              <w:ind w:left="1100"/>
              <w:spacing w:after="0"/>
              <w:rPr>
                <w:sz w:val="20"/>
                <w:szCs w:val="20"/>
                <w:color w:val="auto"/>
              </w:rPr>
            </w:pPr>
            <w:r>
              <w:rPr>
                <w:rFonts w:ascii="Arial" w:cs="Arial" w:eastAsia="Arial" w:hAnsi="Arial"/>
                <w:sz w:val="16"/>
                <w:szCs w:val="16"/>
                <w:color w:val="auto"/>
              </w:rPr>
              <w:t>N/A</w:t>
            </w:r>
          </w:p>
        </w:tc>
        <w:tc>
          <w:tcPr>
            <w:tcW w:w="1260" w:type="dxa"/>
            <w:vAlign w:val="bottom"/>
          </w:tcPr>
          <w:p>
            <w:pPr>
              <w:jc w:val="right"/>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7"/>
                <w:szCs w:val="17"/>
                <w:color w:val="auto"/>
              </w:rPr>
            </w:pPr>
          </w:p>
        </w:tc>
      </w:tr>
      <w:tr>
        <w:trPr>
          <w:trHeight w:val="203"/>
        </w:trPr>
        <w:tc>
          <w:tcPr>
            <w:tcW w:w="1220" w:type="dxa"/>
            <w:vAlign w:val="bottom"/>
            <w:shd w:val="clear" w:color="auto" w:fill="E5FFFF"/>
          </w:tcPr>
          <w:p>
            <w:pPr>
              <w:spacing w:after="0"/>
              <w:rPr>
                <w:sz w:val="20"/>
                <w:szCs w:val="20"/>
                <w:color w:val="auto"/>
              </w:rPr>
            </w:pPr>
            <w:r>
              <w:rPr>
                <w:rFonts w:ascii="Arial" w:cs="Arial" w:eastAsia="Arial" w:hAnsi="Arial"/>
                <w:sz w:val="16"/>
                <w:szCs w:val="16"/>
                <w:color w:val="auto"/>
              </w:rPr>
              <w:t>GasLog</w:t>
            </w:r>
          </w:p>
        </w:tc>
        <w:tc>
          <w:tcPr>
            <w:tcW w:w="2100" w:type="dxa"/>
            <w:vAlign w:val="bottom"/>
            <w:gridSpan w:val="3"/>
            <w:shd w:val="clear" w:color="auto" w:fill="E5FFFF"/>
          </w:tcPr>
          <w:p>
            <w:pPr>
              <w:ind w:left="180"/>
              <w:spacing w:after="0"/>
              <w:rPr>
                <w:sz w:val="20"/>
                <w:szCs w:val="20"/>
                <w:color w:val="auto"/>
              </w:rPr>
            </w:pPr>
            <w:r>
              <w:rPr>
                <w:rFonts w:ascii="Arial" w:cs="Arial" w:eastAsia="Arial" w:hAnsi="Arial"/>
                <w:sz w:val="16"/>
                <w:szCs w:val="16"/>
                <w:color w:val="auto"/>
              </w:rPr>
              <w:t>Nordea Bank Finland</w:t>
            </w:r>
          </w:p>
        </w:tc>
        <w:tc>
          <w:tcPr>
            <w:tcW w:w="1340" w:type="dxa"/>
            <w:vAlign w:val="bottom"/>
            <w:gridSpan w:val="2"/>
            <w:shd w:val="clear" w:color="auto" w:fill="E5FFFF"/>
          </w:tcPr>
          <w:p>
            <w:pPr>
              <w:jc w:val="center"/>
              <w:ind w:right="200"/>
              <w:spacing w:after="0"/>
              <w:rPr>
                <w:sz w:val="20"/>
                <w:szCs w:val="20"/>
                <w:color w:val="auto"/>
              </w:rPr>
            </w:pPr>
            <w:r>
              <w:rPr>
                <w:rFonts w:ascii="Arial" w:cs="Arial" w:eastAsia="Arial" w:hAnsi="Arial"/>
                <w:sz w:val="16"/>
                <w:szCs w:val="16"/>
                <w:color w:val="auto"/>
                <w:w w:val="93"/>
              </w:rPr>
              <w:t>May 2018</w:t>
            </w:r>
          </w:p>
        </w:tc>
        <w:tc>
          <w:tcPr>
            <w:tcW w:w="1320" w:type="dxa"/>
            <w:vAlign w:val="bottom"/>
            <w:gridSpan w:val="2"/>
            <w:shd w:val="clear" w:color="auto" w:fill="E5FFFF"/>
          </w:tcPr>
          <w:p>
            <w:pPr>
              <w:jc w:val="center"/>
              <w:ind w:right="180"/>
              <w:spacing w:after="0"/>
              <w:rPr>
                <w:sz w:val="20"/>
                <w:szCs w:val="20"/>
                <w:color w:val="auto"/>
              </w:rPr>
            </w:pPr>
            <w:r>
              <w:rPr>
                <w:rFonts w:ascii="Arial" w:cs="Arial" w:eastAsia="Arial" w:hAnsi="Arial"/>
                <w:sz w:val="16"/>
                <w:szCs w:val="16"/>
                <w:color w:val="auto"/>
                <w:w w:val="93"/>
              </w:rPr>
              <w:t>May 2018</w:t>
            </w:r>
          </w:p>
        </w:tc>
        <w:tc>
          <w:tcPr>
            <w:tcW w:w="1340" w:type="dxa"/>
            <w:vAlign w:val="bottom"/>
            <w:gridSpan w:val="2"/>
            <w:shd w:val="clear" w:color="auto" w:fill="E5FFFF"/>
          </w:tcPr>
          <w:p>
            <w:pPr>
              <w:jc w:val="center"/>
              <w:ind w:right="160"/>
              <w:spacing w:after="0"/>
              <w:rPr>
                <w:sz w:val="20"/>
                <w:szCs w:val="20"/>
                <w:color w:val="auto"/>
              </w:rPr>
            </w:pPr>
            <w:r>
              <w:rPr>
                <w:rFonts w:ascii="Arial" w:cs="Arial" w:eastAsia="Arial" w:hAnsi="Arial"/>
                <w:sz w:val="16"/>
                <w:szCs w:val="16"/>
                <w:color w:val="auto"/>
                <w:w w:val="90"/>
              </w:rPr>
              <w:t>July 2026</w:t>
            </w:r>
          </w:p>
        </w:tc>
        <w:tc>
          <w:tcPr>
            <w:tcW w:w="128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2"/>
              </w:rPr>
              <w:t>2.562%</w:t>
            </w:r>
          </w:p>
        </w:tc>
        <w:tc>
          <w:tcPr>
            <w:tcW w:w="160" w:type="dxa"/>
            <w:vAlign w:val="bottom"/>
            <w:shd w:val="clear" w:color="auto" w:fill="E5FFFF"/>
          </w:tcPr>
          <w:p>
            <w:pPr>
              <w:spacing w:after="0"/>
              <w:rPr>
                <w:sz w:val="17"/>
                <w:szCs w:val="17"/>
                <w:color w:val="auto"/>
              </w:rPr>
            </w:pPr>
          </w:p>
        </w:tc>
        <w:tc>
          <w:tcPr>
            <w:tcW w:w="1540" w:type="dxa"/>
            <w:vAlign w:val="bottom"/>
            <w:gridSpan w:val="2"/>
            <w:shd w:val="clear" w:color="auto" w:fill="E5FFFF"/>
          </w:tcPr>
          <w:p>
            <w:pPr>
              <w:jc w:val="right"/>
              <w:ind w:right="160"/>
              <w:spacing w:after="0"/>
              <w:rPr>
                <w:sz w:val="20"/>
                <w:szCs w:val="20"/>
                <w:color w:val="auto"/>
              </w:rPr>
            </w:pPr>
            <w:r>
              <w:rPr>
                <w:rFonts w:ascii="Arial" w:cs="Arial" w:eastAsia="Arial" w:hAnsi="Arial"/>
                <w:sz w:val="16"/>
                <w:szCs w:val="16"/>
                <w:color w:val="auto"/>
              </w:rPr>
              <w:t>66,667</w:t>
            </w:r>
          </w:p>
        </w:tc>
        <w:tc>
          <w:tcPr>
            <w:tcW w:w="12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66,667</w:t>
            </w:r>
          </w:p>
        </w:tc>
        <w:tc>
          <w:tcPr>
            <w:tcW w:w="20" w:type="dxa"/>
            <w:vAlign w:val="bottom"/>
          </w:tcPr>
          <w:p>
            <w:pPr>
              <w:spacing w:after="0"/>
              <w:rPr>
                <w:sz w:val="17"/>
                <w:szCs w:val="17"/>
                <w:color w:val="auto"/>
              </w:rPr>
            </w:pPr>
          </w:p>
        </w:tc>
      </w:tr>
      <w:tr>
        <w:trPr>
          <w:trHeight w:val="203"/>
        </w:trPr>
        <w:tc>
          <w:tcPr>
            <w:tcW w:w="1220" w:type="dxa"/>
            <w:vAlign w:val="bottom"/>
          </w:tcPr>
          <w:p>
            <w:pPr>
              <w:spacing w:after="0"/>
              <w:rPr>
                <w:sz w:val="20"/>
                <w:szCs w:val="20"/>
                <w:color w:val="auto"/>
              </w:rPr>
            </w:pPr>
            <w:r>
              <w:rPr>
                <w:rFonts w:ascii="Arial" w:cs="Arial" w:eastAsia="Arial" w:hAnsi="Arial"/>
                <w:sz w:val="16"/>
                <w:szCs w:val="16"/>
                <w:color w:val="auto"/>
              </w:rPr>
              <w:t>GasLog</w:t>
            </w:r>
          </w:p>
        </w:tc>
        <w:tc>
          <w:tcPr>
            <w:tcW w:w="2100" w:type="dxa"/>
            <w:vAlign w:val="bottom"/>
            <w:gridSpan w:val="3"/>
          </w:tcPr>
          <w:p>
            <w:pPr>
              <w:ind w:left="180"/>
              <w:spacing w:after="0"/>
              <w:rPr>
                <w:sz w:val="20"/>
                <w:szCs w:val="20"/>
                <w:color w:val="auto"/>
              </w:rPr>
            </w:pPr>
            <w:r>
              <w:rPr>
                <w:rFonts w:ascii="Arial" w:cs="Arial" w:eastAsia="Arial" w:hAnsi="Arial"/>
                <w:sz w:val="16"/>
                <w:szCs w:val="16"/>
                <w:color w:val="auto"/>
              </w:rPr>
              <w:t>SEB</w:t>
            </w:r>
          </w:p>
        </w:tc>
        <w:tc>
          <w:tcPr>
            <w:tcW w:w="1340" w:type="dxa"/>
            <w:vAlign w:val="bottom"/>
            <w:gridSpan w:val="2"/>
          </w:tcPr>
          <w:p>
            <w:pPr>
              <w:jc w:val="center"/>
              <w:ind w:right="200"/>
              <w:spacing w:after="0"/>
              <w:rPr>
                <w:sz w:val="20"/>
                <w:szCs w:val="20"/>
                <w:color w:val="auto"/>
              </w:rPr>
            </w:pPr>
            <w:r>
              <w:rPr>
                <w:rFonts w:ascii="Arial" w:cs="Arial" w:eastAsia="Arial" w:hAnsi="Arial"/>
                <w:sz w:val="16"/>
                <w:szCs w:val="16"/>
                <w:color w:val="auto"/>
                <w:w w:val="93"/>
              </w:rPr>
              <w:t>May 2018</w:t>
            </w:r>
          </w:p>
        </w:tc>
        <w:tc>
          <w:tcPr>
            <w:tcW w:w="1320" w:type="dxa"/>
            <w:vAlign w:val="bottom"/>
            <w:gridSpan w:val="2"/>
          </w:tcPr>
          <w:p>
            <w:pPr>
              <w:jc w:val="center"/>
              <w:ind w:right="180"/>
              <w:spacing w:after="0"/>
              <w:rPr>
                <w:sz w:val="20"/>
                <w:szCs w:val="20"/>
                <w:color w:val="auto"/>
              </w:rPr>
            </w:pPr>
            <w:r>
              <w:rPr>
                <w:rFonts w:ascii="Arial" w:cs="Arial" w:eastAsia="Arial" w:hAnsi="Arial"/>
                <w:sz w:val="16"/>
                <w:szCs w:val="16"/>
                <w:color w:val="auto"/>
                <w:w w:val="90"/>
              </w:rPr>
              <w:t>July 2020</w:t>
            </w:r>
          </w:p>
        </w:tc>
        <w:tc>
          <w:tcPr>
            <w:tcW w:w="1340" w:type="dxa"/>
            <w:vAlign w:val="bottom"/>
            <w:gridSpan w:val="2"/>
          </w:tcPr>
          <w:p>
            <w:pPr>
              <w:jc w:val="center"/>
              <w:ind w:right="160"/>
              <w:spacing w:after="0"/>
              <w:rPr>
                <w:sz w:val="20"/>
                <w:szCs w:val="20"/>
                <w:color w:val="auto"/>
              </w:rPr>
            </w:pPr>
            <w:r>
              <w:rPr>
                <w:rFonts w:ascii="Arial" w:cs="Arial" w:eastAsia="Arial" w:hAnsi="Arial"/>
                <w:sz w:val="16"/>
                <w:szCs w:val="16"/>
                <w:color w:val="auto"/>
                <w:w w:val="90"/>
              </w:rPr>
              <w:t>July 2024</w:t>
            </w:r>
          </w:p>
        </w:tc>
        <w:tc>
          <w:tcPr>
            <w:tcW w:w="1280" w:type="dxa"/>
            <w:vAlign w:val="bottom"/>
          </w:tcPr>
          <w:p>
            <w:pPr>
              <w:jc w:val="center"/>
              <w:spacing w:after="0"/>
              <w:rPr>
                <w:sz w:val="20"/>
                <w:szCs w:val="20"/>
                <w:color w:val="auto"/>
              </w:rPr>
            </w:pPr>
            <w:r>
              <w:rPr>
                <w:rFonts w:ascii="Arial" w:cs="Arial" w:eastAsia="Arial" w:hAnsi="Arial"/>
                <w:sz w:val="16"/>
                <w:szCs w:val="16"/>
                <w:color w:val="auto"/>
                <w:w w:val="92"/>
              </w:rPr>
              <w:t>3.025%</w:t>
            </w:r>
          </w:p>
        </w:tc>
        <w:tc>
          <w:tcPr>
            <w:tcW w:w="160" w:type="dxa"/>
            <w:vAlign w:val="bottom"/>
          </w:tcPr>
          <w:p>
            <w:pPr>
              <w:spacing w:after="0"/>
              <w:rPr>
                <w:sz w:val="17"/>
                <w:szCs w:val="17"/>
                <w:color w:val="auto"/>
              </w:rPr>
            </w:pPr>
          </w:p>
        </w:tc>
        <w:tc>
          <w:tcPr>
            <w:tcW w:w="1540" w:type="dxa"/>
            <w:vAlign w:val="bottom"/>
            <w:gridSpan w:val="2"/>
          </w:tcPr>
          <w:p>
            <w:pPr>
              <w:ind w:left="1100"/>
              <w:spacing w:after="0"/>
              <w:rPr>
                <w:sz w:val="20"/>
                <w:szCs w:val="20"/>
                <w:color w:val="auto"/>
              </w:rPr>
            </w:pPr>
            <w:r>
              <w:rPr>
                <w:rFonts w:ascii="Arial" w:cs="Arial" w:eastAsia="Arial" w:hAnsi="Arial"/>
                <w:sz w:val="16"/>
                <w:szCs w:val="16"/>
                <w:color w:val="auto"/>
              </w:rPr>
              <w:t>N/A</w:t>
            </w:r>
          </w:p>
        </w:tc>
        <w:tc>
          <w:tcPr>
            <w:tcW w:w="1260" w:type="dxa"/>
            <w:vAlign w:val="bottom"/>
          </w:tcPr>
          <w:p>
            <w:pPr>
              <w:jc w:val="right"/>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7"/>
                <w:szCs w:val="17"/>
                <w:color w:val="auto"/>
              </w:rPr>
            </w:pPr>
          </w:p>
        </w:tc>
      </w:tr>
      <w:tr>
        <w:trPr>
          <w:trHeight w:val="203"/>
        </w:trPr>
        <w:tc>
          <w:tcPr>
            <w:tcW w:w="1220" w:type="dxa"/>
            <w:vAlign w:val="bottom"/>
            <w:shd w:val="clear" w:color="auto" w:fill="E5FFFF"/>
          </w:tcPr>
          <w:p>
            <w:pPr>
              <w:spacing w:after="0"/>
              <w:rPr>
                <w:sz w:val="20"/>
                <w:szCs w:val="20"/>
                <w:color w:val="auto"/>
              </w:rPr>
            </w:pPr>
            <w:r>
              <w:rPr>
                <w:rFonts w:ascii="Arial" w:cs="Arial" w:eastAsia="Arial" w:hAnsi="Arial"/>
                <w:sz w:val="16"/>
                <w:szCs w:val="16"/>
                <w:color w:val="auto"/>
              </w:rPr>
              <w:t>GasLog</w:t>
            </w:r>
          </w:p>
        </w:tc>
        <w:tc>
          <w:tcPr>
            <w:tcW w:w="2100" w:type="dxa"/>
            <w:vAlign w:val="bottom"/>
            <w:gridSpan w:val="3"/>
            <w:shd w:val="clear" w:color="auto" w:fill="E5FFFF"/>
          </w:tcPr>
          <w:p>
            <w:pPr>
              <w:ind w:left="180"/>
              <w:spacing w:after="0"/>
              <w:rPr>
                <w:sz w:val="20"/>
                <w:szCs w:val="20"/>
                <w:color w:val="auto"/>
              </w:rPr>
            </w:pPr>
            <w:r>
              <w:rPr>
                <w:rFonts w:ascii="Arial" w:cs="Arial" w:eastAsia="Arial" w:hAnsi="Arial"/>
                <w:sz w:val="16"/>
                <w:szCs w:val="16"/>
                <w:color w:val="auto"/>
              </w:rPr>
              <w:t>SEB</w:t>
            </w:r>
          </w:p>
        </w:tc>
        <w:tc>
          <w:tcPr>
            <w:tcW w:w="1340" w:type="dxa"/>
            <w:vAlign w:val="bottom"/>
            <w:gridSpan w:val="2"/>
            <w:shd w:val="clear" w:color="auto" w:fill="E5FFFF"/>
          </w:tcPr>
          <w:p>
            <w:pPr>
              <w:jc w:val="center"/>
              <w:ind w:right="200"/>
              <w:spacing w:after="0"/>
              <w:rPr>
                <w:sz w:val="20"/>
                <w:szCs w:val="20"/>
                <w:color w:val="auto"/>
              </w:rPr>
            </w:pPr>
            <w:r>
              <w:rPr>
                <w:rFonts w:ascii="Arial" w:cs="Arial" w:eastAsia="Arial" w:hAnsi="Arial"/>
                <w:sz w:val="16"/>
                <w:szCs w:val="16"/>
                <w:color w:val="auto"/>
                <w:w w:val="93"/>
              </w:rPr>
              <w:t>May 2018</w:t>
            </w:r>
          </w:p>
        </w:tc>
        <w:tc>
          <w:tcPr>
            <w:tcW w:w="1320" w:type="dxa"/>
            <w:vAlign w:val="bottom"/>
            <w:gridSpan w:val="2"/>
            <w:shd w:val="clear" w:color="auto" w:fill="E5FFFF"/>
          </w:tcPr>
          <w:p>
            <w:pPr>
              <w:jc w:val="center"/>
              <w:ind w:right="180"/>
              <w:spacing w:after="0"/>
              <w:rPr>
                <w:sz w:val="20"/>
                <w:szCs w:val="20"/>
                <w:color w:val="auto"/>
              </w:rPr>
            </w:pPr>
            <w:r>
              <w:rPr>
                <w:rFonts w:ascii="Arial" w:cs="Arial" w:eastAsia="Arial" w:hAnsi="Arial"/>
                <w:sz w:val="16"/>
                <w:szCs w:val="16"/>
                <w:color w:val="auto"/>
                <w:w w:val="97"/>
              </w:rPr>
              <w:t>April 2018</w:t>
            </w:r>
          </w:p>
        </w:tc>
        <w:tc>
          <w:tcPr>
            <w:tcW w:w="1340" w:type="dxa"/>
            <w:vAlign w:val="bottom"/>
            <w:gridSpan w:val="2"/>
            <w:shd w:val="clear" w:color="auto" w:fill="E5FFFF"/>
          </w:tcPr>
          <w:p>
            <w:pPr>
              <w:jc w:val="center"/>
              <w:ind w:right="160"/>
              <w:spacing w:after="0"/>
              <w:rPr>
                <w:sz w:val="20"/>
                <w:szCs w:val="20"/>
                <w:color w:val="auto"/>
              </w:rPr>
            </w:pPr>
            <w:r>
              <w:rPr>
                <w:rFonts w:ascii="Arial" w:cs="Arial" w:eastAsia="Arial" w:hAnsi="Arial"/>
                <w:sz w:val="16"/>
                <w:szCs w:val="16"/>
                <w:color w:val="auto"/>
                <w:w w:val="90"/>
              </w:rPr>
              <w:t>July 2025</w:t>
            </w:r>
          </w:p>
        </w:tc>
        <w:tc>
          <w:tcPr>
            <w:tcW w:w="128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2"/>
              </w:rPr>
              <w:t>2.300%</w:t>
            </w:r>
          </w:p>
        </w:tc>
        <w:tc>
          <w:tcPr>
            <w:tcW w:w="160" w:type="dxa"/>
            <w:vAlign w:val="bottom"/>
            <w:shd w:val="clear" w:color="auto" w:fill="E5FFFF"/>
          </w:tcPr>
          <w:p>
            <w:pPr>
              <w:spacing w:after="0"/>
              <w:rPr>
                <w:sz w:val="17"/>
                <w:szCs w:val="17"/>
                <w:color w:val="auto"/>
              </w:rPr>
            </w:pPr>
          </w:p>
        </w:tc>
        <w:tc>
          <w:tcPr>
            <w:tcW w:w="1540" w:type="dxa"/>
            <w:vAlign w:val="bottom"/>
            <w:gridSpan w:val="2"/>
            <w:shd w:val="clear" w:color="auto" w:fill="E5FFFF"/>
          </w:tcPr>
          <w:p>
            <w:pPr>
              <w:jc w:val="right"/>
              <w:ind w:right="160"/>
              <w:spacing w:after="0"/>
              <w:rPr>
                <w:sz w:val="20"/>
                <w:szCs w:val="20"/>
                <w:color w:val="auto"/>
              </w:rPr>
            </w:pPr>
            <w:r>
              <w:rPr>
                <w:rFonts w:ascii="Arial" w:cs="Arial" w:eastAsia="Arial" w:hAnsi="Arial"/>
                <w:sz w:val="16"/>
                <w:szCs w:val="16"/>
                <w:color w:val="auto"/>
              </w:rPr>
              <w:t>50,000</w:t>
            </w:r>
          </w:p>
        </w:tc>
        <w:tc>
          <w:tcPr>
            <w:tcW w:w="12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50,000</w:t>
            </w:r>
          </w:p>
        </w:tc>
        <w:tc>
          <w:tcPr>
            <w:tcW w:w="20" w:type="dxa"/>
            <w:vAlign w:val="bottom"/>
          </w:tcPr>
          <w:p>
            <w:pPr>
              <w:spacing w:after="0"/>
              <w:rPr>
                <w:sz w:val="17"/>
                <w:szCs w:val="17"/>
                <w:color w:val="auto"/>
              </w:rPr>
            </w:pPr>
          </w:p>
        </w:tc>
      </w:tr>
      <w:tr>
        <w:trPr>
          <w:trHeight w:val="203"/>
        </w:trPr>
        <w:tc>
          <w:tcPr>
            <w:tcW w:w="1220" w:type="dxa"/>
            <w:vAlign w:val="bottom"/>
          </w:tcPr>
          <w:p>
            <w:pPr>
              <w:spacing w:after="0"/>
              <w:rPr>
                <w:sz w:val="20"/>
                <w:szCs w:val="20"/>
                <w:color w:val="auto"/>
              </w:rPr>
            </w:pPr>
            <w:r>
              <w:rPr>
                <w:rFonts w:ascii="Arial" w:cs="Arial" w:eastAsia="Arial" w:hAnsi="Arial"/>
                <w:sz w:val="16"/>
                <w:szCs w:val="16"/>
                <w:color w:val="auto"/>
              </w:rPr>
              <w:t>GasLog</w:t>
            </w:r>
          </w:p>
        </w:tc>
        <w:tc>
          <w:tcPr>
            <w:tcW w:w="2100" w:type="dxa"/>
            <w:vAlign w:val="bottom"/>
            <w:gridSpan w:val="3"/>
          </w:tcPr>
          <w:p>
            <w:pPr>
              <w:ind w:left="180"/>
              <w:spacing w:after="0"/>
              <w:rPr>
                <w:sz w:val="20"/>
                <w:szCs w:val="20"/>
                <w:color w:val="auto"/>
              </w:rPr>
            </w:pPr>
            <w:r>
              <w:rPr>
                <w:rFonts w:ascii="Arial" w:cs="Arial" w:eastAsia="Arial" w:hAnsi="Arial"/>
                <w:sz w:val="16"/>
                <w:szCs w:val="16"/>
                <w:color w:val="auto"/>
              </w:rPr>
              <w:t>DNB</w:t>
            </w:r>
          </w:p>
        </w:tc>
        <w:tc>
          <w:tcPr>
            <w:tcW w:w="1340" w:type="dxa"/>
            <w:vAlign w:val="bottom"/>
            <w:gridSpan w:val="2"/>
          </w:tcPr>
          <w:p>
            <w:pPr>
              <w:jc w:val="center"/>
              <w:ind w:right="200"/>
              <w:spacing w:after="0"/>
              <w:rPr>
                <w:sz w:val="20"/>
                <w:szCs w:val="20"/>
                <w:color w:val="auto"/>
              </w:rPr>
            </w:pPr>
            <w:r>
              <w:rPr>
                <w:rFonts w:ascii="Arial" w:cs="Arial" w:eastAsia="Arial" w:hAnsi="Arial"/>
                <w:sz w:val="16"/>
                <w:szCs w:val="16"/>
                <w:color w:val="auto"/>
                <w:w w:val="93"/>
              </w:rPr>
              <w:t>May 2018</w:t>
            </w:r>
          </w:p>
        </w:tc>
        <w:tc>
          <w:tcPr>
            <w:tcW w:w="1320" w:type="dxa"/>
            <w:vAlign w:val="bottom"/>
            <w:gridSpan w:val="2"/>
          </w:tcPr>
          <w:p>
            <w:pPr>
              <w:jc w:val="center"/>
              <w:ind w:right="180"/>
              <w:spacing w:after="0"/>
              <w:rPr>
                <w:sz w:val="20"/>
                <w:szCs w:val="20"/>
                <w:color w:val="auto"/>
              </w:rPr>
            </w:pPr>
            <w:r>
              <w:rPr>
                <w:rFonts w:ascii="Arial" w:cs="Arial" w:eastAsia="Arial" w:hAnsi="Arial"/>
                <w:sz w:val="16"/>
                <w:szCs w:val="16"/>
                <w:color w:val="auto"/>
                <w:w w:val="90"/>
              </w:rPr>
              <w:t>July 2020</w:t>
            </w:r>
          </w:p>
        </w:tc>
        <w:tc>
          <w:tcPr>
            <w:tcW w:w="1340" w:type="dxa"/>
            <w:vAlign w:val="bottom"/>
            <w:gridSpan w:val="2"/>
          </w:tcPr>
          <w:p>
            <w:pPr>
              <w:jc w:val="center"/>
              <w:ind w:right="160"/>
              <w:spacing w:after="0"/>
              <w:rPr>
                <w:sz w:val="20"/>
                <w:szCs w:val="20"/>
                <w:color w:val="auto"/>
              </w:rPr>
            </w:pPr>
            <w:r>
              <w:rPr>
                <w:rFonts w:ascii="Arial" w:cs="Arial" w:eastAsia="Arial" w:hAnsi="Arial"/>
                <w:sz w:val="16"/>
                <w:szCs w:val="16"/>
                <w:color w:val="auto"/>
                <w:w w:val="90"/>
              </w:rPr>
              <w:t>July 2024</w:t>
            </w:r>
          </w:p>
        </w:tc>
        <w:tc>
          <w:tcPr>
            <w:tcW w:w="1280" w:type="dxa"/>
            <w:vAlign w:val="bottom"/>
          </w:tcPr>
          <w:p>
            <w:pPr>
              <w:jc w:val="center"/>
              <w:spacing w:after="0"/>
              <w:rPr>
                <w:sz w:val="20"/>
                <w:szCs w:val="20"/>
                <w:color w:val="auto"/>
              </w:rPr>
            </w:pPr>
            <w:r>
              <w:rPr>
                <w:rFonts w:ascii="Arial" w:cs="Arial" w:eastAsia="Arial" w:hAnsi="Arial"/>
                <w:sz w:val="16"/>
                <w:szCs w:val="16"/>
                <w:color w:val="auto"/>
                <w:w w:val="92"/>
              </w:rPr>
              <w:t>3.056%</w:t>
            </w:r>
          </w:p>
        </w:tc>
        <w:tc>
          <w:tcPr>
            <w:tcW w:w="160" w:type="dxa"/>
            <w:vAlign w:val="bottom"/>
          </w:tcPr>
          <w:p>
            <w:pPr>
              <w:spacing w:after="0"/>
              <w:rPr>
                <w:sz w:val="17"/>
                <w:szCs w:val="17"/>
                <w:color w:val="auto"/>
              </w:rPr>
            </w:pPr>
          </w:p>
        </w:tc>
        <w:tc>
          <w:tcPr>
            <w:tcW w:w="1540" w:type="dxa"/>
            <w:vAlign w:val="bottom"/>
            <w:gridSpan w:val="2"/>
          </w:tcPr>
          <w:p>
            <w:pPr>
              <w:ind w:left="1100"/>
              <w:spacing w:after="0"/>
              <w:rPr>
                <w:sz w:val="20"/>
                <w:szCs w:val="20"/>
                <w:color w:val="auto"/>
              </w:rPr>
            </w:pPr>
            <w:r>
              <w:rPr>
                <w:rFonts w:ascii="Arial" w:cs="Arial" w:eastAsia="Arial" w:hAnsi="Arial"/>
                <w:sz w:val="16"/>
                <w:szCs w:val="16"/>
                <w:color w:val="auto"/>
              </w:rPr>
              <w:t>N/A</w:t>
            </w:r>
          </w:p>
        </w:tc>
        <w:tc>
          <w:tcPr>
            <w:tcW w:w="1260" w:type="dxa"/>
            <w:vAlign w:val="bottom"/>
          </w:tcPr>
          <w:p>
            <w:pPr>
              <w:jc w:val="right"/>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7"/>
                <w:szCs w:val="17"/>
                <w:color w:val="auto"/>
              </w:rPr>
            </w:pPr>
          </w:p>
        </w:tc>
      </w:tr>
      <w:tr>
        <w:trPr>
          <w:trHeight w:val="203"/>
        </w:trPr>
        <w:tc>
          <w:tcPr>
            <w:tcW w:w="1220" w:type="dxa"/>
            <w:vAlign w:val="bottom"/>
            <w:shd w:val="clear" w:color="auto" w:fill="E5FFFF"/>
          </w:tcPr>
          <w:p>
            <w:pPr>
              <w:spacing w:after="0"/>
              <w:rPr>
                <w:sz w:val="20"/>
                <w:szCs w:val="20"/>
                <w:color w:val="auto"/>
              </w:rPr>
            </w:pPr>
            <w:r>
              <w:rPr>
                <w:rFonts w:ascii="Arial" w:cs="Arial" w:eastAsia="Arial" w:hAnsi="Arial"/>
                <w:sz w:val="16"/>
                <w:szCs w:val="16"/>
                <w:color w:val="auto"/>
              </w:rPr>
              <w:t>GasLog</w:t>
            </w:r>
          </w:p>
        </w:tc>
        <w:tc>
          <w:tcPr>
            <w:tcW w:w="2100" w:type="dxa"/>
            <w:vAlign w:val="bottom"/>
            <w:gridSpan w:val="3"/>
            <w:shd w:val="clear" w:color="auto" w:fill="E5FFFF"/>
          </w:tcPr>
          <w:p>
            <w:pPr>
              <w:ind w:left="180"/>
              <w:spacing w:after="0"/>
              <w:rPr>
                <w:sz w:val="20"/>
                <w:szCs w:val="20"/>
                <w:color w:val="auto"/>
              </w:rPr>
            </w:pPr>
            <w:r>
              <w:rPr>
                <w:rFonts w:ascii="Arial" w:cs="Arial" w:eastAsia="Arial" w:hAnsi="Arial"/>
                <w:sz w:val="16"/>
                <w:szCs w:val="16"/>
                <w:color w:val="auto"/>
              </w:rPr>
              <w:t>DNB</w:t>
            </w:r>
          </w:p>
        </w:tc>
        <w:tc>
          <w:tcPr>
            <w:tcW w:w="1340" w:type="dxa"/>
            <w:vAlign w:val="bottom"/>
            <w:gridSpan w:val="2"/>
            <w:shd w:val="clear" w:color="auto" w:fill="E5FFFF"/>
          </w:tcPr>
          <w:p>
            <w:pPr>
              <w:jc w:val="center"/>
              <w:ind w:right="200"/>
              <w:spacing w:after="0"/>
              <w:rPr>
                <w:sz w:val="20"/>
                <w:szCs w:val="20"/>
                <w:color w:val="auto"/>
              </w:rPr>
            </w:pPr>
            <w:r>
              <w:rPr>
                <w:rFonts w:ascii="Arial" w:cs="Arial" w:eastAsia="Arial" w:hAnsi="Arial"/>
                <w:sz w:val="16"/>
                <w:szCs w:val="16"/>
                <w:color w:val="auto"/>
                <w:w w:val="93"/>
              </w:rPr>
              <w:t>May 2018</w:t>
            </w:r>
          </w:p>
        </w:tc>
        <w:tc>
          <w:tcPr>
            <w:tcW w:w="1320" w:type="dxa"/>
            <w:vAlign w:val="bottom"/>
            <w:gridSpan w:val="2"/>
            <w:shd w:val="clear" w:color="auto" w:fill="E5FFFF"/>
          </w:tcPr>
          <w:p>
            <w:pPr>
              <w:jc w:val="center"/>
              <w:ind w:right="180"/>
              <w:spacing w:after="0"/>
              <w:rPr>
                <w:sz w:val="20"/>
                <w:szCs w:val="20"/>
                <w:color w:val="auto"/>
              </w:rPr>
            </w:pPr>
            <w:r>
              <w:rPr>
                <w:rFonts w:ascii="Arial" w:cs="Arial" w:eastAsia="Arial" w:hAnsi="Arial"/>
                <w:sz w:val="16"/>
                <w:szCs w:val="16"/>
                <w:color w:val="auto"/>
                <w:w w:val="90"/>
              </w:rPr>
              <w:t>July 2018</w:t>
            </w:r>
          </w:p>
        </w:tc>
        <w:tc>
          <w:tcPr>
            <w:tcW w:w="1340" w:type="dxa"/>
            <w:vAlign w:val="bottom"/>
            <w:gridSpan w:val="2"/>
            <w:shd w:val="clear" w:color="auto" w:fill="E5FFFF"/>
          </w:tcPr>
          <w:p>
            <w:pPr>
              <w:jc w:val="center"/>
              <w:ind w:right="160"/>
              <w:spacing w:after="0"/>
              <w:rPr>
                <w:sz w:val="20"/>
                <w:szCs w:val="20"/>
                <w:color w:val="auto"/>
              </w:rPr>
            </w:pPr>
            <w:r>
              <w:rPr>
                <w:rFonts w:ascii="Arial" w:cs="Arial" w:eastAsia="Arial" w:hAnsi="Arial"/>
                <w:sz w:val="16"/>
                <w:szCs w:val="16"/>
                <w:color w:val="auto"/>
                <w:w w:val="90"/>
              </w:rPr>
              <w:t>July 2025</w:t>
            </w:r>
          </w:p>
        </w:tc>
        <w:tc>
          <w:tcPr>
            <w:tcW w:w="128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2"/>
              </w:rPr>
              <w:t>2.472%</w:t>
            </w:r>
          </w:p>
        </w:tc>
        <w:tc>
          <w:tcPr>
            <w:tcW w:w="160" w:type="dxa"/>
            <w:vAlign w:val="bottom"/>
            <w:shd w:val="clear" w:color="auto" w:fill="E5FFFF"/>
          </w:tcPr>
          <w:p>
            <w:pPr>
              <w:spacing w:after="0"/>
              <w:rPr>
                <w:sz w:val="17"/>
                <w:szCs w:val="17"/>
                <w:color w:val="auto"/>
              </w:rPr>
            </w:pPr>
          </w:p>
        </w:tc>
        <w:tc>
          <w:tcPr>
            <w:tcW w:w="1540" w:type="dxa"/>
            <w:vAlign w:val="bottom"/>
            <w:gridSpan w:val="2"/>
            <w:shd w:val="clear" w:color="auto" w:fill="E5FFFF"/>
          </w:tcPr>
          <w:p>
            <w:pPr>
              <w:jc w:val="right"/>
              <w:ind w:right="160"/>
              <w:spacing w:after="0"/>
              <w:rPr>
                <w:sz w:val="20"/>
                <w:szCs w:val="20"/>
                <w:color w:val="auto"/>
              </w:rPr>
            </w:pPr>
            <w:r>
              <w:rPr>
                <w:rFonts w:ascii="Arial" w:cs="Arial" w:eastAsia="Arial" w:hAnsi="Arial"/>
                <w:sz w:val="16"/>
                <w:szCs w:val="16"/>
                <w:color w:val="auto"/>
              </w:rPr>
              <w:t>73,333</w:t>
            </w:r>
          </w:p>
        </w:tc>
        <w:tc>
          <w:tcPr>
            <w:tcW w:w="12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73,333</w:t>
            </w:r>
          </w:p>
        </w:tc>
        <w:tc>
          <w:tcPr>
            <w:tcW w:w="20" w:type="dxa"/>
            <w:vAlign w:val="bottom"/>
          </w:tcPr>
          <w:p>
            <w:pPr>
              <w:spacing w:after="0"/>
              <w:rPr>
                <w:sz w:val="17"/>
                <w:szCs w:val="17"/>
                <w:color w:val="auto"/>
              </w:rPr>
            </w:pPr>
          </w:p>
        </w:tc>
      </w:tr>
      <w:tr>
        <w:trPr>
          <w:trHeight w:val="203"/>
        </w:trPr>
        <w:tc>
          <w:tcPr>
            <w:tcW w:w="1220" w:type="dxa"/>
            <w:vAlign w:val="bottom"/>
          </w:tcPr>
          <w:p>
            <w:pPr>
              <w:spacing w:after="0"/>
              <w:rPr>
                <w:sz w:val="20"/>
                <w:szCs w:val="20"/>
                <w:color w:val="auto"/>
              </w:rPr>
            </w:pPr>
            <w:r>
              <w:rPr>
                <w:rFonts w:ascii="Arial" w:cs="Arial" w:eastAsia="Arial" w:hAnsi="Arial"/>
                <w:sz w:val="16"/>
                <w:szCs w:val="16"/>
                <w:color w:val="auto"/>
              </w:rPr>
              <w:t>GasLog</w:t>
            </w:r>
          </w:p>
        </w:tc>
        <w:tc>
          <w:tcPr>
            <w:tcW w:w="2100" w:type="dxa"/>
            <w:vAlign w:val="bottom"/>
            <w:gridSpan w:val="3"/>
          </w:tcPr>
          <w:p>
            <w:pPr>
              <w:ind w:left="180"/>
              <w:spacing w:after="0"/>
              <w:rPr>
                <w:sz w:val="20"/>
                <w:szCs w:val="20"/>
                <w:color w:val="auto"/>
              </w:rPr>
            </w:pPr>
            <w:r>
              <w:rPr>
                <w:rFonts w:ascii="Arial" w:cs="Arial" w:eastAsia="Arial" w:hAnsi="Arial"/>
                <w:sz w:val="16"/>
                <w:szCs w:val="16"/>
                <w:color w:val="auto"/>
              </w:rPr>
              <w:t>HSBC</w:t>
            </w:r>
          </w:p>
        </w:tc>
        <w:tc>
          <w:tcPr>
            <w:tcW w:w="1340" w:type="dxa"/>
            <w:vAlign w:val="bottom"/>
            <w:gridSpan w:val="2"/>
          </w:tcPr>
          <w:p>
            <w:pPr>
              <w:jc w:val="center"/>
              <w:ind w:right="200"/>
              <w:spacing w:after="0"/>
              <w:rPr>
                <w:sz w:val="20"/>
                <w:szCs w:val="20"/>
                <w:color w:val="auto"/>
              </w:rPr>
            </w:pPr>
            <w:r>
              <w:rPr>
                <w:rFonts w:ascii="Arial" w:cs="Arial" w:eastAsia="Arial" w:hAnsi="Arial"/>
                <w:sz w:val="16"/>
                <w:szCs w:val="16"/>
                <w:color w:val="auto"/>
                <w:w w:val="93"/>
              </w:rPr>
              <w:t>May 2018</w:t>
            </w:r>
          </w:p>
        </w:tc>
        <w:tc>
          <w:tcPr>
            <w:tcW w:w="1320" w:type="dxa"/>
            <w:vAlign w:val="bottom"/>
            <w:gridSpan w:val="2"/>
          </w:tcPr>
          <w:p>
            <w:pPr>
              <w:jc w:val="center"/>
              <w:ind w:right="180"/>
              <w:spacing w:after="0"/>
              <w:rPr>
                <w:sz w:val="20"/>
                <w:szCs w:val="20"/>
                <w:color w:val="auto"/>
              </w:rPr>
            </w:pPr>
            <w:r>
              <w:rPr>
                <w:rFonts w:ascii="Arial" w:cs="Arial" w:eastAsia="Arial" w:hAnsi="Arial"/>
                <w:sz w:val="16"/>
                <w:szCs w:val="16"/>
                <w:color w:val="auto"/>
                <w:w w:val="97"/>
              </w:rPr>
              <w:t>April 2018</w:t>
            </w:r>
          </w:p>
        </w:tc>
        <w:tc>
          <w:tcPr>
            <w:tcW w:w="1340" w:type="dxa"/>
            <w:vAlign w:val="bottom"/>
            <w:gridSpan w:val="2"/>
          </w:tcPr>
          <w:p>
            <w:pPr>
              <w:jc w:val="center"/>
              <w:ind w:right="160"/>
              <w:spacing w:after="0"/>
              <w:rPr>
                <w:sz w:val="20"/>
                <w:szCs w:val="20"/>
                <w:color w:val="auto"/>
              </w:rPr>
            </w:pPr>
            <w:r>
              <w:rPr>
                <w:rFonts w:ascii="Arial" w:cs="Arial" w:eastAsia="Arial" w:hAnsi="Arial"/>
                <w:sz w:val="16"/>
                <w:szCs w:val="16"/>
                <w:color w:val="auto"/>
                <w:w w:val="90"/>
              </w:rPr>
              <w:t>July 2024</w:t>
            </w:r>
          </w:p>
        </w:tc>
        <w:tc>
          <w:tcPr>
            <w:tcW w:w="1280" w:type="dxa"/>
            <w:vAlign w:val="bottom"/>
          </w:tcPr>
          <w:p>
            <w:pPr>
              <w:jc w:val="center"/>
              <w:spacing w:after="0"/>
              <w:rPr>
                <w:sz w:val="20"/>
                <w:szCs w:val="20"/>
                <w:color w:val="auto"/>
              </w:rPr>
            </w:pPr>
            <w:r>
              <w:rPr>
                <w:rFonts w:ascii="Arial" w:cs="Arial" w:eastAsia="Arial" w:hAnsi="Arial"/>
                <w:sz w:val="16"/>
                <w:szCs w:val="16"/>
                <w:color w:val="auto"/>
                <w:w w:val="92"/>
              </w:rPr>
              <w:t>2.475%</w:t>
            </w:r>
          </w:p>
        </w:tc>
        <w:tc>
          <w:tcPr>
            <w:tcW w:w="160" w:type="dxa"/>
            <w:vAlign w:val="bottom"/>
          </w:tcPr>
          <w:p>
            <w:pPr>
              <w:spacing w:after="0"/>
              <w:rPr>
                <w:sz w:val="17"/>
                <w:szCs w:val="17"/>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6"/>
                <w:szCs w:val="16"/>
                <w:color w:val="auto"/>
              </w:rPr>
              <w:t>33,333</w:t>
            </w:r>
          </w:p>
        </w:tc>
        <w:tc>
          <w:tcPr>
            <w:tcW w:w="1260" w:type="dxa"/>
            <w:vAlign w:val="bottom"/>
          </w:tcPr>
          <w:p>
            <w:pPr>
              <w:jc w:val="right"/>
              <w:spacing w:after="0"/>
              <w:rPr>
                <w:sz w:val="20"/>
                <w:szCs w:val="20"/>
                <w:color w:val="auto"/>
              </w:rPr>
            </w:pPr>
            <w:r>
              <w:rPr>
                <w:rFonts w:ascii="Arial" w:cs="Arial" w:eastAsia="Arial" w:hAnsi="Arial"/>
                <w:sz w:val="16"/>
                <w:szCs w:val="16"/>
                <w:color w:val="auto"/>
              </w:rPr>
              <w:t>33,333</w:t>
            </w:r>
          </w:p>
        </w:tc>
        <w:tc>
          <w:tcPr>
            <w:tcW w:w="20" w:type="dxa"/>
            <w:vAlign w:val="bottom"/>
          </w:tcPr>
          <w:p>
            <w:pPr>
              <w:spacing w:after="0"/>
              <w:rPr>
                <w:sz w:val="17"/>
                <w:szCs w:val="17"/>
                <w:color w:val="auto"/>
              </w:rPr>
            </w:pPr>
          </w:p>
        </w:tc>
      </w:tr>
      <w:tr>
        <w:trPr>
          <w:trHeight w:val="203"/>
        </w:trPr>
        <w:tc>
          <w:tcPr>
            <w:tcW w:w="1220" w:type="dxa"/>
            <w:vAlign w:val="bottom"/>
            <w:shd w:val="clear" w:color="auto" w:fill="E5FFFF"/>
          </w:tcPr>
          <w:p>
            <w:pPr>
              <w:spacing w:after="0"/>
              <w:rPr>
                <w:sz w:val="20"/>
                <w:szCs w:val="20"/>
                <w:color w:val="auto"/>
              </w:rPr>
            </w:pPr>
            <w:r>
              <w:rPr>
                <w:rFonts w:ascii="Arial" w:cs="Arial" w:eastAsia="Arial" w:hAnsi="Arial"/>
                <w:sz w:val="16"/>
                <w:szCs w:val="16"/>
                <w:color w:val="auto"/>
              </w:rPr>
              <w:t>GasLog</w:t>
            </w:r>
          </w:p>
        </w:tc>
        <w:tc>
          <w:tcPr>
            <w:tcW w:w="2100" w:type="dxa"/>
            <w:vAlign w:val="bottom"/>
            <w:gridSpan w:val="3"/>
            <w:shd w:val="clear" w:color="auto" w:fill="E5FFFF"/>
          </w:tcPr>
          <w:p>
            <w:pPr>
              <w:ind w:left="180"/>
              <w:spacing w:after="0"/>
              <w:rPr>
                <w:sz w:val="20"/>
                <w:szCs w:val="20"/>
                <w:color w:val="auto"/>
              </w:rPr>
            </w:pPr>
            <w:r>
              <w:rPr>
                <w:rFonts w:ascii="Arial" w:cs="Arial" w:eastAsia="Arial" w:hAnsi="Arial"/>
                <w:sz w:val="16"/>
                <w:szCs w:val="16"/>
                <w:color w:val="auto"/>
              </w:rPr>
              <w:t>HSBC</w:t>
            </w:r>
          </w:p>
        </w:tc>
        <w:tc>
          <w:tcPr>
            <w:tcW w:w="1340" w:type="dxa"/>
            <w:vAlign w:val="bottom"/>
            <w:gridSpan w:val="2"/>
            <w:shd w:val="clear" w:color="auto" w:fill="E5FFFF"/>
          </w:tcPr>
          <w:p>
            <w:pPr>
              <w:jc w:val="center"/>
              <w:ind w:right="200"/>
              <w:spacing w:after="0"/>
              <w:rPr>
                <w:sz w:val="20"/>
                <w:szCs w:val="20"/>
                <w:color w:val="auto"/>
              </w:rPr>
            </w:pPr>
            <w:r>
              <w:rPr>
                <w:rFonts w:ascii="Arial" w:cs="Arial" w:eastAsia="Arial" w:hAnsi="Arial"/>
                <w:sz w:val="16"/>
                <w:szCs w:val="16"/>
                <w:color w:val="auto"/>
                <w:w w:val="93"/>
              </w:rPr>
              <w:t>May 2018</w:t>
            </w:r>
          </w:p>
        </w:tc>
        <w:tc>
          <w:tcPr>
            <w:tcW w:w="1320" w:type="dxa"/>
            <w:vAlign w:val="bottom"/>
            <w:gridSpan w:val="2"/>
            <w:shd w:val="clear" w:color="auto" w:fill="E5FFFF"/>
          </w:tcPr>
          <w:p>
            <w:pPr>
              <w:jc w:val="center"/>
              <w:ind w:right="180"/>
              <w:spacing w:after="0"/>
              <w:rPr>
                <w:sz w:val="20"/>
                <w:szCs w:val="20"/>
                <w:color w:val="auto"/>
              </w:rPr>
            </w:pPr>
            <w:r>
              <w:rPr>
                <w:rFonts w:ascii="Arial" w:cs="Arial" w:eastAsia="Arial" w:hAnsi="Arial"/>
                <w:sz w:val="16"/>
                <w:szCs w:val="16"/>
                <w:color w:val="auto"/>
                <w:w w:val="97"/>
              </w:rPr>
              <w:t>April 2018</w:t>
            </w:r>
          </w:p>
        </w:tc>
        <w:tc>
          <w:tcPr>
            <w:tcW w:w="1340" w:type="dxa"/>
            <w:vAlign w:val="bottom"/>
            <w:gridSpan w:val="2"/>
            <w:shd w:val="clear" w:color="auto" w:fill="E5FFFF"/>
          </w:tcPr>
          <w:p>
            <w:pPr>
              <w:jc w:val="center"/>
              <w:ind w:right="160"/>
              <w:spacing w:after="0"/>
              <w:rPr>
                <w:sz w:val="20"/>
                <w:szCs w:val="20"/>
                <w:color w:val="auto"/>
              </w:rPr>
            </w:pPr>
            <w:r>
              <w:rPr>
                <w:rFonts w:ascii="Arial" w:cs="Arial" w:eastAsia="Arial" w:hAnsi="Arial"/>
                <w:sz w:val="16"/>
                <w:szCs w:val="16"/>
                <w:color w:val="auto"/>
                <w:w w:val="90"/>
              </w:rPr>
              <w:t>July 2025</w:t>
            </w:r>
          </w:p>
        </w:tc>
        <w:tc>
          <w:tcPr>
            <w:tcW w:w="128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2"/>
              </w:rPr>
              <w:t>2.550%</w:t>
            </w:r>
          </w:p>
        </w:tc>
        <w:tc>
          <w:tcPr>
            <w:tcW w:w="160" w:type="dxa"/>
            <w:vAlign w:val="bottom"/>
            <w:shd w:val="clear" w:color="auto" w:fill="E5FFFF"/>
          </w:tcPr>
          <w:p>
            <w:pPr>
              <w:spacing w:after="0"/>
              <w:rPr>
                <w:sz w:val="17"/>
                <w:szCs w:val="17"/>
                <w:color w:val="auto"/>
              </w:rPr>
            </w:pPr>
          </w:p>
        </w:tc>
        <w:tc>
          <w:tcPr>
            <w:tcW w:w="1540" w:type="dxa"/>
            <w:vAlign w:val="bottom"/>
            <w:gridSpan w:val="2"/>
            <w:shd w:val="clear" w:color="auto" w:fill="E5FFFF"/>
          </w:tcPr>
          <w:p>
            <w:pPr>
              <w:jc w:val="right"/>
              <w:ind w:right="160"/>
              <w:spacing w:after="0"/>
              <w:rPr>
                <w:sz w:val="20"/>
                <w:szCs w:val="20"/>
                <w:color w:val="auto"/>
              </w:rPr>
            </w:pPr>
            <w:r>
              <w:rPr>
                <w:rFonts w:ascii="Arial" w:cs="Arial" w:eastAsia="Arial" w:hAnsi="Arial"/>
                <w:sz w:val="16"/>
                <w:szCs w:val="16"/>
                <w:color w:val="auto"/>
              </w:rPr>
              <w:t>33,333</w:t>
            </w:r>
          </w:p>
        </w:tc>
        <w:tc>
          <w:tcPr>
            <w:tcW w:w="12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33,333</w:t>
            </w:r>
          </w:p>
        </w:tc>
        <w:tc>
          <w:tcPr>
            <w:tcW w:w="20" w:type="dxa"/>
            <w:vAlign w:val="bottom"/>
          </w:tcPr>
          <w:p>
            <w:pPr>
              <w:spacing w:after="0"/>
              <w:rPr>
                <w:sz w:val="17"/>
                <w:szCs w:val="17"/>
                <w:color w:val="auto"/>
              </w:rPr>
            </w:pPr>
          </w:p>
        </w:tc>
      </w:tr>
      <w:tr>
        <w:trPr>
          <w:trHeight w:val="193"/>
        </w:trPr>
        <w:tc>
          <w:tcPr>
            <w:tcW w:w="1220" w:type="dxa"/>
            <w:vAlign w:val="bottom"/>
          </w:tcPr>
          <w:p>
            <w:pPr>
              <w:spacing w:after="0"/>
              <w:rPr>
                <w:sz w:val="16"/>
                <w:szCs w:val="16"/>
                <w:color w:val="auto"/>
              </w:rPr>
            </w:pPr>
          </w:p>
        </w:tc>
        <w:tc>
          <w:tcPr>
            <w:tcW w:w="2100" w:type="dxa"/>
            <w:vAlign w:val="bottom"/>
            <w:gridSpan w:val="3"/>
          </w:tcPr>
          <w:p>
            <w:pPr>
              <w:ind w:left="180"/>
              <w:spacing w:after="0"/>
              <w:rPr>
                <w:sz w:val="20"/>
                <w:szCs w:val="20"/>
                <w:color w:val="auto"/>
              </w:rPr>
            </w:pPr>
            <w:r>
              <w:rPr>
                <w:rFonts w:ascii="Arial" w:cs="Arial" w:eastAsia="Arial" w:hAnsi="Arial"/>
                <w:sz w:val="16"/>
                <w:szCs w:val="16"/>
                <w:color w:val="auto"/>
              </w:rPr>
              <w:t>Citibank Europe Plc.</w:t>
            </w:r>
          </w:p>
        </w:tc>
        <w:tc>
          <w:tcPr>
            <w:tcW w:w="1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6"/>
        </w:trPr>
        <w:tc>
          <w:tcPr>
            <w:tcW w:w="1220" w:type="dxa"/>
            <w:vAlign w:val="bottom"/>
          </w:tcPr>
          <w:p>
            <w:pPr>
              <w:spacing w:after="0"/>
              <w:rPr>
                <w:sz w:val="20"/>
                <w:szCs w:val="20"/>
                <w:color w:val="auto"/>
              </w:rPr>
            </w:pPr>
            <w:r>
              <w:rPr>
                <w:rFonts w:ascii="Arial" w:cs="Arial" w:eastAsia="Arial" w:hAnsi="Arial"/>
                <w:sz w:val="16"/>
                <w:szCs w:val="16"/>
                <w:color w:val="auto"/>
              </w:rPr>
              <w:t>GasLog</w:t>
            </w:r>
          </w:p>
        </w:tc>
        <w:tc>
          <w:tcPr>
            <w:tcW w:w="2100" w:type="dxa"/>
            <w:vAlign w:val="bottom"/>
            <w:gridSpan w:val="3"/>
          </w:tcPr>
          <w:p>
            <w:pPr>
              <w:ind w:left="180"/>
              <w:spacing w:after="0"/>
              <w:rPr>
                <w:sz w:val="20"/>
                <w:szCs w:val="20"/>
                <w:color w:val="auto"/>
              </w:rPr>
            </w:pPr>
            <w:r>
              <w:rPr>
                <w:rFonts w:ascii="Arial" w:cs="Arial" w:eastAsia="Arial" w:hAnsi="Arial"/>
                <w:sz w:val="16"/>
                <w:szCs w:val="16"/>
                <w:color w:val="auto"/>
              </w:rPr>
              <w:t>(“Citibank”)</w:t>
            </w:r>
          </w:p>
        </w:tc>
        <w:tc>
          <w:tcPr>
            <w:tcW w:w="1340" w:type="dxa"/>
            <w:vAlign w:val="bottom"/>
            <w:gridSpan w:val="2"/>
          </w:tcPr>
          <w:p>
            <w:pPr>
              <w:jc w:val="center"/>
              <w:ind w:right="200"/>
              <w:spacing w:after="0"/>
              <w:rPr>
                <w:sz w:val="20"/>
                <w:szCs w:val="20"/>
                <w:color w:val="auto"/>
              </w:rPr>
            </w:pPr>
            <w:r>
              <w:rPr>
                <w:rFonts w:ascii="Arial" w:cs="Arial" w:eastAsia="Arial" w:hAnsi="Arial"/>
                <w:sz w:val="16"/>
                <w:szCs w:val="16"/>
                <w:color w:val="auto"/>
                <w:w w:val="93"/>
              </w:rPr>
              <w:t>May 2018</w:t>
            </w:r>
          </w:p>
        </w:tc>
        <w:tc>
          <w:tcPr>
            <w:tcW w:w="1320" w:type="dxa"/>
            <w:vAlign w:val="bottom"/>
            <w:gridSpan w:val="2"/>
          </w:tcPr>
          <w:p>
            <w:pPr>
              <w:jc w:val="center"/>
              <w:ind w:right="180"/>
              <w:spacing w:after="0"/>
              <w:rPr>
                <w:sz w:val="20"/>
                <w:szCs w:val="20"/>
                <w:color w:val="auto"/>
              </w:rPr>
            </w:pPr>
            <w:r>
              <w:rPr>
                <w:rFonts w:ascii="Arial" w:cs="Arial" w:eastAsia="Arial" w:hAnsi="Arial"/>
                <w:sz w:val="16"/>
                <w:szCs w:val="16"/>
                <w:color w:val="auto"/>
                <w:w w:val="90"/>
              </w:rPr>
              <w:t>July 2020</w:t>
            </w:r>
          </w:p>
        </w:tc>
        <w:tc>
          <w:tcPr>
            <w:tcW w:w="1340" w:type="dxa"/>
            <w:vAlign w:val="bottom"/>
            <w:gridSpan w:val="2"/>
          </w:tcPr>
          <w:p>
            <w:pPr>
              <w:jc w:val="center"/>
              <w:ind w:right="160"/>
              <w:spacing w:after="0"/>
              <w:rPr>
                <w:sz w:val="20"/>
                <w:szCs w:val="20"/>
                <w:color w:val="auto"/>
              </w:rPr>
            </w:pPr>
            <w:r>
              <w:rPr>
                <w:rFonts w:ascii="Arial" w:cs="Arial" w:eastAsia="Arial" w:hAnsi="Arial"/>
                <w:sz w:val="16"/>
                <w:szCs w:val="16"/>
                <w:color w:val="auto"/>
                <w:w w:val="90"/>
              </w:rPr>
              <w:t>July 2024</w:t>
            </w:r>
          </w:p>
        </w:tc>
        <w:tc>
          <w:tcPr>
            <w:tcW w:w="1280" w:type="dxa"/>
            <w:vAlign w:val="bottom"/>
          </w:tcPr>
          <w:p>
            <w:pPr>
              <w:jc w:val="center"/>
              <w:spacing w:after="0"/>
              <w:rPr>
                <w:sz w:val="20"/>
                <w:szCs w:val="20"/>
                <w:color w:val="auto"/>
              </w:rPr>
            </w:pPr>
            <w:r>
              <w:rPr>
                <w:rFonts w:ascii="Arial" w:cs="Arial" w:eastAsia="Arial" w:hAnsi="Arial"/>
                <w:sz w:val="16"/>
                <w:szCs w:val="16"/>
                <w:color w:val="auto"/>
                <w:w w:val="92"/>
              </w:rPr>
              <w:t>3.082%</w:t>
            </w:r>
          </w:p>
        </w:tc>
        <w:tc>
          <w:tcPr>
            <w:tcW w:w="160" w:type="dxa"/>
            <w:vAlign w:val="bottom"/>
          </w:tcPr>
          <w:p>
            <w:pPr>
              <w:spacing w:after="0"/>
              <w:rPr>
                <w:sz w:val="17"/>
                <w:szCs w:val="17"/>
                <w:color w:val="auto"/>
              </w:rPr>
            </w:pPr>
          </w:p>
        </w:tc>
        <w:tc>
          <w:tcPr>
            <w:tcW w:w="1540" w:type="dxa"/>
            <w:vAlign w:val="bottom"/>
            <w:gridSpan w:val="2"/>
          </w:tcPr>
          <w:p>
            <w:pPr>
              <w:ind w:left="1100"/>
              <w:spacing w:after="0"/>
              <w:rPr>
                <w:sz w:val="20"/>
                <w:szCs w:val="20"/>
                <w:color w:val="auto"/>
              </w:rPr>
            </w:pPr>
            <w:r>
              <w:rPr>
                <w:rFonts w:ascii="Arial" w:cs="Arial" w:eastAsia="Arial" w:hAnsi="Arial"/>
                <w:sz w:val="16"/>
                <w:szCs w:val="16"/>
                <w:color w:val="auto"/>
              </w:rPr>
              <w:t>N/A</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N/A</w:t>
            </w:r>
          </w:p>
        </w:tc>
      </w:tr>
      <w:tr>
        <w:trPr>
          <w:trHeight w:val="208"/>
        </w:trPr>
        <w:tc>
          <w:tcPr>
            <w:tcW w:w="1220" w:type="dxa"/>
            <w:vAlign w:val="bottom"/>
            <w:shd w:val="clear" w:color="auto" w:fill="E5FFFF"/>
          </w:tcPr>
          <w:p>
            <w:pPr>
              <w:spacing w:after="0"/>
              <w:rPr>
                <w:sz w:val="20"/>
                <w:szCs w:val="20"/>
                <w:color w:val="auto"/>
              </w:rPr>
            </w:pPr>
            <w:r>
              <w:rPr>
                <w:rFonts w:ascii="Arial" w:cs="Arial" w:eastAsia="Arial" w:hAnsi="Arial"/>
                <w:sz w:val="16"/>
                <w:szCs w:val="16"/>
                <w:color w:val="auto"/>
              </w:rPr>
              <w:t>GasLog</w:t>
            </w:r>
          </w:p>
        </w:tc>
        <w:tc>
          <w:tcPr>
            <w:tcW w:w="2100" w:type="dxa"/>
            <w:vAlign w:val="bottom"/>
            <w:gridSpan w:val="3"/>
            <w:shd w:val="clear" w:color="auto" w:fill="E5FFFF"/>
          </w:tcPr>
          <w:p>
            <w:pPr>
              <w:ind w:left="180"/>
              <w:spacing w:after="0"/>
              <w:rPr>
                <w:sz w:val="20"/>
                <w:szCs w:val="20"/>
                <w:color w:val="auto"/>
              </w:rPr>
            </w:pPr>
            <w:r>
              <w:rPr>
                <w:rFonts w:ascii="Arial" w:cs="Arial" w:eastAsia="Arial" w:hAnsi="Arial"/>
                <w:sz w:val="16"/>
                <w:szCs w:val="16"/>
                <w:color w:val="auto"/>
              </w:rPr>
              <w:t>Citibank</w:t>
            </w:r>
          </w:p>
        </w:tc>
        <w:tc>
          <w:tcPr>
            <w:tcW w:w="1340" w:type="dxa"/>
            <w:vAlign w:val="bottom"/>
            <w:gridSpan w:val="2"/>
            <w:shd w:val="clear" w:color="auto" w:fill="E5FFFF"/>
          </w:tcPr>
          <w:p>
            <w:pPr>
              <w:jc w:val="center"/>
              <w:ind w:right="200"/>
              <w:spacing w:after="0"/>
              <w:rPr>
                <w:sz w:val="20"/>
                <w:szCs w:val="20"/>
                <w:color w:val="auto"/>
              </w:rPr>
            </w:pPr>
            <w:r>
              <w:rPr>
                <w:rFonts w:ascii="Arial" w:cs="Arial" w:eastAsia="Arial" w:hAnsi="Arial"/>
                <w:sz w:val="16"/>
                <w:szCs w:val="16"/>
                <w:color w:val="auto"/>
                <w:w w:val="93"/>
              </w:rPr>
              <w:t>May 2018</w:t>
            </w:r>
          </w:p>
        </w:tc>
        <w:tc>
          <w:tcPr>
            <w:tcW w:w="1320" w:type="dxa"/>
            <w:vAlign w:val="bottom"/>
            <w:gridSpan w:val="2"/>
            <w:shd w:val="clear" w:color="auto" w:fill="E5FFFF"/>
          </w:tcPr>
          <w:p>
            <w:pPr>
              <w:jc w:val="center"/>
              <w:ind w:right="180"/>
              <w:spacing w:after="0"/>
              <w:rPr>
                <w:sz w:val="20"/>
                <w:szCs w:val="20"/>
                <w:color w:val="auto"/>
              </w:rPr>
            </w:pPr>
            <w:r>
              <w:rPr>
                <w:rFonts w:ascii="Arial" w:cs="Arial" w:eastAsia="Arial" w:hAnsi="Arial"/>
                <w:sz w:val="16"/>
                <w:szCs w:val="16"/>
                <w:color w:val="auto"/>
                <w:w w:val="90"/>
              </w:rPr>
              <w:t>July 2021</w:t>
            </w:r>
          </w:p>
        </w:tc>
        <w:tc>
          <w:tcPr>
            <w:tcW w:w="1340" w:type="dxa"/>
            <w:vAlign w:val="bottom"/>
            <w:gridSpan w:val="2"/>
            <w:shd w:val="clear" w:color="auto" w:fill="E5FFFF"/>
          </w:tcPr>
          <w:p>
            <w:pPr>
              <w:jc w:val="center"/>
              <w:ind w:right="160"/>
              <w:spacing w:after="0"/>
              <w:rPr>
                <w:sz w:val="20"/>
                <w:szCs w:val="20"/>
                <w:color w:val="auto"/>
              </w:rPr>
            </w:pPr>
            <w:r>
              <w:rPr>
                <w:rFonts w:ascii="Arial" w:cs="Arial" w:eastAsia="Arial" w:hAnsi="Arial"/>
                <w:sz w:val="16"/>
                <w:szCs w:val="16"/>
                <w:color w:val="auto"/>
                <w:w w:val="90"/>
              </w:rPr>
              <w:t>July 2025</w:t>
            </w:r>
          </w:p>
        </w:tc>
        <w:tc>
          <w:tcPr>
            <w:tcW w:w="128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2"/>
              </w:rPr>
              <w:t>3.095%</w:t>
            </w:r>
          </w:p>
        </w:tc>
        <w:tc>
          <w:tcPr>
            <w:tcW w:w="160" w:type="dxa"/>
            <w:vAlign w:val="bottom"/>
            <w:shd w:val="clear" w:color="auto" w:fill="E5FFFF"/>
          </w:tcPr>
          <w:p>
            <w:pPr>
              <w:spacing w:after="0"/>
              <w:rPr>
                <w:sz w:val="18"/>
                <w:szCs w:val="18"/>
                <w:color w:val="auto"/>
              </w:rPr>
            </w:pPr>
          </w:p>
        </w:tc>
        <w:tc>
          <w:tcPr>
            <w:tcW w:w="1540" w:type="dxa"/>
            <w:vAlign w:val="bottom"/>
            <w:gridSpan w:val="2"/>
            <w:shd w:val="clear" w:color="auto" w:fill="E5FFFF"/>
          </w:tcPr>
          <w:p>
            <w:pPr>
              <w:ind w:left="1100"/>
              <w:spacing w:after="0"/>
              <w:rPr>
                <w:sz w:val="20"/>
                <w:szCs w:val="20"/>
                <w:color w:val="auto"/>
              </w:rPr>
            </w:pPr>
            <w:r>
              <w:rPr>
                <w:rFonts w:ascii="Arial" w:cs="Arial" w:eastAsia="Arial" w:hAnsi="Arial"/>
                <w:sz w:val="16"/>
                <w:szCs w:val="16"/>
                <w:color w:val="auto"/>
              </w:rPr>
              <w:t>N/A</w:t>
            </w:r>
          </w:p>
        </w:tc>
        <w:tc>
          <w:tcPr>
            <w:tcW w:w="12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8"/>
                <w:szCs w:val="18"/>
                <w:color w:val="auto"/>
              </w:rPr>
            </w:pPr>
          </w:p>
        </w:tc>
      </w:tr>
      <w:tr>
        <w:trPr>
          <w:trHeight w:val="203"/>
        </w:trPr>
        <w:tc>
          <w:tcPr>
            <w:tcW w:w="1220" w:type="dxa"/>
            <w:vAlign w:val="bottom"/>
          </w:tcPr>
          <w:p>
            <w:pPr>
              <w:spacing w:after="0"/>
              <w:rPr>
                <w:sz w:val="20"/>
                <w:szCs w:val="20"/>
                <w:color w:val="auto"/>
              </w:rPr>
            </w:pPr>
            <w:r>
              <w:rPr>
                <w:rFonts w:ascii="Arial" w:cs="Arial" w:eastAsia="Arial" w:hAnsi="Arial"/>
                <w:sz w:val="16"/>
                <w:szCs w:val="16"/>
                <w:color w:val="auto"/>
              </w:rPr>
              <w:t>GasLog</w:t>
            </w:r>
          </w:p>
        </w:tc>
        <w:tc>
          <w:tcPr>
            <w:tcW w:w="2100" w:type="dxa"/>
            <w:vAlign w:val="bottom"/>
            <w:gridSpan w:val="3"/>
          </w:tcPr>
          <w:p>
            <w:pPr>
              <w:ind w:left="180"/>
              <w:spacing w:after="0"/>
              <w:rPr>
                <w:sz w:val="20"/>
                <w:szCs w:val="20"/>
                <w:color w:val="auto"/>
              </w:rPr>
            </w:pPr>
            <w:r>
              <w:rPr>
                <w:rFonts w:ascii="Arial" w:cs="Arial" w:eastAsia="Arial" w:hAnsi="Arial"/>
                <w:sz w:val="16"/>
                <w:szCs w:val="16"/>
                <w:color w:val="auto"/>
              </w:rPr>
              <w:t>SEB</w:t>
            </w:r>
          </w:p>
        </w:tc>
        <w:tc>
          <w:tcPr>
            <w:tcW w:w="1340" w:type="dxa"/>
            <w:vAlign w:val="bottom"/>
            <w:gridSpan w:val="2"/>
          </w:tcPr>
          <w:p>
            <w:pPr>
              <w:jc w:val="center"/>
              <w:ind w:right="200"/>
              <w:spacing w:after="0"/>
              <w:rPr>
                <w:sz w:val="20"/>
                <w:szCs w:val="20"/>
                <w:color w:val="auto"/>
              </w:rPr>
            </w:pPr>
            <w:r>
              <w:rPr>
                <w:rFonts w:ascii="Arial" w:cs="Arial" w:eastAsia="Arial" w:hAnsi="Arial"/>
                <w:sz w:val="16"/>
                <w:szCs w:val="16"/>
                <w:color w:val="auto"/>
                <w:w w:val="90"/>
              </w:rPr>
              <w:t>Dec 2018</w:t>
            </w:r>
          </w:p>
        </w:tc>
        <w:tc>
          <w:tcPr>
            <w:tcW w:w="1320" w:type="dxa"/>
            <w:vAlign w:val="bottom"/>
            <w:gridSpan w:val="2"/>
          </w:tcPr>
          <w:p>
            <w:pPr>
              <w:jc w:val="center"/>
              <w:ind w:right="160"/>
              <w:spacing w:after="0"/>
              <w:rPr>
                <w:sz w:val="20"/>
                <w:szCs w:val="20"/>
                <w:color w:val="auto"/>
              </w:rPr>
            </w:pPr>
            <w:r>
              <w:rPr>
                <w:rFonts w:ascii="Arial" w:cs="Arial" w:eastAsia="Arial" w:hAnsi="Arial"/>
                <w:sz w:val="16"/>
                <w:szCs w:val="16"/>
                <w:color w:val="auto"/>
                <w:w w:val="92"/>
              </w:rPr>
              <w:t>Oct 2018</w:t>
            </w:r>
          </w:p>
        </w:tc>
        <w:tc>
          <w:tcPr>
            <w:tcW w:w="1340" w:type="dxa"/>
            <w:vAlign w:val="bottom"/>
            <w:gridSpan w:val="2"/>
          </w:tcPr>
          <w:p>
            <w:pPr>
              <w:jc w:val="center"/>
              <w:ind w:right="160"/>
              <w:spacing w:after="0"/>
              <w:rPr>
                <w:sz w:val="20"/>
                <w:szCs w:val="20"/>
                <w:color w:val="auto"/>
              </w:rPr>
            </w:pPr>
            <w:r>
              <w:rPr>
                <w:rFonts w:ascii="Arial" w:cs="Arial" w:eastAsia="Arial" w:hAnsi="Arial"/>
                <w:sz w:val="16"/>
                <w:szCs w:val="16"/>
                <w:color w:val="auto"/>
                <w:w w:val="90"/>
              </w:rPr>
              <w:t>July 2026</w:t>
            </w:r>
          </w:p>
        </w:tc>
        <w:tc>
          <w:tcPr>
            <w:tcW w:w="1280" w:type="dxa"/>
            <w:vAlign w:val="bottom"/>
          </w:tcPr>
          <w:p>
            <w:pPr>
              <w:jc w:val="center"/>
              <w:spacing w:after="0"/>
              <w:rPr>
                <w:sz w:val="20"/>
                <w:szCs w:val="20"/>
                <w:color w:val="auto"/>
              </w:rPr>
            </w:pPr>
            <w:r>
              <w:rPr>
                <w:rFonts w:ascii="Arial" w:cs="Arial" w:eastAsia="Arial" w:hAnsi="Arial"/>
                <w:sz w:val="16"/>
                <w:szCs w:val="16"/>
                <w:color w:val="auto"/>
                <w:w w:val="92"/>
              </w:rPr>
              <w:t>2.745%</w:t>
            </w:r>
          </w:p>
        </w:tc>
        <w:tc>
          <w:tcPr>
            <w:tcW w:w="160" w:type="dxa"/>
            <w:vAlign w:val="bottom"/>
          </w:tcPr>
          <w:p>
            <w:pPr>
              <w:spacing w:after="0"/>
              <w:rPr>
                <w:sz w:val="17"/>
                <w:szCs w:val="17"/>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6"/>
                <w:szCs w:val="16"/>
                <w:color w:val="auto"/>
              </w:rPr>
              <w:t>50,000</w:t>
            </w:r>
          </w:p>
        </w:tc>
        <w:tc>
          <w:tcPr>
            <w:tcW w:w="1260" w:type="dxa"/>
            <w:vAlign w:val="bottom"/>
          </w:tcPr>
          <w:p>
            <w:pPr>
              <w:jc w:val="right"/>
              <w:spacing w:after="0"/>
              <w:rPr>
                <w:sz w:val="20"/>
                <w:szCs w:val="20"/>
                <w:color w:val="auto"/>
              </w:rPr>
            </w:pPr>
            <w:r>
              <w:rPr>
                <w:rFonts w:ascii="Arial" w:cs="Arial" w:eastAsia="Arial" w:hAnsi="Arial"/>
                <w:sz w:val="16"/>
                <w:szCs w:val="16"/>
                <w:color w:val="auto"/>
              </w:rPr>
              <w:t>50,000</w:t>
            </w:r>
          </w:p>
        </w:tc>
        <w:tc>
          <w:tcPr>
            <w:tcW w:w="20" w:type="dxa"/>
            <w:vAlign w:val="bottom"/>
          </w:tcPr>
          <w:p>
            <w:pPr>
              <w:spacing w:after="0"/>
              <w:rPr>
                <w:sz w:val="17"/>
                <w:szCs w:val="17"/>
                <w:color w:val="auto"/>
              </w:rPr>
            </w:pPr>
          </w:p>
        </w:tc>
      </w:tr>
      <w:tr>
        <w:trPr>
          <w:trHeight w:val="203"/>
        </w:trPr>
        <w:tc>
          <w:tcPr>
            <w:tcW w:w="1220" w:type="dxa"/>
            <w:vAlign w:val="bottom"/>
            <w:shd w:val="clear" w:color="auto" w:fill="E5FFFF"/>
          </w:tcPr>
          <w:p>
            <w:pPr>
              <w:spacing w:after="0"/>
              <w:rPr>
                <w:sz w:val="20"/>
                <w:szCs w:val="20"/>
                <w:color w:val="auto"/>
              </w:rPr>
            </w:pPr>
            <w:r>
              <w:rPr>
                <w:rFonts w:ascii="Arial" w:cs="Arial" w:eastAsia="Arial" w:hAnsi="Arial"/>
                <w:sz w:val="16"/>
                <w:szCs w:val="16"/>
                <w:color w:val="auto"/>
              </w:rPr>
              <w:t>GasLog</w:t>
            </w:r>
          </w:p>
        </w:tc>
        <w:tc>
          <w:tcPr>
            <w:tcW w:w="2100" w:type="dxa"/>
            <w:vAlign w:val="bottom"/>
            <w:gridSpan w:val="3"/>
            <w:shd w:val="clear" w:color="auto" w:fill="E5FFFF"/>
          </w:tcPr>
          <w:p>
            <w:pPr>
              <w:ind w:left="180"/>
              <w:spacing w:after="0"/>
              <w:rPr>
                <w:sz w:val="20"/>
                <w:szCs w:val="20"/>
                <w:color w:val="auto"/>
              </w:rPr>
            </w:pPr>
            <w:r>
              <w:rPr>
                <w:rFonts w:ascii="Arial" w:cs="Arial" w:eastAsia="Arial" w:hAnsi="Arial"/>
                <w:sz w:val="16"/>
                <w:szCs w:val="16"/>
                <w:color w:val="auto"/>
              </w:rPr>
              <w:t>Nordea</w:t>
            </w:r>
          </w:p>
        </w:tc>
        <w:tc>
          <w:tcPr>
            <w:tcW w:w="1340" w:type="dxa"/>
            <w:vAlign w:val="bottom"/>
            <w:gridSpan w:val="2"/>
            <w:shd w:val="clear" w:color="auto" w:fill="E5FFFF"/>
          </w:tcPr>
          <w:p>
            <w:pPr>
              <w:jc w:val="center"/>
              <w:ind w:right="200"/>
              <w:spacing w:after="0"/>
              <w:rPr>
                <w:sz w:val="20"/>
                <w:szCs w:val="20"/>
                <w:color w:val="auto"/>
              </w:rPr>
            </w:pPr>
            <w:r>
              <w:rPr>
                <w:rFonts w:ascii="Arial" w:cs="Arial" w:eastAsia="Arial" w:hAnsi="Arial"/>
                <w:sz w:val="16"/>
                <w:szCs w:val="16"/>
                <w:color w:val="auto"/>
                <w:w w:val="90"/>
              </w:rPr>
              <w:t>Dec 2018</w:t>
            </w:r>
          </w:p>
        </w:tc>
        <w:tc>
          <w:tcPr>
            <w:tcW w:w="1320" w:type="dxa"/>
            <w:vAlign w:val="bottom"/>
            <w:gridSpan w:val="2"/>
            <w:shd w:val="clear" w:color="auto" w:fill="E5FFFF"/>
          </w:tcPr>
          <w:p>
            <w:pPr>
              <w:jc w:val="center"/>
              <w:ind w:right="160"/>
              <w:spacing w:after="0"/>
              <w:rPr>
                <w:sz w:val="20"/>
                <w:szCs w:val="20"/>
                <w:color w:val="auto"/>
              </w:rPr>
            </w:pPr>
            <w:r>
              <w:rPr>
                <w:rFonts w:ascii="Arial" w:cs="Arial" w:eastAsia="Arial" w:hAnsi="Arial"/>
                <w:sz w:val="16"/>
                <w:szCs w:val="16"/>
                <w:color w:val="auto"/>
                <w:w w:val="92"/>
              </w:rPr>
              <w:t>Oct 2018</w:t>
            </w:r>
          </w:p>
        </w:tc>
        <w:tc>
          <w:tcPr>
            <w:tcW w:w="1340" w:type="dxa"/>
            <w:vAlign w:val="bottom"/>
            <w:gridSpan w:val="2"/>
            <w:shd w:val="clear" w:color="auto" w:fill="E5FFFF"/>
          </w:tcPr>
          <w:p>
            <w:pPr>
              <w:jc w:val="center"/>
              <w:ind w:right="160"/>
              <w:spacing w:after="0"/>
              <w:rPr>
                <w:sz w:val="20"/>
                <w:szCs w:val="20"/>
                <w:color w:val="auto"/>
              </w:rPr>
            </w:pPr>
            <w:r>
              <w:rPr>
                <w:rFonts w:ascii="Arial" w:cs="Arial" w:eastAsia="Arial" w:hAnsi="Arial"/>
                <w:sz w:val="16"/>
                <w:szCs w:val="16"/>
                <w:color w:val="auto"/>
                <w:w w:val="90"/>
              </w:rPr>
              <w:t>July 2028</w:t>
            </w:r>
          </w:p>
        </w:tc>
        <w:tc>
          <w:tcPr>
            <w:tcW w:w="128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2"/>
              </w:rPr>
              <w:t>2.793%</w:t>
            </w:r>
          </w:p>
        </w:tc>
        <w:tc>
          <w:tcPr>
            <w:tcW w:w="160" w:type="dxa"/>
            <w:vAlign w:val="bottom"/>
            <w:shd w:val="clear" w:color="auto" w:fill="E5FFFF"/>
          </w:tcPr>
          <w:p>
            <w:pPr>
              <w:spacing w:after="0"/>
              <w:rPr>
                <w:sz w:val="17"/>
                <w:szCs w:val="17"/>
                <w:color w:val="auto"/>
              </w:rPr>
            </w:pPr>
          </w:p>
        </w:tc>
        <w:tc>
          <w:tcPr>
            <w:tcW w:w="1540" w:type="dxa"/>
            <w:vAlign w:val="bottom"/>
            <w:gridSpan w:val="2"/>
            <w:shd w:val="clear" w:color="auto" w:fill="E5FFFF"/>
          </w:tcPr>
          <w:p>
            <w:pPr>
              <w:jc w:val="right"/>
              <w:ind w:right="160"/>
              <w:spacing w:after="0"/>
              <w:rPr>
                <w:sz w:val="20"/>
                <w:szCs w:val="20"/>
                <w:color w:val="auto"/>
              </w:rPr>
            </w:pPr>
            <w:r>
              <w:rPr>
                <w:rFonts w:ascii="Arial" w:cs="Arial" w:eastAsia="Arial" w:hAnsi="Arial"/>
                <w:sz w:val="16"/>
                <w:szCs w:val="16"/>
                <w:color w:val="auto"/>
              </w:rPr>
              <w:t>66,667</w:t>
            </w:r>
          </w:p>
        </w:tc>
        <w:tc>
          <w:tcPr>
            <w:tcW w:w="12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66,667</w:t>
            </w:r>
          </w:p>
        </w:tc>
        <w:tc>
          <w:tcPr>
            <w:tcW w:w="20" w:type="dxa"/>
            <w:vAlign w:val="bottom"/>
          </w:tcPr>
          <w:p>
            <w:pPr>
              <w:spacing w:after="0"/>
              <w:rPr>
                <w:sz w:val="17"/>
                <w:szCs w:val="17"/>
                <w:color w:val="auto"/>
              </w:rPr>
            </w:pPr>
          </w:p>
        </w:tc>
      </w:tr>
      <w:tr>
        <w:trPr>
          <w:trHeight w:val="203"/>
        </w:trPr>
        <w:tc>
          <w:tcPr>
            <w:tcW w:w="1220" w:type="dxa"/>
            <w:vAlign w:val="bottom"/>
          </w:tcPr>
          <w:p>
            <w:pPr>
              <w:spacing w:after="0"/>
              <w:rPr>
                <w:sz w:val="20"/>
                <w:szCs w:val="20"/>
                <w:color w:val="auto"/>
              </w:rPr>
            </w:pPr>
            <w:r>
              <w:rPr>
                <w:rFonts w:ascii="Arial" w:cs="Arial" w:eastAsia="Arial" w:hAnsi="Arial"/>
                <w:sz w:val="16"/>
                <w:szCs w:val="16"/>
                <w:color w:val="auto"/>
              </w:rPr>
              <w:t>GasLog</w:t>
            </w:r>
          </w:p>
        </w:tc>
        <w:tc>
          <w:tcPr>
            <w:tcW w:w="2100" w:type="dxa"/>
            <w:vAlign w:val="bottom"/>
            <w:gridSpan w:val="3"/>
          </w:tcPr>
          <w:p>
            <w:pPr>
              <w:ind w:left="180"/>
              <w:spacing w:after="0"/>
              <w:rPr>
                <w:sz w:val="20"/>
                <w:szCs w:val="20"/>
                <w:color w:val="auto"/>
              </w:rPr>
            </w:pPr>
            <w:r>
              <w:rPr>
                <w:rFonts w:ascii="Arial" w:cs="Arial" w:eastAsia="Arial" w:hAnsi="Arial"/>
                <w:sz w:val="16"/>
                <w:szCs w:val="16"/>
                <w:color w:val="auto"/>
              </w:rPr>
              <w:t>DNB</w:t>
            </w:r>
          </w:p>
        </w:tc>
        <w:tc>
          <w:tcPr>
            <w:tcW w:w="1340" w:type="dxa"/>
            <w:vAlign w:val="bottom"/>
            <w:gridSpan w:val="2"/>
          </w:tcPr>
          <w:p>
            <w:pPr>
              <w:jc w:val="center"/>
              <w:ind w:right="200"/>
              <w:spacing w:after="0"/>
              <w:rPr>
                <w:sz w:val="20"/>
                <w:szCs w:val="20"/>
                <w:color w:val="auto"/>
              </w:rPr>
            </w:pPr>
            <w:r>
              <w:rPr>
                <w:rFonts w:ascii="Arial" w:cs="Arial" w:eastAsia="Arial" w:hAnsi="Arial"/>
                <w:sz w:val="16"/>
                <w:szCs w:val="16"/>
                <w:color w:val="auto"/>
                <w:w w:val="90"/>
              </w:rPr>
              <w:t>Dec 2018</w:t>
            </w:r>
          </w:p>
        </w:tc>
        <w:tc>
          <w:tcPr>
            <w:tcW w:w="1320" w:type="dxa"/>
            <w:vAlign w:val="bottom"/>
            <w:gridSpan w:val="2"/>
          </w:tcPr>
          <w:p>
            <w:pPr>
              <w:jc w:val="center"/>
              <w:ind w:right="180"/>
              <w:spacing w:after="0"/>
              <w:rPr>
                <w:sz w:val="20"/>
                <w:szCs w:val="20"/>
                <w:color w:val="auto"/>
              </w:rPr>
            </w:pPr>
            <w:r>
              <w:rPr>
                <w:rFonts w:ascii="Arial" w:cs="Arial" w:eastAsia="Arial" w:hAnsi="Arial"/>
                <w:sz w:val="16"/>
                <w:szCs w:val="16"/>
                <w:color w:val="auto"/>
                <w:w w:val="88"/>
              </w:rPr>
              <w:t>Jan 2019</w:t>
            </w:r>
          </w:p>
        </w:tc>
        <w:tc>
          <w:tcPr>
            <w:tcW w:w="1340" w:type="dxa"/>
            <w:vAlign w:val="bottom"/>
            <w:gridSpan w:val="2"/>
          </w:tcPr>
          <w:p>
            <w:pPr>
              <w:jc w:val="center"/>
              <w:ind w:right="160"/>
              <w:spacing w:after="0"/>
              <w:rPr>
                <w:sz w:val="20"/>
                <w:szCs w:val="20"/>
                <w:color w:val="auto"/>
              </w:rPr>
            </w:pPr>
            <w:r>
              <w:rPr>
                <w:rFonts w:ascii="Arial" w:cs="Arial" w:eastAsia="Arial" w:hAnsi="Arial"/>
                <w:sz w:val="16"/>
                <w:szCs w:val="16"/>
                <w:color w:val="auto"/>
                <w:w w:val="90"/>
              </w:rPr>
              <w:t>July 2025</w:t>
            </w:r>
          </w:p>
        </w:tc>
        <w:tc>
          <w:tcPr>
            <w:tcW w:w="1280" w:type="dxa"/>
            <w:vAlign w:val="bottom"/>
          </w:tcPr>
          <w:p>
            <w:pPr>
              <w:jc w:val="center"/>
              <w:spacing w:after="0"/>
              <w:rPr>
                <w:sz w:val="20"/>
                <w:szCs w:val="20"/>
                <w:color w:val="auto"/>
              </w:rPr>
            </w:pPr>
            <w:r>
              <w:rPr>
                <w:rFonts w:ascii="Arial" w:cs="Arial" w:eastAsia="Arial" w:hAnsi="Arial"/>
                <w:sz w:val="16"/>
                <w:szCs w:val="16"/>
                <w:color w:val="auto"/>
                <w:w w:val="92"/>
              </w:rPr>
              <w:t>2.685%</w:t>
            </w:r>
          </w:p>
        </w:tc>
        <w:tc>
          <w:tcPr>
            <w:tcW w:w="160" w:type="dxa"/>
            <w:vAlign w:val="bottom"/>
          </w:tcPr>
          <w:p>
            <w:pPr>
              <w:spacing w:after="0"/>
              <w:rPr>
                <w:sz w:val="17"/>
                <w:szCs w:val="17"/>
                <w:color w:val="auto"/>
              </w:rPr>
            </w:pPr>
          </w:p>
        </w:tc>
        <w:tc>
          <w:tcPr>
            <w:tcW w:w="1540" w:type="dxa"/>
            <w:vAlign w:val="bottom"/>
            <w:gridSpan w:val="2"/>
          </w:tcPr>
          <w:p>
            <w:pPr>
              <w:ind w:left="1100"/>
              <w:spacing w:after="0"/>
              <w:rPr>
                <w:sz w:val="20"/>
                <w:szCs w:val="20"/>
                <w:color w:val="auto"/>
              </w:rPr>
            </w:pPr>
            <w:r>
              <w:rPr>
                <w:rFonts w:ascii="Arial" w:cs="Arial" w:eastAsia="Arial" w:hAnsi="Arial"/>
                <w:sz w:val="16"/>
                <w:szCs w:val="16"/>
                <w:color w:val="auto"/>
              </w:rPr>
              <w:t>N/A</w:t>
            </w:r>
          </w:p>
        </w:tc>
        <w:tc>
          <w:tcPr>
            <w:tcW w:w="1260" w:type="dxa"/>
            <w:vAlign w:val="bottom"/>
          </w:tcPr>
          <w:p>
            <w:pPr>
              <w:jc w:val="right"/>
              <w:spacing w:after="0"/>
              <w:rPr>
                <w:sz w:val="20"/>
                <w:szCs w:val="20"/>
                <w:color w:val="auto"/>
              </w:rPr>
            </w:pPr>
            <w:r>
              <w:rPr>
                <w:rFonts w:ascii="Arial" w:cs="Arial" w:eastAsia="Arial" w:hAnsi="Arial"/>
                <w:sz w:val="16"/>
                <w:szCs w:val="16"/>
                <w:color w:val="auto"/>
              </w:rPr>
              <w:t>73,333</w:t>
            </w:r>
          </w:p>
        </w:tc>
        <w:tc>
          <w:tcPr>
            <w:tcW w:w="20" w:type="dxa"/>
            <w:vAlign w:val="bottom"/>
          </w:tcPr>
          <w:p>
            <w:pPr>
              <w:spacing w:after="0"/>
              <w:rPr>
                <w:sz w:val="17"/>
                <w:szCs w:val="17"/>
                <w:color w:val="auto"/>
              </w:rPr>
            </w:pPr>
          </w:p>
        </w:tc>
      </w:tr>
      <w:tr>
        <w:trPr>
          <w:trHeight w:val="203"/>
        </w:trPr>
        <w:tc>
          <w:tcPr>
            <w:tcW w:w="1220" w:type="dxa"/>
            <w:vAlign w:val="bottom"/>
            <w:shd w:val="clear" w:color="auto" w:fill="E5FFFF"/>
          </w:tcPr>
          <w:p>
            <w:pPr>
              <w:spacing w:after="0"/>
              <w:rPr>
                <w:sz w:val="20"/>
                <w:szCs w:val="20"/>
                <w:color w:val="auto"/>
              </w:rPr>
            </w:pPr>
            <w:r>
              <w:rPr>
                <w:rFonts w:ascii="Arial" w:cs="Arial" w:eastAsia="Arial" w:hAnsi="Arial"/>
                <w:sz w:val="16"/>
                <w:szCs w:val="16"/>
                <w:color w:val="auto"/>
              </w:rPr>
              <w:t>GasLog</w:t>
            </w:r>
          </w:p>
        </w:tc>
        <w:tc>
          <w:tcPr>
            <w:tcW w:w="2100" w:type="dxa"/>
            <w:vAlign w:val="bottom"/>
            <w:gridSpan w:val="3"/>
            <w:shd w:val="clear" w:color="auto" w:fill="E5FFFF"/>
          </w:tcPr>
          <w:p>
            <w:pPr>
              <w:ind w:left="180"/>
              <w:spacing w:after="0"/>
              <w:rPr>
                <w:sz w:val="20"/>
                <w:szCs w:val="20"/>
                <w:color w:val="auto"/>
              </w:rPr>
            </w:pPr>
            <w:r>
              <w:rPr>
                <w:rFonts w:ascii="Arial" w:cs="Arial" w:eastAsia="Arial" w:hAnsi="Arial"/>
                <w:sz w:val="16"/>
                <w:szCs w:val="16"/>
                <w:color w:val="auto"/>
              </w:rPr>
              <w:t>SEB</w:t>
            </w:r>
          </w:p>
        </w:tc>
        <w:tc>
          <w:tcPr>
            <w:tcW w:w="1340" w:type="dxa"/>
            <w:vAlign w:val="bottom"/>
            <w:gridSpan w:val="2"/>
            <w:shd w:val="clear" w:color="auto" w:fill="E5FFFF"/>
          </w:tcPr>
          <w:p>
            <w:pPr>
              <w:jc w:val="center"/>
              <w:ind w:right="200"/>
              <w:spacing w:after="0"/>
              <w:rPr>
                <w:sz w:val="20"/>
                <w:szCs w:val="20"/>
                <w:color w:val="auto"/>
              </w:rPr>
            </w:pPr>
            <w:r>
              <w:rPr>
                <w:rFonts w:ascii="Arial" w:cs="Arial" w:eastAsia="Arial" w:hAnsi="Arial"/>
                <w:sz w:val="16"/>
                <w:szCs w:val="16"/>
                <w:color w:val="auto"/>
                <w:w w:val="90"/>
              </w:rPr>
              <w:t>Dec 2018</w:t>
            </w:r>
          </w:p>
        </w:tc>
        <w:tc>
          <w:tcPr>
            <w:tcW w:w="1320" w:type="dxa"/>
            <w:vAlign w:val="bottom"/>
            <w:gridSpan w:val="2"/>
            <w:shd w:val="clear" w:color="auto" w:fill="E5FFFF"/>
          </w:tcPr>
          <w:p>
            <w:pPr>
              <w:jc w:val="center"/>
              <w:ind w:right="180"/>
              <w:spacing w:after="0"/>
              <w:rPr>
                <w:sz w:val="20"/>
                <w:szCs w:val="20"/>
                <w:color w:val="auto"/>
              </w:rPr>
            </w:pPr>
            <w:r>
              <w:rPr>
                <w:rFonts w:ascii="Arial" w:cs="Arial" w:eastAsia="Arial" w:hAnsi="Arial"/>
                <w:sz w:val="16"/>
                <w:szCs w:val="16"/>
                <w:color w:val="auto"/>
                <w:w w:val="90"/>
              </w:rPr>
              <w:t>July 2020</w:t>
            </w:r>
          </w:p>
        </w:tc>
        <w:tc>
          <w:tcPr>
            <w:tcW w:w="1340" w:type="dxa"/>
            <w:vAlign w:val="bottom"/>
            <w:gridSpan w:val="2"/>
            <w:shd w:val="clear" w:color="auto" w:fill="E5FFFF"/>
          </w:tcPr>
          <w:p>
            <w:pPr>
              <w:jc w:val="center"/>
              <w:ind w:right="160"/>
              <w:spacing w:after="0"/>
              <w:rPr>
                <w:sz w:val="20"/>
                <w:szCs w:val="20"/>
                <w:color w:val="auto"/>
              </w:rPr>
            </w:pPr>
            <w:r>
              <w:rPr>
                <w:rFonts w:ascii="Arial" w:cs="Arial" w:eastAsia="Arial" w:hAnsi="Arial"/>
                <w:sz w:val="16"/>
                <w:szCs w:val="16"/>
                <w:color w:val="auto"/>
                <w:w w:val="90"/>
              </w:rPr>
              <w:t>July 2024</w:t>
            </w:r>
          </w:p>
        </w:tc>
        <w:tc>
          <w:tcPr>
            <w:tcW w:w="128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2"/>
              </w:rPr>
              <w:t>2.958%</w:t>
            </w:r>
          </w:p>
        </w:tc>
        <w:tc>
          <w:tcPr>
            <w:tcW w:w="160" w:type="dxa"/>
            <w:vAlign w:val="bottom"/>
            <w:shd w:val="clear" w:color="auto" w:fill="E5FFFF"/>
          </w:tcPr>
          <w:p>
            <w:pPr>
              <w:spacing w:after="0"/>
              <w:rPr>
                <w:sz w:val="17"/>
                <w:szCs w:val="17"/>
                <w:color w:val="auto"/>
              </w:rPr>
            </w:pPr>
          </w:p>
        </w:tc>
        <w:tc>
          <w:tcPr>
            <w:tcW w:w="1540" w:type="dxa"/>
            <w:vAlign w:val="bottom"/>
            <w:gridSpan w:val="2"/>
            <w:shd w:val="clear" w:color="auto" w:fill="E5FFFF"/>
          </w:tcPr>
          <w:p>
            <w:pPr>
              <w:ind w:left="1100"/>
              <w:spacing w:after="0"/>
              <w:rPr>
                <w:sz w:val="20"/>
                <w:szCs w:val="20"/>
                <w:color w:val="auto"/>
              </w:rPr>
            </w:pPr>
            <w:r>
              <w:rPr>
                <w:rFonts w:ascii="Arial" w:cs="Arial" w:eastAsia="Arial" w:hAnsi="Arial"/>
                <w:sz w:val="16"/>
                <w:szCs w:val="16"/>
                <w:color w:val="auto"/>
              </w:rPr>
              <w:t>N/A</w:t>
            </w:r>
          </w:p>
        </w:tc>
        <w:tc>
          <w:tcPr>
            <w:tcW w:w="12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7"/>
                <w:szCs w:val="17"/>
                <w:color w:val="auto"/>
              </w:rPr>
            </w:pPr>
          </w:p>
        </w:tc>
      </w:tr>
      <w:tr>
        <w:trPr>
          <w:trHeight w:val="203"/>
        </w:trPr>
        <w:tc>
          <w:tcPr>
            <w:tcW w:w="1220" w:type="dxa"/>
            <w:vAlign w:val="bottom"/>
          </w:tcPr>
          <w:p>
            <w:pPr>
              <w:spacing w:after="0"/>
              <w:rPr>
                <w:sz w:val="20"/>
                <w:szCs w:val="20"/>
                <w:color w:val="auto"/>
              </w:rPr>
            </w:pPr>
            <w:r>
              <w:rPr>
                <w:rFonts w:ascii="Arial" w:cs="Arial" w:eastAsia="Arial" w:hAnsi="Arial"/>
                <w:sz w:val="16"/>
                <w:szCs w:val="16"/>
                <w:color w:val="auto"/>
              </w:rPr>
              <w:t>GasLog</w:t>
            </w:r>
          </w:p>
        </w:tc>
        <w:tc>
          <w:tcPr>
            <w:tcW w:w="2100" w:type="dxa"/>
            <w:vAlign w:val="bottom"/>
            <w:gridSpan w:val="3"/>
          </w:tcPr>
          <w:p>
            <w:pPr>
              <w:ind w:left="180"/>
              <w:spacing w:after="0"/>
              <w:rPr>
                <w:sz w:val="20"/>
                <w:szCs w:val="20"/>
                <w:color w:val="auto"/>
              </w:rPr>
            </w:pPr>
            <w:r>
              <w:rPr>
                <w:rFonts w:ascii="Arial" w:cs="Arial" w:eastAsia="Arial" w:hAnsi="Arial"/>
                <w:sz w:val="16"/>
                <w:szCs w:val="16"/>
                <w:color w:val="auto"/>
              </w:rPr>
              <w:t>Nordea</w:t>
            </w:r>
          </w:p>
        </w:tc>
        <w:tc>
          <w:tcPr>
            <w:tcW w:w="1340" w:type="dxa"/>
            <w:vAlign w:val="bottom"/>
            <w:gridSpan w:val="2"/>
          </w:tcPr>
          <w:p>
            <w:pPr>
              <w:jc w:val="center"/>
              <w:ind w:right="200"/>
              <w:spacing w:after="0"/>
              <w:rPr>
                <w:sz w:val="20"/>
                <w:szCs w:val="20"/>
                <w:color w:val="auto"/>
              </w:rPr>
            </w:pPr>
            <w:r>
              <w:rPr>
                <w:rFonts w:ascii="Arial" w:cs="Arial" w:eastAsia="Arial" w:hAnsi="Arial"/>
                <w:sz w:val="16"/>
                <w:szCs w:val="16"/>
                <w:color w:val="auto"/>
                <w:w w:val="90"/>
              </w:rPr>
              <w:t>Dec 2018</w:t>
            </w:r>
          </w:p>
        </w:tc>
        <w:tc>
          <w:tcPr>
            <w:tcW w:w="1320" w:type="dxa"/>
            <w:vAlign w:val="bottom"/>
            <w:gridSpan w:val="2"/>
          </w:tcPr>
          <w:p>
            <w:pPr>
              <w:jc w:val="center"/>
              <w:ind w:right="180"/>
              <w:spacing w:after="0"/>
              <w:rPr>
                <w:sz w:val="20"/>
                <w:szCs w:val="20"/>
                <w:color w:val="auto"/>
              </w:rPr>
            </w:pPr>
            <w:r>
              <w:rPr>
                <w:rFonts w:ascii="Arial" w:cs="Arial" w:eastAsia="Arial" w:hAnsi="Arial"/>
                <w:sz w:val="16"/>
                <w:szCs w:val="16"/>
                <w:color w:val="auto"/>
                <w:w w:val="90"/>
              </w:rPr>
              <w:t>July 2020</w:t>
            </w:r>
          </w:p>
        </w:tc>
        <w:tc>
          <w:tcPr>
            <w:tcW w:w="1340" w:type="dxa"/>
            <w:vAlign w:val="bottom"/>
            <w:gridSpan w:val="2"/>
          </w:tcPr>
          <w:p>
            <w:pPr>
              <w:jc w:val="center"/>
              <w:ind w:right="160"/>
              <w:spacing w:after="0"/>
              <w:rPr>
                <w:sz w:val="20"/>
                <w:szCs w:val="20"/>
                <w:color w:val="auto"/>
              </w:rPr>
            </w:pPr>
            <w:r>
              <w:rPr>
                <w:rFonts w:ascii="Arial" w:cs="Arial" w:eastAsia="Arial" w:hAnsi="Arial"/>
                <w:sz w:val="16"/>
                <w:szCs w:val="16"/>
                <w:color w:val="auto"/>
                <w:w w:val="90"/>
              </w:rPr>
              <w:t>July 2024</w:t>
            </w:r>
          </w:p>
        </w:tc>
        <w:tc>
          <w:tcPr>
            <w:tcW w:w="1280" w:type="dxa"/>
            <w:vAlign w:val="bottom"/>
          </w:tcPr>
          <w:p>
            <w:pPr>
              <w:jc w:val="center"/>
              <w:spacing w:after="0"/>
              <w:rPr>
                <w:sz w:val="20"/>
                <w:szCs w:val="20"/>
                <w:color w:val="auto"/>
              </w:rPr>
            </w:pPr>
            <w:r>
              <w:rPr>
                <w:rFonts w:ascii="Arial" w:cs="Arial" w:eastAsia="Arial" w:hAnsi="Arial"/>
                <w:sz w:val="16"/>
                <w:szCs w:val="16"/>
                <w:color w:val="auto"/>
                <w:w w:val="92"/>
              </w:rPr>
              <w:t>2.937%</w:t>
            </w:r>
          </w:p>
        </w:tc>
        <w:tc>
          <w:tcPr>
            <w:tcW w:w="160" w:type="dxa"/>
            <w:vAlign w:val="bottom"/>
          </w:tcPr>
          <w:p>
            <w:pPr>
              <w:spacing w:after="0"/>
              <w:rPr>
                <w:sz w:val="17"/>
                <w:szCs w:val="17"/>
                <w:color w:val="auto"/>
              </w:rPr>
            </w:pPr>
          </w:p>
        </w:tc>
        <w:tc>
          <w:tcPr>
            <w:tcW w:w="1540" w:type="dxa"/>
            <w:vAlign w:val="bottom"/>
            <w:gridSpan w:val="2"/>
          </w:tcPr>
          <w:p>
            <w:pPr>
              <w:ind w:left="1100"/>
              <w:spacing w:after="0"/>
              <w:rPr>
                <w:sz w:val="20"/>
                <w:szCs w:val="20"/>
                <w:color w:val="auto"/>
              </w:rPr>
            </w:pPr>
            <w:r>
              <w:rPr>
                <w:rFonts w:ascii="Arial" w:cs="Arial" w:eastAsia="Arial" w:hAnsi="Arial"/>
                <w:sz w:val="16"/>
                <w:szCs w:val="16"/>
                <w:color w:val="auto"/>
              </w:rPr>
              <w:t>N/A</w:t>
            </w:r>
          </w:p>
        </w:tc>
        <w:tc>
          <w:tcPr>
            <w:tcW w:w="1260" w:type="dxa"/>
            <w:vAlign w:val="bottom"/>
          </w:tcPr>
          <w:p>
            <w:pPr>
              <w:jc w:val="right"/>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7"/>
                <w:szCs w:val="17"/>
                <w:color w:val="auto"/>
              </w:rPr>
            </w:pPr>
          </w:p>
        </w:tc>
      </w:tr>
      <w:tr>
        <w:trPr>
          <w:trHeight w:val="203"/>
        </w:trPr>
        <w:tc>
          <w:tcPr>
            <w:tcW w:w="1220" w:type="dxa"/>
            <w:vAlign w:val="bottom"/>
            <w:shd w:val="clear" w:color="auto" w:fill="E5FFFF"/>
          </w:tcPr>
          <w:p>
            <w:pPr>
              <w:spacing w:after="0"/>
              <w:rPr>
                <w:sz w:val="20"/>
                <w:szCs w:val="20"/>
                <w:color w:val="auto"/>
              </w:rPr>
            </w:pPr>
            <w:r>
              <w:rPr>
                <w:rFonts w:ascii="Arial" w:cs="Arial" w:eastAsia="Arial" w:hAnsi="Arial"/>
                <w:sz w:val="16"/>
                <w:szCs w:val="16"/>
                <w:color w:val="auto"/>
              </w:rPr>
              <w:t>GasLog</w:t>
            </w:r>
          </w:p>
        </w:tc>
        <w:tc>
          <w:tcPr>
            <w:tcW w:w="2100" w:type="dxa"/>
            <w:vAlign w:val="bottom"/>
            <w:gridSpan w:val="3"/>
            <w:shd w:val="clear" w:color="auto" w:fill="E5FFFF"/>
          </w:tcPr>
          <w:p>
            <w:pPr>
              <w:ind w:left="180"/>
              <w:spacing w:after="0"/>
              <w:rPr>
                <w:sz w:val="20"/>
                <w:szCs w:val="20"/>
                <w:color w:val="auto"/>
              </w:rPr>
            </w:pPr>
            <w:r>
              <w:rPr>
                <w:rFonts w:ascii="Arial" w:cs="Arial" w:eastAsia="Arial" w:hAnsi="Arial"/>
                <w:sz w:val="16"/>
                <w:szCs w:val="16"/>
                <w:color w:val="auto"/>
              </w:rPr>
              <w:t>DNB</w:t>
            </w:r>
          </w:p>
        </w:tc>
        <w:tc>
          <w:tcPr>
            <w:tcW w:w="1340" w:type="dxa"/>
            <w:vAlign w:val="bottom"/>
            <w:gridSpan w:val="2"/>
            <w:shd w:val="clear" w:color="auto" w:fill="E5FFFF"/>
          </w:tcPr>
          <w:p>
            <w:pPr>
              <w:jc w:val="center"/>
              <w:ind w:right="200"/>
              <w:spacing w:after="0"/>
              <w:rPr>
                <w:sz w:val="20"/>
                <w:szCs w:val="20"/>
                <w:color w:val="auto"/>
              </w:rPr>
            </w:pPr>
            <w:r>
              <w:rPr>
                <w:rFonts w:ascii="Arial" w:cs="Arial" w:eastAsia="Arial" w:hAnsi="Arial"/>
                <w:sz w:val="16"/>
                <w:szCs w:val="16"/>
                <w:color w:val="auto"/>
                <w:w w:val="90"/>
              </w:rPr>
              <w:t>Dec 2018</w:t>
            </w:r>
          </w:p>
        </w:tc>
        <w:tc>
          <w:tcPr>
            <w:tcW w:w="1320" w:type="dxa"/>
            <w:vAlign w:val="bottom"/>
            <w:gridSpan w:val="2"/>
            <w:shd w:val="clear" w:color="auto" w:fill="E5FFFF"/>
          </w:tcPr>
          <w:p>
            <w:pPr>
              <w:jc w:val="center"/>
              <w:ind w:right="180"/>
              <w:spacing w:after="0"/>
              <w:rPr>
                <w:sz w:val="20"/>
                <w:szCs w:val="20"/>
                <w:color w:val="auto"/>
              </w:rPr>
            </w:pPr>
            <w:r>
              <w:rPr>
                <w:rFonts w:ascii="Arial" w:cs="Arial" w:eastAsia="Arial" w:hAnsi="Arial"/>
                <w:sz w:val="16"/>
                <w:szCs w:val="16"/>
                <w:color w:val="auto"/>
                <w:w w:val="97"/>
              </w:rPr>
              <w:t>April 2020</w:t>
            </w:r>
          </w:p>
        </w:tc>
        <w:tc>
          <w:tcPr>
            <w:tcW w:w="1340" w:type="dxa"/>
            <w:vAlign w:val="bottom"/>
            <w:gridSpan w:val="2"/>
            <w:shd w:val="clear" w:color="auto" w:fill="E5FFFF"/>
          </w:tcPr>
          <w:p>
            <w:pPr>
              <w:jc w:val="center"/>
              <w:ind w:right="160"/>
              <w:spacing w:after="0"/>
              <w:rPr>
                <w:sz w:val="20"/>
                <w:szCs w:val="20"/>
                <w:color w:val="auto"/>
              </w:rPr>
            </w:pPr>
            <w:r>
              <w:rPr>
                <w:rFonts w:ascii="Arial" w:cs="Arial" w:eastAsia="Arial" w:hAnsi="Arial"/>
                <w:sz w:val="16"/>
                <w:szCs w:val="16"/>
                <w:color w:val="auto"/>
                <w:w w:val="97"/>
              </w:rPr>
              <w:t>April 2025</w:t>
            </w:r>
          </w:p>
        </w:tc>
        <w:tc>
          <w:tcPr>
            <w:tcW w:w="128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2"/>
              </w:rPr>
              <w:t>2.979%</w:t>
            </w:r>
          </w:p>
        </w:tc>
        <w:tc>
          <w:tcPr>
            <w:tcW w:w="160" w:type="dxa"/>
            <w:vAlign w:val="bottom"/>
            <w:shd w:val="clear" w:color="auto" w:fill="E5FFFF"/>
          </w:tcPr>
          <w:p>
            <w:pPr>
              <w:spacing w:after="0"/>
              <w:rPr>
                <w:sz w:val="17"/>
                <w:szCs w:val="17"/>
                <w:color w:val="auto"/>
              </w:rPr>
            </w:pPr>
          </w:p>
        </w:tc>
        <w:tc>
          <w:tcPr>
            <w:tcW w:w="1540" w:type="dxa"/>
            <w:vAlign w:val="bottom"/>
            <w:gridSpan w:val="2"/>
            <w:shd w:val="clear" w:color="auto" w:fill="E5FFFF"/>
          </w:tcPr>
          <w:p>
            <w:pPr>
              <w:ind w:left="1100"/>
              <w:spacing w:after="0"/>
              <w:rPr>
                <w:sz w:val="20"/>
                <w:szCs w:val="20"/>
                <w:color w:val="auto"/>
              </w:rPr>
            </w:pPr>
            <w:r>
              <w:rPr>
                <w:rFonts w:ascii="Arial" w:cs="Arial" w:eastAsia="Arial" w:hAnsi="Arial"/>
                <w:sz w:val="16"/>
                <w:szCs w:val="16"/>
                <w:color w:val="auto"/>
              </w:rPr>
              <w:t>N/A</w:t>
            </w:r>
          </w:p>
        </w:tc>
        <w:tc>
          <w:tcPr>
            <w:tcW w:w="12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7"/>
                <w:szCs w:val="17"/>
                <w:color w:val="auto"/>
              </w:rPr>
            </w:pPr>
          </w:p>
        </w:tc>
      </w:tr>
      <w:tr>
        <w:trPr>
          <w:trHeight w:val="196"/>
        </w:trPr>
        <w:tc>
          <w:tcPr>
            <w:tcW w:w="1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Total</w:t>
            </w:r>
          </w:p>
        </w:tc>
        <w:tc>
          <w:tcPr>
            <w:tcW w:w="160" w:type="dxa"/>
            <w:vAlign w:val="bottom"/>
          </w:tcPr>
          <w:p>
            <w:pPr>
              <w:spacing w:after="0"/>
              <w:rPr>
                <w:sz w:val="17"/>
                <w:szCs w:val="17"/>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1,170,000</w:t>
            </w:r>
          </w:p>
        </w:tc>
        <w:tc>
          <w:tcPr>
            <w:tcW w:w="160" w:type="dxa"/>
            <w:vAlign w:val="bottom"/>
          </w:tcPr>
          <w:p>
            <w:pPr>
              <w:spacing w:after="0"/>
              <w:rPr>
                <w:sz w:val="17"/>
                <w:szCs w:val="17"/>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1,170,000</w:t>
            </w:r>
          </w:p>
        </w:tc>
        <w:tc>
          <w:tcPr>
            <w:tcW w:w="20" w:type="dxa"/>
            <w:vAlign w:val="bottom"/>
            <w:tcBorders>
              <w:bottom w:val="single" w:sz="8" w:color="auto"/>
            </w:tcBorders>
          </w:tcPr>
          <w:p>
            <w:pPr>
              <w:spacing w:after="0"/>
              <w:rPr>
                <w:sz w:val="17"/>
                <w:szCs w:val="17"/>
                <w:color w:val="auto"/>
              </w:rPr>
            </w:pPr>
          </w:p>
        </w:tc>
      </w:tr>
      <w:tr>
        <w:trPr>
          <w:trHeight w:val="20"/>
        </w:trPr>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87" w:lineRule="exact"/>
        <w:rPr>
          <w:sz w:val="20"/>
          <w:szCs w:val="20"/>
          <w:color w:val="auto"/>
        </w:rPr>
      </w:pPr>
    </w:p>
    <w:p>
      <w:pPr>
        <w:ind w:right="120" w:firstLine="383"/>
        <w:spacing w:after="0" w:line="297" w:lineRule="auto"/>
        <w:rPr>
          <w:sz w:val="20"/>
          <w:szCs w:val="20"/>
          <w:color w:val="auto"/>
        </w:rPr>
      </w:pPr>
      <w:r>
        <w:rPr>
          <w:rFonts w:ascii="Arial" w:cs="Arial" w:eastAsia="Arial" w:hAnsi="Arial"/>
          <w:sz w:val="15"/>
          <w:szCs w:val="15"/>
          <w:color w:val="auto"/>
        </w:rPr>
        <w:t>The derivative instruments listed above were not designated as cash flow hedging instruments. The change in the fair value of these contracts for the three months ended March 31, 2019 amounted to a net loss of $20,754 (for the three months ended March 31, 2018: a net gain of $16,313), which was recognized against profit or loss in the period incurred and is included in Gain/(loss) on derivatives. During the three months ended March 31, 2019, the net loss of $20,754 derived from changes in the LIBOR curve as well as modifications of the Group’s interest swap portfolio that includes interest rate swap agreements with maturities out to 2028.</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Cross currency swap agreements</w:t>
      </w:r>
    </w:p>
    <w:p>
      <w:pPr>
        <w:spacing w:after="0" w:line="239" w:lineRule="exact"/>
        <w:rPr>
          <w:sz w:val="20"/>
          <w:szCs w:val="20"/>
          <w:color w:val="auto"/>
        </w:rPr>
      </w:pPr>
    </w:p>
    <w:p>
      <w:pPr>
        <w:ind w:right="180" w:firstLine="356"/>
        <w:spacing w:after="0" w:line="328" w:lineRule="auto"/>
        <w:rPr>
          <w:sz w:val="20"/>
          <w:szCs w:val="20"/>
          <w:color w:val="auto"/>
        </w:rPr>
      </w:pPr>
      <w:r>
        <w:rPr>
          <w:rFonts w:ascii="Arial" w:cs="Arial" w:eastAsia="Arial" w:hAnsi="Arial"/>
          <w:sz w:val="15"/>
          <w:szCs w:val="15"/>
          <w:color w:val="auto"/>
        </w:rPr>
        <w:t>The Group enters into cross currency swaps (“CCSs”) which convert the floating interest rate exposure and the variability of the USD functional currency equivalent cash flows into a fixed interest rate and principal on maturity, in order to hedge the Group’s exposure to fluctuations deriving from its NOK 2021 Bonds.</w:t>
      </w:r>
    </w:p>
    <w:p>
      <w:pPr>
        <w:spacing w:after="0" w:line="150"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CCSs qualified as cash flow hedging instruments for accounting purposes.</w:t>
      </w:r>
    </w:p>
    <w:p>
      <w:pPr>
        <w:spacing w:after="0" w:line="23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principal terms of the CCSs designated as cash flow hedging instruments are as follows:</w:t>
      </w: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35901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359015" cy="29845"/>
                    </a:xfrm>
                    <a:prstGeom prst="rect">
                      <a:avLst/>
                    </a:prstGeom>
                    <a:noFill/>
                  </pic:spPr>
                </pic:pic>
              </a:graphicData>
            </a:graphic>
          </wp:anchor>
        </w:drawing>
      </w:r>
    </w:p>
    <w:p>
      <w:pPr>
        <w:sectPr>
          <w:pgSz w:w="11900" w:h="16838" w:orient="portrait"/>
          <w:cols w:equalWidth="0" w:num="1">
            <w:col w:w="11560"/>
          </w:cols>
          <w:pgMar w:left="160" w:top="262" w:right="17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10"/>
        </w:trPr>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80" w:type="dxa"/>
            <w:vAlign w:val="bottom"/>
            <w:gridSpan w:val="4"/>
          </w:tcPr>
          <w:p>
            <w:pPr>
              <w:ind w:left="780"/>
              <w:spacing w:after="0"/>
              <w:rPr>
                <w:sz w:val="20"/>
                <w:szCs w:val="20"/>
                <w:color w:val="auto"/>
              </w:rPr>
            </w:pPr>
            <w:r>
              <w:rPr>
                <w:rFonts w:ascii="Arial" w:cs="Arial" w:eastAsia="Arial" w:hAnsi="Arial"/>
                <w:sz w:val="16"/>
                <w:szCs w:val="16"/>
                <w:b w:val="1"/>
                <w:bCs w:val="1"/>
                <w:color w:val="auto"/>
              </w:rPr>
              <w:t>Notional Amount</w:t>
            </w:r>
          </w:p>
        </w:tc>
        <w:tc>
          <w:tcPr>
            <w:tcW w:w="0" w:type="dxa"/>
            <w:vAlign w:val="bottom"/>
          </w:tcPr>
          <w:p>
            <w:pPr>
              <w:spacing w:after="0"/>
              <w:rPr>
                <w:sz w:val="1"/>
                <w:szCs w:val="1"/>
                <w:color w:val="auto"/>
              </w:rPr>
            </w:pPr>
          </w:p>
        </w:tc>
      </w:tr>
      <w:tr>
        <w:trPr>
          <w:trHeight w:val="188"/>
        </w:trPr>
        <w:tc>
          <w:tcPr>
            <w:tcW w:w="6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Effective</w:t>
            </w:r>
          </w:p>
        </w:tc>
        <w:tc>
          <w:tcPr>
            <w:tcW w:w="12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Termination</w:t>
            </w:r>
          </w:p>
        </w:tc>
        <w:tc>
          <w:tcPr>
            <w:tcW w:w="13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Fixed Interest</w:t>
            </w:r>
          </w:p>
        </w:tc>
        <w:tc>
          <w:tcPr>
            <w:tcW w:w="1500" w:type="dxa"/>
            <w:vAlign w:val="bottom"/>
            <w:tcBorders>
              <w:top w:val="single" w:sz="8" w:color="auto"/>
            </w:tcBorders>
            <w:gridSpan w:val="2"/>
          </w:tcPr>
          <w:p>
            <w:pPr>
              <w:ind w:left="160"/>
              <w:spacing w:after="0"/>
              <w:rPr>
                <w:sz w:val="20"/>
                <w:szCs w:val="20"/>
                <w:color w:val="auto"/>
              </w:rPr>
            </w:pPr>
            <w:r>
              <w:rPr>
                <w:rFonts w:ascii="Arial" w:cs="Arial" w:eastAsia="Arial" w:hAnsi="Arial"/>
                <w:sz w:val="16"/>
                <w:szCs w:val="16"/>
                <w:b w:val="1"/>
                <w:bCs w:val="1"/>
                <w:color w:val="auto"/>
              </w:rPr>
              <w:t>December 31,</w:t>
            </w:r>
          </w:p>
        </w:tc>
        <w:tc>
          <w:tcPr>
            <w:tcW w:w="126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March 31,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100" w:type="dxa"/>
            <w:vAlign w:val="bottom"/>
            <w:gridSpan w:val="2"/>
          </w:tcPr>
          <w:p>
            <w:pPr>
              <w:spacing w:after="0" w:line="176" w:lineRule="exact"/>
              <w:rPr>
                <w:sz w:val="20"/>
                <w:szCs w:val="20"/>
                <w:color w:val="auto"/>
              </w:rPr>
            </w:pPr>
            <w:r>
              <w:rPr>
                <w:rFonts w:ascii="Arial" w:cs="Arial" w:eastAsia="Arial" w:hAnsi="Arial"/>
                <w:sz w:val="16"/>
                <w:szCs w:val="16"/>
                <w:b w:val="1"/>
                <w:bCs w:val="1"/>
                <w:color w:val="auto"/>
              </w:rPr>
              <w:t>Company</w:t>
            </w:r>
          </w:p>
        </w:tc>
        <w:tc>
          <w:tcPr>
            <w:tcW w:w="440" w:type="dxa"/>
            <w:vAlign w:val="bottom"/>
          </w:tcPr>
          <w:p>
            <w:pPr>
              <w:spacing w:after="0"/>
              <w:rPr>
                <w:sz w:val="15"/>
                <w:szCs w:val="15"/>
                <w:color w:val="auto"/>
              </w:rPr>
            </w:pPr>
          </w:p>
        </w:tc>
        <w:tc>
          <w:tcPr>
            <w:tcW w:w="1960" w:type="dxa"/>
            <w:vAlign w:val="bottom"/>
            <w:gridSpan w:val="2"/>
          </w:tcPr>
          <w:p>
            <w:pPr>
              <w:ind w:left="380"/>
              <w:spacing w:after="0" w:line="176" w:lineRule="exact"/>
              <w:rPr>
                <w:sz w:val="20"/>
                <w:szCs w:val="20"/>
                <w:color w:val="auto"/>
              </w:rPr>
            </w:pPr>
            <w:r>
              <w:rPr>
                <w:rFonts w:ascii="Arial" w:cs="Arial" w:eastAsia="Arial" w:hAnsi="Arial"/>
                <w:sz w:val="16"/>
                <w:szCs w:val="16"/>
                <w:b w:val="1"/>
                <w:bCs w:val="1"/>
                <w:color w:val="auto"/>
              </w:rPr>
              <w:t>Counterparty</w:t>
            </w:r>
          </w:p>
        </w:tc>
        <w:tc>
          <w:tcPr>
            <w:tcW w:w="1380" w:type="dxa"/>
            <w:vAlign w:val="bottom"/>
            <w:gridSpan w:val="2"/>
          </w:tcPr>
          <w:p>
            <w:pPr>
              <w:jc w:val="center"/>
              <w:ind w:right="220"/>
              <w:spacing w:after="0" w:line="176" w:lineRule="exact"/>
              <w:rPr>
                <w:sz w:val="20"/>
                <w:szCs w:val="20"/>
                <w:color w:val="auto"/>
              </w:rPr>
            </w:pPr>
            <w:r>
              <w:rPr>
                <w:rFonts w:ascii="Arial" w:cs="Arial" w:eastAsia="Arial" w:hAnsi="Arial"/>
                <w:sz w:val="16"/>
                <w:szCs w:val="16"/>
                <w:b w:val="1"/>
                <w:bCs w:val="1"/>
                <w:color w:val="auto"/>
                <w:w w:val="91"/>
              </w:rPr>
              <w:t>Trade Date</w:t>
            </w:r>
          </w:p>
        </w:tc>
        <w:tc>
          <w:tcPr>
            <w:tcW w:w="1280" w:type="dxa"/>
            <w:vAlign w:val="bottom"/>
            <w:gridSpan w:val="2"/>
          </w:tcPr>
          <w:p>
            <w:pPr>
              <w:jc w:val="center"/>
              <w:ind w:right="240"/>
              <w:spacing w:after="0" w:line="176" w:lineRule="exact"/>
              <w:rPr>
                <w:sz w:val="20"/>
                <w:szCs w:val="20"/>
                <w:color w:val="auto"/>
              </w:rPr>
            </w:pPr>
            <w:r>
              <w:rPr>
                <w:rFonts w:ascii="Arial" w:cs="Arial" w:eastAsia="Arial" w:hAnsi="Arial"/>
                <w:sz w:val="16"/>
                <w:szCs w:val="16"/>
                <w:b w:val="1"/>
                <w:bCs w:val="1"/>
                <w:color w:val="auto"/>
                <w:w w:val="92"/>
              </w:rPr>
              <w:t>Date</w:t>
            </w:r>
          </w:p>
        </w:tc>
        <w:tc>
          <w:tcPr>
            <w:tcW w:w="1260" w:type="dxa"/>
            <w:vAlign w:val="bottom"/>
            <w:gridSpan w:val="2"/>
          </w:tcPr>
          <w:p>
            <w:pPr>
              <w:jc w:val="center"/>
              <w:ind w:right="240"/>
              <w:spacing w:after="0" w:line="176" w:lineRule="exact"/>
              <w:rPr>
                <w:sz w:val="20"/>
                <w:szCs w:val="20"/>
                <w:color w:val="auto"/>
              </w:rPr>
            </w:pPr>
            <w:r>
              <w:rPr>
                <w:rFonts w:ascii="Arial" w:cs="Arial" w:eastAsia="Arial" w:hAnsi="Arial"/>
                <w:sz w:val="16"/>
                <w:szCs w:val="16"/>
                <w:b w:val="1"/>
                <w:bCs w:val="1"/>
                <w:color w:val="auto"/>
                <w:w w:val="97"/>
              </w:rPr>
              <w:t>Date</w:t>
            </w:r>
          </w:p>
        </w:tc>
        <w:tc>
          <w:tcPr>
            <w:tcW w:w="1380" w:type="dxa"/>
            <w:vAlign w:val="bottom"/>
            <w:gridSpan w:val="2"/>
          </w:tcPr>
          <w:p>
            <w:pPr>
              <w:jc w:val="center"/>
              <w:ind w:right="220"/>
              <w:spacing w:after="0" w:line="176" w:lineRule="exact"/>
              <w:rPr>
                <w:sz w:val="20"/>
                <w:szCs w:val="20"/>
                <w:color w:val="auto"/>
              </w:rPr>
            </w:pPr>
            <w:r>
              <w:rPr>
                <w:rFonts w:ascii="Arial" w:cs="Arial" w:eastAsia="Arial" w:hAnsi="Arial"/>
                <w:sz w:val="16"/>
                <w:szCs w:val="16"/>
                <w:b w:val="1"/>
                <w:bCs w:val="1"/>
                <w:color w:val="auto"/>
                <w:w w:val="92"/>
              </w:rPr>
              <w:t>Rate</w:t>
            </w:r>
          </w:p>
        </w:tc>
        <w:tc>
          <w:tcPr>
            <w:tcW w:w="1260" w:type="dxa"/>
            <w:vAlign w:val="bottom"/>
          </w:tcPr>
          <w:p>
            <w:pPr>
              <w:jc w:val="right"/>
              <w:ind w:right="379"/>
              <w:spacing w:after="0" w:line="176" w:lineRule="exact"/>
              <w:rPr>
                <w:sz w:val="20"/>
                <w:szCs w:val="20"/>
                <w:color w:val="auto"/>
              </w:rPr>
            </w:pPr>
            <w:r>
              <w:rPr>
                <w:rFonts w:ascii="Arial" w:cs="Arial" w:eastAsia="Arial" w:hAnsi="Arial"/>
                <w:sz w:val="16"/>
                <w:szCs w:val="16"/>
                <w:b w:val="1"/>
                <w:bCs w:val="1"/>
                <w:color w:val="auto"/>
              </w:rPr>
              <w:t>2018</w:t>
            </w:r>
          </w:p>
        </w:tc>
        <w:tc>
          <w:tcPr>
            <w:tcW w:w="240" w:type="dxa"/>
            <w:vAlign w:val="bottom"/>
          </w:tcPr>
          <w:p>
            <w:pPr>
              <w:spacing w:after="0"/>
              <w:rPr>
                <w:sz w:val="15"/>
                <w:szCs w:val="15"/>
                <w:color w:val="auto"/>
              </w:rPr>
            </w:pPr>
          </w:p>
        </w:tc>
        <w:tc>
          <w:tcPr>
            <w:tcW w:w="1260" w:type="dxa"/>
            <w:vAlign w:val="bottom"/>
          </w:tcPr>
          <w:p>
            <w:pPr>
              <w:jc w:val="right"/>
              <w:ind w:right="379"/>
              <w:spacing w:after="0" w:line="176" w:lineRule="exact"/>
              <w:rPr>
                <w:sz w:val="20"/>
                <w:szCs w:val="20"/>
                <w:color w:val="auto"/>
              </w:rPr>
            </w:pPr>
            <w:r>
              <w:rPr>
                <w:rFonts w:ascii="Arial" w:cs="Arial" w:eastAsia="Arial" w:hAnsi="Arial"/>
                <w:sz w:val="16"/>
                <w:szCs w:val="16"/>
                <w:b w:val="1"/>
                <w:bCs w:val="1"/>
                <w:color w:val="auto"/>
              </w:rPr>
              <w:t>2019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8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6"/>
                <w:szCs w:val="16"/>
                <w:color w:val="auto"/>
              </w:rPr>
              <w:t>GasLog</w:t>
            </w:r>
          </w:p>
        </w:tc>
        <w:tc>
          <w:tcPr>
            <w:tcW w:w="420" w:type="dxa"/>
            <w:vAlign w:val="bottom"/>
            <w:vMerge w:val="restart"/>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680" w:type="dxa"/>
            <w:vAlign w:val="bottom"/>
            <w:vMerge w:val="continue"/>
          </w:tcPr>
          <w:p>
            <w:pPr>
              <w:spacing w:after="0"/>
              <w:rPr>
                <w:sz w:val="17"/>
                <w:szCs w:val="17"/>
                <w:color w:val="auto"/>
              </w:rPr>
            </w:pPr>
          </w:p>
        </w:tc>
        <w:tc>
          <w:tcPr>
            <w:tcW w:w="420" w:type="dxa"/>
            <w:vAlign w:val="bottom"/>
            <w:vMerge w:val="continue"/>
          </w:tcPr>
          <w:p>
            <w:pPr>
              <w:spacing w:after="0"/>
              <w:rPr>
                <w:sz w:val="17"/>
                <w:szCs w:val="17"/>
                <w:color w:val="auto"/>
              </w:rPr>
            </w:pPr>
          </w:p>
        </w:tc>
        <w:tc>
          <w:tcPr>
            <w:tcW w:w="440" w:type="dxa"/>
            <w:vAlign w:val="bottom"/>
          </w:tcPr>
          <w:p>
            <w:pPr>
              <w:spacing w:after="0"/>
              <w:rPr>
                <w:sz w:val="17"/>
                <w:szCs w:val="17"/>
                <w:color w:val="auto"/>
              </w:rPr>
            </w:pPr>
          </w:p>
        </w:tc>
        <w:tc>
          <w:tcPr>
            <w:tcW w:w="1740" w:type="dxa"/>
            <w:vAlign w:val="bottom"/>
          </w:tcPr>
          <w:p>
            <w:pPr>
              <w:spacing w:after="0"/>
              <w:rPr>
                <w:sz w:val="20"/>
                <w:szCs w:val="20"/>
                <w:color w:val="auto"/>
              </w:rPr>
            </w:pPr>
            <w:r>
              <w:rPr>
                <w:rFonts w:ascii="Arial" w:cs="Arial" w:eastAsia="Arial" w:hAnsi="Arial"/>
                <w:sz w:val="16"/>
                <w:szCs w:val="16"/>
                <w:color w:val="auto"/>
              </w:rPr>
              <w:t>DNB</w:t>
            </w:r>
          </w:p>
        </w:tc>
        <w:tc>
          <w:tcPr>
            <w:tcW w:w="22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Arial" w:cs="Arial" w:eastAsia="Arial" w:hAnsi="Arial"/>
                <w:sz w:val="16"/>
                <w:szCs w:val="16"/>
                <w:color w:val="auto"/>
                <w:w w:val="88"/>
              </w:rPr>
              <w:t>June 2016</w:t>
            </w:r>
          </w:p>
        </w:tc>
        <w:tc>
          <w:tcPr>
            <w:tcW w:w="22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88"/>
              </w:rPr>
              <w:t>June 2016</w:t>
            </w:r>
          </w:p>
        </w:tc>
        <w:tc>
          <w:tcPr>
            <w:tcW w:w="24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93"/>
              </w:rPr>
              <w:t>May 2021</w:t>
            </w:r>
          </w:p>
        </w:tc>
        <w:tc>
          <w:tcPr>
            <w:tcW w:w="24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w w:val="92"/>
              </w:rPr>
              <w:t>8.59%</w:t>
            </w:r>
          </w:p>
        </w:tc>
        <w:tc>
          <w:tcPr>
            <w:tcW w:w="2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30,050</w:t>
            </w:r>
          </w:p>
        </w:tc>
        <w:tc>
          <w:tcPr>
            <w:tcW w:w="2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30,050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0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GasLog</w:t>
            </w:r>
          </w:p>
        </w:tc>
        <w:tc>
          <w:tcPr>
            <w:tcW w:w="2400" w:type="dxa"/>
            <w:vAlign w:val="bottom"/>
            <w:gridSpan w:val="3"/>
            <w:shd w:val="clear" w:color="auto" w:fill="E5FFFF"/>
          </w:tcPr>
          <w:p>
            <w:pPr>
              <w:ind w:left="440"/>
              <w:spacing w:after="0"/>
              <w:rPr>
                <w:sz w:val="20"/>
                <w:szCs w:val="20"/>
                <w:color w:val="auto"/>
              </w:rPr>
            </w:pPr>
            <w:r>
              <w:rPr>
                <w:rFonts w:ascii="Arial" w:cs="Arial" w:eastAsia="Arial" w:hAnsi="Arial"/>
                <w:sz w:val="16"/>
                <w:szCs w:val="16"/>
                <w:color w:val="auto"/>
              </w:rPr>
              <w:t>SEB</w:t>
            </w:r>
          </w:p>
        </w:tc>
        <w:tc>
          <w:tcPr>
            <w:tcW w:w="1380" w:type="dxa"/>
            <w:vAlign w:val="bottom"/>
            <w:gridSpan w:val="2"/>
            <w:shd w:val="clear" w:color="auto" w:fill="E5FFFF"/>
          </w:tcPr>
          <w:p>
            <w:pPr>
              <w:jc w:val="center"/>
              <w:ind w:right="240"/>
              <w:spacing w:after="0"/>
              <w:rPr>
                <w:sz w:val="20"/>
                <w:szCs w:val="20"/>
                <w:color w:val="auto"/>
              </w:rPr>
            </w:pPr>
            <w:r>
              <w:rPr>
                <w:rFonts w:ascii="Arial" w:cs="Arial" w:eastAsia="Arial" w:hAnsi="Arial"/>
                <w:sz w:val="16"/>
                <w:szCs w:val="16"/>
                <w:color w:val="auto"/>
                <w:w w:val="88"/>
              </w:rPr>
              <w:t>June 2016</w:t>
            </w:r>
          </w:p>
        </w:tc>
        <w:tc>
          <w:tcPr>
            <w:tcW w:w="1280" w:type="dxa"/>
            <w:vAlign w:val="bottom"/>
            <w:gridSpan w:val="2"/>
            <w:shd w:val="clear" w:color="auto" w:fill="E5FFFF"/>
          </w:tcPr>
          <w:p>
            <w:pPr>
              <w:jc w:val="center"/>
              <w:ind w:right="220"/>
              <w:spacing w:after="0"/>
              <w:rPr>
                <w:sz w:val="20"/>
                <w:szCs w:val="20"/>
                <w:color w:val="auto"/>
              </w:rPr>
            </w:pPr>
            <w:r>
              <w:rPr>
                <w:rFonts w:ascii="Arial" w:cs="Arial" w:eastAsia="Arial" w:hAnsi="Arial"/>
                <w:sz w:val="16"/>
                <w:szCs w:val="16"/>
                <w:color w:val="auto"/>
                <w:w w:val="88"/>
              </w:rPr>
              <w:t>June 2016</w:t>
            </w:r>
          </w:p>
        </w:tc>
        <w:tc>
          <w:tcPr>
            <w:tcW w:w="1260" w:type="dxa"/>
            <w:vAlign w:val="bottom"/>
            <w:gridSpan w:val="2"/>
            <w:shd w:val="clear" w:color="auto" w:fill="E5FFFF"/>
          </w:tcPr>
          <w:p>
            <w:pPr>
              <w:jc w:val="center"/>
              <w:ind w:right="240"/>
              <w:spacing w:after="0"/>
              <w:rPr>
                <w:sz w:val="20"/>
                <w:szCs w:val="20"/>
                <w:color w:val="auto"/>
              </w:rPr>
            </w:pPr>
            <w:r>
              <w:rPr>
                <w:rFonts w:ascii="Arial" w:cs="Arial" w:eastAsia="Arial" w:hAnsi="Arial"/>
                <w:sz w:val="16"/>
                <w:szCs w:val="16"/>
                <w:color w:val="auto"/>
                <w:w w:val="93"/>
              </w:rPr>
              <w:t>May 2021</w:t>
            </w:r>
          </w:p>
        </w:tc>
        <w:tc>
          <w:tcPr>
            <w:tcW w:w="114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2"/>
              </w:rPr>
              <w:t>8.59%</w:t>
            </w:r>
          </w:p>
        </w:tc>
        <w:tc>
          <w:tcPr>
            <w:tcW w:w="240" w:type="dxa"/>
            <w:vAlign w:val="bottom"/>
            <w:shd w:val="clear" w:color="auto" w:fill="E5FFFF"/>
          </w:tcPr>
          <w:p>
            <w:pPr>
              <w:spacing w:after="0"/>
              <w:rPr>
                <w:sz w:val="17"/>
                <w:szCs w:val="17"/>
                <w:color w:val="auto"/>
              </w:rPr>
            </w:pPr>
          </w:p>
        </w:tc>
        <w:tc>
          <w:tcPr>
            <w:tcW w:w="12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30,050</w:t>
            </w:r>
          </w:p>
        </w:tc>
        <w:tc>
          <w:tcPr>
            <w:tcW w:w="240" w:type="dxa"/>
            <w:vAlign w:val="bottom"/>
            <w:shd w:val="clear" w:color="auto" w:fill="E5FFFF"/>
          </w:tcPr>
          <w:p>
            <w:pPr>
              <w:spacing w:after="0"/>
              <w:rPr>
                <w:sz w:val="17"/>
                <w:szCs w:val="17"/>
                <w:color w:val="auto"/>
              </w:rPr>
            </w:pPr>
          </w:p>
        </w:tc>
        <w:tc>
          <w:tcPr>
            <w:tcW w:w="12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30,050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00" w:type="dxa"/>
            <w:vAlign w:val="bottom"/>
            <w:tcBorders>
              <w:bottom w:val="single" w:sz="8" w:color="E5FFFF"/>
            </w:tcBorders>
            <w:gridSpan w:val="2"/>
          </w:tcPr>
          <w:p>
            <w:pPr>
              <w:spacing w:after="0"/>
              <w:rPr>
                <w:sz w:val="20"/>
                <w:szCs w:val="20"/>
                <w:color w:val="auto"/>
              </w:rPr>
            </w:pPr>
            <w:r>
              <w:rPr>
                <w:rFonts w:ascii="Arial" w:cs="Arial" w:eastAsia="Arial" w:hAnsi="Arial"/>
                <w:sz w:val="16"/>
                <w:szCs w:val="16"/>
                <w:color w:val="auto"/>
              </w:rPr>
              <w:t>GasLog</w:t>
            </w:r>
          </w:p>
        </w:tc>
        <w:tc>
          <w:tcPr>
            <w:tcW w:w="2400" w:type="dxa"/>
            <w:vAlign w:val="bottom"/>
            <w:tcBorders>
              <w:bottom w:val="single" w:sz="8" w:color="E5FFFF"/>
            </w:tcBorders>
            <w:gridSpan w:val="3"/>
          </w:tcPr>
          <w:p>
            <w:pPr>
              <w:ind w:left="440"/>
              <w:spacing w:after="0"/>
              <w:rPr>
                <w:sz w:val="20"/>
                <w:szCs w:val="20"/>
                <w:color w:val="auto"/>
              </w:rPr>
            </w:pPr>
            <w:r>
              <w:rPr>
                <w:rFonts w:ascii="Arial" w:cs="Arial" w:eastAsia="Arial" w:hAnsi="Arial"/>
                <w:sz w:val="16"/>
                <w:szCs w:val="16"/>
                <w:color w:val="auto"/>
              </w:rPr>
              <w:t>Nordea Bank Finland</w:t>
            </w:r>
          </w:p>
        </w:tc>
        <w:tc>
          <w:tcPr>
            <w:tcW w:w="1380" w:type="dxa"/>
            <w:vAlign w:val="bottom"/>
            <w:tcBorders>
              <w:bottom w:val="single" w:sz="8" w:color="E5FFFF"/>
            </w:tcBorders>
            <w:gridSpan w:val="2"/>
          </w:tcPr>
          <w:p>
            <w:pPr>
              <w:jc w:val="center"/>
              <w:ind w:right="240"/>
              <w:spacing w:after="0"/>
              <w:rPr>
                <w:sz w:val="20"/>
                <w:szCs w:val="20"/>
                <w:color w:val="auto"/>
              </w:rPr>
            </w:pPr>
            <w:r>
              <w:rPr>
                <w:rFonts w:ascii="Arial" w:cs="Arial" w:eastAsia="Arial" w:hAnsi="Arial"/>
                <w:sz w:val="16"/>
                <w:szCs w:val="16"/>
                <w:color w:val="auto"/>
                <w:w w:val="88"/>
              </w:rPr>
              <w:t>June 2016</w:t>
            </w:r>
          </w:p>
        </w:tc>
        <w:tc>
          <w:tcPr>
            <w:tcW w:w="1280" w:type="dxa"/>
            <w:vAlign w:val="bottom"/>
            <w:tcBorders>
              <w:bottom w:val="single" w:sz="8" w:color="E5FFFF"/>
            </w:tcBorders>
            <w:gridSpan w:val="2"/>
          </w:tcPr>
          <w:p>
            <w:pPr>
              <w:jc w:val="center"/>
              <w:ind w:right="220"/>
              <w:spacing w:after="0"/>
              <w:rPr>
                <w:sz w:val="20"/>
                <w:szCs w:val="20"/>
                <w:color w:val="auto"/>
              </w:rPr>
            </w:pPr>
            <w:r>
              <w:rPr>
                <w:rFonts w:ascii="Arial" w:cs="Arial" w:eastAsia="Arial" w:hAnsi="Arial"/>
                <w:sz w:val="16"/>
                <w:szCs w:val="16"/>
                <w:color w:val="auto"/>
                <w:w w:val="88"/>
              </w:rPr>
              <w:t>June 2016</w:t>
            </w:r>
          </w:p>
        </w:tc>
        <w:tc>
          <w:tcPr>
            <w:tcW w:w="1260" w:type="dxa"/>
            <w:vAlign w:val="bottom"/>
            <w:tcBorders>
              <w:bottom w:val="single" w:sz="8" w:color="E5FFFF"/>
            </w:tcBorders>
            <w:gridSpan w:val="2"/>
          </w:tcPr>
          <w:p>
            <w:pPr>
              <w:jc w:val="center"/>
              <w:ind w:right="240"/>
              <w:spacing w:after="0"/>
              <w:rPr>
                <w:sz w:val="20"/>
                <w:szCs w:val="20"/>
                <w:color w:val="auto"/>
              </w:rPr>
            </w:pPr>
            <w:r>
              <w:rPr>
                <w:rFonts w:ascii="Arial" w:cs="Arial" w:eastAsia="Arial" w:hAnsi="Arial"/>
                <w:sz w:val="16"/>
                <w:szCs w:val="16"/>
                <w:color w:val="auto"/>
                <w:w w:val="93"/>
              </w:rPr>
              <w:t>May 2021</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2"/>
              </w:rPr>
              <w:t>8.59%</w:t>
            </w:r>
          </w:p>
        </w:tc>
        <w:tc>
          <w:tcPr>
            <w:tcW w:w="240" w:type="dxa"/>
            <w:vAlign w:val="bottom"/>
            <w:tcBorders>
              <w:bottom w:val="single" w:sz="8" w:color="E5FFFF"/>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30,050</w:t>
            </w:r>
          </w:p>
        </w:tc>
        <w:tc>
          <w:tcPr>
            <w:tcW w:w="240" w:type="dxa"/>
            <w:vAlign w:val="bottom"/>
            <w:tcBorders>
              <w:bottom w:val="single" w:sz="8" w:color="E5FFFF"/>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30,050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Borders>
              <w:bottom w:val="single" w:sz="8" w:color="E5FFFF"/>
            </w:tcBorders>
            <w:shd w:val="clear" w:color="auto" w:fill="E5FFFF"/>
          </w:tcPr>
          <w:p>
            <w:pPr>
              <w:spacing w:after="0"/>
              <w:rPr>
                <w:sz w:val="17"/>
                <w:szCs w:val="17"/>
                <w:color w:val="auto"/>
              </w:rPr>
            </w:pPr>
          </w:p>
        </w:tc>
        <w:tc>
          <w:tcPr>
            <w:tcW w:w="420" w:type="dxa"/>
            <w:vAlign w:val="bottom"/>
            <w:tcBorders>
              <w:bottom w:val="single" w:sz="8" w:color="E5FFFF"/>
            </w:tcBorders>
            <w:shd w:val="clear" w:color="auto" w:fill="E5FFFF"/>
          </w:tcPr>
          <w:p>
            <w:pPr>
              <w:spacing w:after="0"/>
              <w:rPr>
                <w:sz w:val="17"/>
                <w:szCs w:val="17"/>
                <w:color w:val="auto"/>
              </w:rPr>
            </w:pPr>
          </w:p>
        </w:tc>
        <w:tc>
          <w:tcPr>
            <w:tcW w:w="440" w:type="dxa"/>
            <w:vAlign w:val="bottom"/>
            <w:tcBorders>
              <w:bottom w:val="single" w:sz="8" w:color="E5FFFF"/>
            </w:tcBorders>
            <w:shd w:val="clear" w:color="auto" w:fill="E5FFFF"/>
          </w:tcPr>
          <w:p>
            <w:pPr>
              <w:spacing w:after="0"/>
              <w:rPr>
                <w:sz w:val="17"/>
                <w:szCs w:val="17"/>
                <w:color w:val="auto"/>
              </w:rPr>
            </w:pPr>
          </w:p>
        </w:tc>
        <w:tc>
          <w:tcPr>
            <w:tcW w:w="1740" w:type="dxa"/>
            <w:vAlign w:val="bottom"/>
            <w:tcBorders>
              <w:bottom w:val="single" w:sz="8" w:color="E5FFFF"/>
            </w:tcBorders>
            <w:shd w:val="clear" w:color="auto" w:fill="E5FFFF"/>
          </w:tcPr>
          <w:p>
            <w:pPr>
              <w:spacing w:after="0"/>
              <w:rPr>
                <w:sz w:val="17"/>
                <w:szCs w:val="17"/>
                <w:color w:val="auto"/>
              </w:rPr>
            </w:pPr>
          </w:p>
        </w:tc>
        <w:tc>
          <w:tcPr>
            <w:tcW w:w="220" w:type="dxa"/>
            <w:vAlign w:val="bottom"/>
            <w:tcBorders>
              <w:bottom w:val="single" w:sz="8" w:color="E5FFFF"/>
            </w:tcBorders>
            <w:shd w:val="clear" w:color="auto" w:fill="E5FFFF"/>
          </w:tcPr>
          <w:p>
            <w:pPr>
              <w:spacing w:after="0"/>
              <w:rPr>
                <w:sz w:val="17"/>
                <w:szCs w:val="17"/>
                <w:color w:val="auto"/>
              </w:rPr>
            </w:pPr>
          </w:p>
        </w:tc>
        <w:tc>
          <w:tcPr>
            <w:tcW w:w="1160" w:type="dxa"/>
            <w:vAlign w:val="bottom"/>
            <w:tcBorders>
              <w:bottom w:val="single" w:sz="8" w:color="E5FFFF"/>
            </w:tcBorders>
            <w:shd w:val="clear" w:color="auto" w:fill="E5FFFF"/>
          </w:tcPr>
          <w:p>
            <w:pPr>
              <w:spacing w:after="0"/>
              <w:rPr>
                <w:sz w:val="17"/>
                <w:szCs w:val="17"/>
                <w:color w:val="auto"/>
              </w:rPr>
            </w:pPr>
          </w:p>
        </w:tc>
        <w:tc>
          <w:tcPr>
            <w:tcW w:w="220" w:type="dxa"/>
            <w:vAlign w:val="bottom"/>
            <w:tcBorders>
              <w:bottom w:val="single" w:sz="8" w:color="E5FFFF"/>
            </w:tcBorders>
            <w:shd w:val="clear" w:color="auto" w:fill="E5FFFF"/>
          </w:tcPr>
          <w:p>
            <w:pPr>
              <w:spacing w:after="0"/>
              <w:rPr>
                <w:sz w:val="17"/>
                <w:szCs w:val="17"/>
                <w:color w:val="auto"/>
              </w:rPr>
            </w:pPr>
          </w:p>
        </w:tc>
        <w:tc>
          <w:tcPr>
            <w:tcW w:w="1040" w:type="dxa"/>
            <w:vAlign w:val="bottom"/>
            <w:tcBorders>
              <w:bottom w:val="single" w:sz="8" w:color="E5FFFF"/>
            </w:tcBorders>
            <w:shd w:val="clear" w:color="auto" w:fill="E5FFFF"/>
          </w:tcPr>
          <w:p>
            <w:pPr>
              <w:spacing w:after="0"/>
              <w:rPr>
                <w:sz w:val="17"/>
                <w:szCs w:val="17"/>
                <w:color w:val="auto"/>
              </w:rPr>
            </w:pPr>
          </w:p>
        </w:tc>
        <w:tc>
          <w:tcPr>
            <w:tcW w:w="240" w:type="dxa"/>
            <w:vAlign w:val="bottom"/>
            <w:tcBorders>
              <w:bottom w:val="single" w:sz="8" w:color="E5FFFF"/>
            </w:tcBorders>
            <w:shd w:val="clear" w:color="auto" w:fill="E5FFFF"/>
          </w:tcPr>
          <w:p>
            <w:pPr>
              <w:spacing w:after="0"/>
              <w:rPr>
                <w:sz w:val="17"/>
                <w:szCs w:val="17"/>
                <w:color w:val="auto"/>
              </w:rPr>
            </w:pPr>
          </w:p>
        </w:tc>
        <w:tc>
          <w:tcPr>
            <w:tcW w:w="1020" w:type="dxa"/>
            <w:vAlign w:val="bottom"/>
            <w:tcBorders>
              <w:bottom w:val="single" w:sz="8" w:color="E5FFFF"/>
            </w:tcBorders>
            <w:shd w:val="clear" w:color="auto" w:fill="E5FFFF"/>
          </w:tcPr>
          <w:p>
            <w:pPr>
              <w:spacing w:after="0"/>
              <w:rPr>
                <w:sz w:val="17"/>
                <w:szCs w:val="17"/>
                <w:color w:val="auto"/>
              </w:rPr>
            </w:pPr>
          </w:p>
        </w:tc>
        <w:tc>
          <w:tcPr>
            <w:tcW w:w="240" w:type="dxa"/>
            <w:vAlign w:val="bottom"/>
            <w:tcBorders>
              <w:bottom w:val="single" w:sz="8" w:color="E5FFFF"/>
            </w:tcBorders>
            <w:shd w:val="clear" w:color="auto" w:fill="E5FFFF"/>
          </w:tcPr>
          <w:p>
            <w:pPr>
              <w:spacing w:after="0"/>
              <w:rPr>
                <w:sz w:val="17"/>
                <w:szCs w:val="17"/>
                <w:color w:val="auto"/>
              </w:rPr>
            </w:pPr>
          </w:p>
        </w:tc>
        <w:tc>
          <w:tcPr>
            <w:tcW w:w="1140" w:type="dxa"/>
            <w:vAlign w:val="bottom"/>
            <w:tcBorders>
              <w:bottom w:val="single" w:sz="8" w:color="auto"/>
            </w:tcBorders>
            <w:shd w:val="clear" w:color="auto" w:fill="E5FFFF"/>
          </w:tcPr>
          <w:p>
            <w:pPr>
              <w:jc w:val="center"/>
              <w:spacing w:after="0"/>
              <w:rPr>
                <w:sz w:val="20"/>
                <w:szCs w:val="20"/>
                <w:color w:val="auto"/>
              </w:rPr>
            </w:pPr>
            <w:r>
              <w:rPr>
                <w:rFonts w:ascii="Arial" w:cs="Arial" w:eastAsia="Arial" w:hAnsi="Arial"/>
                <w:sz w:val="16"/>
                <w:szCs w:val="16"/>
                <w:b w:val="1"/>
                <w:bCs w:val="1"/>
                <w:color w:val="auto"/>
                <w:w w:val="94"/>
              </w:rPr>
              <w:t>Total</w:t>
            </w:r>
          </w:p>
        </w:tc>
        <w:tc>
          <w:tcPr>
            <w:tcW w:w="240" w:type="dxa"/>
            <w:vAlign w:val="bottom"/>
            <w:tcBorders>
              <w:bottom w:val="single" w:sz="8" w:color="E5FFFF"/>
            </w:tcBorders>
            <w:shd w:val="clear" w:color="auto" w:fill="E5FFFF"/>
          </w:tcPr>
          <w:p>
            <w:pPr>
              <w:spacing w:after="0"/>
              <w:rPr>
                <w:sz w:val="17"/>
                <w:szCs w:val="17"/>
                <w:color w:val="auto"/>
              </w:rPr>
            </w:pPr>
          </w:p>
        </w:tc>
        <w:tc>
          <w:tcPr>
            <w:tcW w:w="12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90,150</w:t>
            </w:r>
          </w:p>
        </w:tc>
        <w:tc>
          <w:tcPr>
            <w:tcW w:w="240" w:type="dxa"/>
            <w:vAlign w:val="bottom"/>
            <w:tcBorders>
              <w:bottom w:val="single" w:sz="8" w:color="E5FFFF"/>
            </w:tcBorders>
            <w:shd w:val="clear" w:color="auto" w:fill="E5FFFF"/>
          </w:tcPr>
          <w:p>
            <w:pPr>
              <w:spacing w:after="0"/>
              <w:rPr>
                <w:sz w:val="17"/>
                <w:szCs w:val="17"/>
                <w:color w:val="auto"/>
              </w:rPr>
            </w:pPr>
          </w:p>
        </w:tc>
        <w:tc>
          <w:tcPr>
            <w:tcW w:w="12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90,150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right="140" w:firstLine="356"/>
        <w:spacing w:after="0" w:line="271" w:lineRule="auto"/>
        <w:rPr>
          <w:sz w:val="20"/>
          <w:szCs w:val="20"/>
          <w:color w:val="auto"/>
        </w:rPr>
      </w:pPr>
      <w:r>
        <w:rPr>
          <w:rFonts w:ascii="Arial" w:cs="Arial" w:eastAsia="Arial" w:hAnsi="Arial"/>
          <w:sz w:val="16"/>
          <w:szCs w:val="16"/>
          <w:color w:val="auto"/>
        </w:rPr>
        <w:t>For the three months ended March 31, 2019, the effective portion of changes in the fair value of CCSs amounting to a loss of $697 has been recognized in Other comprehensive income (for the three months ended March 31, 2018: a gain of $6,190). For the three months ended March 31, 2019, a loss of $162 was recycled to profit or loss representing the realized loss on CCSs in relation to the interest expenses component of the hedge (for the three months ended March 31, 2018: a loss of $69). Additionally, for the three months ended March 31, 2019, a loss of $704 was recognized in Other comprehensive income in relation to the retranslation of the NOK Bonds in U.S. dollars as of March 31, 2019 (for the three months ended March 31, 2018: a loss of $4,753).</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 foreign exchange contracts</w:t>
      </w:r>
    </w:p>
    <w:p>
      <w:pPr>
        <w:spacing w:after="0" w:line="239" w:lineRule="exact"/>
        <w:rPr>
          <w:sz w:val="20"/>
          <w:szCs w:val="20"/>
          <w:color w:val="auto"/>
        </w:rPr>
      </w:pPr>
    </w:p>
    <w:p>
      <w:pPr>
        <w:ind w:right="40" w:firstLine="383"/>
        <w:spacing w:after="0" w:line="273" w:lineRule="auto"/>
        <w:rPr>
          <w:sz w:val="20"/>
          <w:szCs w:val="20"/>
          <w:color w:val="auto"/>
        </w:rPr>
      </w:pPr>
      <w:r>
        <w:rPr>
          <w:rFonts w:ascii="Arial" w:cs="Arial" w:eastAsia="Arial" w:hAnsi="Arial"/>
          <w:sz w:val="16"/>
          <w:szCs w:val="16"/>
          <w:color w:val="auto"/>
        </w:rPr>
        <w:t>The Group uses forward foreign exchange contracts to mitigate foreign exchange transaction exposures in British Pounds Sterling (“GBP”) and Euros (“EUR”). Under these forward foreign exchange contracts, the bank counterparty will effect fixed payments in GBP or EUR to the Group and the Group will effect fixed payments in USD to the bank counterparty on the respective settlement dates. All forward foreign exchange contracts are considered by management to be part of economic hedge arrangements but have not been formally designated as such.</w:t>
      </w:r>
    </w:p>
    <w:p>
      <w:pPr>
        <w:spacing w:after="0" w:line="18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principal terms of the forward foreign exchange contracts held for trading are as follows: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4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94"/>
              </w:rPr>
              <w:t>Number of</w:t>
            </w:r>
          </w:p>
        </w:tc>
        <w:tc>
          <w:tcPr>
            <w:tcW w:w="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60" w:type="dxa"/>
            <w:vAlign w:val="bottom"/>
            <w:gridSpan w:val="8"/>
          </w:tcPr>
          <w:p>
            <w:pPr>
              <w:jc w:val="center"/>
              <w:ind w:right="920"/>
              <w:spacing w:after="0"/>
              <w:rPr>
                <w:sz w:val="20"/>
                <w:szCs w:val="20"/>
                <w:color w:val="auto"/>
              </w:rPr>
            </w:pPr>
            <w:r>
              <w:rPr>
                <w:rFonts w:ascii="Arial" w:cs="Arial" w:eastAsia="Arial" w:hAnsi="Arial"/>
                <w:sz w:val="14"/>
                <w:szCs w:val="14"/>
                <w:b w:val="1"/>
                <w:bCs w:val="1"/>
                <w:color w:val="auto"/>
                <w:w w:val="92"/>
              </w:rPr>
              <w:t>Fixed</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0"/>
              </w:rPr>
              <w:t>Total Exchange</w:t>
            </w: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24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Company</w:t>
            </w:r>
          </w:p>
        </w:tc>
        <w:tc>
          <w:tcPr>
            <w:tcW w:w="2040" w:type="dxa"/>
            <w:vAlign w:val="bottom"/>
            <w:gridSpan w:val="3"/>
            <w:vMerge w:val="restart"/>
          </w:tcPr>
          <w:p>
            <w:pPr>
              <w:ind w:left="480"/>
              <w:spacing w:after="0"/>
              <w:rPr>
                <w:sz w:val="20"/>
                <w:szCs w:val="20"/>
                <w:color w:val="auto"/>
              </w:rPr>
            </w:pPr>
            <w:r>
              <w:rPr>
                <w:rFonts w:ascii="Arial" w:cs="Arial" w:eastAsia="Arial" w:hAnsi="Arial"/>
                <w:sz w:val="14"/>
                <w:szCs w:val="14"/>
                <w:b w:val="1"/>
                <w:bCs w:val="1"/>
                <w:color w:val="auto"/>
              </w:rPr>
              <w:t>Counterparty</w:t>
            </w:r>
          </w:p>
        </w:tc>
        <w:tc>
          <w:tcPr>
            <w:tcW w:w="20" w:type="dxa"/>
            <w:vAlign w:val="bottom"/>
          </w:tcPr>
          <w:p>
            <w:pPr>
              <w:spacing w:after="0"/>
              <w:rPr>
                <w:sz w:val="12"/>
                <w:szCs w:val="12"/>
                <w:color w:val="auto"/>
              </w:rPr>
            </w:pPr>
          </w:p>
        </w:tc>
        <w:tc>
          <w:tcPr>
            <w:tcW w:w="136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96"/>
              </w:rPr>
              <w:t>Trade Date</w:t>
            </w:r>
          </w:p>
        </w:tc>
        <w:tc>
          <w:tcPr>
            <w:tcW w:w="20" w:type="dxa"/>
            <w:vAlign w:val="bottom"/>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2260" w:type="dxa"/>
            <w:vAlign w:val="bottom"/>
            <w:gridSpan w:val="5"/>
            <w:vMerge w:val="restart"/>
          </w:tcPr>
          <w:p>
            <w:pPr>
              <w:jc w:val="center"/>
              <w:ind w:right="580"/>
              <w:spacing w:after="0"/>
              <w:rPr>
                <w:sz w:val="20"/>
                <w:szCs w:val="20"/>
                <w:color w:val="auto"/>
              </w:rPr>
            </w:pPr>
            <w:r>
              <w:rPr>
                <w:rFonts w:ascii="Arial" w:cs="Arial" w:eastAsia="Arial" w:hAnsi="Arial"/>
                <w:sz w:val="14"/>
                <w:szCs w:val="14"/>
                <w:b w:val="1"/>
                <w:bCs w:val="1"/>
                <w:color w:val="auto"/>
                <w:w w:val="91"/>
              </w:rPr>
              <w:t>Settlement Dates</w:t>
            </w:r>
          </w:p>
        </w:tc>
        <w:tc>
          <w:tcPr>
            <w:tcW w:w="20" w:type="dxa"/>
            <w:vAlign w:val="bottom"/>
          </w:tcPr>
          <w:p>
            <w:pPr>
              <w:spacing w:after="0"/>
              <w:rPr>
                <w:sz w:val="12"/>
                <w:szCs w:val="12"/>
                <w:color w:val="auto"/>
              </w:rPr>
            </w:pPr>
          </w:p>
        </w:tc>
        <w:tc>
          <w:tcPr>
            <w:tcW w:w="1860" w:type="dxa"/>
            <w:vAlign w:val="bottom"/>
            <w:gridSpan w:val="8"/>
          </w:tcPr>
          <w:p>
            <w:pPr>
              <w:jc w:val="center"/>
              <w:ind w:right="920"/>
              <w:spacing w:after="0" w:line="149" w:lineRule="exact"/>
              <w:rPr>
                <w:sz w:val="20"/>
                <w:szCs w:val="20"/>
                <w:color w:val="auto"/>
              </w:rPr>
            </w:pPr>
            <w:r>
              <w:rPr>
                <w:rFonts w:ascii="Arial" w:cs="Arial" w:eastAsia="Arial" w:hAnsi="Arial"/>
                <w:sz w:val="14"/>
                <w:szCs w:val="14"/>
                <w:b w:val="1"/>
                <w:bCs w:val="1"/>
                <w:color w:val="auto"/>
                <w:w w:val="93"/>
              </w:rPr>
              <w:t>Exchange Rate</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Amount</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240" w:type="dxa"/>
            <w:vAlign w:val="bottom"/>
            <w:gridSpan w:val="2"/>
            <w:vMerge w:val="continue"/>
          </w:tcPr>
          <w:p>
            <w:pPr>
              <w:spacing w:after="0"/>
              <w:rPr>
                <w:sz w:val="14"/>
                <w:szCs w:val="14"/>
                <w:color w:val="auto"/>
              </w:rPr>
            </w:pPr>
          </w:p>
        </w:tc>
        <w:tc>
          <w:tcPr>
            <w:tcW w:w="204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3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8"/>
              </w:rPr>
              <w:t>contracts</w:t>
            </w:r>
          </w:p>
        </w:tc>
        <w:tc>
          <w:tcPr>
            <w:tcW w:w="40" w:type="dxa"/>
            <w:vAlign w:val="bottom"/>
          </w:tcPr>
          <w:p>
            <w:pPr>
              <w:spacing w:after="0"/>
              <w:rPr>
                <w:sz w:val="14"/>
                <w:szCs w:val="14"/>
                <w:color w:val="auto"/>
              </w:rPr>
            </w:pPr>
          </w:p>
        </w:tc>
        <w:tc>
          <w:tcPr>
            <w:tcW w:w="2260" w:type="dxa"/>
            <w:vAlign w:val="bottom"/>
            <w:gridSpan w:val="5"/>
            <w:vMerge w:val="continue"/>
          </w:tcPr>
          <w:p>
            <w:pPr>
              <w:spacing w:after="0"/>
              <w:rPr>
                <w:sz w:val="14"/>
                <w:szCs w:val="14"/>
                <w:color w:val="auto"/>
              </w:rPr>
            </w:pPr>
          </w:p>
        </w:tc>
        <w:tc>
          <w:tcPr>
            <w:tcW w:w="20" w:type="dxa"/>
            <w:vAlign w:val="bottom"/>
          </w:tcPr>
          <w:p>
            <w:pPr>
              <w:spacing w:after="0"/>
              <w:rPr>
                <w:sz w:val="14"/>
                <w:szCs w:val="14"/>
                <w:color w:val="auto"/>
              </w:rPr>
            </w:pPr>
          </w:p>
        </w:tc>
        <w:tc>
          <w:tcPr>
            <w:tcW w:w="1860" w:type="dxa"/>
            <w:vAlign w:val="bottom"/>
            <w:gridSpan w:val="8"/>
          </w:tcPr>
          <w:p>
            <w:pPr>
              <w:jc w:val="center"/>
              <w:ind w:right="920"/>
              <w:spacing w:after="0"/>
              <w:rPr>
                <w:sz w:val="20"/>
                <w:szCs w:val="20"/>
                <w:color w:val="auto"/>
              </w:rPr>
            </w:pPr>
            <w:r>
              <w:rPr>
                <w:rFonts w:ascii="Arial" w:cs="Arial" w:eastAsia="Arial" w:hAnsi="Arial"/>
                <w:sz w:val="14"/>
                <w:szCs w:val="14"/>
                <w:b w:val="1"/>
                <w:bCs w:val="1"/>
                <w:color w:val="auto"/>
                <w:w w:val="95"/>
              </w:rPr>
              <w:t>(USD/GBP)</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04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GasLog</w:t>
            </w:r>
          </w:p>
        </w:tc>
        <w:tc>
          <w:tcPr>
            <w:tcW w:w="200" w:type="dxa"/>
            <w:vAlign w:val="bottom"/>
          </w:tcPr>
          <w:p>
            <w:pPr>
              <w:spacing w:after="0"/>
              <w:rPr>
                <w:sz w:val="17"/>
                <w:szCs w:val="17"/>
                <w:color w:val="auto"/>
              </w:rPr>
            </w:pPr>
          </w:p>
        </w:tc>
        <w:tc>
          <w:tcPr>
            <w:tcW w:w="180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SEB</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2"/>
              </w:rPr>
              <w:t>Oct 2018</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Borders>
              <w:top w:val="single" w:sz="8" w:color="auto"/>
            </w:tcBorders>
            <w:gridSpan w:val="2"/>
          </w:tcPr>
          <w:p>
            <w:pPr>
              <w:jc w:val="center"/>
              <w:spacing w:after="0"/>
              <w:rPr>
                <w:sz w:val="20"/>
                <w:szCs w:val="20"/>
                <w:color w:val="auto"/>
              </w:rPr>
            </w:pPr>
            <w:r>
              <w:rPr>
                <w:rFonts w:ascii="Arial" w:cs="Arial" w:eastAsia="Arial" w:hAnsi="Arial"/>
                <w:sz w:val="16"/>
                <w:szCs w:val="16"/>
                <w:color w:val="auto"/>
                <w:w w:val="89"/>
              </w:rPr>
              <w:t>3</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70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4"/>
              </w:rPr>
              <w:t>April-June 2019</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gridSpan w:val="2"/>
          </w:tcPr>
          <w:p>
            <w:pPr>
              <w:jc w:val="right"/>
              <w:ind w:right="186"/>
              <w:spacing w:after="0"/>
              <w:rPr>
                <w:sz w:val="20"/>
                <w:szCs w:val="20"/>
                <w:color w:val="auto"/>
              </w:rPr>
            </w:pPr>
            <w:r>
              <w:rPr>
                <w:rFonts w:ascii="Arial" w:cs="Arial" w:eastAsia="Arial" w:hAnsi="Arial"/>
                <w:sz w:val="16"/>
                <w:szCs w:val="16"/>
                <w:color w:val="auto"/>
              </w:rPr>
              <w:t>1.3128</w:t>
            </w:r>
          </w:p>
        </w:tc>
        <w:tc>
          <w:tcPr>
            <w:tcW w:w="2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£1,350</w:t>
            </w:r>
          </w:p>
        </w:tc>
        <w:tc>
          <w:tcPr>
            <w:tcW w:w="3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4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GasLog</w:t>
            </w:r>
          </w:p>
        </w:tc>
        <w:tc>
          <w:tcPr>
            <w:tcW w:w="2040" w:type="dxa"/>
            <w:vAlign w:val="bottom"/>
            <w:gridSpan w:val="3"/>
            <w:shd w:val="clear" w:color="auto" w:fill="E5FFFF"/>
          </w:tcPr>
          <w:p>
            <w:pPr>
              <w:ind w:left="20"/>
              <w:spacing w:after="0"/>
              <w:rPr>
                <w:sz w:val="20"/>
                <w:szCs w:val="20"/>
                <w:color w:val="auto"/>
              </w:rPr>
            </w:pPr>
            <w:r>
              <w:rPr>
                <w:rFonts w:ascii="Arial" w:cs="Arial" w:eastAsia="Arial" w:hAnsi="Arial"/>
                <w:sz w:val="16"/>
                <w:szCs w:val="16"/>
                <w:color w:val="auto"/>
              </w:rPr>
              <w:t>SEB</w:t>
            </w:r>
          </w:p>
        </w:tc>
        <w:tc>
          <w:tcPr>
            <w:tcW w:w="20" w:type="dxa"/>
            <w:vAlign w:val="bottom"/>
            <w:shd w:val="clear" w:color="auto" w:fill="E5FFFF"/>
          </w:tcPr>
          <w:p>
            <w:pPr>
              <w:spacing w:after="0"/>
              <w:rPr>
                <w:sz w:val="17"/>
                <w:szCs w:val="17"/>
                <w:color w:val="auto"/>
              </w:rPr>
            </w:pPr>
          </w:p>
        </w:tc>
        <w:tc>
          <w:tcPr>
            <w:tcW w:w="1360" w:type="dxa"/>
            <w:vAlign w:val="bottom"/>
            <w:gridSpan w:val="3"/>
            <w:shd w:val="clear" w:color="auto" w:fill="E5FFFF"/>
          </w:tcPr>
          <w:p>
            <w:pPr>
              <w:jc w:val="center"/>
              <w:ind w:right="280"/>
              <w:spacing w:after="0"/>
              <w:rPr>
                <w:sz w:val="20"/>
                <w:szCs w:val="20"/>
                <w:color w:val="auto"/>
              </w:rPr>
            </w:pPr>
            <w:r>
              <w:rPr>
                <w:rFonts w:ascii="Arial" w:cs="Arial" w:eastAsia="Arial" w:hAnsi="Arial"/>
                <w:sz w:val="16"/>
                <w:szCs w:val="16"/>
                <w:color w:val="auto"/>
                <w:w w:val="92"/>
              </w:rPr>
              <w:t>Oct 2018</w:t>
            </w:r>
          </w:p>
        </w:tc>
        <w:tc>
          <w:tcPr>
            <w:tcW w:w="1140" w:type="dxa"/>
            <w:vAlign w:val="bottom"/>
            <w:gridSpan w:val="2"/>
            <w:shd w:val="clear" w:color="auto" w:fill="E5FFFF"/>
          </w:tcPr>
          <w:p>
            <w:pPr>
              <w:jc w:val="center"/>
              <w:spacing w:after="0"/>
              <w:rPr>
                <w:sz w:val="20"/>
                <w:szCs w:val="20"/>
                <w:color w:val="auto"/>
              </w:rPr>
            </w:pPr>
            <w:r>
              <w:rPr>
                <w:rFonts w:ascii="Arial" w:cs="Arial" w:eastAsia="Arial" w:hAnsi="Arial"/>
                <w:sz w:val="16"/>
                <w:szCs w:val="16"/>
                <w:color w:val="auto"/>
                <w:w w:val="89"/>
              </w:rPr>
              <w:t>6</w:t>
            </w:r>
          </w:p>
        </w:tc>
        <w:tc>
          <w:tcPr>
            <w:tcW w:w="2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40" w:type="dxa"/>
            <w:vAlign w:val="bottom"/>
            <w:shd w:val="clear" w:color="auto" w:fill="E5FFFF"/>
          </w:tcPr>
          <w:p>
            <w:pPr>
              <w:spacing w:after="0"/>
              <w:rPr>
                <w:sz w:val="17"/>
                <w:szCs w:val="17"/>
                <w:color w:val="auto"/>
              </w:rPr>
            </w:pPr>
          </w:p>
        </w:tc>
        <w:tc>
          <w:tcPr>
            <w:tcW w:w="2260" w:type="dxa"/>
            <w:vAlign w:val="bottom"/>
            <w:gridSpan w:val="5"/>
            <w:shd w:val="clear" w:color="auto" w:fill="E5FFFF"/>
          </w:tcPr>
          <w:p>
            <w:pPr>
              <w:jc w:val="center"/>
              <w:ind w:right="600"/>
              <w:spacing w:after="0"/>
              <w:rPr>
                <w:sz w:val="20"/>
                <w:szCs w:val="20"/>
                <w:color w:val="auto"/>
              </w:rPr>
            </w:pPr>
            <w:r>
              <w:rPr>
                <w:rFonts w:ascii="Arial" w:cs="Arial" w:eastAsia="Arial" w:hAnsi="Arial"/>
                <w:sz w:val="16"/>
                <w:szCs w:val="16"/>
                <w:color w:val="auto"/>
                <w:w w:val="91"/>
              </w:rPr>
              <w:t>July-Dec 2019</w:t>
            </w:r>
          </w:p>
        </w:tc>
        <w:tc>
          <w:tcPr>
            <w:tcW w:w="980" w:type="dxa"/>
            <w:vAlign w:val="bottom"/>
            <w:tcBorders>
              <w:bottom w:val="single" w:sz="8" w:color="auto"/>
            </w:tcBorders>
            <w:gridSpan w:val="2"/>
            <w:shd w:val="clear" w:color="auto" w:fill="E5FFFF"/>
          </w:tcPr>
          <w:p>
            <w:pPr>
              <w:jc w:val="right"/>
              <w:ind w:right="186"/>
              <w:spacing w:after="0"/>
              <w:rPr>
                <w:sz w:val="20"/>
                <w:szCs w:val="20"/>
                <w:color w:val="auto"/>
              </w:rPr>
            </w:pPr>
            <w:r>
              <w:rPr>
                <w:rFonts w:ascii="Arial" w:cs="Arial" w:eastAsia="Arial" w:hAnsi="Arial"/>
                <w:sz w:val="16"/>
                <w:szCs w:val="16"/>
                <w:color w:val="auto"/>
              </w:rPr>
              <w:t>1.3228</w:t>
            </w:r>
          </w:p>
        </w:tc>
        <w:tc>
          <w:tcPr>
            <w:tcW w:w="20" w:type="dxa"/>
            <w:vAlign w:val="bottom"/>
            <w:tcBorders>
              <w:bottom w:val="single" w:sz="8" w:color="auto"/>
            </w:tcBorders>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10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£2,700</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2"/>
          </w:tcPr>
          <w:p>
            <w:pPr>
              <w:ind w:left="440"/>
              <w:spacing w:after="0"/>
              <w:rPr>
                <w:sz w:val="20"/>
                <w:szCs w:val="20"/>
                <w:color w:val="auto"/>
              </w:rPr>
            </w:pPr>
            <w:r>
              <w:rPr>
                <w:rFonts w:ascii="Arial" w:cs="Arial" w:eastAsia="Arial" w:hAnsi="Arial"/>
                <w:sz w:val="16"/>
                <w:szCs w:val="16"/>
                <w:b w:val="1"/>
                <w:bCs w:val="1"/>
                <w:color w:val="auto"/>
              </w:rPr>
              <w:t>Total</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£4,050</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94"/>
              </w:rPr>
              <w:t>Number of</w:t>
            </w:r>
          </w:p>
        </w:tc>
        <w:tc>
          <w:tcPr>
            <w:tcW w:w="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60" w:type="dxa"/>
            <w:vAlign w:val="bottom"/>
            <w:gridSpan w:val="8"/>
          </w:tcPr>
          <w:p>
            <w:pPr>
              <w:jc w:val="center"/>
              <w:ind w:right="920"/>
              <w:spacing w:after="0"/>
              <w:rPr>
                <w:sz w:val="20"/>
                <w:szCs w:val="20"/>
                <w:color w:val="auto"/>
              </w:rPr>
            </w:pPr>
            <w:r>
              <w:rPr>
                <w:rFonts w:ascii="Arial" w:cs="Arial" w:eastAsia="Arial" w:hAnsi="Arial"/>
                <w:sz w:val="14"/>
                <w:szCs w:val="14"/>
                <w:b w:val="1"/>
                <w:bCs w:val="1"/>
                <w:color w:val="auto"/>
                <w:w w:val="92"/>
              </w:rPr>
              <w:t>Fixed</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0"/>
              </w:rPr>
              <w:t>Total Exchange</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24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Company</w:t>
            </w:r>
          </w:p>
        </w:tc>
        <w:tc>
          <w:tcPr>
            <w:tcW w:w="2040" w:type="dxa"/>
            <w:vAlign w:val="bottom"/>
            <w:gridSpan w:val="3"/>
            <w:vMerge w:val="restart"/>
          </w:tcPr>
          <w:p>
            <w:pPr>
              <w:ind w:left="500"/>
              <w:spacing w:after="0"/>
              <w:rPr>
                <w:sz w:val="20"/>
                <w:szCs w:val="20"/>
                <w:color w:val="auto"/>
              </w:rPr>
            </w:pPr>
            <w:r>
              <w:rPr>
                <w:rFonts w:ascii="Arial" w:cs="Arial" w:eastAsia="Arial" w:hAnsi="Arial"/>
                <w:sz w:val="14"/>
                <w:szCs w:val="14"/>
                <w:b w:val="1"/>
                <w:bCs w:val="1"/>
                <w:color w:val="auto"/>
              </w:rPr>
              <w:t>Counterparty</w:t>
            </w:r>
          </w:p>
        </w:tc>
        <w:tc>
          <w:tcPr>
            <w:tcW w:w="20" w:type="dxa"/>
            <w:vAlign w:val="bottom"/>
          </w:tcPr>
          <w:p>
            <w:pPr>
              <w:spacing w:after="0"/>
              <w:rPr>
                <w:sz w:val="12"/>
                <w:szCs w:val="12"/>
                <w:color w:val="auto"/>
              </w:rPr>
            </w:pPr>
          </w:p>
        </w:tc>
        <w:tc>
          <w:tcPr>
            <w:tcW w:w="136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3"/>
              </w:rPr>
              <w:t>Trade Date</w:t>
            </w:r>
          </w:p>
        </w:tc>
        <w:tc>
          <w:tcPr>
            <w:tcW w:w="20" w:type="dxa"/>
            <w:vAlign w:val="bottom"/>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2260" w:type="dxa"/>
            <w:vAlign w:val="bottom"/>
            <w:gridSpan w:val="5"/>
            <w:vMerge w:val="restart"/>
          </w:tcPr>
          <w:p>
            <w:pPr>
              <w:jc w:val="center"/>
              <w:ind w:right="540"/>
              <w:spacing w:after="0"/>
              <w:rPr>
                <w:sz w:val="20"/>
                <w:szCs w:val="20"/>
                <w:color w:val="auto"/>
              </w:rPr>
            </w:pPr>
            <w:r>
              <w:rPr>
                <w:rFonts w:ascii="Arial" w:cs="Arial" w:eastAsia="Arial" w:hAnsi="Arial"/>
                <w:sz w:val="14"/>
                <w:szCs w:val="14"/>
                <w:b w:val="1"/>
                <w:bCs w:val="1"/>
                <w:color w:val="auto"/>
                <w:w w:val="91"/>
              </w:rPr>
              <w:t>Settlement Dates</w:t>
            </w:r>
          </w:p>
        </w:tc>
        <w:tc>
          <w:tcPr>
            <w:tcW w:w="20" w:type="dxa"/>
            <w:vAlign w:val="bottom"/>
          </w:tcPr>
          <w:p>
            <w:pPr>
              <w:spacing w:after="0"/>
              <w:rPr>
                <w:sz w:val="12"/>
                <w:szCs w:val="12"/>
                <w:color w:val="auto"/>
              </w:rPr>
            </w:pPr>
          </w:p>
        </w:tc>
        <w:tc>
          <w:tcPr>
            <w:tcW w:w="1860" w:type="dxa"/>
            <w:vAlign w:val="bottom"/>
            <w:gridSpan w:val="8"/>
          </w:tcPr>
          <w:p>
            <w:pPr>
              <w:jc w:val="center"/>
              <w:ind w:right="900"/>
              <w:spacing w:after="0" w:line="149" w:lineRule="exact"/>
              <w:rPr>
                <w:sz w:val="20"/>
                <w:szCs w:val="20"/>
                <w:color w:val="auto"/>
              </w:rPr>
            </w:pPr>
            <w:r>
              <w:rPr>
                <w:rFonts w:ascii="Arial" w:cs="Arial" w:eastAsia="Arial" w:hAnsi="Arial"/>
                <w:sz w:val="14"/>
                <w:szCs w:val="14"/>
                <w:b w:val="1"/>
                <w:bCs w:val="1"/>
                <w:color w:val="auto"/>
                <w:w w:val="91"/>
              </w:rPr>
              <w:t>Exchange Rate</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Amount</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240" w:type="dxa"/>
            <w:vAlign w:val="bottom"/>
            <w:gridSpan w:val="2"/>
            <w:vMerge w:val="continue"/>
          </w:tcPr>
          <w:p>
            <w:pPr>
              <w:spacing w:after="0"/>
              <w:rPr>
                <w:sz w:val="14"/>
                <w:szCs w:val="14"/>
                <w:color w:val="auto"/>
              </w:rPr>
            </w:pPr>
          </w:p>
        </w:tc>
        <w:tc>
          <w:tcPr>
            <w:tcW w:w="204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34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1"/>
              </w:rPr>
              <w:t>contracts</w:t>
            </w:r>
          </w:p>
        </w:tc>
        <w:tc>
          <w:tcPr>
            <w:tcW w:w="40" w:type="dxa"/>
            <w:vAlign w:val="bottom"/>
          </w:tcPr>
          <w:p>
            <w:pPr>
              <w:spacing w:after="0"/>
              <w:rPr>
                <w:sz w:val="14"/>
                <w:szCs w:val="14"/>
                <w:color w:val="auto"/>
              </w:rPr>
            </w:pPr>
          </w:p>
        </w:tc>
        <w:tc>
          <w:tcPr>
            <w:tcW w:w="2260" w:type="dxa"/>
            <w:vAlign w:val="bottom"/>
            <w:gridSpan w:val="5"/>
            <w:vMerge w:val="continue"/>
          </w:tcPr>
          <w:p>
            <w:pPr>
              <w:spacing w:after="0"/>
              <w:rPr>
                <w:sz w:val="14"/>
                <w:szCs w:val="14"/>
                <w:color w:val="auto"/>
              </w:rPr>
            </w:pPr>
          </w:p>
        </w:tc>
        <w:tc>
          <w:tcPr>
            <w:tcW w:w="20" w:type="dxa"/>
            <w:vAlign w:val="bottom"/>
          </w:tcPr>
          <w:p>
            <w:pPr>
              <w:spacing w:after="0"/>
              <w:rPr>
                <w:sz w:val="14"/>
                <w:szCs w:val="14"/>
                <w:color w:val="auto"/>
              </w:rPr>
            </w:pPr>
          </w:p>
        </w:tc>
        <w:tc>
          <w:tcPr>
            <w:tcW w:w="1860" w:type="dxa"/>
            <w:vAlign w:val="bottom"/>
            <w:gridSpan w:val="8"/>
          </w:tcPr>
          <w:p>
            <w:pPr>
              <w:jc w:val="center"/>
              <w:ind w:right="900"/>
              <w:spacing w:after="0"/>
              <w:rPr>
                <w:sz w:val="20"/>
                <w:szCs w:val="20"/>
                <w:color w:val="auto"/>
              </w:rPr>
            </w:pPr>
            <w:r>
              <w:rPr>
                <w:rFonts w:ascii="Arial" w:cs="Arial" w:eastAsia="Arial" w:hAnsi="Arial"/>
                <w:sz w:val="14"/>
                <w:szCs w:val="14"/>
                <w:b w:val="1"/>
                <w:bCs w:val="1"/>
                <w:color w:val="auto"/>
                <w:w w:val="99"/>
              </w:rPr>
              <w:t>(USD/EUR)</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040" w:type="dxa"/>
            <w:vAlign w:val="bottom"/>
            <w:tcBorders>
              <w:top w:val="single" w:sz="8" w:color="auto"/>
            </w:tcBorders>
            <w:shd w:val="clear" w:color="auto" w:fill="E5FFFF"/>
          </w:tcPr>
          <w:p>
            <w:pPr>
              <w:spacing w:after="0"/>
              <w:rPr>
                <w:sz w:val="20"/>
                <w:szCs w:val="20"/>
                <w:color w:val="auto"/>
              </w:rPr>
            </w:pPr>
            <w:r>
              <w:rPr>
                <w:rFonts w:ascii="Arial" w:cs="Arial" w:eastAsia="Arial" w:hAnsi="Arial"/>
                <w:sz w:val="16"/>
                <w:szCs w:val="16"/>
                <w:color w:val="auto"/>
              </w:rPr>
              <w:t>GasLog</w:t>
            </w:r>
          </w:p>
        </w:tc>
        <w:tc>
          <w:tcPr>
            <w:tcW w:w="200" w:type="dxa"/>
            <w:vAlign w:val="bottom"/>
            <w:tcBorders>
              <w:top w:val="single" w:sz="8" w:color="E5FFFF"/>
            </w:tcBorders>
            <w:shd w:val="clear" w:color="auto" w:fill="E5FFFF"/>
          </w:tcPr>
          <w:p>
            <w:pPr>
              <w:spacing w:after="0"/>
              <w:rPr>
                <w:sz w:val="17"/>
                <w:szCs w:val="17"/>
                <w:color w:val="auto"/>
              </w:rPr>
            </w:pPr>
          </w:p>
        </w:tc>
        <w:tc>
          <w:tcPr>
            <w:tcW w:w="1840" w:type="dxa"/>
            <w:vAlign w:val="bottom"/>
            <w:tcBorders>
              <w:top w:val="single" w:sz="8" w:color="auto"/>
            </w:tcBorders>
            <w:gridSpan w:val="2"/>
            <w:shd w:val="clear" w:color="auto" w:fill="E5FFFF"/>
          </w:tcPr>
          <w:p>
            <w:pPr>
              <w:ind w:left="20"/>
              <w:spacing w:after="0"/>
              <w:rPr>
                <w:sz w:val="20"/>
                <w:szCs w:val="20"/>
                <w:color w:val="auto"/>
              </w:rPr>
            </w:pPr>
            <w:r>
              <w:rPr>
                <w:rFonts w:ascii="Arial" w:cs="Arial" w:eastAsia="Arial" w:hAnsi="Arial"/>
                <w:sz w:val="16"/>
                <w:szCs w:val="16"/>
                <w:color w:val="auto"/>
              </w:rPr>
              <w:t>ABN</w:t>
            </w:r>
          </w:p>
        </w:tc>
        <w:tc>
          <w:tcPr>
            <w:tcW w:w="200" w:type="dxa"/>
            <w:vAlign w:val="bottom"/>
            <w:tcBorders>
              <w:top w:val="single" w:sz="8" w:color="E5FFFF"/>
            </w:tcBorders>
            <w:shd w:val="clear" w:color="auto" w:fill="E5FFFF"/>
          </w:tcPr>
          <w:p>
            <w:pPr>
              <w:spacing w:after="0"/>
              <w:rPr>
                <w:sz w:val="17"/>
                <w:szCs w:val="17"/>
                <w:color w:val="auto"/>
              </w:rPr>
            </w:pPr>
          </w:p>
        </w:tc>
        <w:tc>
          <w:tcPr>
            <w:tcW w:w="20" w:type="dxa"/>
            <w:vAlign w:val="bottom"/>
            <w:tcBorders>
              <w:top w:val="single" w:sz="8" w:color="E5FFFF"/>
            </w:tcBorders>
            <w:shd w:val="clear" w:color="auto" w:fill="E5FFFF"/>
          </w:tcPr>
          <w:p>
            <w:pPr>
              <w:spacing w:after="0"/>
              <w:rPr>
                <w:sz w:val="17"/>
                <w:szCs w:val="17"/>
                <w:color w:val="auto"/>
              </w:rPr>
            </w:pPr>
          </w:p>
        </w:tc>
        <w:tc>
          <w:tcPr>
            <w:tcW w:w="1140" w:type="dxa"/>
            <w:vAlign w:val="bottom"/>
            <w:tcBorders>
              <w:top w:val="single" w:sz="8" w:color="auto"/>
            </w:tcBorders>
            <w:gridSpan w:val="2"/>
            <w:shd w:val="clear" w:color="auto" w:fill="E5FFFF"/>
          </w:tcPr>
          <w:p>
            <w:pPr>
              <w:jc w:val="center"/>
              <w:spacing w:after="0"/>
              <w:rPr>
                <w:sz w:val="20"/>
                <w:szCs w:val="20"/>
                <w:color w:val="auto"/>
              </w:rPr>
            </w:pPr>
            <w:r>
              <w:rPr>
                <w:rFonts w:ascii="Arial" w:cs="Arial" w:eastAsia="Arial" w:hAnsi="Arial"/>
                <w:sz w:val="16"/>
                <w:szCs w:val="16"/>
                <w:color w:val="auto"/>
                <w:w w:val="88"/>
              </w:rPr>
              <w:t>June 2018</w:t>
            </w:r>
          </w:p>
        </w:tc>
        <w:tc>
          <w:tcPr>
            <w:tcW w:w="220" w:type="dxa"/>
            <w:vAlign w:val="bottom"/>
            <w:tcBorders>
              <w:top w:val="single" w:sz="8" w:color="E5FFFF"/>
            </w:tcBorders>
            <w:shd w:val="clear" w:color="auto" w:fill="E5FFFF"/>
          </w:tcPr>
          <w:p>
            <w:pPr>
              <w:spacing w:after="0"/>
              <w:rPr>
                <w:sz w:val="17"/>
                <w:szCs w:val="17"/>
                <w:color w:val="auto"/>
              </w:rPr>
            </w:pPr>
          </w:p>
        </w:tc>
        <w:tc>
          <w:tcPr>
            <w:tcW w:w="20" w:type="dxa"/>
            <w:vAlign w:val="bottom"/>
            <w:tcBorders>
              <w:top w:val="single" w:sz="8" w:color="E5FFFF"/>
            </w:tcBorders>
            <w:shd w:val="clear" w:color="auto" w:fill="E5FFFF"/>
          </w:tcPr>
          <w:p>
            <w:pPr>
              <w:spacing w:after="0"/>
              <w:rPr>
                <w:sz w:val="17"/>
                <w:szCs w:val="17"/>
                <w:color w:val="auto"/>
              </w:rPr>
            </w:pPr>
          </w:p>
        </w:tc>
        <w:tc>
          <w:tcPr>
            <w:tcW w:w="112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89"/>
              </w:rPr>
              <w:t>1</w:t>
            </w:r>
          </w:p>
        </w:tc>
        <w:tc>
          <w:tcPr>
            <w:tcW w:w="20" w:type="dxa"/>
            <w:vAlign w:val="bottom"/>
            <w:tcBorders>
              <w:top w:val="single" w:sz="8" w:color="auto"/>
            </w:tcBorders>
            <w:shd w:val="clear" w:color="auto" w:fill="E5FFFF"/>
          </w:tcPr>
          <w:p>
            <w:pPr>
              <w:spacing w:after="0"/>
              <w:rPr>
                <w:sz w:val="17"/>
                <w:szCs w:val="17"/>
                <w:color w:val="auto"/>
              </w:rPr>
            </w:pPr>
          </w:p>
        </w:tc>
        <w:tc>
          <w:tcPr>
            <w:tcW w:w="200" w:type="dxa"/>
            <w:vAlign w:val="bottom"/>
            <w:tcBorders>
              <w:top w:val="single" w:sz="8" w:color="E5FFFF"/>
            </w:tcBorders>
            <w:shd w:val="clear" w:color="auto" w:fill="E5FFFF"/>
          </w:tcPr>
          <w:p>
            <w:pPr>
              <w:spacing w:after="0"/>
              <w:rPr>
                <w:sz w:val="17"/>
                <w:szCs w:val="17"/>
                <w:color w:val="auto"/>
              </w:rPr>
            </w:pPr>
          </w:p>
        </w:tc>
        <w:tc>
          <w:tcPr>
            <w:tcW w:w="40" w:type="dxa"/>
            <w:vAlign w:val="bottom"/>
            <w:tcBorders>
              <w:top w:val="single" w:sz="8" w:color="E5FFFF"/>
            </w:tcBorders>
            <w:shd w:val="clear" w:color="auto" w:fill="E5FFFF"/>
          </w:tcPr>
          <w:p>
            <w:pPr>
              <w:spacing w:after="0"/>
              <w:rPr>
                <w:sz w:val="17"/>
                <w:szCs w:val="17"/>
                <w:color w:val="auto"/>
              </w:rPr>
            </w:pPr>
          </w:p>
        </w:tc>
        <w:tc>
          <w:tcPr>
            <w:tcW w:w="1720" w:type="dxa"/>
            <w:vAlign w:val="bottom"/>
            <w:tcBorders>
              <w:top w:val="single" w:sz="8" w:color="auto"/>
            </w:tcBorders>
            <w:gridSpan w:val="2"/>
            <w:shd w:val="clear" w:color="auto" w:fill="E5FFFF"/>
          </w:tcPr>
          <w:p>
            <w:pPr>
              <w:jc w:val="center"/>
              <w:spacing w:after="0"/>
              <w:rPr>
                <w:sz w:val="20"/>
                <w:szCs w:val="20"/>
                <w:color w:val="auto"/>
              </w:rPr>
            </w:pPr>
            <w:r>
              <w:rPr>
                <w:rFonts w:ascii="Arial" w:cs="Arial" w:eastAsia="Arial" w:hAnsi="Arial"/>
                <w:sz w:val="16"/>
                <w:szCs w:val="16"/>
                <w:color w:val="auto"/>
                <w:w w:val="99"/>
              </w:rPr>
              <w:t>April 2019</w:t>
            </w:r>
          </w:p>
        </w:tc>
        <w:tc>
          <w:tcPr>
            <w:tcW w:w="240" w:type="dxa"/>
            <w:vAlign w:val="bottom"/>
            <w:tcBorders>
              <w:top w:val="single" w:sz="8" w:color="E5FFFF"/>
            </w:tcBorders>
            <w:gridSpan w:val="2"/>
            <w:shd w:val="clear" w:color="auto" w:fill="E5FFFF"/>
          </w:tcPr>
          <w:p>
            <w:pPr>
              <w:spacing w:after="0"/>
              <w:rPr>
                <w:sz w:val="17"/>
                <w:szCs w:val="17"/>
                <w:color w:val="auto"/>
              </w:rPr>
            </w:pPr>
          </w:p>
        </w:tc>
        <w:tc>
          <w:tcPr>
            <w:tcW w:w="300" w:type="dxa"/>
            <w:vAlign w:val="bottom"/>
            <w:tcBorders>
              <w:top w:val="single" w:sz="8" w:color="auto"/>
            </w:tcBorders>
            <w:shd w:val="clear" w:color="auto" w:fill="E5FFFF"/>
          </w:tcPr>
          <w:p>
            <w:pPr>
              <w:spacing w:after="0"/>
              <w:rPr>
                <w:sz w:val="17"/>
                <w:szCs w:val="17"/>
                <w:color w:val="auto"/>
              </w:rPr>
            </w:pPr>
          </w:p>
        </w:tc>
        <w:tc>
          <w:tcPr>
            <w:tcW w:w="980" w:type="dxa"/>
            <w:vAlign w:val="bottom"/>
            <w:tcBorders>
              <w:top w:val="single" w:sz="8" w:color="auto"/>
            </w:tcBorders>
            <w:gridSpan w:val="2"/>
            <w:shd w:val="clear" w:color="auto" w:fill="E5FFFF"/>
          </w:tcPr>
          <w:p>
            <w:pPr>
              <w:jc w:val="right"/>
              <w:ind w:right="186"/>
              <w:spacing w:after="0"/>
              <w:rPr>
                <w:sz w:val="20"/>
                <w:szCs w:val="20"/>
                <w:color w:val="auto"/>
              </w:rPr>
            </w:pPr>
            <w:r>
              <w:rPr>
                <w:rFonts w:ascii="Arial" w:cs="Arial" w:eastAsia="Arial" w:hAnsi="Arial"/>
                <w:sz w:val="16"/>
                <w:szCs w:val="16"/>
                <w:color w:val="auto"/>
              </w:rPr>
              <w:t>1.1903</w:t>
            </w:r>
          </w:p>
        </w:tc>
        <w:tc>
          <w:tcPr>
            <w:tcW w:w="20" w:type="dxa"/>
            <w:vAlign w:val="bottom"/>
            <w:tcBorders>
              <w:top w:val="single" w:sz="8" w:color="auto"/>
            </w:tcBorders>
            <w:shd w:val="clear" w:color="auto" w:fill="E5FFFF"/>
          </w:tcPr>
          <w:p>
            <w:pPr>
              <w:spacing w:after="0"/>
              <w:rPr>
                <w:sz w:val="17"/>
                <w:szCs w:val="17"/>
                <w:color w:val="auto"/>
              </w:rPr>
            </w:pPr>
          </w:p>
        </w:tc>
        <w:tc>
          <w:tcPr>
            <w:tcW w:w="300" w:type="dxa"/>
            <w:vAlign w:val="bottom"/>
            <w:tcBorders>
              <w:top w:val="single" w:sz="8" w:color="auto"/>
            </w:tcBorders>
            <w:shd w:val="clear" w:color="auto" w:fill="E5FFFF"/>
          </w:tcPr>
          <w:p>
            <w:pPr>
              <w:spacing w:after="0"/>
              <w:rPr>
                <w:sz w:val="17"/>
                <w:szCs w:val="17"/>
                <w:color w:val="auto"/>
              </w:rPr>
            </w:pPr>
          </w:p>
        </w:tc>
        <w:tc>
          <w:tcPr>
            <w:tcW w:w="20" w:type="dxa"/>
            <w:vAlign w:val="bottom"/>
            <w:tcBorders>
              <w:top w:val="single" w:sz="8" w:color="E5FFFF"/>
            </w:tcBorders>
            <w:shd w:val="clear" w:color="auto" w:fill="E5FFFF"/>
          </w:tcPr>
          <w:p>
            <w:pPr>
              <w:spacing w:after="0"/>
              <w:rPr>
                <w:sz w:val="17"/>
                <w:szCs w:val="17"/>
                <w:color w:val="auto"/>
              </w:rPr>
            </w:pPr>
          </w:p>
        </w:tc>
        <w:tc>
          <w:tcPr>
            <w:tcW w:w="200" w:type="dxa"/>
            <w:vAlign w:val="bottom"/>
            <w:tcBorders>
              <w:top w:val="single" w:sz="8" w:color="E5FFFF"/>
            </w:tcBorders>
            <w:shd w:val="clear" w:color="auto" w:fill="E5FFFF"/>
          </w:tcPr>
          <w:p>
            <w:pPr>
              <w:spacing w:after="0"/>
              <w:rPr>
                <w:sz w:val="17"/>
                <w:szCs w:val="17"/>
                <w:color w:val="auto"/>
              </w:rPr>
            </w:pPr>
          </w:p>
        </w:tc>
        <w:tc>
          <w:tcPr>
            <w:tcW w:w="20" w:type="dxa"/>
            <w:vAlign w:val="bottom"/>
            <w:tcBorders>
              <w:top w:val="single" w:sz="8" w:color="auto"/>
            </w:tcBorders>
            <w:shd w:val="clear" w:color="auto" w:fill="E5FFFF"/>
          </w:tcPr>
          <w:p>
            <w:pPr>
              <w:spacing w:after="0"/>
              <w:rPr>
                <w:sz w:val="17"/>
                <w:szCs w:val="17"/>
                <w:color w:val="auto"/>
              </w:rPr>
            </w:pPr>
          </w:p>
        </w:tc>
        <w:tc>
          <w:tcPr>
            <w:tcW w:w="320" w:type="dxa"/>
            <w:vAlign w:val="bottom"/>
            <w:tcBorders>
              <w:top w:val="single" w:sz="8" w:color="auto"/>
            </w:tcBorders>
            <w:shd w:val="clear" w:color="auto" w:fill="E5FFFF"/>
          </w:tcPr>
          <w:p>
            <w:pPr>
              <w:spacing w:after="0"/>
              <w:rPr>
                <w:sz w:val="17"/>
                <w:szCs w:val="17"/>
                <w:color w:val="auto"/>
              </w:rPr>
            </w:pPr>
          </w:p>
        </w:tc>
        <w:tc>
          <w:tcPr>
            <w:tcW w:w="20" w:type="dxa"/>
            <w:vAlign w:val="bottom"/>
            <w:tcBorders>
              <w:top w:val="single" w:sz="8" w:color="auto"/>
            </w:tcBorders>
            <w:shd w:val="clear" w:color="auto" w:fill="E5FFFF"/>
          </w:tcPr>
          <w:p>
            <w:pPr>
              <w:spacing w:after="0"/>
              <w:rPr>
                <w:sz w:val="17"/>
                <w:szCs w:val="17"/>
                <w:color w:val="auto"/>
              </w:rPr>
            </w:pPr>
          </w:p>
        </w:tc>
        <w:tc>
          <w:tcPr>
            <w:tcW w:w="102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€2,500</w:t>
            </w:r>
          </w:p>
        </w:tc>
        <w:tc>
          <w:tcPr>
            <w:tcW w:w="3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40" w:type="dxa"/>
            <w:vAlign w:val="bottom"/>
            <w:gridSpan w:val="2"/>
          </w:tcPr>
          <w:p>
            <w:pPr>
              <w:spacing w:after="0"/>
              <w:rPr>
                <w:sz w:val="20"/>
                <w:szCs w:val="20"/>
                <w:color w:val="auto"/>
              </w:rPr>
            </w:pPr>
            <w:r>
              <w:rPr>
                <w:rFonts w:ascii="Arial" w:cs="Arial" w:eastAsia="Arial" w:hAnsi="Arial"/>
                <w:sz w:val="16"/>
                <w:szCs w:val="16"/>
                <w:color w:val="auto"/>
              </w:rPr>
              <w:t>GasLog</w:t>
            </w:r>
          </w:p>
        </w:tc>
        <w:tc>
          <w:tcPr>
            <w:tcW w:w="2040" w:type="dxa"/>
            <w:vAlign w:val="bottom"/>
            <w:gridSpan w:val="3"/>
          </w:tcPr>
          <w:p>
            <w:pPr>
              <w:ind w:left="20"/>
              <w:spacing w:after="0"/>
              <w:rPr>
                <w:sz w:val="20"/>
                <w:szCs w:val="20"/>
                <w:color w:val="auto"/>
              </w:rPr>
            </w:pPr>
            <w:r>
              <w:rPr>
                <w:rFonts w:ascii="Arial" w:cs="Arial" w:eastAsia="Arial" w:hAnsi="Arial"/>
                <w:sz w:val="16"/>
                <w:szCs w:val="16"/>
                <w:color w:val="auto"/>
              </w:rPr>
              <w:t>ABN</w:t>
            </w:r>
          </w:p>
        </w:tc>
        <w:tc>
          <w:tcPr>
            <w:tcW w:w="20" w:type="dxa"/>
            <w:vAlign w:val="bottom"/>
          </w:tcPr>
          <w:p>
            <w:pPr>
              <w:spacing w:after="0"/>
              <w:rPr>
                <w:sz w:val="17"/>
                <w:szCs w:val="17"/>
                <w:color w:val="auto"/>
              </w:rPr>
            </w:pPr>
          </w:p>
        </w:tc>
        <w:tc>
          <w:tcPr>
            <w:tcW w:w="1360" w:type="dxa"/>
            <w:vAlign w:val="bottom"/>
            <w:gridSpan w:val="3"/>
          </w:tcPr>
          <w:p>
            <w:pPr>
              <w:jc w:val="center"/>
              <w:ind w:right="220"/>
              <w:spacing w:after="0"/>
              <w:rPr>
                <w:sz w:val="20"/>
                <w:szCs w:val="20"/>
                <w:color w:val="auto"/>
              </w:rPr>
            </w:pPr>
            <w:r>
              <w:rPr>
                <w:rFonts w:ascii="Arial" w:cs="Arial" w:eastAsia="Arial" w:hAnsi="Arial"/>
                <w:sz w:val="16"/>
                <w:szCs w:val="16"/>
                <w:color w:val="auto"/>
                <w:w w:val="88"/>
              </w:rPr>
              <w:t>June 2018</w:t>
            </w:r>
          </w:p>
        </w:tc>
        <w:tc>
          <w:tcPr>
            <w:tcW w:w="1140" w:type="dxa"/>
            <w:vAlign w:val="bottom"/>
            <w:gridSpan w:val="2"/>
          </w:tcPr>
          <w:p>
            <w:pPr>
              <w:jc w:val="center"/>
              <w:spacing w:after="0"/>
              <w:rPr>
                <w:sz w:val="20"/>
                <w:szCs w:val="20"/>
                <w:color w:val="auto"/>
              </w:rPr>
            </w:pPr>
            <w:r>
              <w:rPr>
                <w:rFonts w:ascii="Arial" w:cs="Arial" w:eastAsia="Arial" w:hAnsi="Arial"/>
                <w:sz w:val="16"/>
                <w:szCs w:val="16"/>
                <w:color w:val="auto"/>
                <w:w w:val="89"/>
              </w:rPr>
              <w:t>1</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60" w:type="dxa"/>
            <w:vAlign w:val="bottom"/>
            <w:gridSpan w:val="5"/>
          </w:tcPr>
          <w:p>
            <w:pPr>
              <w:jc w:val="center"/>
              <w:ind w:right="540"/>
              <w:spacing w:after="0"/>
              <w:rPr>
                <w:sz w:val="20"/>
                <w:szCs w:val="20"/>
                <w:color w:val="auto"/>
              </w:rPr>
            </w:pPr>
            <w:r>
              <w:rPr>
                <w:rFonts w:ascii="Arial" w:cs="Arial" w:eastAsia="Arial" w:hAnsi="Arial"/>
                <w:sz w:val="16"/>
                <w:szCs w:val="16"/>
                <w:color w:val="auto"/>
                <w:w w:val="96"/>
              </w:rPr>
              <w:t>May 2019</w:t>
            </w:r>
          </w:p>
        </w:tc>
        <w:tc>
          <w:tcPr>
            <w:tcW w:w="980" w:type="dxa"/>
            <w:vAlign w:val="bottom"/>
            <w:gridSpan w:val="2"/>
          </w:tcPr>
          <w:p>
            <w:pPr>
              <w:jc w:val="right"/>
              <w:ind w:right="186"/>
              <w:spacing w:after="0"/>
              <w:rPr>
                <w:sz w:val="20"/>
                <w:szCs w:val="20"/>
                <w:color w:val="auto"/>
              </w:rPr>
            </w:pPr>
            <w:r>
              <w:rPr>
                <w:rFonts w:ascii="Arial" w:cs="Arial" w:eastAsia="Arial" w:hAnsi="Arial"/>
                <w:sz w:val="16"/>
                <w:szCs w:val="16"/>
                <w:color w:val="auto"/>
              </w:rPr>
              <w:t>1.1936</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€2,500</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4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GasLog</w:t>
            </w:r>
          </w:p>
        </w:tc>
        <w:tc>
          <w:tcPr>
            <w:tcW w:w="2040" w:type="dxa"/>
            <w:vAlign w:val="bottom"/>
            <w:gridSpan w:val="3"/>
            <w:shd w:val="clear" w:color="auto" w:fill="E5FFFF"/>
          </w:tcPr>
          <w:p>
            <w:pPr>
              <w:ind w:left="20"/>
              <w:spacing w:after="0"/>
              <w:rPr>
                <w:sz w:val="20"/>
                <w:szCs w:val="20"/>
                <w:color w:val="auto"/>
              </w:rPr>
            </w:pPr>
            <w:r>
              <w:rPr>
                <w:rFonts w:ascii="Arial" w:cs="Arial" w:eastAsia="Arial" w:hAnsi="Arial"/>
                <w:sz w:val="16"/>
                <w:szCs w:val="16"/>
                <w:color w:val="auto"/>
              </w:rPr>
              <w:t>ABN</w:t>
            </w:r>
          </w:p>
        </w:tc>
        <w:tc>
          <w:tcPr>
            <w:tcW w:w="20" w:type="dxa"/>
            <w:vAlign w:val="bottom"/>
            <w:shd w:val="clear" w:color="auto" w:fill="E5FFFF"/>
          </w:tcPr>
          <w:p>
            <w:pPr>
              <w:spacing w:after="0"/>
              <w:rPr>
                <w:sz w:val="17"/>
                <w:szCs w:val="17"/>
                <w:color w:val="auto"/>
              </w:rPr>
            </w:pPr>
          </w:p>
        </w:tc>
        <w:tc>
          <w:tcPr>
            <w:tcW w:w="1360" w:type="dxa"/>
            <w:vAlign w:val="bottom"/>
            <w:gridSpan w:val="3"/>
            <w:shd w:val="clear" w:color="auto" w:fill="E5FFFF"/>
          </w:tcPr>
          <w:p>
            <w:pPr>
              <w:jc w:val="center"/>
              <w:ind w:right="220"/>
              <w:spacing w:after="0"/>
              <w:rPr>
                <w:sz w:val="20"/>
                <w:szCs w:val="20"/>
                <w:color w:val="auto"/>
              </w:rPr>
            </w:pPr>
            <w:r>
              <w:rPr>
                <w:rFonts w:ascii="Arial" w:cs="Arial" w:eastAsia="Arial" w:hAnsi="Arial"/>
                <w:sz w:val="16"/>
                <w:szCs w:val="16"/>
                <w:color w:val="auto"/>
                <w:w w:val="88"/>
              </w:rPr>
              <w:t>June 2018</w:t>
            </w:r>
          </w:p>
        </w:tc>
        <w:tc>
          <w:tcPr>
            <w:tcW w:w="1140" w:type="dxa"/>
            <w:vAlign w:val="bottom"/>
            <w:gridSpan w:val="2"/>
            <w:shd w:val="clear" w:color="auto" w:fill="E5FFFF"/>
          </w:tcPr>
          <w:p>
            <w:pPr>
              <w:jc w:val="center"/>
              <w:spacing w:after="0"/>
              <w:rPr>
                <w:sz w:val="20"/>
                <w:szCs w:val="20"/>
                <w:color w:val="auto"/>
              </w:rPr>
            </w:pPr>
            <w:r>
              <w:rPr>
                <w:rFonts w:ascii="Arial" w:cs="Arial" w:eastAsia="Arial" w:hAnsi="Arial"/>
                <w:sz w:val="16"/>
                <w:szCs w:val="16"/>
                <w:color w:val="auto"/>
                <w:w w:val="89"/>
              </w:rPr>
              <w:t>1</w:t>
            </w:r>
          </w:p>
        </w:tc>
        <w:tc>
          <w:tcPr>
            <w:tcW w:w="2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40" w:type="dxa"/>
            <w:vAlign w:val="bottom"/>
            <w:shd w:val="clear" w:color="auto" w:fill="E5FFFF"/>
          </w:tcPr>
          <w:p>
            <w:pPr>
              <w:spacing w:after="0"/>
              <w:rPr>
                <w:sz w:val="17"/>
                <w:szCs w:val="17"/>
                <w:color w:val="auto"/>
              </w:rPr>
            </w:pPr>
          </w:p>
        </w:tc>
        <w:tc>
          <w:tcPr>
            <w:tcW w:w="2260" w:type="dxa"/>
            <w:vAlign w:val="bottom"/>
            <w:gridSpan w:val="5"/>
            <w:shd w:val="clear" w:color="auto" w:fill="E5FFFF"/>
          </w:tcPr>
          <w:p>
            <w:pPr>
              <w:jc w:val="center"/>
              <w:ind w:right="540"/>
              <w:spacing w:after="0"/>
              <w:rPr>
                <w:sz w:val="20"/>
                <w:szCs w:val="20"/>
                <w:color w:val="auto"/>
              </w:rPr>
            </w:pPr>
            <w:r>
              <w:rPr>
                <w:rFonts w:ascii="Arial" w:cs="Arial" w:eastAsia="Arial" w:hAnsi="Arial"/>
                <w:sz w:val="16"/>
                <w:szCs w:val="16"/>
                <w:color w:val="auto"/>
                <w:w w:val="90"/>
              </w:rPr>
              <w:t>June 2019</w:t>
            </w:r>
          </w:p>
        </w:tc>
        <w:tc>
          <w:tcPr>
            <w:tcW w:w="980" w:type="dxa"/>
            <w:vAlign w:val="bottom"/>
            <w:gridSpan w:val="2"/>
            <w:shd w:val="clear" w:color="auto" w:fill="E5FFFF"/>
          </w:tcPr>
          <w:p>
            <w:pPr>
              <w:jc w:val="right"/>
              <w:ind w:right="186"/>
              <w:spacing w:after="0"/>
              <w:rPr>
                <w:sz w:val="20"/>
                <w:szCs w:val="20"/>
                <w:color w:val="auto"/>
              </w:rPr>
            </w:pPr>
            <w:r>
              <w:rPr>
                <w:rFonts w:ascii="Arial" w:cs="Arial" w:eastAsia="Arial" w:hAnsi="Arial"/>
                <w:sz w:val="16"/>
                <w:szCs w:val="16"/>
                <w:color w:val="auto"/>
              </w:rPr>
              <w:t>1.1968</w:t>
            </w:r>
          </w:p>
        </w:tc>
        <w:tc>
          <w:tcPr>
            <w:tcW w:w="2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10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€2,500</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40" w:type="dxa"/>
            <w:vAlign w:val="bottom"/>
            <w:gridSpan w:val="2"/>
          </w:tcPr>
          <w:p>
            <w:pPr>
              <w:spacing w:after="0"/>
              <w:rPr>
                <w:sz w:val="20"/>
                <w:szCs w:val="20"/>
                <w:color w:val="auto"/>
              </w:rPr>
            </w:pPr>
            <w:r>
              <w:rPr>
                <w:rFonts w:ascii="Arial" w:cs="Arial" w:eastAsia="Arial" w:hAnsi="Arial"/>
                <w:sz w:val="16"/>
                <w:szCs w:val="16"/>
                <w:color w:val="auto"/>
              </w:rPr>
              <w:t>GasLog</w:t>
            </w:r>
          </w:p>
        </w:tc>
        <w:tc>
          <w:tcPr>
            <w:tcW w:w="2040" w:type="dxa"/>
            <w:vAlign w:val="bottom"/>
            <w:gridSpan w:val="3"/>
          </w:tcPr>
          <w:p>
            <w:pPr>
              <w:ind w:left="20"/>
              <w:spacing w:after="0"/>
              <w:rPr>
                <w:sz w:val="20"/>
                <w:szCs w:val="20"/>
                <w:color w:val="auto"/>
              </w:rPr>
            </w:pPr>
            <w:r>
              <w:rPr>
                <w:rFonts w:ascii="Arial" w:cs="Arial" w:eastAsia="Arial" w:hAnsi="Arial"/>
                <w:sz w:val="16"/>
                <w:szCs w:val="16"/>
                <w:color w:val="auto"/>
              </w:rPr>
              <w:t>DNB</w:t>
            </w:r>
          </w:p>
        </w:tc>
        <w:tc>
          <w:tcPr>
            <w:tcW w:w="20" w:type="dxa"/>
            <w:vAlign w:val="bottom"/>
          </w:tcPr>
          <w:p>
            <w:pPr>
              <w:spacing w:after="0"/>
              <w:rPr>
                <w:sz w:val="17"/>
                <w:szCs w:val="17"/>
                <w:color w:val="auto"/>
              </w:rPr>
            </w:pPr>
          </w:p>
        </w:tc>
        <w:tc>
          <w:tcPr>
            <w:tcW w:w="1360" w:type="dxa"/>
            <w:vAlign w:val="bottom"/>
            <w:gridSpan w:val="3"/>
          </w:tcPr>
          <w:p>
            <w:pPr>
              <w:jc w:val="center"/>
              <w:ind w:right="220"/>
              <w:spacing w:after="0"/>
              <w:rPr>
                <w:sz w:val="20"/>
                <w:szCs w:val="20"/>
                <w:color w:val="auto"/>
              </w:rPr>
            </w:pPr>
            <w:r>
              <w:rPr>
                <w:rFonts w:ascii="Arial" w:cs="Arial" w:eastAsia="Arial" w:hAnsi="Arial"/>
                <w:sz w:val="16"/>
                <w:szCs w:val="16"/>
                <w:color w:val="auto"/>
                <w:w w:val="88"/>
              </w:rPr>
              <w:t>June 2018</w:t>
            </w:r>
          </w:p>
        </w:tc>
        <w:tc>
          <w:tcPr>
            <w:tcW w:w="1140" w:type="dxa"/>
            <w:vAlign w:val="bottom"/>
            <w:gridSpan w:val="2"/>
          </w:tcPr>
          <w:p>
            <w:pPr>
              <w:jc w:val="center"/>
              <w:spacing w:after="0"/>
              <w:rPr>
                <w:sz w:val="20"/>
                <w:szCs w:val="20"/>
                <w:color w:val="auto"/>
              </w:rPr>
            </w:pPr>
            <w:r>
              <w:rPr>
                <w:rFonts w:ascii="Arial" w:cs="Arial" w:eastAsia="Arial" w:hAnsi="Arial"/>
                <w:sz w:val="16"/>
                <w:szCs w:val="16"/>
                <w:color w:val="auto"/>
                <w:w w:val="89"/>
              </w:rPr>
              <w:t>1</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60" w:type="dxa"/>
            <w:vAlign w:val="bottom"/>
            <w:gridSpan w:val="5"/>
          </w:tcPr>
          <w:p>
            <w:pPr>
              <w:jc w:val="center"/>
              <w:ind w:right="540"/>
              <w:spacing w:after="0"/>
              <w:rPr>
                <w:sz w:val="20"/>
                <w:szCs w:val="20"/>
                <w:color w:val="auto"/>
              </w:rPr>
            </w:pPr>
            <w:r>
              <w:rPr>
                <w:rFonts w:ascii="Arial" w:cs="Arial" w:eastAsia="Arial" w:hAnsi="Arial"/>
                <w:sz w:val="16"/>
                <w:szCs w:val="16"/>
                <w:color w:val="auto"/>
                <w:w w:val="99"/>
              </w:rPr>
              <w:t>April 2019</w:t>
            </w:r>
          </w:p>
        </w:tc>
        <w:tc>
          <w:tcPr>
            <w:tcW w:w="980" w:type="dxa"/>
            <w:vAlign w:val="bottom"/>
            <w:gridSpan w:val="2"/>
          </w:tcPr>
          <w:p>
            <w:pPr>
              <w:jc w:val="right"/>
              <w:ind w:right="186"/>
              <w:spacing w:after="0"/>
              <w:rPr>
                <w:sz w:val="20"/>
                <w:szCs w:val="20"/>
                <w:color w:val="auto"/>
              </w:rPr>
            </w:pPr>
            <w:r>
              <w:rPr>
                <w:rFonts w:ascii="Arial" w:cs="Arial" w:eastAsia="Arial" w:hAnsi="Arial"/>
                <w:sz w:val="16"/>
                <w:szCs w:val="16"/>
                <w:color w:val="auto"/>
              </w:rPr>
              <w:t>1.1910</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€2,500</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4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GasLog</w:t>
            </w:r>
          </w:p>
        </w:tc>
        <w:tc>
          <w:tcPr>
            <w:tcW w:w="2040" w:type="dxa"/>
            <w:vAlign w:val="bottom"/>
            <w:gridSpan w:val="3"/>
            <w:shd w:val="clear" w:color="auto" w:fill="E5FFFF"/>
          </w:tcPr>
          <w:p>
            <w:pPr>
              <w:ind w:left="20"/>
              <w:spacing w:after="0"/>
              <w:rPr>
                <w:sz w:val="20"/>
                <w:szCs w:val="20"/>
                <w:color w:val="auto"/>
              </w:rPr>
            </w:pPr>
            <w:r>
              <w:rPr>
                <w:rFonts w:ascii="Arial" w:cs="Arial" w:eastAsia="Arial" w:hAnsi="Arial"/>
                <w:sz w:val="16"/>
                <w:szCs w:val="16"/>
                <w:color w:val="auto"/>
              </w:rPr>
              <w:t>DNB</w:t>
            </w:r>
          </w:p>
        </w:tc>
        <w:tc>
          <w:tcPr>
            <w:tcW w:w="20" w:type="dxa"/>
            <w:vAlign w:val="bottom"/>
            <w:shd w:val="clear" w:color="auto" w:fill="E5FFFF"/>
          </w:tcPr>
          <w:p>
            <w:pPr>
              <w:spacing w:after="0"/>
              <w:rPr>
                <w:sz w:val="17"/>
                <w:szCs w:val="17"/>
                <w:color w:val="auto"/>
              </w:rPr>
            </w:pPr>
          </w:p>
        </w:tc>
        <w:tc>
          <w:tcPr>
            <w:tcW w:w="1360" w:type="dxa"/>
            <w:vAlign w:val="bottom"/>
            <w:gridSpan w:val="3"/>
            <w:shd w:val="clear" w:color="auto" w:fill="E5FFFF"/>
          </w:tcPr>
          <w:p>
            <w:pPr>
              <w:jc w:val="center"/>
              <w:ind w:right="220"/>
              <w:spacing w:after="0"/>
              <w:rPr>
                <w:sz w:val="20"/>
                <w:szCs w:val="20"/>
                <w:color w:val="auto"/>
              </w:rPr>
            </w:pPr>
            <w:r>
              <w:rPr>
                <w:rFonts w:ascii="Arial" w:cs="Arial" w:eastAsia="Arial" w:hAnsi="Arial"/>
                <w:sz w:val="16"/>
                <w:szCs w:val="16"/>
                <w:color w:val="auto"/>
                <w:w w:val="88"/>
              </w:rPr>
              <w:t>June 2018</w:t>
            </w:r>
          </w:p>
        </w:tc>
        <w:tc>
          <w:tcPr>
            <w:tcW w:w="1140" w:type="dxa"/>
            <w:vAlign w:val="bottom"/>
            <w:gridSpan w:val="2"/>
            <w:shd w:val="clear" w:color="auto" w:fill="E5FFFF"/>
          </w:tcPr>
          <w:p>
            <w:pPr>
              <w:jc w:val="center"/>
              <w:spacing w:after="0"/>
              <w:rPr>
                <w:sz w:val="20"/>
                <w:szCs w:val="20"/>
                <w:color w:val="auto"/>
              </w:rPr>
            </w:pPr>
            <w:r>
              <w:rPr>
                <w:rFonts w:ascii="Arial" w:cs="Arial" w:eastAsia="Arial" w:hAnsi="Arial"/>
                <w:sz w:val="16"/>
                <w:szCs w:val="16"/>
                <w:color w:val="auto"/>
                <w:w w:val="89"/>
              </w:rPr>
              <w:t>1</w:t>
            </w:r>
          </w:p>
        </w:tc>
        <w:tc>
          <w:tcPr>
            <w:tcW w:w="2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40" w:type="dxa"/>
            <w:vAlign w:val="bottom"/>
            <w:shd w:val="clear" w:color="auto" w:fill="E5FFFF"/>
          </w:tcPr>
          <w:p>
            <w:pPr>
              <w:spacing w:after="0"/>
              <w:rPr>
                <w:sz w:val="17"/>
                <w:szCs w:val="17"/>
                <w:color w:val="auto"/>
              </w:rPr>
            </w:pPr>
          </w:p>
        </w:tc>
        <w:tc>
          <w:tcPr>
            <w:tcW w:w="2260" w:type="dxa"/>
            <w:vAlign w:val="bottom"/>
            <w:gridSpan w:val="5"/>
            <w:shd w:val="clear" w:color="auto" w:fill="E5FFFF"/>
          </w:tcPr>
          <w:p>
            <w:pPr>
              <w:jc w:val="center"/>
              <w:ind w:right="540"/>
              <w:spacing w:after="0"/>
              <w:rPr>
                <w:sz w:val="20"/>
                <w:szCs w:val="20"/>
                <w:color w:val="auto"/>
              </w:rPr>
            </w:pPr>
            <w:r>
              <w:rPr>
                <w:rFonts w:ascii="Arial" w:cs="Arial" w:eastAsia="Arial" w:hAnsi="Arial"/>
                <w:sz w:val="16"/>
                <w:szCs w:val="16"/>
                <w:color w:val="auto"/>
                <w:w w:val="96"/>
              </w:rPr>
              <w:t>May 2019</w:t>
            </w:r>
          </w:p>
        </w:tc>
        <w:tc>
          <w:tcPr>
            <w:tcW w:w="980" w:type="dxa"/>
            <w:vAlign w:val="bottom"/>
            <w:gridSpan w:val="2"/>
            <w:shd w:val="clear" w:color="auto" w:fill="E5FFFF"/>
          </w:tcPr>
          <w:p>
            <w:pPr>
              <w:jc w:val="right"/>
              <w:ind w:right="186"/>
              <w:spacing w:after="0"/>
              <w:rPr>
                <w:sz w:val="20"/>
                <w:szCs w:val="20"/>
                <w:color w:val="auto"/>
              </w:rPr>
            </w:pPr>
            <w:r>
              <w:rPr>
                <w:rFonts w:ascii="Arial" w:cs="Arial" w:eastAsia="Arial" w:hAnsi="Arial"/>
                <w:sz w:val="16"/>
                <w:szCs w:val="16"/>
                <w:color w:val="auto"/>
              </w:rPr>
              <w:t>1.1943</w:t>
            </w:r>
          </w:p>
        </w:tc>
        <w:tc>
          <w:tcPr>
            <w:tcW w:w="2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10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€2,500</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40" w:type="dxa"/>
            <w:vAlign w:val="bottom"/>
            <w:gridSpan w:val="2"/>
          </w:tcPr>
          <w:p>
            <w:pPr>
              <w:spacing w:after="0"/>
              <w:rPr>
                <w:sz w:val="20"/>
                <w:szCs w:val="20"/>
                <w:color w:val="auto"/>
              </w:rPr>
            </w:pPr>
            <w:r>
              <w:rPr>
                <w:rFonts w:ascii="Arial" w:cs="Arial" w:eastAsia="Arial" w:hAnsi="Arial"/>
                <w:sz w:val="16"/>
                <w:szCs w:val="16"/>
                <w:color w:val="auto"/>
              </w:rPr>
              <w:t>GasLog</w:t>
            </w:r>
          </w:p>
        </w:tc>
        <w:tc>
          <w:tcPr>
            <w:tcW w:w="2040" w:type="dxa"/>
            <w:vAlign w:val="bottom"/>
            <w:gridSpan w:val="3"/>
          </w:tcPr>
          <w:p>
            <w:pPr>
              <w:ind w:left="20"/>
              <w:spacing w:after="0"/>
              <w:rPr>
                <w:sz w:val="20"/>
                <w:szCs w:val="20"/>
                <w:color w:val="auto"/>
              </w:rPr>
            </w:pPr>
            <w:r>
              <w:rPr>
                <w:rFonts w:ascii="Arial" w:cs="Arial" w:eastAsia="Arial" w:hAnsi="Arial"/>
                <w:sz w:val="16"/>
                <w:szCs w:val="16"/>
                <w:color w:val="auto"/>
              </w:rPr>
              <w:t>DNB</w:t>
            </w:r>
          </w:p>
        </w:tc>
        <w:tc>
          <w:tcPr>
            <w:tcW w:w="20" w:type="dxa"/>
            <w:vAlign w:val="bottom"/>
          </w:tcPr>
          <w:p>
            <w:pPr>
              <w:spacing w:after="0"/>
              <w:rPr>
                <w:sz w:val="17"/>
                <w:szCs w:val="17"/>
                <w:color w:val="auto"/>
              </w:rPr>
            </w:pPr>
          </w:p>
        </w:tc>
        <w:tc>
          <w:tcPr>
            <w:tcW w:w="1360" w:type="dxa"/>
            <w:vAlign w:val="bottom"/>
            <w:gridSpan w:val="3"/>
          </w:tcPr>
          <w:p>
            <w:pPr>
              <w:jc w:val="center"/>
              <w:ind w:right="220"/>
              <w:spacing w:after="0"/>
              <w:rPr>
                <w:sz w:val="20"/>
                <w:szCs w:val="20"/>
                <w:color w:val="auto"/>
              </w:rPr>
            </w:pPr>
            <w:r>
              <w:rPr>
                <w:rFonts w:ascii="Arial" w:cs="Arial" w:eastAsia="Arial" w:hAnsi="Arial"/>
                <w:sz w:val="16"/>
                <w:szCs w:val="16"/>
                <w:color w:val="auto"/>
                <w:w w:val="88"/>
              </w:rPr>
              <w:t>June 2018</w:t>
            </w:r>
          </w:p>
        </w:tc>
        <w:tc>
          <w:tcPr>
            <w:tcW w:w="1140" w:type="dxa"/>
            <w:vAlign w:val="bottom"/>
            <w:gridSpan w:val="2"/>
          </w:tcPr>
          <w:p>
            <w:pPr>
              <w:jc w:val="center"/>
              <w:spacing w:after="0"/>
              <w:rPr>
                <w:sz w:val="20"/>
                <w:szCs w:val="20"/>
                <w:color w:val="auto"/>
              </w:rPr>
            </w:pPr>
            <w:r>
              <w:rPr>
                <w:rFonts w:ascii="Arial" w:cs="Arial" w:eastAsia="Arial" w:hAnsi="Arial"/>
                <w:sz w:val="16"/>
                <w:szCs w:val="16"/>
                <w:color w:val="auto"/>
                <w:w w:val="89"/>
              </w:rPr>
              <w:t>1</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60" w:type="dxa"/>
            <w:vAlign w:val="bottom"/>
            <w:gridSpan w:val="5"/>
          </w:tcPr>
          <w:p>
            <w:pPr>
              <w:jc w:val="center"/>
              <w:ind w:right="540"/>
              <w:spacing w:after="0"/>
              <w:rPr>
                <w:sz w:val="20"/>
                <w:szCs w:val="20"/>
                <w:color w:val="auto"/>
              </w:rPr>
            </w:pPr>
            <w:r>
              <w:rPr>
                <w:rFonts w:ascii="Arial" w:cs="Arial" w:eastAsia="Arial" w:hAnsi="Arial"/>
                <w:sz w:val="16"/>
                <w:szCs w:val="16"/>
                <w:color w:val="auto"/>
                <w:w w:val="90"/>
              </w:rPr>
              <w:t>June 2019</w:t>
            </w:r>
          </w:p>
        </w:tc>
        <w:tc>
          <w:tcPr>
            <w:tcW w:w="980" w:type="dxa"/>
            <w:vAlign w:val="bottom"/>
            <w:gridSpan w:val="2"/>
          </w:tcPr>
          <w:p>
            <w:pPr>
              <w:jc w:val="right"/>
              <w:ind w:right="186"/>
              <w:spacing w:after="0"/>
              <w:rPr>
                <w:sz w:val="20"/>
                <w:szCs w:val="20"/>
                <w:color w:val="auto"/>
              </w:rPr>
            </w:pPr>
            <w:r>
              <w:rPr>
                <w:rFonts w:ascii="Arial" w:cs="Arial" w:eastAsia="Arial" w:hAnsi="Arial"/>
                <w:sz w:val="16"/>
                <w:szCs w:val="16"/>
                <w:color w:val="auto"/>
              </w:rPr>
              <w:t>1.1975</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€2,500</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4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GasLog</w:t>
            </w:r>
          </w:p>
        </w:tc>
        <w:tc>
          <w:tcPr>
            <w:tcW w:w="2040" w:type="dxa"/>
            <w:vAlign w:val="bottom"/>
            <w:gridSpan w:val="3"/>
            <w:shd w:val="clear" w:color="auto" w:fill="E5FFFF"/>
          </w:tcPr>
          <w:p>
            <w:pPr>
              <w:ind w:left="20"/>
              <w:spacing w:after="0"/>
              <w:rPr>
                <w:sz w:val="20"/>
                <w:szCs w:val="20"/>
                <w:color w:val="auto"/>
              </w:rPr>
            </w:pPr>
            <w:r>
              <w:rPr>
                <w:rFonts w:ascii="Arial" w:cs="Arial" w:eastAsia="Arial" w:hAnsi="Arial"/>
                <w:sz w:val="16"/>
                <w:szCs w:val="16"/>
                <w:color w:val="auto"/>
              </w:rPr>
              <w:t>Nordea Bank Finland</w:t>
            </w:r>
          </w:p>
        </w:tc>
        <w:tc>
          <w:tcPr>
            <w:tcW w:w="20" w:type="dxa"/>
            <w:vAlign w:val="bottom"/>
            <w:shd w:val="clear" w:color="auto" w:fill="E5FFFF"/>
          </w:tcPr>
          <w:p>
            <w:pPr>
              <w:spacing w:after="0"/>
              <w:rPr>
                <w:sz w:val="17"/>
                <w:szCs w:val="17"/>
                <w:color w:val="auto"/>
              </w:rPr>
            </w:pPr>
          </w:p>
        </w:tc>
        <w:tc>
          <w:tcPr>
            <w:tcW w:w="1360" w:type="dxa"/>
            <w:vAlign w:val="bottom"/>
            <w:gridSpan w:val="3"/>
            <w:shd w:val="clear" w:color="auto" w:fill="E5FFFF"/>
          </w:tcPr>
          <w:p>
            <w:pPr>
              <w:jc w:val="center"/>
              <w:ind w:right="200"/>
              <w:spacing w:after="0"/>
              <w:rPr>
                <w:sz w:val="20"/>
                <w:szCs w:val="20"/>
                <w:color w:val="auto"/>
              </w:rPr>
            </w:pPr>
            <w:r>
              <w:rPr>
                <w:rFonts w:ascii="Arial" w:cs="Arial" w:eastAsia="Arial" w:hAnsi="Arial"/>
                <w:sz w:val="16"/>
                <w:szCs w:val="16"/>
                <w:color w:val="auto"/>
                <w:w w:val="93"/>
              </w:rPr>
              <w:t>August 2018</w:t>
            </w:r>
          </w:p>
        </w:tc>
        <w:tc>
          <w:tcPr>
            <w:tcW w:w="1140" w:type="dxa"/>
            <w:vAlign w:val="bottom"/>
            <w:gridSpan w:val="2"/>
            <w:shd w:val="clear" w:color="auto" w:fill="E5FFFF"/>
          </w:tcPr>
          <w:p>
            <w:pPr>
              <w:jc w:val="center"/>
              <w:spacing w:after="0"/>
              <w:rPr>
                <w:sz w:val="20"/>
                <w:szCs w:val="20"/>
                <w:color w:val="auto"/>
              </w:rPr>
            </w:pPr>
            <w:r>
              <w:rPr>
                <w:rFonts w:ascii="Arial" w:cs="Arial" w:eastAsia="Arial" w:hAnsi="Arial"/>
                <w:sz w:val="16"/>
                <w:szCs w:val="16"/>
                <w:color w:val="auto"/>
                <w:w w:val="89"/>
              </w:rPr>
              <w:t>1</w:t>
            </w:r>
          </w:p>
        </w:tc>
        <w:tc>
          <w:tcPr>
            <w:tcW w:w="2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40" w:type="dxa"/>
            <w:vAlign w:val="bottom"/>
            <w:shd w:val="clear" w:color="auto" w:fill="E5FFFF"/>
          </w:tcPr>
          <w:p>
            <w:pPr>
              <w:spacing w:after="0"/>
              <w:rPr>
                <w:sz w:val="17"/>
                <w:szCs w:val="17"/>
                <w:color w:val="auto"/>
              </w:rPr>
            </w:pPr>
          </w:p>
        </w:tc>
        <w:tc>
          <w:tcPr>
            <w:tcW w:w="2260" w:type="dxa"/>
            <w:vAlign w:val="bottom"/>
            <w:gridSpan w:val="5"/>
            <w:shd w:val="clear" w:color="auto" w:fill="E5FFFF"/>
          </w:tcPr>
          <w:p>
            <w:pPr>
              <w:jc w:val="center"/>
              <w:ind w:right="540"/>
              <w:spacing w:after="0"/>
              <w:rPr>
                <w:sz w:val="20"/>
                <w:szCs w:val="20"/>
                <w:color w:val="auto"/>
              </w:rPr>
            </w:pPr>
            <w:r>
              <w:rPr>
                <w:rFonts w:ascii="Arial" w:cs="Arial" w:eastAsia="Arial" w:hAnsi="Arial"/>
                <w:sz w:val="16"/>
                <w:szCs w:val="16"/>
                <w:color w:val="auto"/>
                <w:w w:val="93"/>
              </w:rPr>
              <w:t>July 2019</w:t>
            </w:r>
          </w:p>
        </w:tc>
        <w:tc>
          <w:tcPr>
            <w:tcW w:w="980" w:type="dxa"/>
            <w:vAlign w:val="bottom"/>
            <w:gridSpan w:val="2"/>
            <w:shd w:val="clear" w:color="auto" w:fill="E5FFFF"/>
          </w:tcPr>
          <w:p>
            <w:pPr>
              <w:jc w:val="right"/>
              <w:ind w:right="186"/>
              <w:spacing w:after="0"/>
              <w:rPr>
                <w:sz w:val="20"/>
                <w:szCs w:val="20"/>
                <w:color w:val="auto"/>
              </w:rPr>
            </w:pPr>
            <w:r>
              <w:rPr>
                <w:rFonts w:ascii="Arial" w:cs="Arial" w:eastAsia="Arial" w:hAnsi="Arial"/>
                <w:sz w:val="16"/>
                <w:szCs w:val="16"/>
                <w:color w:val="auto"/>
              </w:rPr>
              <w:t>1.1715</w:t>
            </w:r>
          </w:p>
        </w:tc>
        <w:tc>
          <w:tcPr>
            <w:tcW w:w="2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10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€2,500</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40" w:type="dxa"/>
            <w:vAlign w:val="bottom"/>
            <w:gridSpan w:val="2"/>
          </w:tcPr>
          <w:p>
            <w:pPr>
              <w:spacing w:after="0"/>
              <w:rPr>
                <w:sz w:val="20"/>
                <w:szCs w:val="20"/>
                <w:color w:val="auto"/>
              </w:rPr>
            </w:pPr>
            <w:r>
              <w:rPr>
                <w:rFonts w:ascii="Arial" w:cs="Arial" w:eastAsia="Arial" w:hAnsi="Arial"/>
                <w:sz w:val="16"/>
                <w:szCs w:val="16"/>
                <w:color w:val="auto"/>
              </w:rPr>
              <w:t>GasLog</w:t>
            </w:r>
          </w:p>
        </w:tc>
        <w:tc>
          <w:tcPr>
            <w:tcW w:w="2040" w:type="dxa"/>
            <w:vAlign w:val="bottom"/>
            <w:gridSpan w:val="3"/>
          </w:tcPr>
          <w:p>
            <w:pPr>
              <w:ind w:left="20"/>
              <w:spacing w:after="0"/>
              <w:rPr>
                <w:sz w:val="20"/>
                <w:szCs w:val="20"/>
                <w:color w:val="auto"/>
              </w:rPr>
            </w:pPr>
            <w:r>
              <w:rPr>
                <w:rFonts w:ascii="Arial" w:cs="Arial" w:eastAsia="Arial" w:hAnsi="Arial"/>
                <w:sz w:val="16"/>
                <w:szCs w:val="16"/>
                <w:color w:val="auto"/>
              </w:rPr>
              <w:t>Nordea Bank Finland</w:t>
            </w:r>
          </w:p>
        </w:tc>
        <w:tc>
          <w:tcPr>
            <w:tcW w:w="20" w:type="dxa"/>
            <w:vAlign w:val="bottom"/>
          </w:tcPr>
          <w:p>
            <w:pPr>
              <w:spacing w:after="0"/>
              <w:rPr>
                <w:sz w:val="17"/>
                <w:szCs w:val="17"/>
                <w:color w:val="auto"/>
              </w:rPr>
            </w:pPr>
          </w:p>
        </w:tc>
        <w:tc>
          <w:tcPr>
            <w:tcW w:w="1360" w:type="dxa"/>
            <w:vAlign w:val="bottom"/>
            <w:gridSpan w:val="3"/>
          </w:tcPr>
          <w:p>
            <w:pPr>
              <w:jc w:val="center"/>
              <w:ind w:right="200"/>
              <w:spacing w:after="0"/>
              <w:rPr>
                <w:sz w:val="20"/>
                <w:szCs w:val="20"/>
                <w:color w:val="auto"/>
              </w:rPr>
            </w:pPr>
            <w:r>
              <w:rPr>
                <w:rFonts w:ascii="Arial" w:cs="Arial" w:eastAsia="Arial" w:hAnsi="Arial"/>
                <w:sz w:val="16"/>
                <w:szCs w:val="16"/>
                <w:color w:val="auto"/>
                <w:w w:val="93"/>
              </w:rPr>
              <w:t>August 2018</w:t>
            </w:r>
          </w:p>
        </w:tc>
        <w:tc>
          <w:tcPr>
            <w:tcW w:w="1140" w:type="dxa"/>
            <w:vAlign w:val="bottom"/>
            <w:gridSpan w:val="2"/>
          </w:tcPr>
          <w:p>
            <w:pPr>
              <w:jc w:val="center"/>
              <w:spacing w:after="0"/>
              <w:rPr>
                <w:sz w:val="20"/>
                <w:szCs w:val="20"/>
                <w:color w:val="auto"/>
              </w:rPr>
            </w:pPr>
            <w:r>
              <w:rPr>
                <w:rFonts w:ascii="Arial" w:cs="Arial" w:eastAsia="Arial" w:hAnsi="Arial"/>
                <w:sz w:val="16"/>
                <w:szCs w:val="16"/>
                <w:color w:val="auto"/>
                <w:w w:val="89"/>
              </w:rPr>
              <w:t>1</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60" w:type="dxa"/>
            <w:vAlign w:val="bottom"/>
            <w:gridSpan w:val="5"/>
          </w:tcPr>
          <w:p>
            <w:pPr>
              <w:jc w:val="center"/>
              <w:ind w:right="540"/>
              <w:spacing w:after="0"/>
              <w:rPr>
                <w:sz w:val="20"/>
                <w:szCs w:val="20"/>
                <w:color w:val="auto"/>
              </w:rPr>
            </w:pPr>
            <w:r>
              <w:rPr>
                <w:rFonts w:ascii="Arial" w:cs="Arial" w:eastAsia="Arial" w:hAnsi="Arial"/>
                <w:sz w:val="16"/>
                <w:szCs w:val="16"/>
                <w:color w:val="auto"/>
                <w:w w:val="87"/>
              </w:rPr>
              <w:t>September 2019</w:t>
            </w:r>
          </w:p>
        </w:tc>
        <w:tc>
          <w:tcPr>
            <w:tcW w:w="980" w:type="dxa"/>
            <w:vAlign w:val="bottom"/>
            <w:gridSpan w:val="2"/>
          </w:tcPr>
          <w:p>
            <w:pPr>
              <w:jc w:val="right"/>
              <w:ind w:right="186"/>
              <w:spacing w:after="0"/>
              <w:rPr>
                <w:sz w:val="20"/>
                <w:szCs w:val="20"/>
                <w:color w:val="auto"/>
              </w:rPr>
            </w:pPr>
            <w:r>
              <w:rPr>
                <w:rFonts w:ascii="Arial" w:cs="Arial" w:eastAsia="Arial" w:hAnsi="Arial"/>
                <w:sz w:val="16"/>
                <w:szCs w:val="16"/>
                <w:color w:val="auto"/>
              </w:rPr>
              <w:t>1.1784</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€5,000</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4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GasLog</w:t>
            </w:r>
          </w:p>
        </w:tc>
        <w:tc>
          <w:tcPr>
            <w:tcW w:w="2040" w:type="dxa"/>
            <w:vAlign w:val="bottom"/>
            <w:gridSpan w:val="3"/>
            <w:shd w:val="clear" w:color="auto" w:fill="E5FFFF"/>
          </w:tcPr>
          <w:p>
            <w:pPr>
              <w:ind w:left="20"/>
              <w:spacing w:after="0"/>
              <w:rPr>
                <w:sz w:val="20"/>
                <w:szCs w:val="20"/>
                <w:color w:val="auto"/>
              </w:rPr>
            </w:pPr>
            <w:r>
              <w:rPr>
                <w:rFonts w:ascii="Arial" w:cs="Arial" w:eastAsia="Arial" w:hAnsi="Arial"/>
                <w:sz w:val="16"/>
                <w:szCs w:val="16"/>
                <w:color w:val="auto"/>
              </w:rPr>
              <w:t>DNB</w:t>
            </w:r>
          </w:p>
        </w:tc>
        <w:tc>
          <w:tcPr>
            <w:tcW w:w="20" w:type="dxa"/>
            <w:vAlign w:val="bottom"/>
            <w:shd w:val="clear" w:color="auto" w:fill="E5FFFF"/>
          </w:tcPr>
          <w:p>
            <w:pPr>
              <w:spacing w:after="0"/>
              <w:rPr>
                <w:sz w:val="17"/>
                <w:szCs w:val="17"/>
                <w:color w:val="auto"/>
              </w:rPr>
            </w:pPr>
          </w:p>
        </w:tc>
        <w:tc>
          <w:tcPr>
            <w:tcW w:w="1360" w:type="dxa"/>
            <w:vAlign w:val="bottom"/>
            <w:gridSpan w:val="3"/>
            <w:shd w:val="clear" w:color="auto" w:fill="E5FFFF"/>
          </w:tcPr>
          <w:p>
            <w:pPr>
              <w:jc w:val="center"/>
              <w:ind w:right="200"/>
              <w:spacing w:after="0"/>
              <w:rPr>
                <w:sz w:val="20"/>
                <w:szCs w:val="20"/>
                <w:color w:val="auto"/>
              </w:rPr>
            </w:pPr>
            <w:r>
              <w:rPr>
                <w:rFonts w:ascii="Arial" w:cs="Arial" w:eastAsia="Arial" w:hAnsi="Arial"/>
                <w:sz w:val="16"/>
                <w:szCs w:val="16"/>
                <w:color w:val="auto"/>
                <w:w w:val="93"/>
              </w:rPr>
              <w:t>August 2018</w:t>
            </w:r>
          </w:p>
        </w:tc>
        <w:tc>
          <w:tcPr>
            <w:tcW w:w="1140" w:type="dxa"/>
            <w:vAlign w:val="bottom"/>
            <w:gridSpan w:val="2"/>
            <w:shd w:val="clear" w:color="auto" w:fill="E5FFFF"/>
          </w:tcPr>
          <w:p>
            <w:pPr>
              <w:jc w:val="center"/>
              <w:spacing w:after="0"/>
              <w:rPr>
                <w:sz w:val="20"/>
                <w:szCs w:val="20"/>
                <w:color w:val="auto"/>
              </w:rPr>
            </w:pPr>
            <w:r>
              <w:rPr>
                <w:rFonts w:ascii="Arial" w:cs="Arial" w:eastAsia="Arial" w:hAnsi="Arial"/>
                <w:sz w:val="16"/>
                <w:szCs w:val="16"/>
                <w:color w:val="auto"/>
                <w:w w:val="89"/>
              </w:rPr>
              <w:t>1</w:t>
            </w:r>
          </w:p>
        </w:tc>
        <w:tc>
          <w:tcPr>
            <w:tcW w:w="2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40" w:type="dxa"/>
            <w:vAlign w:val="bottom"/>
            <w:shd w:val="clear" w:color="auto" w:fill="E5FFFF"/>
          </w:tcPr>
          <w:p>
            <w:pPr>
              <w:spacing w:after="0"/>
              <w:rPr>
                <w:sz w:val="17"/>
                <w:szCs w:val="17"/>
                <w:color w:val="auto"/>
              </w:rPr>
            </w:pPr>
          </w:p>
        </w:tc>
        <w:tc>
          <w:tcPr>
            <w:tcW w:w="2260" w:type="dxa"/>
            <w:vAlign w:val="bottom"/>
            <w:gridSpan w:val="5"/>
            <w:shd w:val="clear" w:color="auto" w:fill="E5FFFF"/>
          </w:tcPr>
          <w:p>
            <w:pPr>
              <w:jc w:val="center"/>
              <w:ind w:right="540"/>
              <w:spacing w:after="0"/>
              <w:rPr>
                <w:sz w:val="20"/>
                <w:szCs w:val="20"/>
                <w:color w:val="auto"/>
              </w:rPr>
            </w:pPr>
            <w:r>
              <w:rPr>
                <w:rFonts w:ascii="Arial" w:cs="Arial" w:eastAsia="Arial" w:hAnsi="Arial"/>
                <w:sz w:val="16"/>
                <w:szCs w:val="16"/>
                <w:color w:val="auto"/>
                <w:w w:val="93"/>
              </w:rPr>
              <w:t>July 2019</w:t>
            </w:r>
          </w:p>
        </w:tc>
        <w:tc>
          <w:tcPr>
            <w:tcW w:w="980" w:type="dxa"/>
            <w:vAlign w:val="bottom"/>
            <w:gridSpan w:val="2"/>
            <w:shd w:val="clear" w:color="auto" w:fill="E5FFFF"/>
          </w:tcPr>
          <w:p>
            <w:pPr>
              <w:jc w:val="right"/>
              <w:ind w:right="186"/>
              <w:spacing w:after="0"/>
              <w:rPr>
                <w:sz w:val="20"/>
                <w:szCs w:val="20"/>
                <w:color w:val="auto"/>
              </w:rPr>
            </w:pPr>
            <w:r>
              <w:rPr>
                <w:rFonts w:ascii="Arial" w:cs="Arial" w:eastAsia="Arial" w:hAnsi="Arial"/>
                <w:sz w:val="16"/>
                <w:szCs w:val="16"/>
                <w:color w:val="auto"/>
              </w:rPr>
              <w:t>1.1711</w:t>
            </w:r>
          </w:p>
        </w:tc>
        <w:tc>
          <w:tcPr>
            <w:tcW w:w="2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10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€2,500</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40" w:type="dxa"/>
            <w:vAlign w:val="bottom"/>
            <w:gridSpan w:val="2"/>
          </w:tcPr>
          <w:p>
            <w:pPr>
              <w:spacing w:after="0"/>
              <w:rPr>
                <w:sz w:val="20"/>
                <w:szCs w:val="20"/>
                <w:color w:val="auto"/>
              </w:rPr>
            </w:pPr>
            <w:r>
              <w:rPr>
                <w:rFonts w:ascii="Arial" w:cs="Arial" w:eastAsia="Arial" w:hAnsi="Arial"/>
                <w:sz w:val="16"/>
                <w:szCs w:val="16"/>
                <w:color w:val="auto"/>
              </w:rPr>
              <w:t>GasLog</w:t>
            </w:r>
          </w:p>
        </w:tc>
        <w:tc>
          <w:tcPr>
            <w:tcW w:w="2040" w:type="dxa"/>
            <w:vAlign w:val="bottom"/>
            <w:gridSpan w:val="3"/>
          </w:tcPr>
          <w:p>
            <w:pPr>
              <w:ind w:left="20"/>
              <w:spacing w:after="0"/>
              <w:rPr>
                <w:sz w:val="20"/>
                <w:szCs w:val="20"/>
                <w:color w:val="auto"/>
              </w:rPr>
            </w:pPr>
            <w:r>
              <w:rPr>
                <w:rFonts w:ascii="Arial" w:cs="Arial" w:eastAsia="Arial" w:hAnsi="Arial"/>
                <w:sz w:val="16"/>
                <w:szCs w:val="16"/>
                <w:color w:val="auto"/>
              </w:rPr>
              <w:t>DNB</w:t>
            </w:r>
          </w:p>
        </w:tc>
        <w:tc>
          <w:tcPr>
            <w:tcW w:w="20" w:type="dxa"/>
            <w:vAlign w:val="bottom"/>
          </w:tcPr>
          <w:p>
            <w:pPr>
              <w:spacing w:after="0"/>
              <w:rPr>
                <w:sz w:val="17"/>
                <w:szCs w:val="17"/>
                <w:color w:val="auto"/>
              </w:rPr>
            </w:pPr>
          </w:p>
        </w:tc>
        <w:tc>
          <w:tcPr>
            <w:tcW w:w="1360" w:type="dxa"/>
            <w:vAlign w:val="bottom"/>
            <w:gridSpan w:val="3"/>
          </w:tcPr>
          <w:p>
            <w:pPr>
              <w:jc w:val="center"/>
              <w:ind w:right="200"/>
              <w:spacing w:after="0"/>
              <w:rPr>
                <w:sz w:val="20"/>
                <w:szCs w:val="20"/>
                <w:color w:val="auto"/>
              </w:rPr>
            </w:pPr>
            <w:r>
              <w:rPr>
                <w:rFonts w:ascii="Arial" w:cs="Arial" w:eastAsia="Arial" w:hAnsi="Arial"/>
                <w:sz w:val="16"/>
                <w:szCs w:val="16"/>
                <w:color w:val="auto"/>
                <w:w w:val="93"/>
              </w:rPr>
              <w:t>August 2018</w:t>
            </w:r>
          </w:p>
        </w:tc>
        <w:tc>
          <w:tcPr>
            <w:tcW w:w="1140" w:type="dxa"/>
            <w:vAlign w:val="bottom"/>
            <w:gridSpan w:val="2"/>
          </w:tcPr>
          <w:p>
            <w:pPr>
              <w:jc w:val="center"/>
              <w:spacing w:after="0"/>
              <w:rPr>
                <w:sz w:val="20"/>
                <w:szCs w:val="20"/>
                <w:color w:val="auto"/>
              </w:rPr>
            </w:pPr>
            <w:r>
              <w:rPr>
                <w:rFonts w:ascii="Arial" w:cs="Arial" w:eastAsia="Arial" w:hAnsi="Arial"/>
                <w:sz w:val="16"/>
                <w:szCs w:val="16"/>
                <w:color w:val="auto"/>
                <w:w w:val="89"/>
              </w:rPr>
              <w:t>1</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60" w:type="dxa"/>
            <w:vAlign w:val="bottom"/>
            <w:gridSpan w:val="5"/>
          </w:tcPr>
          <w:p>
            <w:pPr>
              <w:jc w:val="center"/>
              <w:ind w:right="540"/>
              <w:spacing w:after="0"/>
              <w:rPr>
                <w:sz w:val="20"/>
                <w:szCs w:val="20"/>
                <w:color w:val="auto"/>
              </w:rPr>
            </w:pPr>
            <w:r>
              <w:rPr>
                <w:rFonts w:ascii="Arial" w:cs="Arial" w:eastAsia="Arial" w:hAnsi="Arial"/>
                <w:sz w:val="16"/>
                <w:szCs w:val="16"/>
                <w:color w:val="auto"/>
                <w:w w:val="93"/>
              </w:rPr>
              <w:t>August 2019</w:t>
            </w:r>
          </w:p>
        </w:tc>
        <w:tc>
          <w:tcPr>
            <w:tcW w:w="980" w:type="dxa"/>
            <w:vAlign w:val="bottom"/>
            <w:gridSpan w:val="2"/>
          </w:tcPr>
          <w:p>
            <w:pPr>
              <w:jc w:val="right"/>
              <w:ind w:right="186"/>
              <w:spacing w:after="0"/>
              <w:rPr>
                <w:sz w:val="20"/>
                <w:szCs w:val="20"/>
                <w:color w:val="auto"/>
              </w:rPr>
            </w:pPr>
            <w:r>
              <w:rPr>
                <w:rFonts w:ascii="Arial" w:cs="Arial" w:eastAsia="Arial" w:hAnsi="Arial"/>
                <w:sz w:val="16"/>
                <w:szCs w:val="16"/>
                <w:color w:val="auto"/>
              </w:rPr>
              <w:t>1.1747</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€5,000</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4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GasLog</w:t>
            </w:r>
          </w:p>
        </w:tc>
        <w:tc>
          <w:tcPr>
            <w:tcW w:w="2040" w:type="dxa"/>
            <w:vAlign w:val="bottom"/>
            <w:gridSpan w:val="3"/>
            <w:shd w:val="clear" w:color="auto" w:fill="E5FFFF"/>
          </w:tcPr>
          <w:p>
            <w:pPr>
              <w:ind w:left="20"/>
              <w:spacing w:after="0"/>
              <w:rPr>
                <w:sz w:val="20"/>
                <w:szCs w:val="20"/>
                <w:color w:val="auto"/>
              </w:rPr>
            </w:pPr>
            <w:r>
              <w:rPr>
                <w:rFonts w:ascii="Arial" w:cs="Arial" w:eastAsia="Arial" w:hAnsi="Arial"/>
                <w:sz w:val="16"/>
                <w:szCs w:val="16"/>
                <w:color w:val="auto"/>
              </w:rPr>
              <w:t>Citibank</w:t>
            </w:r>
          </w:p>
        </w:tc>
        <w:tc>
          <w:tcPr>
            <w:tcW w:w="20" w:type="dxa"/>
            <w:vAlign w:val="bottom"/>
            <w:shd w:val="clear" w:color="auto" w:fill="E5FFFF"/>
          </w:tcPr>
          <w:p>
            <w:pPr>
              <w:spacing w:after="0"/>
              <w:rPr>
                <w:sz w:val="17"/>
                <w:szCs w:val="17"/>
                <w:color w:val="auto"/>
              </w:rPr>
            </w:pPr>
          </w:p>
        </w:tc>
        <w:tc>
          <w:tcPr>
            <w:tcW w:w="1360" w:type="dxa"/>
            <w:vAlign w:val="bottom"/>
            <w:gridSpan w:val="3"/>
            <w:shd w:val="clear" w:color="auto" w:fill="E5FFFF"/>
          </w:tcPr>
          <w:p>
            <w:pPr>
              <w:jc w:val="center"/>
              <w:ind w:right="220"/>
              <w:spacing w:after="0"/>
              <w:rPr>
                <w:sz w:val="20"/>
                <w:szCs w:val="20"/>
                <w:color w:val="auto"/>
              </w:rPr>
            </w:pPr>
            <w:r>
              <w:rPr>
                <w:rFonts w:ascii="Arial" w:cs="Arial" w:eastAsia="Arial" w:hAnsi="Arial"/>
                <w:sz w:val="16"/>
                <w:szCs w:val="16"/>
                <w:color w:val="auto"/>
                <w:w w:val="92"/>
              </w:rPr>
              <w:t>March 2019</w:t>
            </w:r>
          </w:p>
        </w:tc>
        <w:tc>
          <w:tcPr>
            <w:tcW w:w="1140" w:type="dxa"/>
            <w:vAlign w:val="bottom"/>
            <w:gridSpan w:val="2"/>
            <w:shd w:val="clear" w:color="auto" w:fill="E5FFFF"/>
          </w:tcPr>
          <w:p>
            <w:pPr>
              <w:jc w:val="center"/>
              <w:spacing w:after="0"/>
              <w:rPr>
                <w:sz w:val="20"/>
                <w:szCs w:val="20"/>
                <w:color w:val="auto"/>
              </w:rPr>
            </w:pPr>
            <w:r>
              <w:rPr>
                <w:rFonts w:ascii="Arial" w:cs="Arial" w:eastAsia="Arial" w:hAnsi="Arial"/>
                <w:sz w:val="16"/>
                <w:szCs w:val="16"/>
                <w:color w:val="auto"/>
                <w:w w:val="89"/>
              </w:rPr>
              <w:t>1</w:t>
            </w:r>
          </w:p>
        </w:tc>
        <w:tc>
          <w:tcPr>
            <w:tcW w:w="2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40" w:type="dxa"/>
            <w:vAlign w:val="bottom"/>
            <w:shd w:val="clear" w:color="auto" w:fill="E5FFFF"/>
          </w:tcPr>
          <w:p>
            <w:pPr>
              <w:spacing w:after="0"/>
              <w:rPr>
                <w:sz w:val="17"/>
                <w:szCs w:val="17"/>
                <w:color w:val="auto"/>
              </w:rPr>
            </w:pPr>
          </w:p>
        </w:tc>
        <w:tc>
          <w:tcPr>
            <w:tcW w:w="2260" w:type="dxa"/>
            <w:vAlign w:val="bottom"/>
            <w:gridSpan w:val="5"/>
            <w:shd w:val="clear" w:color="auto" w:fill="E5FFFF"/>
          </w:tcPr>
          <w:p>
            <w:pPr>
              <w:jc w:val="center"/>
              <w:ind w:right="540"/>
              <w:spacing w:after="0"/>
              <w:rPr>
                <w:sz w:val="20"/>
                <w:szCs w:val="20"/>
                <w:color w:val="auto"/>
              </w:rPr>
            </w:pPr>
            <w:r>
              <w:rPr>
                <w:rFonts w:ascii="Arial" w:cs="Arial" w:eastAsia="Arial" w:hAnsi="Arial"/>
                <w:sz w:val="16"/>
                <w:szCs w:val="16"/>
                <w:color w:val="auto"/>
                <w:w w:val="99"/>
              </w:rPr>
              <w:t>April 2019</w:t>
            </w:r>
          </w:p>
        </w:tc>
        <w:tc>
          <w:tcPr>
            <w:tcW w:w="980" w:type="dxa"/>
            <w:vAlign w:val="bottom"/>
            <w:gridSpan w:val="2"/>
            <w:shd w:val="clear" w:color="auto" w:fill="E5FFFF"/>
          </w:tcPr>
          <w:p>
            <w:pPr>
              <w:jc w:val="right"/>
              <w:ind w:right="186"/>
              <w:spacing w:after="0"/>
              <w:rPr>
                <w:sz w:val="20"/>
                <w:szCs w:val="20"/>
                <w:color w:val="auto"/>
              </w:rPr>
            </w:pPr>
            <w:r>
              <w:rPr>
                <w:rFonts w:ascii="Arial" w:cs="Arial" w:eastAsia="Arial" w:hAnsi="Arial"/>
                <w:sz w:val="16"/>
                <w:szCs w:val="16"/>
                <w:color w:val="auto"/>
              </w:rPr>
              <w:t>1.1384</w:t>
            </w:r>
          </w:p>
        </w:tc>
        <w:tc>
          <w:tcPr>
            <w:tcW w:w="2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10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€1,000</w:t>
            </w:r>
          </w:p>
        </w:tc>
        <w:tc>
          <w:tcPr>
            <w:tcW w:w="34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40" w:type="dxa"/>
            <w:vAlign w:val="bottom"/>
            <w:gridSpan w:val="2"/>
          </w:tcPr>
          <w:p>
            <w:pPr>
              <w:spacing w:after="0"/>
              <w:rPr>
                <w:sz w:val="20"/>
                <w:szCs w:val="20"/>
                <w:color w:val="auto"/>
              </w:rPr>
            </w:pPr>
            <w:r>
              <w:rPr>
                <w:rFonts w:ascii="Arial" w:cs="Arial" w:eastAsia="Arial" w:hAnsi="Arial"/>
                <w:sz w:val="16"/>
                <w:szCs w:val="16"/>
                <w:color w:val="auto"/>
              </w:rPr>
              <w:t>GasLog</w:t>
            </w:r>
          </w:p>
        </w:tc>
        <w:tc>
          <w:tcPr>
            <w:tcW w:w="2040" w:type="dxa"/>
            <w:vAlign w:val="bottom"/>
            <w:gridSpan w:val="3"/>
          </w:tcPr>
          <w:p>
            <w:pPr>
              <w:ind w:left="20"/>
              <w:spacing w:after="0"/>
              <w:rPr>
                <w:sz w:val="20"/>
                <w:szCs w:val="20"/>
                <w:color w:val="auto"/>
              </w:rPr>
            </w:pPr>
            <w:r>
              <w:rPr>
                <w:rFonts w:ascii="Arial" w:cs="Arial" w:eastAsia="Arial" w:hAnsi="Arial"/>
                <w:sz w:val="16"/>
                <w:szCs w:val="16"/>
                <w:color w:val="auto"/>
              </w:rPr>
              <w:t>Citibank</w:t>
            </w:r>
          </w:p>
        </w:tc>
        <w:tc>
          <w:tcPr>
            <w:tcW w:w="20" w:type="dxa"/>
            <w:vAlign w:val="bottom"/>
          </w:tcPr>
          <w:p>
            <w:pPr>
              <w:spacing w:after="0"/>
              <w:rPr>
                <w:sz w:val="17"/>
                <w:szCs w:val="17"/>
                <w:color w:val="auto"/>
              </w:rPr>
            </w:pPr>
          </w:p>
        </w:tc>
        <w:tc>
          <w:tcPr>
            <w:tcW w:w="1360" w:type="dxa"/>
            <w:vAlign w:val="bottom"/>
            <w:gridSpan w:val="3"/>
          </w:tcPr>
          <w:p>
            <w:pPr>
              <w:jc w:val="center"/>
              <w:ind w:right="220"/>
              <w:spacing w:after="0"/>
              <w:rPr>
                <w:sz w:val="20"/>
                <w:szCs w:val="20"/>
                <w:color w:val="auto"/>
              </w:rPr>
            </w:pPr>
            <w:r>
              <w:rPr>
                <w:rFonts w:ascii="Arial" w:cs="Arial" w:eastAsia="Arial" w:hAnsi="Arial"/>
                <w:sz w:val="16"/>
                <w:szCs w:val="16"/>
                <w:color w:val="auto"/>
                <w:w w:val="92"/>
              </w:rPr>
              <w:t>March 2019</w:t>
            </w:r>
          </w:p>
        </w:tc>
        <w:tc>
          <w:tcPr>
            <w:tcW w:w="1140" w:type="dxa"/>
            <w:vAlign w:val="bottom"/>
            <w:gridSpan w:val="2"/>
          </w:tcPr>
          <w:p>
            <w:pPr>
              <w:jc w:val="center"/>
              <w:spacing w:after="0"/>
              <w:rPr>
                <w:sz w:val="20"/>
                <w:szCs w:val="20"/>
                <w:color w:val="auto"/>
              </w:rPr>
            </w:pPr>
            <w:r>
              <w:rPr>
                <w:rFonts w:ascii="Arial" w:cs="Arial" w:eastAsia="Arial" w:hAnsi="Arial"/>
                <w:sz w:val="16"/>
                <w:szCs w:val="16"/>
                <w:color w:val="auto"/>
                <w:w w:val="89"/>
              </w:rPr>
              <w:t>1</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60" w:type="dxa"/>
            <w:vAlign w:val="bottom"/>
            <w:gridSpan w:val="5"/>
          </w:tcPr>
          <w:p>
            <w:pPr>
              <w:jc w:val="center"/>
              <w:ind w:right="540"/>
              <w:spacing w:after="0"/>
              <w:rPr>
                <w:sz w:val="20"/>
                <w:szCs w:val="20"/>
                <w:color w:val="auto"/>
              </w:rPr>
            </w:pPr>
            <w:r>
              <w:rPr>
                <w:rFonts w:ascii="Arial" w:cs="Arial" w:eastAsia="Arial" w:hAnsi="Arial"/>
                <w:sz w:val="16"/>
                <w:szCs w:val="16"/>
                <w:color w:val="auto"/>
                <w:w w:val="96"/>
              </w:rPr>
              <w:t>May 2019</w:t>
            </w:r>
          </w:p>
        </w:tc>
        <w:tc>
          <w:tcPr>
            <w:tcW w:w="980" w:type="dxa"/>
            <w:vAlign w:val="bottom"/>
            <w:gridSpan w:val="2"/>
          </w:tcPr>
          <w:p>
            <w:pPr>
              <w:jc w:val="right"/>
              <w:ind w:right="186"/>
              <w:spacing w:after="0"/>
              <w:rPr>
                <w:sz w:val="20"/>
                <w:szCs w:val="20"/>
                <w:color w:val="auto"/>
              </w:rPr>
            </w:pPr>
            <w:r>
              <w:rPr>
                <w:rFonts w:ascii="Arial" w:cs="Arial" w:eastAsia="Arial" w:hAnsi="Arial"/>
                <w:sz w:val="16"/>
                <w:szCs w:val="16"/>
                <w:color w:val="auto"/>
              </w:rPr>
              <w:t>1.1414</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€1,000</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4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GasLog</w:t>
            </w:r>
          </w:p>
        </w:tc>
        <w:tc>
          <w:tcPr>
            <w:tcW w:w="2040" w:type="dxa"/>
            <w:vAlign w:val="bottom"/>
            <w:gridSpan w:val="3"/>
            <w:shd w:val="clear" w:color="auto" w:fill="E5FFFF"/>
          </w:tcPr>
          <w:p>
            <w:pPr>
              <w:ind w:left="20"/>
              <w:spacing w:after="0"/>
              <w:rPr>
                <w:sz w:val="20"/>
                <w:szCs w:val="20"/>
                <w:color w:val="auto"/>
              </w:rPr>
            </w:pPr>
            <w:r>
              <w:rPr>
                <w:rFonts w:ascii="Arial" w:cs="Arial" w:eastAsia="Arial" w:hAnsi="Arial"/>
                <w:sz w:val="16"/>
                <w:szCs w:val="16"/>
                <w:color w:val="auto"/>
              </w:rPr>
              <w:t>Citibank</w:t>
            </w:r>
          </w:p>
        </w:tc>
        <w:tc>
          <w:tcPr>
            <w:tcW w:w="20" w:type="dxa"/>
            <w:vAlign w:val="bottom"/>
            <w:shd w:val="clear" w:color="auto" w:fill="E5FFFF"/>
          </w:tcPr>
          <w:p>
            <w:pPr>
              <w:spacing w:after="0"/>
              <w:rPr>
                <w:sz w:val="17"/>
                <w:szCs w:val="17"/>
                <w:color w:val="auto"/>
              </w:rPr>
            </w:pPr>
          </w:p>
        </w:tc>
        <w:tc>
          <w:tcPr>
            <w:tcW w:w="1360" w:type="dxa"/>
            <w:vAlign w:val="bottom"/>
            <w:gridSpan w:val="3"/>
            <w:shd w:val="clear" w:color="auto" w:fill="E5FFFF"/>
          </w:tcPr>
          <w:p>
            <w:pPr>
              <w:jc w:val="center"/>
              <w:ind w:right="220"/>
              <w:spacing w:after="0"/>
              <w:rPr>
                <w:sz w:val="20"/>
                <w:szCs w:val="20"/>
                <w:color w:val="auto"/>
              </w:rPr>
            </w:pPr>
            <w:r>
              <w:rPr>
                <w:rFonts w:ascii="Arial" w:cs="Arial" w:eastAsia="Arial" w:hAnsi="Arial"/>
                <w:sz w:val="16"/>
                <w:szCs w:val="16"/>
                <w:color w:val="auto"/>
                <w:w w:val="92"/>
              </w:rPr>
              <w:t>March 2019</w:t>
            </w:r>
          </w:p>
        </w:tc>
        <w:tc>
          <w:tcPr>
            <w:tcW w:w="1140" w:type="dxa"/>
            <w:vAlign w:val="bottom"/>
            <w:gridSpan w:val="2"/>
            <w:shd w:val="clear" w:color="auto" w:fill="E5FFFF"/>
          </w:tcPr>
          <w:p>
            <w:pPr>
              <w:jc w:val="center"/>
              <w:spacing w:after="0"/>
              <w:rPr>
                <w:sz w:val="20"/>
                <w:szCs w:val="20"/>
                <w:color w:val="auto"/>
              </w:rPr>
            </w:pPr>
            <w:r>
              <w:rPr>
                <w:rFonts w:ascii="Arial" w:cs="Arial" w:eastAsia="Arial" w:hAnsi="Arial"/>
                <w:sz w:val="16"/>
                <w:szCs w:val="16"/>
                <w:color w:val="auto"/>
                <w:w w:val="89"/>
              </w:rPr>
              <w:t>1</w:t>
            </w:r>
          </w:p>
        </w:tc>
        <w:tc>
          <w:tcPr>
            <w:tcW w:w="2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40" w:type="dxa"/>
            <w:vAlign w:val="bottom"/>
            <w:shd w:val="clear" w:color="auto" w:fill="E5FFFF"/>
          </w:tcPr>
          <w:p>
            <w:pPr>
              <w:spacing w:after="0"/>
              <w:rPr>
                <w:sz w:val="17"/>
                <w:szCs w:val="17"/>
                <w:color w:val="auto"/>
              </w:rPr>
            </w:pPr>
          </w:p>
        </w:tc>
        <w:tc>
          <w:tcPr>
            <w:tcW w:w="2260" w:type="dxa"/>
            <w:vAlign w:val="bottom"/>
            <w:gridSpan w:val="5"/>
            <w:shd w:val="clear" w:color="auto" w:fill="E5FFFF"/>
          </w:tcPr>
          <w:p>
            <w:pPr>
              <w:jc w:val="center"/>
              <w:ind w:right="540"/>
              <w:spacing w:after="0"/>
              <w:rPr>
                <w:sz w:val="20"/>
                <w:szCs w:val="20"/>
                <w:color w:val="auto"/>
              </w:rPr>
            </w:pPr>
            <w:r>
              <w:rPr>
                <w:rFonts w:ascii="Arial" w:cs="Arial" w:eastAsia="Arial" w:hAnsi="Arial"/>
                <w:sz w:val="16"/>
                <w:szCs w:val="16"/>
                <w:color w:val="auto"/>
                <w:w w:val="90"/>
              </w:rPr>
              <w:t>June 2019</w:t>
            </w:r>
          </w:p>
        </w:tc>
        <w:tc>
          <w:tcPr>
            <w:tcW w:w="980" w:type="dxa"/>
            <w:vAlign w:val="bottom"/>
            <w:gridSpan w:val="2"/>
            <w:shd w:val="clear" w:color="auto" w:fill="E5FFFF"/>
          </w:tcPr>
          <w:p>
            <w:pPr>
              <w:jc w:val="right"/>
              <w:ind w:right="186"/>
              <w:spacing w:after="0"/>
              <w:rPr>
                <w:sz w:val="20"/>
                <w:szCs w:val="20"/>
                <w:color w:val="auto"/>
              </w:rPr>
            </w:pPr>
            <w:r>
              <w:rPr>
                <w:rFonts w:ascii="Arial" w:cs="Arial" w:eastAsia="Arial" w:hAnsi="Arial"/>
                <w:sz w:val="16"/>
                <w:szCs w:val="16"/>
                <w:color w:val="auto"/>
              </w:rPr>
              <w:t>1.1442</w:t>
            </w:r>
          </w:p>
        </w:tc>
        <w:tc>
          <w:tcPr>
            <w:tcW w:w="2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10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€1,000</w:t>
            </w:r>
          </w:p>
        </w:tc>
        <w:tc>
          <w:tcPr>
            <w:tcW w:w="34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40" w:type="dxa"/>
            <w:vAlign w:val="bottom"/>
            <w:gridSpan w:val="2"/>
          </w:tcPr>
          <w:p>
            <w:pPr>
              <w:spacing w:after="0"/>
              <w:rPr>
                <w:sz w:val="20"/>
                <w:szCs w:val="20"/>
                <w:color w:val="auto"/>
              </w:rPr>
            </w:pPr>
            <w:r>
              <w:rPr>
                <w:rFonts w:ascii="Arial" w:cs="Arial" w:eastAsia="Arial" w:hAnsi="Arial"/>
                <w:sz w:val="16"/>
                <w:szCs w:val="16"/>
                <w:color w:val="auto"/>
              </w:rPr>
              <w:t>GasLog</w:t>
            </w:r>
          </w:p>
        </w:tc>
        <w:tc>
          <w:tcPr>
            <w:tcW w:w="2040" w:type="dxa"/>
            <w:vAlign w:val="bottom"/>
            <w:gridSpan w:val="3"/>
          </w:tcPr>
          <w:p>
            <w:pPr>
              <w:ind w:left="20"/>
              <w:spacing w:after="0"/>
              <w:rPr>
                <w:sz w:val="20"/>
                <w:szCs w:val="20"/>
                <w:color w:val="auto"/>
              </w:rPr>
            </w:pPr>
            <w:r>
              <w:rPr>
                <w:rFonts w:ascii="Arial" w:cs="Arial" w:eastAsia="Arial" w:hAnsi="Arial"/>
                <w:sz w:val="16"/>
                <w:szCs w:val="16"/>
                <w:color w:val="auto"/>
              </w:rPr>
              <w:t>Citibank</w:t>
            </w:r>
          </w:p>
        </w:tc>
        <w:tc>
          <w:tcPr>
            <w:tcW w:w="20" w:type="dxa"/>
            <w:vAlign w:val="bottom"/>
          </w:tcPr>
          <w:p>
            <w:pPr>
              <w:spacing w:after="0"/>
              <w:rPr>
                <w:sz w:val="17"/>
                <w:szCs w:val="17"/>
                <w:color w:val="auto"/>
              </w:rPr>
            </w:pPr>
          </w:p>
        </w:tc>
        <w:tc>
          <w:tcPr>
            <w:tcW w:w="1360" w:type="dxa"/>
            <w:vAlign w:val="bottom"/>
            <w:gridSpan w:val="3"/>
          </w:tcPr>
          <w:p>
            <w:pPr>
              <w:jc w:val="center"/>
              <w:ind w:right="220"/>
              <w:spacing w:after="0"/>
              <w:rPr>
                <w:sz w:val="20"/>
                <w:szCs w:val="20"/>
                <w:color w:val="auto"/>
              </w:rPr>
            </w:pPr>
            <w:r>
              <w:rPr>
                <w:rFonts w:ascii="Arial" w:cs="Arial" w:eastAsia="Arial" w:hAnsi="Arial"/>
                <w:sz w:val="16"/>
                <w:szCs w:val="16"/>
                <w:color w:val="auto"/>
                <w:w w:val="92"/>
              </w:rPr>
              <w:t>March 2019</w:t>
            </w:r>
          </w:p>
        </w:tc>
        <w:tc>
          <w:tcPr>
            <w:tcW w:w="1140" w:type="dxa"/>
            <w:vAlign w:val="bottom"/>
            <w:gridSpan w:val="2"/>
          </w:tcPr>
          <w:p>
            <w:pPr>
              <w:jc w:val="center"/>
              <w:spacing w:after="0"/>
              <w:rPr>
                <w:sz w:val="20"/>
                <w:szCs w:val="20"/>
                <w:color w:val="auto"/>
              </w:rPr>
            </w:pPr>
            <w:r>
              <w:rPr>
                <w:rFonts w:ascii="Arial" w:cs="Arial" w:eastAsia="Arial" w:hAnsi="Arial"/>
                <w:sz w:val="16"/>
                <w:szCs w:val="16"/>
                <w:color w:val="auto"/>
                <w:w w:val="89"/>
              </w:rPr>
              <w:t>1</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60" w:type="dxa"/>
            <w:vAlign w:val="bottom"/>
            <w:gridSpan w:val="5"/>
          </w:tcPr>
          <w:p>
            <w:pPr>
              <w:jc w:val="center"/>
              <w:ind w:right="540"/>
              <w:spacing w:after="0"/>
              <w:rPr>
                <w:sz w:val="20"/>
                <w:szCs w:val="20"/>
                <w:color w:val="auto"/>
              </w:rPr>
            </w:pPr>
            <w:r>
              <w:rPr>
                <w:rFonts w:ascii="Arial" w:cs="Arial" w:eastAsia="Arial" w:hAnsi="Arial"/>
                <w:sz w:val="16"/>
                <w:szCs w:val="16"/>
                <w:color w:val="auto"/>
                <w:w w:val="93"/>
              </w:rPr>
              <w:t>July 2019</w:t>
            </w:r>
          </w:p>
        </w:tc>
        <w:tc>
          <w:tcPr>
            <w:tcW w:w="980" w:type="dxa"/>
            <w:vAlign w:val="bottom"/>
            <w:gridSpan w:val="2"/>
          </w:tcPr>
          <w:p>
            <w:pPr>
              <w:jc w:val="right"/>
              <w:ind w:right="186"/>
              <w:spacing w:after="0"/>
              <w:rPr>
                <w:sz w:val="20"/>
                <w:szCs w:val="20"/>
                <w:color w:val="auto"/>
              </w:rPr>
            </w:pPr>
            <w:r>
              <w:rPr>
                <w:rFonts w:ascii="Arial" w:cs="Arial" w:eastAsia="Arial" w:hAnsi="Arial"/>
                <w:sz w:val="16"/>
                <w:szCs w:val="16"/>
                <w:color w:val="auto"/>
              </w:rPr>
              <w:t>1.1470</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€1,000</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4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GasLog</w:t>
            </w:r>
          </w:p>
        </w:tc>
        <w:tc>
          <w:tcPr>
            <w:tcW w:w="2040" w:type="dxa"/>
            <w:vAlign w:val="bottom"/>
            <w:gridSpan w:val="3"/>
            <w:shd w:val="clear" w:color="auto" w:fill="E5FFFF"/>
          </w:tcPr>
          <w:p>
            <w:pPr>
              <w:ind w:left="20"/>
              <w:spacing w:after="0"/>
              <w:rPr>
                <w:sz w:val="20"/>
                <w:szCs w:val="20"/>
                <w:color w:val="auto"/>
              </w:rPr>
            </w:pPr>
            <w:r>
              <w:rPr>
                <w:rFonts w:ascii="Arial" w:cs="Arial" w:eastAsia="Arial" w:hAnsi="Arial"/>
                <w:sz w:val="16"/>
                <w:szCs w:val="16"/>
                <w:color w:val="auto"/>
              </w:rPr>
              <w:t>Citibank</w:t>
            </w:r>
          </w:p>
        </w:tc>
        <w:tc>
          <w:tcPr>
            <w:tcW w:w="20" w:type="dxa"/>
            <w:vAlign w:val="bottom"/>
            <w:shd w:val="clear" w:color="auto" w:fill="E5FFFF"/>
          </w:tcPr>
          <w:p>
            <w:pPr>
              <w:spacing w:after="0"/>
              <w:rPr>
                <w:sz w:val="17"/>
                <w:szCs w:val="17"/>
                <w:color w:val="auto"/>
              </w:rPr>
            </w:pPr>
          </w:p>
        </w:tc>
        <w:tc>
          <w:tcPr>
            <w:tcW w:w="1360" w:type="dxa"/>
            <w:vAlign w:val="bottom"/>
            <w:gridSpan w:val="3"/>
            <w:shd w:val="clear" w:color="auto" w:fill="E5FFFF"/>
          </w:tcPr>
          <w:p>
            <w:pPr>
              <w:jc w:val="center"/>
              <w:ind w:right="220"/>
              <w:spacing w:after="0"/>
              <w:rPr>
                <w:sz w:val="20"/>
                <w:szCs w:val="20"/>
                <w:color w:val="auto"/>
              </w:rPr>
            </w:pPr>
            <w:r>
              <w:rPr>
                <w:rFonts w:ascii="Arial" w:cs="Arial" w:eastAsia="Arial" w:hAnsi="Arial"/>
                <w:sz w:val="16"/>
                <w:szCs w:val="16"/>
                <w:color w:val="auto"/>
                <w:w w:val="92"/>
              </w:rPr>
              <w:t>March 2019</w:t>
            </w:r>
          </w:p>
        </w:tc>
        <w:tc>
          <w:tcPr>
            <w:tcW w:w="1140" w:type="dxa"/>
            <w:vAlign w:val="bottom"/>
            <w:gridSpan w:val="2"/>
            <w:shd w:val="clear" w:color="auto" w:fill="E5FFFF"/>
          </w:tcPr>
          <w:p>
            <w:pPr>
              <w:jc w:val="center"/>
              <w:spacing w:after="0"/>
              <w:rPr>
                <w:sz w:val="20"/>
                <w:szCs w:val="20"/>
                <w:color w:val="auto"/>
              </w:rPr>
            </w:pPr>
            <w:r>
              <w:rPr>
                <w:rFonts w:ascii="Arial" w:cs="Arial" w:eastAsia="Arial" w:hAnsi="Arial"/>
                <w:sz w:val="16"/>
                <w:szCs w:val="16"/>
                <w:color w:val="auto"/>
                <w:w w:val="89"/>
              </w:rPr>
              <w:t>1</w:t>
            </w:r>
          </w:p>
        </w:tc>
        <w:tc>
          <w:tcPr>
            <w:tcW w:w="2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40" w:type="dxa"/>
            <w:vAlign w:val="bottom"/>
            <w:shd w:val="clear" w:color="auto" w:fill="E5FFFF"/>
          </w:tcPr>
          <w:p>
            <w:pPr>
              <w:spacing w:after="0"/>
              <w:rPr>
                <w:sz w:val="17"/>
                <w:szCs w:val="17"/>
                <w:color w:val="auto"/>
              </w:rPr>
            </w:pPr>
          </w:p>
        </w:tc>
        <w:tc>
          <w:tcPr>
            <w:tcW w:w="2260" w:type="dxa"/>
            <w:vAlign w:val="bottom"/>
            <w:gridSpan w:val="5"/>
            <w:shd w:val="clear" w:color="auto" w:fill="E5FFFF"/>
          </w:tcPr>
          <w:p>
            <w:pPr>
              <w:jc w:val="center"/>
              <w:ind w:right="540"/>
              <w:spacing w:after="0"/>
              <w:rPr>
                <w:sz w:val="20"/>
                <w:szCs w:val="20"/>
                <w:color w:val="auto"/>
              </w:rPr>
            </w:pPr>
            <w:r>
              <w:rPr>
                <w:rFonts w:ascii="Arial" w:cs="Arial" w:eastAsia="Arial" w:hAnsi="Arial"/>
                <w:sz w:val="16"/>
                <w:szCs w:val="16"/>
                <w:color w:val="auto"/>
                <w:w w:val="93"/>
              </w:rPr>
              <w:t>August 2019</w:t>
            </w:r>
          </w:p>
        </w:tc>
        <w:tc>
          <w:tcPr>
            <w:tcW w:w="980" w:type="dxa"/>
            <w:vAlign w:val="bottom"/>
            <w:gridSpan w:val="2"/>
            <w:shd w:val="clear" w:color="auto" w:fill="E5FFFF"/>
          </w:tcPr>
          <w:p>
            <w:pPr>
              <w:jc w:val="right"/>
              <w:ind w:right="186"/>
              <w:spacing w:after="0"/>
              <w:rPr>
                <w:sz w:val="20"/>
                <w:szCs w:val="20"/>
                <w:color w:val="auto"/>
              </w:rPr>
            </w:pPr>
            <w:r>
              <w:rPr>
                <w:rFonts w:ascii="Arial" w:cs="Arial" w:eastAsia="Arial" w:hAnsi="Arial"/>
                <w:sz w:val="16"/>
                <w:szCs w:val="16"/>
                <w:color w:val="auto"/>
              </w:rPr>
              <w:t>1.1501</w:t>
            </w:r>
          </w:p>
        </w:tc>
        <w:tc>
          <w:tcPr>
            <w:tcW w:w="2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10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€1,000</w:t>
            </w:r>
          </w:p>
        </w:tc>
        <w:tc>
          <w:tcPr>
            <w:tcW w:w="34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40" w:type="dxa"/>
            <w:vAlign w:val="bottom"/>
            <w:gridSpan w:val="2"/>
          </w:tcPr>
          <w:p>
            <w:pPr>
              <w:spacing w:after="0"/>
              <w:rPr>
                <w:sz w:val="20"/>
                <w:szCs w:val="20"/>
                <w:color w:val="auto"/>
              </w:rPr>
            </w:pPr>
            <w:r>
              <w:rPr>
                <w:rFonts w:ascii="Arial" w:cs="Arial" w:eastAsia="Arial" w:hAnsi="Arial"/>
                <w:sz w:val="16"/>
                <w:szCs w:val="16"/>
                <w:color w:val="auto"/>
              </w:rPr>
              <w:t>GasLog</w:t>
            </w:r>
          </w:p>
        </w:tc>
        <w:tc>
          <w:tcPr>
            <w:tcW w:w="2040" w:type="dxa"/>
            <w:vAlign w:val="bottom"/>
            <w:gridSpan w:val="3"/>
          </w:tcPr>
          <w:p>
            <w:pPr>
              <w:ind w:left="20"/>
              <w:spacing w:after="0"/>
              <w:rPr>
                <w:sz w:val="20"/>
                <w:szCs w:val="20"/>
                <w:color w:val="auto"/>
              </w:rPr>
            </w:pPr>
            <w:r>
              <w:rPr>
                <w:rFonts w:ascii="Arial" w:cs="Arial" w:eastAsia="Arial" w:hAnsi="Arial"/>
                <w:sz w:val="16"/>
                <w:szCs w:val="16"/>
                <w:color w:val="auto"/>
              </w:rPr>
              <w:t>Citibank</w:t>
            </w:r>
          </w:p>
        </w:tc>
        <w:tc>
          <w:tcPr>
            <w:tcW w:w="20" w:type="dxa"/>
            <w:vAlign w:val="bottom"/>
          </w:tcPr>
          <w:p>
            <w:pPr>
              <w:spacing w:after="0"/>
              <w:rPr>
                <w:sz w:val="17"/>
                <w:szCs w:val="17"/>
                <w:color w:val="auto"/>
              </w:rPr>
            </w:pPr>
          </w:p>
        </w:tc>
        <w:tc>
          <w:tcPr>
            <w:tcW w:w="1360" w:type="dxa"/>
            <w:vAlign w:val="bottom"/>
            <w:gridSpan w:val="3"/>
          </w:tcPr>
          <w:p>
            <w:pPr>
              <w:jc w:val="center"/>
              <w:ind w:right="220"/>
              <w:spacing w:after="0"/>
              <w:rPr>
                <w:sz w:val="20"/>
                <w:szCs w:val="20"/>
                <w:color w:val="auto"/>
              </w:rPr>
            </w:pPr>
            <w:r>
              <w:rPr>
                <w:rFonts w:ascii="Arial" w:cs="Arial" w:eastAsia="Arial" w:hAnsi="Arial"/>
                <w:sz w:val="16"/>
                <w:szCs w:val="16"/>
                <w:color w:val="auto"/>
                <w:w w:val="92"/>
              </w:rPr>
              <w:t>March 2019</w:t>
            </w:r>
          </w:p>
        </w:tc>
        <w:tc>
          <w:tcPr>
            <w:tcW w:w="1140" w:type="dxa"/>
            <w:vAlign w:val="bottom"/>
            <w:gridSpan w:val="2"/>
          </w:tcPr>
          <w:p>
            <w:pPr>
              <w:jc w:val="center"/>
              <w:spacing w:after="0"/>
              <w:rPr>
                <w:sz w:val="20"/>
                <w:szCs w:val="20"/>
                <w:color w:val="auto"/>
              </w:rPr>
            </w:pPr>
            <w:r>
              <w:rPr>
                <w:rFonts w:ascii="Arial" w:cs="Arial" w:eastAsia="Arial" w:hAnsi="Arial"/>
                <w:sz w:val="16"/>
                <w:szCs w:val="16"/>
                <w:color w:val="auto"/>
                <w:w w:val="89"/>
              </w:rPr>
              <w:t>1</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60" w:type="dxa"/>
            <w:vAlign w:val="bottom"/>
            <w:gridSpan w:val="5"/>
          </w:tcPr>
          <w:p>
            <w:pPr>
              <w:jc w:val="center"/>
              <w:ind w:right="540"/>
              <w:spacing w:after="0"/>
              <w:rPr>
                <w:sz w:val="20"/>
                <w:szCs w:val="20"/>
                <w:color w:val="auto"/>
              </w:rPr>
            </w:pPr>
            <w:r>
              <w:rPr>
                <w:rFonts w:ascii="Arial" w:cs="Arial" w:eastAsia="Arial" w:hAnsi="Arial"/>
                <w:sz w:val="16"/>
                <w:szCs w:val="16"/>
                <w:color w:val="auto"/>
                <w:w w:val="87"/>
              </w:rPr>
              <w:t>September 2019</w:t>
            </w:r>
          </w:p>
        </w:tc>
        <w:tc>
          <w:tcPr>
            <w:tcW w:w="980" w:type="dxa"/>
            <w:vAlign w:val="bottom"/>
            <w:gridSpan w:val="2"/>
          </w:tcPr>
          <w:p>
            <w:pPr>
              <w:jc w:val="right"/>
              <w:ind w:right="186"/>
              <w:spacing w:after="0"/>
              <w:rPr>
                <w:sz w:val="20"/>
                <w:szCs w:val="20"/>
                <w:color w:val="auto"/>
              </w:rPr>
            </w:pPr>
            <w:r>
              <w:rPr>
                <w:rFonts w:ascii="Arial" w:cs="Arial" w:eastAsia="Arial" w:hAnsi="Arial"/>
                <w:sz w:val="16"/>
                <w:szCs w:val="16"/>
                <w:color w:val="auto"/>
              </w:rPr>
              <w:t>1.1531</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€1,000</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1040" w:type="dxa"/>
            <w:vAlign w:val="bottom"/>
            <w:shd w:val="clear" w:color="auto" w:fill="E5FFFF"/>
          </w:tcPr>
          <w:p>
            <w:pPr>
              <w:spacing w:after="0"/>
              <w:rPr>
                <w:sz w:val="16"/>
                <w:szCs w:val="16"/>
                <w:color w:val="auto"/>
              </w:rPr>
            </w:pPr>
          </w:p>
        </w:tc>
        <w:tc>
          <w:tcPr>
            <w:tcW w:w="200" w:type="dxa"/>
            <w:vAlign w:val="bottom"/>
            <w:shd w:val="clear" w:color="auto" w:fill="E5FFFF"/>
          </w:tcPr>
          <w:p>
            <w:pPr>
              <w:spacing w:after="0"/>
              <w:rPr>
                <w:sz w:val="16"/>
                <w:szCs w:val="16"/>
                <w:color w:val="auto"/>
              </w:rPr>
            </w:pPr>
          </w:p>
        </w:tc>
        <w:tc>
          <w:tcPr>
            <w:tcW w:w="2040" w:type="dxa"/>
            <w:vAlign w:val="bottom"/>
            <w:gridSpan w:val="3"/>
            <w:shd w:val="clear" w:color="auto" w:fill="E5FFFF"/>
          </w:tcPr>
          <w:p>
            <w:pPr>
              <w:ind w:left="20"/>
              <w:spacing w:after="0"/>
              <w:rPr>
                <w:sz w:val="20"/>
                <w:szCs w:val="20"/>
                <w:color w:val="auto"/>
              </w:rPr>
            </w:pPr>
            <w:r>
              <w:rPr>
                <w:rFonts w:ascii="Arial" w:cs="Arial" w:eastAsia="Arial" w:hAnsi="Arial"/>
                <w:sz w:val="16"/>
                <w:szCs w:val="16"/>
                <w:color w:val="auto"/>
              </w:rPr>
              <w:t>Oversea-Chinese Banking</w:t>
            </w:r>
          </w:p>
        </w:tc>
        <w:tc>
          <w:tcPr>
            <w:tcW w:w="20" w:type="dxa"/>
            <w:vAlign w:val="bottom"/>
            <w:shd w:val="clear" w:color="auto" w:fill="E5FFFF"/>
          </w:tcPr>
          <w:p>
            <w:pPr>
              <w:spacing w:after="0"/>
              <w:rPr>
                <w:sz w:val="16"/>
                <w:szCs w:val="16"/>
                <w:color w:val="auto"/>
              </w:rPr>
            </w:pPr>
          </w:p>
        </w:tc>
        <w:tc>
          <w:tcPr>
            <w:tcW w:w="1120" w:type="dxa"/>
            <w:vAlign w:val="bottom"/>
            <w:shd w:val="clear" w:color="auto" w:fill="E5FFFF"/>
          </w:tcPr>
          <w:p>
            <w:pPr>
              <w:spacing w:after="0"/>
              <w:rPr>
                <w:sz w:val="16"/>
                <w:szCs w:val="16"/>
                <w:color w:val="auto"/>
              </w:rPr>
            </w:pPr>
          </w:p>
        </w:tc>
        <w:tc>
          <w:tcPr>
            <w:tcW w:w="20" w:type="dxa"/>
            <w:vAlign w:val="bottom"/>
            <w:shd w:val="clear" w:color="auto" w:fill="E5FFFF"/>
          </w:tcPr>
          <w:p>
            <w:pPr>
              <w:spacing w:after="0"/>
              <w:rPr>
                <w:sz w:val="16"/>
                <w:szCs w:val="16"/>
                <w:color w:val="auto"/>
              </w:rPr>
            </w:pPr>
          </w:p>
        </w:tc>
        <w:tc>
          <w:tcPr>
            <w:tcW w:w="220" w:type="dxa"/>
            <w:vAlign w:val="bottom"/>
            <w:shd w:val="clear" w:color="auto" w:fill="E5FFFF"/>
          </w:tcPr>
          <w:p>
            <w:pPr>
              <w:spacing w:after="0"/>
              <w:rPr>
                <w:sz w:val="16"/>
                <w:szCs w:val="16"/>
                <w:color w:val="auto"/>
              </w:rPr>
            </w:pPr>
          </w:p>
        </w:tc>
        <w:tc>
          <w:tcPr>
            <w:tcW w:w="20" w:type="dxa"/>
            <w:vAlign w:val="bottom"/>
            <w:shd w:val="clear" w:color="auto" w:fill="E5FFFF"/>
          </w:tcPr>
          <w:p>
            <w:pPr>
              <w:spacing w:after="0"/>
              <w:rPr>
                <w:sz w:val="16"/>
                <w:szCs w:val="16"/>
                <w:color w:val="auto"/>
              </w:rPr>
            </w:pPr>
          </w:p>
        </w:tc>
        <w:tc>
          <w:tcPr>
            <w:tcW w:w="1120" w:type="dxa"/>
            <w:vAlign w:val="bottom"/>
            <w:shd w:val="clear" w:color="auto" w:fill="E5FFFF"/>
          </w:tcPr>
          <w:p>
            <w:pPr>
              <w:spacing w:after="0"/>
              <w:rPr>
                <w:sz w:val="16"/>
                <w:szCs w:val="16"/>
                <w:color w:val="auto"/>
              </w:rPr>
            </w:pPr>
          </w:p>
        </w:tc>
        <w:tc>
          <w:tcPr>
            <w:tcW w:w="20" w:type="dxa"/>
            <w:vAlign w:val="bottom"/>
            <w:shd w:val="clear" w:color="auto" w:fill="E5FFFF"/>
          </w:tcPr>
          <w:p>
            <w:pPr>
              <w:spacing w:after="0"/>
              <w:rPr>
                <w:sz w:val="16"/>
                <w:szCs w:val="16"/>
                <w:color w:val="auto"/>
              </w:rPr>
            </w:pPr>
          </w:p>
        </w:tc>
        <w:tc>
          <w:tcPr>
            <w:tcW w:w="200" w:type="dxa"/>
            <w:vAlign w:val="bottom"/>
            <w:shd w:val="clear" w:color="auto" w:fill="E5FFFF"/>
          </w:tcPr>
          <w:p>
            <w:pPr>
              <w:spacing w:after="0"/>
              <w:rPr>
                <w:sz w:val="16"/>
                <w:szCs w:val="16"/>
                <w:color w:val="auto"/>
              </w:rPr>
            </w:pPr>
          </w:p>
        </w:tc>
        <w:tc>
          <w:tcPr>
            <w:tcW w:w="40" w:type="dxa"/>
            <w:vAlign w:val="bottom"/>
            <w:shd w:val="clear" w:color="auto" w:fill="E5FFFF"/>
          </w:tcPr>
          <w:p>
            <w:pPr>
              <w:spacing w:after="0"/>
              <w:rPr>
                <w:sz w:val="16"/>
                <w:szCs w:val="16"/>
                <w:color w:val="auto"/>
              </w:rPr>
            </w:pPr>
          </w:p>
        </w:tc>
        <w:tc>
          <w:tcPr>
            <w:tcW w:w="1700" w:type="dxa"/>
            <w:vAlign w:val="bottom"/>
            <w:shd w:val="clear" w:color="auto" w:fill="E5FFFF"/>
          </w:tcPr>
          <w:p>
            <w:pPr>
              <w:spacing w:after="0"/>
              <w:rPr>
                <w:sz w:val="16"/>
                <w:szCs w:val="16"/>
                <w:color w:val="auto"/>
              </w:rPr>
            </w:pPr>
          </w:p>
        </w:tc>
        <w:tc>
          <w:tcPr>
            <w:tcW w:w="20" w:type="dxa"/>
            <w:vAlign w:val="bottom"/>
            <w:shd w:val="clear" w:color="auto" w:fill="E5FFFF"/>
          </w:tcPr>
          <w:p>
            <w:pPr>
              <w:spacing w:after="0"/>
              <w:rPr>
                <w:sz w:val="16"/>
                <w:szCs w:val="16"/>
                <w:color w:val="auto"/>
              </w:rPr>
            </w:pPr>
          </w:p>
        </w:tc>
        <w:tc>
          <w:tcPr>
            <w:tcW w:w="200" w:type="dxa"/>
            <w:vAlign w:val="bottom"/>
            <w:shd w:val="clear" w:color="auto" w:fill="E5FFFF"/>
          </w:tcPr>
          <w:p>
            <w:pPr>
              <w:spacing w:after="0"/>
              <w:rPr>
                <w:sz w:val="16"/>
                <w:szCs w:val="16"/>
                <w:color w:val="auto"/>
              </w:rPr>
            </w:pPr>
          </w:p>
        </w:tc>
        <w:tc>
          <w:tcPr>
            <w:tcW w:w="40" w:type="dxa"/>
            <w:vAlign w:val="bottom"/>
            <w:shd w:val="clear" w:color="auto" w:fill="E5FFFF"/>
          </w:tcPr>
          <w:p>
            <w:pPr>
              <w:spacing w:after="0"/>
              <w:rPr>
                <w:sz w:val="16"/>
                <w:szCs w:val="16"/>
                <w:color w:val="auto"/>
              </w:rPr>
            </w:pPr>
          </w:p>
        </w:tc>
        <w:tc>
          <w:tcPr>
            <w:tcW w:w="300" w:type="dxa"/>
            <w:vAlign w:val="bottom"/>
            <w:shd w:val="clear" w:color="auto" w:fill="E5FFFF"/>
          </w:tcPr>
          <w:p>
            <w:pPr>
              <w:spacing w:after="0"/>
              <w:rPr>
                <w:sz w:val="16"/>
                <w:szCs w:val="16"/>
                <w:color w:val="auto"/>
              </w:rPr>
            </w:pPr>
          </w:p>
        </w:tc>
        <w:tc>
          <w:tcPr>
            <w:tcW w:w="20" w:type="dxa"/>
            <w:vAlign w:val="bottom"/>
            <w:shd w:val="clear" w:color="auto" w:fill="E5FFFF"/>
          </w:tcPr>
          <w:p>
            <w:pPr>
              <w:spacing w:after="0"/>
              <w:rPr>
                <w:sz w:val="16"/>
                <w:szCs w:val="16"/>
                <w:color w:val="auto"/>
              </w:rPr>
            </w:pPr>
          </w:p>
        </w:tc>
        <w:tc>
          <w:tcPr>
            <w:tcW w:w="960" w:type="dxa"/>
            <w:vAlign w:val="bottom"/>
            <w:shd w:val="clear" w:color="auto" w:fill="E5FFFF"/>
          </w:tcPr>
          <w:p>
            <w:pPr>
              <w:spacing w:after="0"/>
              <w:rPr>
                <w:sz w:val="16"/>
                <w:szCs w:val="16"/>
                <w:color w:val="auto"/>
              </w:rPr>
            </w:pPr>
          </w:p>
        </w:tc>
        <w:tc>
          <w:tcPr>
            <w:tcW w:w="20" w:type="dxa"/>
            <w:vAlign w:val="bottom"/>
            <w:shd w:val="clear" w:color="auto" w:fill="E5FFFF"/>
          </w:tcPr>
          <w:p>
            <w:pPr>
              <w:spacing w:after="0"/>
              <w:rPr>
                <w:sz w:val="16"/>
                <w:szCs w:val="16"/>
                <w:color w:val="auto"/>
              </w:rPr>
            </w:pPr>
          </w:p>
        </w:tc>
        <w:tc>
          <w:tcPr>
            <w:tcW w:w="300" w:type="dxa"/>
            <w:vAlign w:val="bottom"/>
            <w:shd w:val="clear" w:color="auto" w:fill="E5FFFF"/>
          </w:tcPr>
          <w:p>
            <w:pPr>
              <w:spacing w:after="0"/>
              <w:rPr>
                <w:sz w:val="16"/>
                <w:szCs w:val="16"/>
                <w:color w:val="auto"/>
              </w:rPr>
            </w:pPr>
          </w:p>
        </w:tc>
        <w:tc>
          <w:tcPr>
            <w:tcW w:w="20" w:type="dxa"/>
            <w:vAlign w:val="bottom"/>
            <w:shd w:val="clear" w:color="auto" w:fill="E5FFFF"/>
          </w:tcPr>
          <w:p>
            <w:pPr>
              <w:spacing w:after="0"/>
              <w:rPr>
                <w:sz w:val="16"/>
                <w:szCs w:val="16"/>
                <w:color w:val="auto"/>
              </w:rPr>
            </w:pPr>
          </w:p>
        </w:tc>
        <w:tc>
          <w:tcPr>
            <w:tcW w:w="200" w:type="dxa"/>
            <w:vAlign w:val="bottom"/>
            <w:shd w:val="clear" w:color="auto" w:fill="E5FFFF"/>
          </w:tcPr>
          <w:p>
            <w:pPr>
              <w:spacing w:after="0"/>
              <w:rPr>
                <w:sz w:val="16"/>
                <w:szCs w:val="16"/>
                <w:color w:val="auto"/>
              </w:rPr>
            </w:pPr>
          </w:p>
        </w:tc>
        <w:tc>
          <w:tcPr>
            <w:tcW w:w="20" w:type="dxa"/>
            <w:vAlign w:val="bottom"/>
            <w:shd w:val="clear" w:color="auto" w:fill="E5FFFF"/>
          </w:tcPr>
          <w:p>
            <w:pPr>
              <w:spacing w:after="0"/>
              <w:rPr>
                <w:sz w:val="16"/>
                <w:szCs w:val="16"/>
                <w:color w:val="auto"/>
              </w:rPr>
            </w:pPr>
          </w:p>
        </w:tc>
        <w:tc>
          <w:tcPr>
            <w:tcW w:w="320" w:type="dxa"/>
            <w:vAlign w:val="bottom"/>
            <w:shd w:val="clear" w:color="auto" w:fill="E5FFFF"/>
          </w:tcPr>
          <w:p>
            <w:pPr>
              <w:spacing w:after="0"/>
              <w:rPr>
                <w:sz w:val="16"/>
                <w:szCs w:val="16"/>
                <w:color w:val="auto"/>
              </w:rPr>
            </w:pPr>
          </w:p>
        </w:tc>
        <w:tc>
          <w:tcPr>
            <w:tcW w:w="20" w:type="dxa"/>
            <w:vAlign w:val="bottom"/>
            <w:shd w:val="clear" w:color="auto" w:fill="E5FFFF"/>
          </w:tcPr>
          <w:p>
            <w:pPr>
              <w:spacing w:after="0"/>
              <w:rPr>
                <w:sz w:val="16"/>
                <w:szCs w:val="16"/>
                <w:color w:val="auto"/>
              </w:rPr>
            </w:pPr>
          </w:p>
        </w:tc>
        <w:tc>
          <w:tcPr>
            <w:tcW w:w="1020" w:type="dxa"/>
            <w:vAlign w:val="bottom"/>
            <w:shd w:val="clear" w:color="auto" w:fill="E5FFFF"/>
          </w:tcPr>
          <w:p>
            <w:pPr>
              <w:spacing w:after="0"/>
              <w:rPr>
                <w:sz w:val="16"/>
                <w:szCs w:val="16"/>
                <w:color w:val="auto"/>
              </w:rPr>
            </w:pPr>
          </w:p>
        </w:tc>
        <w:tc>
          <w:tcPr>
            <w:tcW w:w="340" w:type="dxa"/>
            <w:vAlign w:val="bottom"/>
            <w:shd w:val="clear" w:color="auto" w:fill="E5FF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04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2040" w:type="dxa"/>
            <w:vAlign w:val="bottom"/>
            <w:gridSpan w:val="3"/>
            <w:shd w:val="clear" w:color="auto" w:fill="E5FFFF"/>
          </w:tcPr>
          <w:p>
            <w:pPr>
              <w:ind w:left="20"/>
              <w:spacing w:after="0"/>
              <w:rPr>
                <w:sz w:val="20"/>
                <w:szCs w:val="20"/>
                <w:color w:val="auto"/>
              </w:rPr>
            </w:pPr>
            <w:r>
              <w:rPr>
                <w:rFonts w:ascii="Arial" w:cs="Arial" w:eastAsia="Arial" w:hAnsi="Arial"/>
                <w:sz w:val="16"/>
                <w:szCs w:val="16"/>
                <w:color w:val="auto"/>
              </w:rPr>
              <w:t>Corporation Limited</w:t>
            </w:r>
          </w:p>
        </w:tc>
        <w:tc>
          <w:tcPr>
            <w:tcW w:w="20" w:type="dxa"/>
            <w:vAlign w:val="bottom"/>
            <w:shd w:val="clear" w:color="auto" w:fill="E5FFFF"/>
          </w:tcPr>
          <w:p>
            <w:pPr>
              <w:spacing w:after="0"/>
              <w:rPr>
                <w:sz w:val="17"/>
                <w:szCs w:val="17"/>
                <w:color w:val="auto"/>
              </w:rPr>
            </w:pPr>
          </w:p>
        </w:tc>
        <w:tc>
          <w:tcPr>
            <w:tcW w:w="112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112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40" w:type="dxa"/>
            <w:vAlign w:val="bottom"/>
            <w:shd w:val="clear" w:color="auto" w:fill="E5FFFF"/>
          </w:tcPr>
          <w:p>
            <w:pPr>
              <w:spacing w:after="0"/>
              <w:rPr>
                <w:sz w:val="17"/>
                <w:szCs w:val="17"/>
                <w:color w:val="auto"/>
              </w:rPr>
            </w:pPr>
          </w:p>
        </w:tc>
        <w:tc>
          <w:tcPr>
            <w:tcW w:w="170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4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96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102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24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GasLog</w:t>
            </w:r>
          </w:p>
        </w:tc>
        <w:tc>
          <w:tcPr>
            <w:tcW w:w="2040" w:type="dxa"/>
            <w:vAlign w:val="bottom"/>
            <w:gridSpan w:val="3"/>
            <w:shd w:val="clear" w:color="auto" w:fill="E5FFFF"/>
          </w:tcPr>
          <w:p>
            <w:pPr>
              <w:ind w:left="20"/>
              <w:spacing w:after="0"/>
              <w:rPr>
                <w:sz w:val="20"/>
                <w:szCs w:val="20"/>
                <w:color w:val="auto"/>
              </w:rPr>
            </w:pPr>
            <w:r>
              <w:rPr>
                <w:rFonts w:ascii="Arial" w:cs="Arial" w:eastAsia="Arial" w:hAnsi="Arial"/>
                <w:sz w:val="16"/>
                <w:szCs w:val="16"/>
                <w:color w:val="auto"/>
              </w:rPr>
              <w:t>(“OCBC Bank”)</w:t>
            </w:r>
          </w:p>
        </w:tc>
        <w:tc>
          <w:tcPr>
            <w:tcW w:w="20" w:type="dxa"/>
            <w:vAlign w:val="bottom"/>
            <w:shd w:val="clear" w:color="auto" w:fill="E5FFFF"/>
          </w:tcPr>
          <w:p>
            <w:pPr>
              <w:spacing w:after="0"/>
              <w:rPr>
                <w:sz w:val="18"/>
                <w:szCs w:val="18"/>
                <w:color w:val="auto"/>
              </w:rPr>
            </w:pPr>
          </w:p>
        </w:tc>
        <w:tc>
          <w:tcPr>
            <w:tcW w:w="1360" w:type="dxa"/>
            <w:vAlign w:val="bottom"/>
            <w:gridSpan w:val="3"/>
            <w:shd w:val="clear" w:color="auto" w:fill="E5FFFF"/>
          </w:tcPr>
          <w:p>
            <w:pPr>
              <w:jc w:val="center"/>
              <w:ind w:right="220"/>
              <w:spacing w:after="0"/>
              <w:rPr>
                <w:sz w:val="20"/>
                <w:szCs w:val="20"/>
                <w:color w:val="auto"/>
              </w:rPr>
            </w:pPr>
            <w:r>
              <w:rPr>
                <w:rFonts w:ascii="Arial" w:cs="Arial" w:eastAsia="Arial" w:hAnsi="Arial"/>
                <w:sz w:val="16"/>
                <w:szCs w:val="16"/>
                <w:color w:val="auto"/>
                <w:w w:val="92"/>
              </w:rPr>
              <w:t>March 2019</w:t>
            </w:r>
          </w:p>
        </w:tc>
        <w:tc>
          <w:tcPr>
            <w:tcW w:w="1140" w:type="dxa"/>
            <w:vAlign w:val="bottom"/>
            <w:gridSpan w:val="2"/>
            <w:shd w:val="clear" w:color="auto" w:fill="E5FFFF"/>
          </w:tcPr>
          <w:p>
            <w:pPr>
              <w:jc w:val="center"/>
              <w:spacing w:after="0"/>
              <w:rPr>
                <w:sz w:val="20"/>
                <w:szCs w:val="20"/>
                <w:color w:val="auto"/>
              </w:rPr>
            </w:pPr>
            <w:r>
              <w:rPr>
                <w:rFonts w:ascii="Arial" w:cs="Arial" w:eastAsia="Arial" w:hAnsi="Arial"/>
                <w:sz w:val="16"/>
                <w:szCs w:val="16"/>
                <w:color w:val="auto"/>
                <w:w w:val="89"/>
              </w:rPr>
              <w:t>6</w:t>
            </w:r>
          </w:p>
        </w:tc>
        <w:tc>
          <w:tcPr>
            <w:tcW w:w="2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40" w:type="dxa"/>
            <w:vAlign w:val="bottom"/>
            <w:shd w:val="clear" w:color="auto" w:fill="E5FFFF"/>
          </w:tcPr>
          <w:p>
            <w:pPr>
              <w:spacing w:after="0"/>
              <w:rPr>
                <w:sz w:val="18"/>
                <w:szCs w:val="18"/>
                <w:color w:val="auto"/>
              </w:rPr>
            </w:pPr>
          </w:p>
        </w:tc>
        <w:tc>
          <w:tcPr>
            <w:tcW w:w="2260" w:type="dxa"/>
            <w:vAlign w:val="bottom"/>
            <w:gridSpan w:val="5"/>
            <w:shd w:val="clear" w:color="auto" w:fill="E5FFFF"/>
          </w:tcPr>
          <w:p>
            <w:pPr>
              <w:jc w:val="center"/>
              <w:ind w:right="540"/>
              <w:spacing w:after="0"/>
              <w:rPr>
                <w:sz w:val="20"/>
                <w:szCs w:val="20"/>
                <w:color w:val="auto"/>
              </w:rPr>
            </w:pPr>
            <w:r>
              <w:rPr>
                <w:rFonts w:ascii="Arial" w:cs="Arial" w:eastAsia="Arial" w:hAnsi="Arial"/>
                <w:sz w:val="16"/>
                <w:szCs w:val="16"/>
                <w:color w:val="auto"/>
                <w:w w:val="92"/>
              </w:rPr>
              <w:t>April-September 2019</w:t>
            </w:r>
          </w:p>
        </w:tc>
        <w:tc>
          <w:tcPr>
            <w:tcW w:w="980" w:type="dxa"/>
            <w:vAlign w:val="bottom"/>
            <w:gridSpan w:val="2"/>
            <w:shd w:val="clear" w:color="auto" w:fill="E5FFFF"/>
          </w:tcPr>
          <w:p>
            <w:pPr>
              <w:jc w:val="center"/>
              <w:spacing w:after="0"/>
              <w:rPr>
                <w:sz w:val="20"/>
                <w:szCs w:val="20"/>
                <w:color w:val="auto"/>
              </w:rPr>
            </w:pPr>
            <w:r>
              <w:rPr>
                <w:rFonts w:ascii="Arial" w:cs="Arial" w:eastAsia="Arial" w:hAnsi="Arial"/>
                <w:sz w:val="16"/>
                <w:szCs w:val="16"/>
                <w:color w:val="auto"/>
                <w:w w:val="89"/>
              </w:rPr>
              <w:t>1.14395</w:t>
            </w:r>
          </w:p>
        </w:tc>
        <w:tc>
          <w:tcPr>
            <w:tcW w:w="2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10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€6,000</w:t>
            </w:r>
          </w:p>
        </w:tc>
        <w:tc>
          <w:tcPr>
            <w:tcW w:w="34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6"/>
                <w:szCs w:val="16"/>
                <w:b w:val="1"/>
                <w:bCs w:val="1"/>
                <w:color w:val="auto"/>
              </w:rPr>
              <w:t>Total</w:t>
            </w:r>
          </w:p>
        </w:tc>
        <w:tc>
          <w:tcPr>
            <w:tcW w:w="320" w:type="dxa"/>
            <w:vAlign w:val="bottom"/>
            <w:gridSpan w:val="2"/>
          </w:tcPr>
          <w:p>
            <w:pPr>
              <w:spacing w:after="0"/>
              <w:rPr>
                <w:sz w:val="17"/>
                <w:szCs w:val="17"/>
                <w:color w:val="auto"/>
              </w:rPr>
            </w:pPr>
          </w:p>
        </w:tc>
        <w:tc>
          <w:tcPr>
            <w:tcW w:w="220" w:type="dxa"/>
            <w:vAlign w:val="bottom"/>
            <w:gridSpan w:val="2"/>
          </w:tcPr>
          <w:p>
            <w:pPr>
              <w:spacing w:after="0"/>
              <w:rPr>
                <w:sz w:val="17"/>
                <w:szCs w:val="17"/>
                <w:color w:val="auto"/>
              </w:rPr>
            </w:pPr>
          </w:p>
        </w:tc>
        <w:tc>
          <w:tcPr>
            <w:tcW w:w="340" w:type="dxa"/>
            <w:vAlign w:val="bottom"/>
            <w:gridSpan w:val="2"/>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€42,000</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2" w:lineRule="exact"/>
        <w:rPr>
          <w:sz w:val="20"/>
          <w:szCs w:val="20"/>
          <w:color w:val="auto"/>
        </w:rPr>
      </w:pPr>
    </w:p>
    <w:p>
      <w:pPr>
        <w:ind w:right="20" w:firstLine="356"/>
        <w:spacing w:after="0" w:line="278" w:lineRule="auto"/>
        <w:rPr>
          <w:sz w:val="20"/>
          <w:szCs w:val="20"/>
          <w:color w:val="auto"/>
        </w:rPr>
      </w:pPr>
      <w:r>
        <w:rPr>
          <w:rFonts w:ascii="Arial" w:cs="Arial" w:eastAsia="Arial" w:hAnsi="Arial"/>
          <w:sz w:val="16"/>
          <w:szCs w:val="16"/>
          <w:color w:val="auto"/>
        </w:rPr>
        <w:t>The derivative instruments listed above were not designated as cash flow hedging instruments as of March 31, 2019. The change in the fair value of these contracts for the three months ended March 31, 2019 amounted to a net loss of $397 (for the three months ended March 31, 2018: net gain of $848), which was recognized against profit or loss in the period incurred and is included in Gain on derivatives.</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16. Financial Costs and (Gain)/Loss on Derivatives</w:t>
      </w:r>
    </w:p>
    <w:p>
      <w:pPr>
        <w:spacing w:after="0" w:line="239"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An analysis of financial costs and (gain)/loss on derivatives is as follows:</w:t>
      </w: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35901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359015" cy="29845"/>
                    </a:xfrm>
                    <a:prstGeom prst="rect">
                      <a:avLst/>
                    </a:prstGeom>
                    <a:noFill/>
                  </pic:spPr>
                </pic:pic>
              </a:graphicData>
            </a:graphic>
          </wp:anchor>
        </w:drawing>
      </w:r>
    </w:p>
    <w:p>
      <w:pPr>
        <w:sectPr>
          <w:pgSz w:w="11900" w:h="16838" w:orient="portrait"/>
          <w:cols w:equalWidth="0" w:num="1">
            <w:col w:w="11560"/>
          </w:cols>
          <w:pgMar w:left="160" w:top="262" w:right="179" w:bottom="1440" w:gutter="0" w:footer="0" w:header="0"/>
        </w:sectPr>
      </w:pPr>
    </w:p>
    <w:bookmarkStart w:id="41" w:name="page42"/>
    <w:bookmarkEnd w:id="41"/>
    <w:tbl>
      <w:tblPr>
        <w:tblLayout w:type="fixed"/>
        <w:tblInd w:w="340" w:type="dxa"/>
        <w:tblCellMar>
          <w:top w:w="0" w:type="dxa"/>
          <w:left w:w="0" w:type="dxa"/>
          <w:bottom w:w="0" w:type="dxa"/>
          <w:right w:w="0" w:type="dxa"/>
        </w:tblCellMar>
      </w:tblPr>
      <w:tr>
        <w:trPr>
          <w:trHeight w:val="203"/>
        </w:trPr>
        <w:tc>
          <w:tcPr>
            <w:tcW w:w="7000" w:type="dxa"/>
            <w:vAlign w:val="bottom"/>
          </w:tcPr>
          <w:p>
            <w:pPr>
              <w:spacing w:after="0"/>
              <w:rPr>
                <w:sz w:val="17"/>
                <w:szCs w:val="17"/>
                <w:color w:val="auto"/>
              </w:rPr>
            </w:pPr>
          </w:p>
        </w:tc>
        <w:tc>
          <w:tcPr>
            <w:tcW w:w="3340" w:type="dxa"/>
            <w:vAlign w:val="bottom"/>
            <w:gridSpan w:val="5"/>
          </w:tcPr>
          <w:p>
            <w:pPr>
              <w:ind w:left="680"/>
              <w:spacing w:after="0"/>
              <w:rPr>
                <w:sz w:val="20"/>
                <w:szCs w:val="20"/>
                <w:color w:val="auto"/>
              </w:rPr>
            </w:pPr>
            <w:r>
              <w:rPr>
                <w:rFonts w:ascii="Arial" w:cs="Arial" w:eastAsia="Arial" w:hAnsi="Arial"/>
                <w:sz w:val="16"/>
                <w:szCs w:val="16"/>
                <w:b w:val="1"/>
                <w:bCs w:val="1"/>
                <w:color w:val="auto"/>
              </w:rPr>
              <w:t>For the three months ended</w:t>
            </w:r>
          </w:p>
        </w:tc>
        <w:tc>
          <w:tcPr>
            <w:tcW w:w="0" w:type="dxa"/>
            <w:vAlign w:val="bottom"/>
          </w:tcPr>
          <w:p>
            <w:pPr>
              <w:spacing w:after="0"/>
              <w:rPr>
                <w:sz w:val="1"/>
                <w:szCs w:val="1"/>
                <w:color w:val="auto"/>
              </w:rPr>
            </w:pPr>
          </w:p>
        </w:tc>
      </w:tr>
      <w:tr>
        <w:trPr>
          <w:trHeight w:val="213"/>
        </w:trPr>
        <w:tc>
          <w:tcPr>
            <w:tcW w:w="7000" w:type="dxa"/>
            <w:vAlign w:val="bottom"/>
          </w:tcPr>
          <w:p>
            <w:pPr>
              <w:spacing w:after="0"/>
              <w:rPr>
                <w:sz w:val="18"/>
                <w:szCs w:val="18"/>
                <w:color w:val="auto"/>
              </w:rPr>
            </w:pPr>
          </w:p>
        </w:tc>
        <w:tc>
          <w:tcPr>
            <w:tcW w:w="1780" w:type="dxa"/>
            <w:vAlign w:val="bottom"/>
            <w:gridSpan w:val="2"/>
          </w:tcPr>
          <w:p>
            <w:pPr>
              <w:jc w:val="right"/>
              <w:ind w:right="419"/>
              <w:spacing w:after="0"/>
              <w:rPr>
                <w:sz w:val="20"/>
                <w:szCs w:val="20"/>
                <w:color w:val="auto"/>
              </w:rPr>
            </w:pPr>
            <w:r>
              <w:rPr>
                <w:rFonts w:ascii="Arial" w:cs="Arial" w:eastAsia="Arial" w:hAnsi="Arial"/>
                <w:sz w:val="16"/>
                <w:szCs w:val="16"/>
                <w:b w:val="1"/>
                <w:bCs w:val="1"/>
                <w:color w:val="auto"/>
              </w:rPr>
              <w:t>March 31, 2018</w:t>
            </w:r>
          </w:p>
        </w:tc>
        <w:tc>
          <w:tcPr>
            <w:tcW w:w="1560" w:type="dxa"/>
            <w:vAlign w:val="bottom"/>
            <w:gridSpan w:val="3"/>
          </w:tcPr>
          <w:p>
            <w:pPr>
              <w:ind w:left="220"/>
              <w:spacing w:after="0"/>
              <w:rPr>
                <w:sz w:val="20"/>
                <w:szCs w:val="20"/>
                <w:color w:val="auto"/>
              </w:rPr>
            </w:pPr>
            <w:r>
              <w:rPr>
                <w:rFonts w:ascii="Arial" w:cs="Arial" w:eastAsia="Arial" w:hAnsi="Arial"/>
                <w:sz w:val="16"/>
                <w:szCs w:val="16"/>
                <w:b w:val="1"/>
                <w:bCs w:val="1"/>
                <w:color w:val="auto"/>
              </w:rPr>
              <w:t>March 31, 2019</w:t>
            </w:r>
          </w:p>
        </w:tc>
        <w:tc>
          <w:tcPr>
            <w:tcW w:w="0" w:type="dxa"/>
            <w:vAlign w:val="bottom"/>
          </w:tcPr>
          <w:p>
            <w:pPr>
              <w:spacing w:after="0"/>
              <w:rPr>
                <w:sz w:val="1"/>
                <w:szCs w:val="1"/>
                <w:color w:val="auto"/>
              </w:rPr>
            </w:pPr>
          </w:p>
        </w:tc>
      </w:tr>
      <w:tr>
        <w:trPr>
          <w:trHeight w:val="199"/>
        </w:trPr>
        <w:tc>
          <w:tcPr>
            <w:tcW w:w="700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Amortization and write-off of deferred loan issuance costs</w:t>
            </w:r>
          </w:p>
        </w:tc>
        <w:tc>
          <w:tcPr>
            <w:tcW w:w="15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2,912</w:t>
            </w:r>
          </w:p>
        </w:tc>
        <w:tc>
          <w:tcPr>
            <w:tcW w:w="280" w:type="dxa"/>
            <w:vAlign w:val="bottom"/>
            <w:tcBorders>
              <w:top w:val="single" w:sz="8" w:color="E5FFFF"/>
            </w:tcBorders>
            <w:shd w:val="clear" w:color="auto" w:fill="E5FFFF"/>
          </w:tcPr>
          <w:p>
            <w:pPr>
              <w:spacing w:after="0"/>
              <w:rPr>
                <w:sz w:val="17"/>
                <w:szCs w:val="17"/>
                <w:color w:val="auto"/>
              </w:rPr>
            </w:pPr>
          </w:p>
        </w:tc>
        <w:tc>
          <w:tcPr>
            <w:tcW w:w="15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4,161</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0" w:type="dxa"/>
            <w:vAlign w:val="bottom"/>
          </w:tcPr>
          <w:p>
            <w:pPr>
              <w:spacing w:after="0"/>
              <w:rPr>
                <w:sz w:val="20"/>
                <w:szCs w:val="20"/>
                <w:color w:val="auto"/>
              </w:rPr>
            </w:pPr>
            <w:r>
              <w:rPr>
                <w:rFonts w:ascii="Arial" w:cs="Arial" w:eastAsia="Arial" w:hAnsi="Arial"/>
                <w:sz w:val="16"/>
                <w:szCs w:val="16"/>
                <w:color w:val="auto"/>
              </w:rPr>
              <w:t>Interest expense on loans</w:t>
            </w:r>
          </w:p>
        </w:tc>
        <w:tc>
          <w:tcPr>
            <w:tcW w:w="1780" w:type="dxa"/>
            <w:vAlign w:val="bottom"/>
            <w:gridSpan w:val="2"/>
          </w:tcPr>
          <w:p>
            <w:pPr>
              <w:jc w:val="right"/>
              <w:ind w:right="199"/>
              <w:spacing w:after="0"/>
              <w:rPr>
                <w:sz w:val="20"/>
                <w:szCs w:val="20"/>
                <w:color w:val="auto"/>
              </w:rPr>
            </w:pPr>
            <w:r>
              <w:rPr>
                <w:rFonts w:ascii="Arial" w:cs="Arial" w:eastAsia="Arial" w:hAnsi="Arial"/>
                <w:sz w:val="16"/>
                <w:szCs w:val="16"/>
                <w:color w:val="auto"/>
              </w:rPr>
              <w:t>23,197</w:t>
            </w:r>
          </w:p>
        </w:tc>
        <w:tc>
          <w:tcPr>
            <w:tcW w:w="1500" w:type="dxa"/>
            <w:vAlign w:val="bottom"/>
          </w:tcPr>
          <w:p>
            <w:pPr>
              <w:jc w:val="right"/>
              <w:spacing w:after="0"/>
              <w:rPr>
                <w:sz w:val="20"/>
                <w:szCs w:val="20"/>
                <w:color w:val="auto"/>
              </w:rPr>
            </w:pPr>
            <w:r>
              <w:rPr>
                <w:rFonts w:ascii="Arial" w:cs="Arial" w:eastAsia="Arial" w:hAnsi="Arial"/>
                <w:sz w:val="16"/>
                <w:szCs w:val="16"/>
                <w:color w:val="auto"/>
              </w:rPr>
              <w:t>30,591</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0" w:type="dxa"/>
            <w:vAlign w:val="bottom"/>
            <w:shd w:val="clear" w:color="auto" w:fill="E5FFFF"/>
          </w:tcPr>
          <w:p>
            <w:pPr>
              <w:spacing w:after="0"/>
              <w:rPr>
                <w:sz w:val="20"/>
                <w:szCs w:val="20"/>
                <w:color w:val="auto"/>
              </w:rPr>
            </w:pPr>
            <w:r>
              <w:rPr>
                <w:rFonts w:ascii="Arial" w:cs="Arial" w:eastAsia="Arial" w:hAnsi="Arial"/>
                <w:sz w:val="16"/>
                <w:szCs w:val="16"/>
                <w:color w:val="auto"/>
              </w:rPr>
              <w:t>Interest expense on bonds and realized loss on CCS</w:t>
            </w:r>
          </w:p>
        </w:tc>
        <w:tc>
          <w:tcPr>
            <w:tcW w:w="1780" w:type="dxa"/>
            <w:vAlign w:val="bottom"/>
            <w:gridSpan w:val="2"/>
            <w:shd w:val="clear" w:color="auto" w:fill="E5FFFF"/>
          </w:tcPr>
          <w:p>
            <w:pPr>
              <w:jc w:val="right"/>
              <w:ind w:right="199"/>
              <w:spacing w:after="0"/>
              <w:rPr>
                <w:sz w:val="20"/>
                <w:szCs w:val="20"/>
                <w:color w:val="auto"/>
              </w:rPr>
            </w:pPr>
            <w:r>
              <w:rPr>
                <w:rFonts w:ascii="Arial" w:cs="Arial" w:eastAsia="Arial" w:hAnsi="Arial"/>
                <w:sz w:val="16"/>
                <w:szCs w:val="16"/>
                <w:color w:val="auto"/>
              </w:rPr>
              <w:t>7,473</w:t>
            </w:r>
          </w:p>
        </w:tc>
        <w:tc>
          <w:tcPr>
            <w:tcW w:w="15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7,483</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0" w:type="dxa"/>
            <w:vAlign w:val="bottom"/>
          </w:tcPr>
          <w:p>
            <w:pPr>
              <w:spacing w:after="0"/>
              <w:rPr>
                <w:sz w:val="20"/>
                <w:szCs w:val="20"/>
                <w:color w:val="auto"/>
              </w:rPr>
            </w:pPr>
            <w:r>
              <w:rPr>
                <w:rFonts w:ascii="Arial" w:cs="Arial" w:eastAsia="Arial" w:hAnsi="Arial"/>
                <w:sz w:val="16"/>
                <w:szCs w:val="16"/>
                <w:color w:val="auto"/>
              </w:rPr>
              <w:t>Lease charge</w:t>
            </w:r>
          </w:p>
        </w:tc>
        <w:tc>
          <w:tcPr>
            <w:tcW w:w="1780" w:type="dxa"/>
            <w:vAlign w:val="bottom"/>
            <w:gridSpan w:val="2"/>
          </w:tcPr>
          <w:p>
            <w:pPr>
              <w:jc w:val="right"/>
              <w:ind w:right="199"/>
              <w:spacing w:after="0"/>
              <w:rPr>
                <w:sz w:val="20"/>
                <w:szCs w:val="20"/>
                <w:color w:val="auto"/>
              </w:rPr>
            </w:pPr>
            <w:r>
              <w:rPr>
                <w:rFonts w:ascii="Arial" w:cs="Arial" w:eastAsia="Arial" w:hAnsi="Arial"/>
                <w:sz w:val="16"/>
                <w:szCs w:val="16"/>
                <w:color w:val="auto"/>
              </w:rPr>
              <w:t>2,628</w:t>
            </w:r>
          </w:p>
        </w:tc>
        <w:tc>
          <w:tcPr>
            <w:tcW w:w="1500" w:type="dxa"/>
            <w:vAlign w:val="bottom"/>
          </w:tcPr>
          <w:p>
            <w:pPr>
              <w:jc w:val="right"/>
              <w:spacing w:after="0"/>
              <w:rPr>
                <w:sz w:val="20"/>
                <w:szCs w:val="20"/>
                <w:color w:val="auto"/>
              </w:rPr>
            </w:pPr>
            <w:r>
              <w:rPr>
                <w:rFonts w:ascii="Arial" w:cs="Arial" w:eastAsia="Arial" w:hAnsi="Arial"/>
                <w:sz w:val="16"/>
                <w:szCs w:val="16"/>
                <w:color w:val="auto"/>
              </w:rPr>
              <w:t>2,629</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0" w:type="dxa"/>
            <w:vAlign w:val="bottom"/>
            <w:shd w:val="clear" w:color="auto" w:fill="E5FFFF"/>
          </w:tcPr>
          <w:p>
            <w:pPr>
              <w:spacing w:after="0"/>
              <w:rPr>
                <w:sz w:val="20"/>
                <w:szCs w:val="20"/>
                <w:color w:val="auto"/>
              </w:rPr>
            </w:pPr>
            <w:r>
              <w:rPr>
                <w:rFonts w:ascii="Arial" w:cs="Arial" w:eastAsia="Arial" w:hAnsi="Arial"/>
                <w:sz w:val="16"/>
                <w:szCs w:val="16"/>
                <w:color w:val="auto"/>
              </w:rPr>
              <w:t>Other financial costs</w:t>
            </w:r>
          </w:p>
        </w:tc>
        <w:tc>
          <w:tcPr>
            <w:tcW w:w="1780" w:type="dxa"/>
            <w:vAlign w:val="bottom"/>
            <w:gridSpan w:val="2"/>
            <w:shd w:val="clear" w:color="auto" w:fill="E5FFFF"/>
          </w:tcPr>
          <w:p>
            <w:pPr>
              <w:jc w:val="right"/>
              <w:ind w:right="199"/>
              <w:spacing w:after="0"/>
              <w:rPr>
                <w:sz w:val="20"/>
                <w:szCs w:val="20"/>
                <w:color w:val="auto"/>
              </w:rPr>
            </w:pPr>
            <w:r>
              <w:rPr>
                <w:rFonts w:ascii="Arial" w:cs="Arial" w:eastAsia="Arial" w:hAnsi="Arial"/>
                <w:sz w:val="16"/>
                <w:szCs w:val="16"/>
                <w:color w:val="auto"/>
              </w:rPr>
              <w:t>387</w:t>
            </w:r>
          </w:p>
        </w:tc>
        <w:tc>
          <w:tcPr>
            <w:tcW w:w="15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643</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00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Total financial costs</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36,597</w:t>
            </w:r>
          </w:p>
        </w:tc>
        <w:tc>
          <w:tcPr>
            <w:tcW w:w="280" w:type="dxa"/>
            <w:vAlign w:val="bottom"/>
            <w:tcBorders>
              <w:bottom w:val="single" w:sz="8" w:color="E5FFFF"/>
            </w:tcBorders>
          </w:tcPr>
          <w:p>
            <w:pPr>
              <w:spacing w:after="0"/>
              <w:rPr>
                <w:sz w:val="20"/>
                <w:szCs w:val="20"/>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45,507</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7000" w:type="dxa"/>
            <w:vAlign w:val="bottom"/>
            <w:shd w:val="clear" w:color="auto" w:fill="E5FFFF"/>
          </w:tcPr>
          <w:p>
            <w:pPr>
              <w:spacing w:after="0"/>
              <w:rPr>
                <w:sz w:val="17"/>
                <w:szCs w:val="17"/>
                <w:color w:val="auto"/>
              </w:rPr>
            </w:pPr>
          </w:p>
        </w:tc>
        <w:tc>
          <w:tcPr>
            <w:tcW w:w="150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500" w:type="dxa"/>
            <w:vAlign w:val="bottom"/>
            <w:shd w:val="clear" w:color="auto" w:fill="E5FFFF"/>
          </w:tcPr>
          <w:p>
            <w:pPr>
              <w:spacing w:after="0"/>
              <w:rPr>
                <w:sz w:val="17"/>
                <w:szCs w:val="17"/>
                <w:color w:val="auto"/>
              </w:rPr>
            </w:pPr>
          </w:p>
        </w:tc>
        <w:tc>
          <w:tcPr>
            <w:tcW w:w="20" w:type="dxa"/>
            <w:vAlign w:val="bottom"/>
            <w:vMerge w:val="restart"/>
          </w:tcPr>
          <w:p>
            <w:pPr>
              <w:spacing w:after="0"/>
              <w:rPr>
                <w:sz w:val="17"/>
                <w:szCs w:val="17"/>
                <w:color w:val="auto"/>
              </w:rPr>
            </w:pPr>
          </w:p>
        </w:tc>
        <w:tc>
          <w:tcPr>
            <w:tcW w:w="4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0" w:type="dxa"/>
            <w:vAlign w:val="bottom"/>
          </w:tcPr>
          <w:p>
            <w:pPr>
              <w:spacing w:after="0"/>
              <w:rPr>
                <w:sz w:val="20"/>
                <w:szCs w:val="20"/>
                <w:color w:val="auto"/>
              </w:rPr>
            </w:pPr>
            <w:r>
              <w:rPr>
                <w:rFonts w:ascii="Arial" w:cs="Arial" w:eastAsia="Arial" w:hAnsi="Arial"/>
                <w:sz w:val="16"/>
                <w:szCs w:val="16"/>
                <w:color w:val="auto"/>
              </w:rPr>
              <w:t>Unrealized (gain)/loss on derivative financial instruments held for trading (Note 15)</w:t>
            </w:r>
          </w:p>
        </w:tc>
        <w:tc>
          <w:tcPr>
            <w:tcW w:w="1780" w:type="dxa"/>
            <w:vAlign w:val="bottom"/>
            <w:gridSpan w:val="2"/>
          </w:tcPr>
          <w:p>
            <w:pPr>
              <w:jc w:val="right"/>
              <w:ind w:right="139"/>
              <w:spacing w:after="0"/>
              <w:rPr>
                <w:sz w:val="20"/>
                <w:szCs w:val="20"/>
                <w:color w:val="auto"/>
              </w:rPr>
            </w:pPr>
            <w:r>
              <w:rPr>
                <w:rFonts w:ascii="Arial" w:cs="Arial" w:eastAsia="Arial" w:hAnsi="Arial"/>
                <w:sz w:val="16"/>
                <w:szCs w:val="16"/>
                <w:color w:val="auto"/>
              </w:rPr>
              <w:t>(17,161)</w:t>
            </w:r>
          </w:p>
        </w:tc>
        <w:tc>
          <w:tcPr>
            <w:tcW w:w="1500" w:type="dxa"/>
            <w:vAlign w:val="bottom"/>
          </w:tcPr>
          <w:p>
            <w:pPr>
              <w:jc w:val="right"/>
              <w:spacing w:after="0"/>
              <w:rPr>
                <w:sz w:val="20"/>
                <w:szCs w:val="20"/>
                <w:color w:val="auto"/>
              </w:rPr>
            </w:pPr>
            <w:r>
              <w:rPr>
                <w:rFonts w:ascii="Arial" w:cs="Arial" w:eastAsia="Arial" w:hAnsi="Arial"/>
                <w:sz w:val="16"/>
                <w:szCs w:val="16"/>
                <w:color w:val="auto"/>
              </w:rPr>
              <w:t>21,150</w:t>
            </w:r>
          </w:p>
        </w:tc>
        <w:tc>
          <w:tcPr>
            <w:tcW w:w="20" w:type="dxa"/>
            <w:vAlign w:val="bottom"/>
            <w:vMerge w:val="continue"/>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0" w:type="dxa"/>
            <w:vAlign w:val="bottom"/>
            <w:shd w:val="clear" w:color="auto" w:fill="E5FFFF"/>
          </w:tcPr>
          <w:p>
            <w:pPr>
              <w:spacing w:after="0"/>
              <w:rPr>
                <w:sz w:val="20"/>
                <w:szCs w:val="20"/>
                <w:color w:val="auto"/>
              </w:rPr>
            </w:pPr>
            <w:r>
              <w:rPr>
                <w:rFonts w:ascii="Arial" w:cs="Arial" w:eastAsia="Arial" w:hAnsi="Arial"/>
                <w:sz w:val="16"/>
                <w:szCs w:val="16"/>
                <w:color w:val="auto"/>
              </w:rPr>
              <w:t>Realized loss/(gain) on interest rate swaps held for trading</w:t>
            </w:r>
          </w:p>
        </w:tc>
        <w:tc>
          <w:tcPr>
            <w:tcW w:w="1780" w:type="dxa"/>
            <w:vAlign w:val="bottom"/>
            <w:gridSpan w:val="2"/>
            <w:shd w:val="clear" w:color="auto" w:fill="E5FFFF"/>
          </w:tcPr>
          <w:p>
            <w:pPr>
              <w:jc w:val="right"/>
              <w:ind w:right="199"/>
              <w:spacing w:after="0"/>
              <w:rPr>
                <w:sz w:val="20"/>
                <w:szCs w:val="20"/>
                <w:color w:val="auto"/>
              </w:rPr>
            </w:pPr>
            <w:r>
              <w:rPr>
                <w:rFonts w:ascii="Arial" w:cs="Arial" w:eastAsia="Arial" w:hAnsi="Arial"/>
                <w:sz w:val="16"/>
                <w:szCs w:val="16"/>
                <w:color w:val="auto"/>
              </w:rPr>
              <w:t>613</w:t>
            </w:r>
          </w:p>
        </w:tc>
        <w:tc>
          <w:tcPr>
            <w:tcW w:w="15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(1,735)</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0" w:type="dxa"/>
            <w:vAlign w:val="bottom"/>
          </w:tcPr>
          <w:p>
            <w:pPr>
              <w:spacing w:after="0"/>
              <w:rPr>
                <w:sz w:val="20"/>
                <w:szCs w:val="20"/>
                <w:color w:val="auto"/>
              </w:rPr>
            </w:pPr>
            <w:r>
              <w:rPr>
                <w:rFonts w:ascii="Arial" w:cs="Arial" w:eastAsia="Arial" w:hAnsi="Arial"/>
                <w:sz w:val="16"/>
                <w:szCs w:val="16"/>
                <w:color w:val="auto"/>
              </w:rPr>
              <w:t>Realized (gain)/loss on forward foreign exchange contracts held for trading</w:t>
            </w:r>
          </w:p>
        </w:tc>
        <w:tc>
          <w:tcPr>
            <w:tcW w:w="1780" w:type="dxa"/>
            <w:vAlign w:val="bottom"/>
            <w:gridSpan w:val="2"/>
          </w:tcPr>
          <w:p>
            <w:pPr>
              <w:jc w:val="right"/>
              <w:ind w:right="139"/>
              <w:spacing w:after="0"/>
              <w:rPr>
                <w:sz w:val="20"/>
                <w:szCs w:val="20"/>
                <w:color w:val="auto"/>
              </w:rPr>
            </w:pPr>
            <w:r>
              <w:rPr>
                <w:rFonts w:ascii="Arial" w:cs="Arial" w:eastAsia="Arial" w:hAnsi="Arial"/>
                <w:sz w:val="16"/>
                <w:szCs w:val="16"/>
                <w:color w:val="auto"/>
              </w:rPr>
              <w:t>(1,486)</w:t>
            </w:r>
          </w:p>
        </w:tc>
        <w:tc>
          <w:tcPr>
            <w:tcW w:w="1500" w:type="dxa"/>
            <w:vAlign w:val="bottom"/>
          </w:tcPr>
          <w:p>
            <w:pPr>
              <w:jc w:val="right"/>
              <w:spacing w:after="0"/>
              <w:rPr>
                <w:sz w:val="20"/>
                <w:szCs w:val="20"/>
                <w:color w:val="auto"/>
              </w:rPr>
            </w:pPr>
            <w:r>
              <w:rPr>
                <w:rFonts w:ascii="Arial" w:cs="Arial" w:eastAsia="Arial" w:hAnsi="Arial"/>
                <w:sz w:val="16"/>
                <w:szCs w:val="16"/>
                <w:color w:val="auto"/>
              </w:rPr>
              <w:t>876</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0" w:type="dxa"/>
            <w:vAlign w:val="bottom"/>
            <w:shd w:val="clear" w:color="auto" w:fill="E5FFFF"/>
          </w:tcPr>
          <w:p>
            <w:pPr>
              <w:spacing w:after="0"/>
              <w:rPr>
                <w:sz w:val="20"/>
                <w:szCs w:val="20"/>
                <w:color w:val="auto"/>
              </w:rPr>
            </w:pPr>
            <w:r>
              <w:rPr>
                <w:rFonts w:ascii="Arial" w:cs="Arial" w:eastAsia="Arial" w:hAnsi="Arial"/>
                <w:sz w:val="16"/>
                <w:szCs w:val="16"/>
                <w:color w:val="auto"/>
              </w:rPr>
              <w:t>Ineffective portion of cash flow hedges</w:t>
            </w:r>
          </w:p>
        </w:tc>
        <w:tc>
          <w:tcPr>
            <w:tcW w:w="1780" w:type="dxa"/>
            <w:vAlign w:val="bottom"/>
            <w:gridSpan w:val="2"/>
            <w:shd w:val="clear" w:color="auto" w:fill="E5FFFF"/>
          </w:tcPr>
          <w:p>
            <w:pPr>
              <w:jc w:val="right"/>
              <w:ind w:right="199"/>
              <w:spacing w:after="0"/>
              <w:rPr>
                <w:sz w:val="20"/>
                <w:szCs w:val="20"/>
                <w:color w:val="auto"/>
              </w:rPr>
            </w:pPr>
            <w:r>
              <w:rPr>
                <w:rFonts w:ascii="Arial" w:cs="Arial" w:eastAsia="Arial" w:hAnsi="Arial"/>
                <w:sz w:val="16"/>
                <w:szCs w:val="16"/>
                <w:color w:val="auto"/>
              </w:rPr>
              <w:t>263</w:t>
            </w:r>
          </w:p>
        </w:tc>
        <w:tc>
          <w:tcPr>
            <w:tcW w:w="15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(47)</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000" w:type="dxa"/>
            <w:vAlign w:val="bottom"/>
          </w:tcPr>
          <w:p>
            <w:pPr>
              <w:spacing w:after="0"/>
              <w:rPr>
                <w:sz w:val="20"/>
                <w:szCs w:val="20"/>
                <w:color w:val="auto"/>
              </w:rPr>
            </w:pPr>
            <w:r>
              <w:rPr>
                <w:rFonts w:ascii="Arial" w:cs="Arial" w:eastAsia="Arial" w:hAnsi="Arial"/>
                <w:sz w:val="16"/>
                <w:szCs w:val="16"/>
                <w:b w:val="1"/>
                <w:bCs w:val="1"/>
                <w:color w:val="auto"/>
              </w:rPr>
              <w:t>Total (gain)/loss on derivatives</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(17,771</w:t>
            </w:r>
          </w:p>
        </w:tc>
        <w:tc>
          <w:tcPr>
            <w:tcW w:w="280" w:type="dxa"/>
            <w:vAlign w:val="bottom"/>
          </w:tcPr>
          <w:p>
            <w:pPr>
              <w:jc w:val="right"/>
              <w:ind w:right="139"/>
              <w:spacing w:after="0"/>
              <w:rPr>
                <w:sz w:val="20"/>
                <w:szCs w:val="20"/>
                <w:color w:val="auto"/>
              </w:rPr>
            </w:pPr>
            <w:r>
              <w:rPr>
                <w:rFonts w:ascii="Arial" w:cs="Arial" w:eastAsia="Arial" w:hAnsi="Arial"/>
                <w:sz w:val="16"/>
                <w:szCs w:val="16"/>
                <w:b w:val="1"/>
                <w:bCs w:val="1"/>
                <w:color w:val="auto"/>
                <w:w w:val="74"/>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20,244</w:t>
            </w:r>
          </w:p>
        </w:tc>
        <w:tc>
          <w:tcPr>
            <w:tcW w:w="2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17. Cash Flow Reconciliations</w:t>
      </w:r>
    </w:p>
    <w:p>
      <w:pPr>
        <w:spacing w:after="0" w:line="239" w:lineRule="exact"/>
        <w:rPr>
          <w:sz w:val="20"/>
          <w:szCs w:val="20"/>
          <w:color w:val="auto"/>
        </w:rPr>
      </w:pPr>
    </w:p>
    <w:p>
      <w:pPr>
        <w:ind w:left="400"/>
        <w:spacing w:after="0"/>
        <w:rPr>
          <w:sz w:val="20"/>
          <w:szCs w:val="20"/>
          <w:color w:val="auto"/>
        </w:rPr>
      </w:pPr>
      <w:r>
        <w:rPr>
          <w:rFonts w:ascii="Arial" w:cs="Arial" w:eastAsia="Arial" w:hAnsi="Arial"/>
          <w:sz w:val="14"/>
          <w:szCs w:val="14"/>
          <w:color w:val="auto"/>
        </w:rPr>
        <w:t>The reconciliation of the Group’s non-cash investing and financing activities for the periods ended March 31, 2018 and March 31, 2019 are presented in the tables below:</w:t>
      </w:r>
    </w:p>
    <w:p>
      <w:pPr>
        <w:spacing w:after="0" w:line="258"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 reconciliation of borrowings arising from financing activities is as follows:</w:t>
      </w:r>
    </w:p>
    <w:p>
      <w:pPr>
        <w:spacing w:after="0" w:line="200" w:lineRule="exact"/>
        <w:rPr>
          <w:sz w:val="20"/>
          <w:szCs w:val="20"/>
          <w:color w:val="auto"/>
        </w:rPr>
      </w:pPr>
    </w:p>
    <w:p>
      <w:pPr>
        <w:spacing w:after="0" w:line="368" w:lineRule="exact"/>
        <w:rPr>
          <w:sz w:val="20"/>
          <w:szCs w:val="20"/>
          <w:color w:val="auto"/>
        </w:rPr>
      </w:pPr>
    </w:p>
    <w:tbl>
      <w:tblPr>
        <w:tblLayout w:type="fixed"/>
        <w:tblInd w:w="400" w:type="dxa"/>
        <w:tblCellMar>
          <w:top w:w="0" w:type="dxa"/>
          <w:left w:w="0" w:type="dxa"/>
          <w:bottom w:w="0" w:type="dxa"/>
          <w:right w:w="0" w:type="dxa"/>
        </w:tblCellMar>
      </w:tblPr>
      <w:tr>
        <w:trPr>
          <w:trHeight w:val="203"/>
        </w:trPr>
        <w:tc>
          <w:tcPr>
            <w:tcW w:w="24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8"/>
              </w:rPr>
              <w:t>Other</w:t>
            </w: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4"/>
              </w:rPr>
              <w:t>Deferred</w:t>
            </w:r>
          </w:p>
        </w:tc>
        <w:tc>
          <w:tcPr>
            <w:tcW w:w="1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6"/>
              </w:rPr>
              <w:t>comprehensive</w:t>
            </w:r>
          </w:p>
        </w:tc>
        <w:tc>
          <w:tcPr>
            <w:tcW w:w="13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Non-cash</w:t>
            </w:r>
          </w:p>
        </w:tc>
        <w:tc>
          <w:tcPr>
            <w:tcW w:w="15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6"/>
              </w:rPr>
              <w:t>financing costs,</w:t>
            </w:r>
          </w:p>
        </w:tc>
        <w:tc>
          <w:tcPr>
            <w:tcW w:w="1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480" w:type="dxa"/>
            <w:vAlign w:val="bottom"/>
          </w:tcPr>
          <w:p>
            <w:pPr>
              <w:spacing w:after="0"/>
              <w:rPr>
                <w:sz w:val="18"/>
                <w:szCs w:val="18"/>
                <w:color w:val="auto"/>
              </w:rPr>
            </w:pPr>
          </w:p>
        </w:tc>
        <w:tc>
          <w:tcPr>
            <w:tcW w:w="172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rPr>
              <w:t>Opening balance</w:t>
            </w:r>
          </w:p>
        </w:tc>
        <w:tc>
          <w:tcPr>
            <w:tcW w:w="132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rPr>
              <w:t>Cash flows</w:t>
            </w:r>
          </w:p>
        </w:tc>
        <w:tc>
          <w:tcPr>
            <w:tcW w:w="15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income</w:t>
            </w:r>
          </w:p>
        </w:tc>
        <w:tc>
          <w:tcPr>
            <w:tcW w:w="13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items</w:t>
            </w:r>
          </w:p>
        </w:tc>
        <w:tc>
          <w:tcPr>
            <w:tcW w:w="15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76"/>
              </w:rPr>
              <w:t>assets</w:t>
            </w:r>
          </w:p>
        </w:tc>
        <w:tc>
          <w:tcPr>
            <w:tcW w:w="1140" w:type="dxa"/>
            <w:vAlign w:val="bottom"/>
            <w:gridSpan w:val="2"/>
          </w:tcPr>
          <w:p>
            <w:pPr>
              <w:ind w:left="36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79"/>
        </w:trPr>
        <w:tc>
          <w:tcPr>
            <w:tcW w:w="2480" w:type="dxa"/>
            <w:vAlign w:val="bottom"/>
            <w:tcBorders>
              <w:top w:val="single" w:sz="8" w:color="E5FFFF"/>
            </w:tcBorders>
            <w:shd w:val="clear" w:color="auto" w:fill="E5FFFF"/>
          </w:tcPr>
          <w:p>
            <w:pPr>
              <w:spacing w:after="0" w:line="179" w:lineRule="exact"/>
              <w:rPr>
                <w:sz w:val="20"/>
                <w:szCs w:val="20"/>
                <w:color w:val="auto"/>
              </w:rPr>
            </w:pPr>
            <w:r>
              <w:rPr>
                <w:rFonts w:ascii="Arial" w:cs="Arial" w:eastAsia="Arial" w:hAnsi="Arial"/>
                <w:sz w:val="16"/>
                <w:szCs w:val="16"/>
                <w:color w:val="auto"/>
              </w:rPr>
              <w:t>Borrowings outstanding as of</w:t>
            </w:r>
          </w:p>
        </w:tc>
        <w:tc>
          <w:tcPr>
            <w:tcW w:w="1480" w:type="dxa"/>
            <w:vAlign w:val="bottom"/>
            <w:tcBorders>
              <w:top w:val="single" w:sz="8" w:color="auto"/>
            </w:tcBorders>
            <w:shd w:val="clear" w:color="auto" w:fill="E5FFFF"/>
          </w:tcPr>
          <w:p>
            <w:pPr>
              <w:spacing w:after="0"/>
              <w:rPr>
                <w:sz w:val="15"/>
                <w:szCs w:val="15"/>
                <w:color w:val="auto"/>
              </w:rPr>
            </w:pPr>
          </w:p>
        </w:tc>
        <w:tc>
          <w:tcPr>
            <w:tcW w:w="240" w:type="dxa"/>
            <w:vAlign w:val="bottom"/>
            <w:tcBorders>
              <w:top w:val="single" w:sz="8" w:color="E5FFFF"/>
            </w:tcBorders>
            <w:shd w:val="clear" w:color="auto" w:fill="E5FFFF"/>
          </w:tcPr>
          <w:p>
            <w:pPr>
              <w:spacing w:after="0"/>
              <w:rPr>
                <w:sz w:val="15"/>
                <w:szCs w:val="15"/>
                <w:color w:val="auto"/>
              </w:rPr>
            </w:pPr>
          </w:p>
        </w:tc>
        <w:tc>
          <w:tcPr>
            <w:tcW w:w="1100" w:type="dxa"/>
            <w:vAlign w:val="bottom"/>
            <w:tcBorders>
              <w:top w:val="single" w:sz="8" w:color="auto"/>
            </w:tcBorders>
            <w:shd w:val="clear" w:color="auto" w:fill="E5FFFF"/>
          </w:tcPr>
          <w:p>
            <w:pPr>
              <w:spacing w:after="0"/>
              <w:rPr>
                <w:sz w:val="15"/>
                <w:szCs w:val="15"/>
                <w:color w:val="auto"/>
              </w:rPr>
            </w:pPr>
          </w:p>
        </w:tc>
        <w:tc>
          <w:tcPr>
            <w:tcW w:w="220" w:type="dxa"/>
            <w:vAlign w:val="bottom"/>
            <w:tcBorders>
              <w:top w:val="single" w:sz="8" w:color="E5FFFF"/>
            </w:tcBorders>
            <w:shd w:val="clear" w:color="auto" w:fill="E5FFFF"/>
          </w:tcPr>
          <w:p>
            <w:pPr>
              <w:spacing w:after="0"/>
              <w:rPr>
                <w:sz w:val="15"/>
                <w:szCs w:val="15"/>
                <w:color w:val="auto"/>
              </w:rPr>
            </w:pPr>
          </w:p>
        </w:tc>
        <w:tc>
          <w:tcPr>
            <w:tcW w:w="1320" w:type="dxa"/>
            <w:vAlign w:val="bottom"/>
            <w:tcBorders>
              <w:top w:val="single" w:sz="8" w:color="auto"/>
            </w:tcBorders>
            <w:shd w:val="clear" w:color="auto" w:fill="E5FFFF"/>
          </w:tcPr>
          <w:p>
            <w:pPr>
              <w:spacing w:after="0"/>
              <w:rPr>
                <w:sz w:val="15"/>
                <w:szCs w:val="15"/>
                <w:color w:val="auto"/>
              </w:rPr>
            </w:pPr>
          </w:p>
        </w:tc>
        <w:tc>
          <w:tcPr>
            <w:tcW w:w="200" w:type="dxa"/>
            <w:vAlign w:val="bottom"/>
            <w:tcBorders>
              <w:top w:val="single" w:sz="8" w:color="E5FFFF"/>
            </w:tcBorders>
            <w:shd w:val="clear" w:color="auto" w:fill="E5FFFF"/>
          </w:tcPr>
          <w:p>
            <w:pPr>
              <w:spacing w:after="0"/>
              <w:rPr>
                <w:sz w:val="15"/>
                <w:szCs w:val="15"/>
                <w:color w:val="auto"/>
              </w:rPr>
            </w:pPr>
          </w:p>
        </w:tc>
        <w:tc>
          <w:tcPr>
            <w:tcW w:w="1100" w:type="dxa"/>
            <w:vAlign w:val="bottom"/>
            <w:tcBorders>
              <w:top w:val="single" w:sz="8" w:color="auto"/>
            </w:tcBorders>
            <w:shd w:val="clear" w:color="auto" w:fill="E5FFFF"/>
          </w:tcPr>
          <w:p>
            <w:pPr>
              <w:spacing w:after="0"/>
              <w:rPr>
                <w:sz w:val="15"/>
                <w:szCs w:val="15"/>
                <w:color w:val="auto"/>
              </w:rPr>
            </w:pPr>
          </w:p>
        </w:tc>
        <w:tc>
          <w:tcPr>
            <w:tcW w:w="220" w:type="dxa"/>
            <w:vAlign w:val="bottom"/>
            <w:tcBorders>
              <w:top w:val="single" w:sz="8" w:color="E5FFFF"/>
            </w:tcBorders>
            <w:shd w:val="clear" w:color="auto" w:fill="E5FFFF"/>
          </w:tcPr>
          <w:p>
            <w:pPr>
              <w:spacing w:after="0"/>
              <w:rPr>
                <w:sz w:val="15"/>
                <w:szCs w:val="15"/>
                <w:color w:val="auto"/>
              </w:rPr>
            </w:pPr>
          </w:p>
        </w:tc>
        <w:tc>
          <w:tcPr>
            <w:tcW w:w="1300" w:type="dxa"/>
            <w:vAlign w:val="bottom"/>
            <w:tcBorders>
              <w:top w:val="single" w:sz="8" w:color="auto"/>
            </w:tcBorders>
            <w:shd w:val="clear" w:color="auto" w:fill="E5FFFF"/>
          </w:tcPr>
          <w:p>
            <w:pPr>
              <w:spacing w:after="0"/>
              <w:rPr>
                <w:sz w:val="15"/>
                <w:szCs w:val="15"/>
                <w:color w:val="auto"/>
              </w:rPr>
            </w:pPr>
          </w:p>
        </w:tc>
        <w:tc>
          <w:tcPr>
            <w:tcW w:w="220" w:type="dxa"/>
            <w:vAlign w:val="bottom"/>
            <w:tcBorders>
              <w:top w:val="single" w:sz="8" w:color="E5FFFF"/>
            </w:tcBorders>
            <w:shd w:val="clear" w:color="auto" w:fill="E5FFFF"/>
          </w:tcPr>
          <w:p>
            <w:pPr>
              <w:spacing w:after="0"/>
              <w:rPr>
                <w:sz w:val="15"/>
                <w:szCs w:val="15"/>
                <w:color w:val="auto"/>
              </w:rPr>
            </w:pPr>
          </w:p>
        </w:tc>
        <w:tc>
          <w:tcPr>
            <w:tcW w:w="1100" w:type="dxa"/>
            <w:vAlign w:val="bottom"/>
            <w:tcBorders>
              <w:top w:val="single" w:sz="8" w:color="auto"/>
            </w:tcBorders>
            <w:shd w:val="clear" w:color="auto" w:fill="E5FF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2480" w:type="dxa"/>
            <w:vAlign w:val="bottom"/>
            <w:shd w:val="clear" w:color="auto" w:fill="E5FFFF"/>
          </w:tcPr>
          <w:p>
            <w:pPr>
              <w:spacing w:after="0"/>
              <w:rPr>
                <w:sz w:val="20"/>
                <w:szCs w:val="20"/>
                <w:color w:val="auto"/>
              </w:rPr>
            </w:pPr>
            <w:r>
              <w:rPr>
                <w:rFonts w:ascii="Arial" w:cs="Arial" w:eastAsia="Arial" w:hAnsi="Arial"/>
                <w:sz w:val="16"/>
                <w:szCs w:val="16"/>
                <w:color w:val="auto"/>
              </w:rPr>
              <w:t>January 1, 2018</w:t>
            </w:r>
          </w:p>
        </w:tc>
        <w:tc>
          <w:tcPr>
            <w:tcW w:w="14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2,547,556</w:t>
            </w:r>
          </w:p>
        </w:tc>
        <w:tc>
          <w:tcPr>
            <w:tcW w:w="240" w:type="dxa"/>
            <w:vAlign w:val="bottom"/>
            <w:shd w:val="clear" w:color="auto" w:fill="E5FFFF"/>
          </w:tcPr>
          <w:p>
            <w:pPr>
              <w:spacing w:after="0"/>
              <w:rPr>
                <w:sz w:val="18"/>
                <w:szCs w:val="18"/>
                <w:color w:val="auto"/>
              </w:rPr>
            </w:pPr>
          </w:p>
        </w:tc>
        <w:tc>
          <w:tcPr>
            <w:tcW w:w="132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w:t>
            </w:r>
          </w:p>
        </w:tc>
        <w:tc>
          <w:tcPr>
            <w:tcW w:w="152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w:t>
            </w:r>
          </w:p>
        </w:tc>
        <w:tc>
          <w:tcPr>
            <w:tcW w:w="132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w:t>
            </w:r>
          </w:p>
        </w:tc>
        <w:tc>
          <w:tcPr>
            <w:tcW w:w="152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2,547,556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480" w:type="dxa"/>
            <w:vAlign w:val="bottom"/>
          </w:tcPr>
          <w:p>
            <w:pPr>
              <w:spacing w:after="0"/>
              <w:rPr>
                <w:sz w:val="20"/>
                <w:szCs w:val="20"/>
                <w:color w:val="auto"/>
              </w:rPr>
            </w:pPr>
            <w:r>
              <w:rPr>
                <w:rFonts w:ascii="Arial" w:cs="Arial" w:eastAsia="Arial" w:hAnsi="Arial"/>
                <w:sz w:val="16"/>
                <w:szCs w:val="16"/>
                <w:color w:val="auto"/>
              </w:rPr>
              <w:t>Proceeds from bank loans and</w:t>
            </w:r>
          </w:p>
        </w:tc>
        <w:tc>
          <w:tcPr>
            <w:tcW w:w="1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480" w:type="dxa"/>
            <w:vAlign w:val="bottom"/>
          </w:tcPr>
          <w:p>
            <w:pPr>
              <w:spacing w:after="0"/>
              <w:rPr>
                <w:sz w:val="20"/>
                <w:szCs w:val="20"/>
                <w:color w:val="auto"/>
              </w:rPr>
            </w:pPr>
            <w:r>
              <w:rPr>
                <w:rFonts w:ascii="Arial" w:cs="Arial" w:eastAsia="Arial" w:hAnsi="Arial"/>
                <w:sz w:val="16"/>
                <w:szCs w:val="16"/>
                <w:color w:val="auto"/>
              </w:rPr>
              <w:t>bonds</w:t>
            </w:r>
          </w:p>
        </w:tc>
        <w:tc>
          <w:tcPr>
            <w:tcW w:w="17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498,225</w:t>
            </w:r>
          </w:p>
        </w:tc>
        <w:tc>
          <w:tcPr>
            <w:tcW w:w="220" w:type="dxa"/>
            <w:vAlign w:val="bottom"/>
          </w:tcPr>
          <w:p>
            <w:pPr>
              <w:spacing w:after="0"/>
              <w:rPr>
                <w:sz w:val="17"/>
                <w:szCs w:val="17"/>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5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498,225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480" w:type="dxa"/>
            <w:vAlign w:val="bottom"/>
            <w:shd w:val="clear" w:color="auto" w:fill="E5FFFF"/>
          </w:tcPr>
          <w:p>
            <w:pPr>
              <w:spacing w:after="0"/>
              <w:rPr>
                <w:sz w:val="20"/>
                <w:szCs w:val="20"/>
                <w:color w:val="auto"/>
              </w:rPr>
            </w:pPr>
            <w:r>
              <w:rPr>
                <w:rFonts w:ascii="Arial" w:cs="Arial" w:eastAsia="Arial" w:hAnsi="Arial"/>
                <w:sz w:val="16"/>
                <w:szCs w:val="16"/>
                <w:color w:val="auto"/>
              </w:rPr>
              <w:t>Bank loan repayments</w:t>
            </w:r>
          </w:p>
        </w:tc>
        <w:tc>
          <w:tcPr>
            <w:tcW w:w="1720" w:type="dxa"/>
            <w:vAlign w:val="bottom"/>
            <w:gridSpan w:val="2"/>
            <w:shd w:val="clear" w:color="auto" w:fill="E5FFFF"/>
          </w:tcPr>
          <w:p>
            <w:pPr>
              <w:jc w:val="right"/>
              <w:ind w:right="240"/>
              <w:spacing w:after="0"/>
              <w:rPr>
                <w:sz w:val="20"/>
                <w:szCs w:val="20"/>
                <w:color w:val="auto"/>
              </w:rPr>
            </w:pPr>
            <w:r>
              <w:rPr>
                <w:rFonts w:ascii="Arial" w:cs="Arial" w:eastAsia="Arial" w:hAnsi="Arial"/>
                <w:sz w:val="16"/>
                <w:szCs w:val="16"/>
                <w:color w:val="auto"/>
              </w:rPr>
              <w:t>—</w:t>
            </w:r>
          </w:p>
        </w:tc>
        <w:tc>
          <w:tcPr>
            <w:tcW w:w="1320" w:type="dxa"/>
            <w:vAlign w:val="bottom"/>
            <w:gridSpan w:val="2"/>
            <w:shd w:val="clear" w:color="auto" w:fill="E5FFFF"/>
          </w:tcPr>
          <w:p>
            <w:pPr>
              <w:jc w:val="right"/>
              <w:ind w:right="160"/>
              <w:spacing w:after="0"/>
              <w:rPr>
                <w:sz w:val="20"/>
                <w:szCs w:val="20"/>
                <w:color w:val="auto"/>
              </w:rPr>
            </w:pPr>
            <w:r>
              <w:rPr>
                <w:rFonts w:ascii="Arial" w:cs="Arial" w:eastAsia="Arial" w:hAnsi="Arial"/>
                <w:sz w:val="16"/>
                <w:szCs w:val="16"/>
                <w:color w:val="auto"/>
              </w:rPr>
              <w:t>(83,938)</w:t>
            </w:r>
          </w:p>
        </w:tc>
        <w:tc>
          <w:tcPr>
            <w:tcW w:w="152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w:t>
            </w:r>
          </w:p>
        </w:tc>
        <w:tc>
          <w:tcPr>
            <w:tcW w:w="132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w:t>
            </w:r>
          </w:p>
        </w:tc>
        <w:tc>
          <w:tcPr>
            <w:tcW w:w="152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(83,938)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480" w:type="dxa"/>
            <w:vAlign w:val="bottom"/>
          </w:tcPr>
          <w:p>
            <w:pPr>
              <w:spacing w:after="0"/>
              <w:rPr>
                <w:sz w:val="20"/>
                <w:szCs w:val="20"/>
                <w:color w:val="auto"/>
              </w:rPr>
            </w:pPr>
            <w:r>
              <w:rPr>
                <w:rFonts w:ascii="Arial" w:cs="Arial" w:eastAsia="Arial" w:hAnsi="Arial"/>
                <w:sz w:val="16"/>
                <w:szCs w:val="16"/>
                <w:color w:val="auto"/>
              </w:rPr>
              <w:t>Additions in deferred loan fees</w:t>
            </w:r>
          </w:p>
        </w:tc>
        <w:tc>
          <w:tcPr>
            <w:tcW w:w="17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(6,753)</w:t>
            </w:r>
          </w:p>
        </w:tc>
        <w:tc>
          <w:tcPr>
            <w:tcW w:w="15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1,232</w:t>
            </w:r>
          </w:p>
        </w:tc>
        <w:tc>
          <w:tcPr>
            <w:tcW w:w="220" w:type="dxa"/>
            <w:vAlign w:val="bottom"/>
          </w:tcPr>
          <w:p>
            <w:pPr>
              <w:spacing w:after="0"/>
              <w:rPr>
                <w:sz w:val="17"/>
                <w:szCs w:val="17"/>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6"/>
                <w:szCs w:val="16"/>
                <w:color w:val="auto"/>
              </w:rPr>
              <w:t>(13,573)</w:t>
            </w:r>
          </w:p>
        </w:tc>
        <w:tc>
          <w:tcPr>
            <w:tcW w:w="1100" w:type="dxa"/>
            <w:vAlign w:val="bottom"/>
          </w:tcPr>
          <w:p>
            <w:pPr>
              <w:jc w:val="right"/>
              <w:spacing w:after="0"/>
              <w:rPr>
                <w:sz w:val="20"/>
                <w:szCs w:val="20"/>
                <w:color w:val="auto"/>
              </w:rPr>
            </w:pPr>
            <w:r>
              <w:rPr>
                <w:rFonts w:ascii="Arial" w:cs="Arial" w:eastAsia="Arial" w:hAnsi="Arial"/>
                <w:sz w:val="16"/>
                <w:szCs w:val="16"/>
                <w:color w:val="auto"/>
              </w:rPr>
              <w:t>(19,094)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480" w:type="dxa"/>
            <w:vAlign w:val="bottom"/>
            <w:shd w:val="clear" w:color="auto" w:fill="E5FFFF"/>
          </w:tcPr>
          <w:p>
            <w:pPr>
              <w:spacing w:after="0"/>
              <w:rPr>
                <w:sz w:val="20"/>
                <w:szCs w:val="20"/>
                <w:color w:val="auto"/>
              </w:rPr>
            </w:pPr>
            <w:r>
              <w:rPr>
                <w:rFonts w:ascii="Arial" w:cs="Arial" w:eastAsia="Arial" w:hAnsi="Arial"/>
                <w:sz w:val="16"/>
                <w:szCs w:val="16"/>
                <w:color w:val="auto"/>
              </w:rPr>
              <w:t>Amortization of deferred loan</w:t>
            </w:r>
          </w:p>
        </w:tc>
        <w:tc>
          <w:tcPr>
            <w:tcW w:w="1480" w:type="dxa"/>
            <w:vAlign w:val="bottom"/>
            <w:shd w:val="clear" w:color="auto" w:fill="E5FFFF"/>
          </w:tcPr>
          <w:p>
            <w:pPr>
              <w:spacing w:after="0"/>
              <w:rPr>
                <w:sz w:val="16"/>
                <w:szCs w:val="16"/>
                <w:color w:val="auto"/>
              </w:rPr>
            </w:pPr>
          </w:p>
        </w:tc>
        <w:tc>
          <w:tcPr>
            <w:tcW w:w="240" w:type="dxa"/>
            <w:vAlign w:val="bottom"/>
            <w:shd w:val="clear" w:color="auto" w:fill="E5FFFF"/>
          </w:tcPr>
          <w:p>
            <w:pPr>
              <w:spacing w:after="0"/>
              <w:rPr>
                <w:sz w:val="16"/>
                <w:szCs w:val="16"/>
                <w:color w:val="auto"/>
              </w:rPr>
            </w:pPr>
          </w:p>
        </w:tc>
        <w:tc>
          <w:tcPr>
            <w:tcW w:w="1100" w:type="dxa"/>
            <w:vAlign w:val="bottom"/>
            <w:shd w:val="clear" w:color="auto" w:fill="E5FFFF"/>
          </w:tcPr>
          <w:p>
            <w:pPr>
              <w:spacing w:after="0"/>
              <w:rPr>
                <w:sz w:val="16"/>
                <w:szCs w:val="16"/>
                <w:color w:val="auto"/>
              </w:rPr>
            </w:pPr>
          </w:p>
        </w:tc>
        <w:tc>
          <w:tcPr>
            <w:tcW w:w="220" w:type="dxa"/>
            <w:vAlign w:val="bottom"/>
            <w:shd w:val="clear" w:color="auto" w:fill="E5FFFF"/>
          </w:tcPr>
          <w:p>
            <w:pPr>
              <w:spacing w:after="0"/>
              <w:rPr>
                <w:sz w:val="16"/>
                <w:szCs w:val="16"/>
                <w:color w:val="auto"/>
              </w:rPr>
            </w:pPr>
          </w:p>
        </w:tc>
        <w:tc>
          <w:tcPr>
            <w:tcW w:w="1320" w:type="dxa"/>
            <w:vAlign w:val="bottom"/>
            <w:shd w:val="clear" w:color="auto" w:fill="E5FFFF"/>
          </w:tcPr>
          <w:p>
            <w:pPr>
              <w:spacing w:after="0"/>
              <w:rPr>
                <w:sz w:val="16"/>
                <w:szCs w:val="16"/>
                <w:color w:val="auto"/>
              </w:rPr>
            </w:pPr>
          </w:p>
        </w:tc>
        <w:tc>
          <w:tcPr>
            <w:tcW w:w="200" w:type="dxa"/>
            <w:vAlign w:val="bottom"/>
            <w:shd w:val="clear" w:color="auto" w:fill="E5FFFF"/>
          </w:tcPr>
          <w:p>
            <w:pPr>
              <w:spacing w:after="0"/>
              <w:rPr>
                <w:sz w:val="16"/>
                <w:szCs w:val="16"/>
                <w:color w:val="auto"/>
              </w:rPr>
            </w:pPr>
          </w:p>
        </w:tc>
        <w:tc>
          <w:tcPr>
            <w:tcW w:w="1100" w:type="dxa"/>
            <w:vAlign w:val="bottom"/>
            <w:shd w:val="clear" w:color="auto" w:fill="E5FFFF"/>
          </w:tcPr>
          <w:p>
            <w:pPr>
              <w:spacing w:after="0"/>
              <w:rPr>
                <w:sz w:val="16"/>
                <w:szCs w:val="16"/>
                <w:color w:val="auto"/>
              </w:rPr>
            </w:pPr>
          </w:p>
        </w:tc>
        <w:tc>
          <w:tcPr>
            <w:tcW w:w="220" w:type="dxa"/>
            <w:vAlign w:val="bottom"/>
            <w:shd w:val="clear" w:color="auto" w:fill="E5FFFF"/>
          </w:tcPr>
          <w:p>
            <w:pPr>
              <w:spacing w:after="0"/>
              <w:rPr>
                <w:sz w:val="16"/>
                <w:szCs w:val="16"/>
                <w:color w:val="auto"/>
              </w:rPr>
            </w:pPr>
          </w:p>
        </w:tc>
        <w:tc>
          <w:tcPr>
            <w:tcW w:w="1300" w:type="dxa"/>
            <w:vAlign w:val="bottom"/>
            <w:shd w:val="clear" w:color="auto" w:fill="E5FFFF"/>
          </w:tcPr>
          <w:p>
            <w:pPr>
              <w:spacing w:after="0"/>
              <w:rPr>
                <w:sz w:val="16"/>
                <w:szCs w:val="16"/>
                <w:color w:val="auto"/>
              </w:rPr>
            </w:pPr>
          </w:p>
        </w:tc>
        <w:tc>
          <w:tcPr>
            <w:tcW w:w="220" w:type="dxa"/>
            <w:vAlign w:val="bottom"/>
            <w:shd w:val="clear" w:color="auto" w:fill="E5FFFF"/>
          </w:tcPr>
          <w:p>
            <w:pPr>
              <w:spacing w:after="0"/>
              <w:rPr>
                <w:sz w:val="16"/>
                <w:szCs w:val="16"/>
                <w:color w:val="auto"/>
              </w:rPr>
            </w:pPr>
          </w:p>
        </w:tc>
        <w:tc>
          <w:tcPr>
            <w:tcW w:w="1100" w:type="dxa"/>
            <w:vAlign w:val="bottom"/>
            <w:shd w:val="clear" w:color="auto" w:fill="E5FF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480" w:type="dxa"/>
            <w:vAlign w:val="bottom"/>
            <w:shd w:val="clear" w:color="auto" w:fill="E5FFFF"/>
          </w:tcPr>
          <w:p>
            <w:pPr>
              <w:ind w:left="180"/>
              <w:spacing w:after="0"/>
              <w:rPr>
                <w:sz w:val="20"/>
                <w:szCs w:val="20"/>
                <w:color w:val="auto"/>
              </w:rPr>
            </w:pPr>
            <w:r>
              <w:rPr>
                <w:rFonts w:ascii="Arial" w:cs="Arial" w:eastAsia="Arial" w:hAnsi="Arial"/>
                <w:sz w:val="16"/>
                <w:szCs w:val="16"/>
                <w:color w:val="auto"/>
              </w:rPr>
              <w:t>issuance costs and premium</w:t>
            </w:r>
          </w:p>
        </w:tc>
        <w:tc>
          <w:tcPr>
            <w:tcW w:w="1720" w:type="dxa"/>
            <w:vAlign w:val="bottom"/>
            <w:gridSpan w:val="2"/>
            <w:shd w:val="clear" w:color="auto" w:fill="E5FFFF"/>
          </w:tcPr>
          <w:p>
            <w:pPr>
              <w:jc w:val="right"/>
              <w:ind w:right="240"/>
              <w:spacing w:after="0"/>
              <w:rPr>
                <w:sz w:val="20"/>
                <w:szCs w:val="20"/>
                <w:color w:val="auto"/>
              </w:rPr>
            </w:pPr>
            <w:r>
              <w:rPr>
                <w:rFonts w:ascii="Arial" w:cs="Arial" w:eastAsia="Arial" w:hAnsi="Arial"/>
                <w:sz w:val="16"/>
                <w:szCs w:val="16"/>
                <w:color w:val="auto"/>
              </w:rPr>
              <w:t>—</w:t>
            </w:r>
          </w:p>
        </w:tc>
        <w:tc>
          <w:tcPr>
            <w:tcW w:w="132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w:t>
            </w:r>
          </w:p>
        </w:tc>
        <w:tc>
          <w:tcPr>
            <w:tcW w:w="152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2,912</w:t>
            </w:r>
          </w:p>
        </w:tc>
        <w:tc>
          <w:tcPr>
            <w:tcW w:w="220" w:type="dxa"/>
            <w:vAlign w:val="bottom"/>
            <w:shd w:val="clear" w:color="auto" w:fill="E5FFFF"/>
          </w:tcPr>
          <w:p>
            <w:pPr>
              <w:spacing w:after="0"/>
              <w:rPr>
                <w:sz w:val="18"/>
                <w:szCs w:val="18"/>
                <w:color w:val="auto"/>
              </w:rPr>
            </w:pPr>
          </w:p>
        </w:tc>
        <w:tc>
          <w:tcPr>
            <w:tcW w:w="152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2,912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480" w:type="dxa"/>
            <w:vAlign w:val="bottom"/>
          </w:tcPr>
          <w:p>
            <w:pPr>
              <w:spacing w:after="0"/>
              <w:rPr>
                <w:sz w:val="20"/>
                <w:szCs w:val="20"/>
                <w:color w:val="auto"/>
              </w:rPr>
            </w:pPr>
            <w:r>
              <w:rPr>
                <w:rFonts w:ascii="Arial" w:cs="Arial" w:eastAsia="Arial" w:hAnsi="Arial"/>
                <w:sz w:val="16"/>
                <w:szCs w:val="16"/>
                <w:color w:val="auto"/>
              </w:rPr>
              <w:t>Retranslation of the 2021 NOK</w:t>
            </w:r>
          </w:p>
        </w:tc>
        <w:tc>
          <w:tcPr>
            <w:tcW w:w="1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480" w:type="dxa"/>
            <w:vAlign w:val="bottom"/>
          </w:tcPr>
          <w:p>
            <w:pPr>
              <w:spacing w:after="0"/>
              <w:rPr>
                <w:sz w:val="20"/>
                <w:szCs w:val="20"/>
                <w:color w:val="auto"/>
              </w:rPr>
            </w:pPr>
            <w:r>
              <w:rPr>
                <w:rFonts w:ascii="Arial" w:cs="Arial" w:eastAsia="Arial" w:hAnsi="Arial"/>
                <w:sz w:val="16"/>
                <w:szCs w:val="16"/>
                <w:color w:val="auto"/>
              </w:rPr>
              <w:t>Bonds in USD</w:t>
            </w:r>
          </w:p>
        </w:tc>
        <w:tc>
          <w:tcPr>
            <w:tcW w:w="17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4,753</w:t>
            </w:r>
          </w:p>
        </w:tc>
        <w:tc>
          <w:tcPr>
            <w:tcW w:w="200" w:type="dxa"/>
            <w:vAlign w:val="bottom"/>
          </w:tcPr>
          <w:p>
            <w:pPr>
              <w:spacing w:after="0"/>
              <w:rPr>
                <w:sz w:val="17"/>
                <w:szCs w:val="17"/>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5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4,753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80" w:type="dxa"/>
            <w:vAlign w:val="bottom"/>
            <w:vMerge w:val="restart"/>
            <w:shd w:val="clear" w:color="auto" w:fill="E5FFFF"/>
          </w:tcPr>
          <w:p>
            <w:pPr>
              <w:spacing w:after="0"/>
              <w:rPr>
                <w:sz w:val="20"/>
                <w:szCs w:val="20"/>
                <w:color w:val="auto"/>
              </w:rPr>
            </w:pPr>
            <w:r>
              <w:rPr>
                <w:rFonts w:ascii="Arial" w:cs="Arial" w:eastAsia="Arial" w:hAnsi="Arial"/>
                <w:sz w:val="16"/>
                <w:szCs w:val="16"/>
                <w:b w:val="1"/>
                <w:bCs w:val="1"/>
                <w:color w:val="auto"/>
              </w:rPr>
              <w:t>Borrowings outstanding as of</w:t>
            </w:r>
          </w:p>
        </w:tc>
        <w:tc>
          <w:tcPr>
            <w:tcW w:w="1480" w:type="dxa"/>
            <w:vAlign w:val="bottom"/>
            <w:shd w:val="clear" w:color="auto" w:fill="000000"/>
          </w:tcPr>
          <w:p>
            <w:pPr>
              <w:spacing w:after="0" w:line="20" w:lineRule="exact"/>
              <w:rPr>
                <w:sz w:val="1"/>
                <w:szCs w:val="1"/>
                <w:color w:val="auto"/>
              </w:rPr>
            </w:pPr>
          </w:p>
        </w:tc>
        <w:tc>
          <w:tcPr>
            <w:tcW w:w="240" w:type="dxa"/>
            <w:vAlign w:val="bottom"/>
            <w:shd w:val="clear" w:color="auto" w:fill="E5FF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E5FFFF"/>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00" w:type="dxa"/>
            <w:vAlign w:val="bottom"/>
            <w:shd w:val="clear" w:color="auto" w:fill="E5FF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E5FFFF"/>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20" w:type="dxa"/>
            <w:vAlign w:val="bottom"/>
            <w:shd w:val="clear" w:color="auto" w:fill="E5FF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480" w:type="dxa"/>
            <w:vAlign w:val="bottom"/>
            <w:vMerge w:val="continue"/>
            <w:shd w:val="clear" w:color="auto" w:fill="E5FFFF"/>
          </w:tcPr>
          <w:p>
            <w:pPr>
              <w:spacing w:after="0"/>
              <w:rPr>
                <w:sz w:val="15"/>
                <w:szCs w:val="15"/>
                <w:color w:val="auto"/>
              </w:rPr>
            </w:pPr>
          </w:p>
        </w:tc>
        <w:tc>
          <w:tcPr>
            <w:tcW w:w="1480" w:type="dxa"/>
            <w:vAlign w:val="bottom"/>
            <w:vMerge w:val="restart"/>
            <w:shd w:val="clear" w:color="auto" w:fill="E5FFFF"/>
          </w:tcPr>
          <w:p>
            <w:pPr>
              <w:jc w:val="right"/>
              <w:spacing w:after="0"/>
              <w:rPr>
                <w:sz w:val="20"/>
                <w:szCs w:val="20"/>
                <w:color w:val="auto"/>
              </w:rPr>
            </w:pPr>
            <w:r>
              <w:rPr>
                <w:rFonts w:ascii="Arial" w:cs="Arial" w:eastAsia="Arial" w:hAnsi="Arial"/>
                <w:sz w:val="16"/>
                <w:szCs w:val="16"/>
                <w:b w:val="1"/>
                <w:bCs w:val="1"/>
                <w:color w:val="auto"/>
              </w:rPr>
              <w:t>2,547,556</w:t>
            </w:r>
          </w:p>
        </w:tc>
        <w:tc>
          <w:tcPr>
            <w:tcW w:w="240" w:type="dxa"/>
            <w:vAlign w:val="bottom"/>
            <w:shd w:val="clear" w:color="auto" w:fill="E5FFFF"/>
          </w:tcPr>
          <w:p>
            <w:pPr>
              <w:spacing w:after="0"/>
              <w:rPr>
                <w:sz w:val="15"/>
                <w:szCs w:val="15"/>
                <w:color w:val="auto"/>
              </w:rPr>
            </w:pPr>
          </w:p>
        </w:tc>
        <w:tc>
          <w:tcPr>
            <w:tcW w:w="1100" w:type="dxa"/>
            <w:vAlign w:val="bottom"/>
            <w:vMerge w:val="restart"/>
            <w:shd w:val="clear" w:color="auto" w:fill="E5FFFF"/>
          </w:tcPr>
          <w:p>
            <w:pPr>
              <w:jc w:val="right"/>
              <w:spacing w:after="0"/>
              <w:rPr>
                <w:sz w:val="20"/>
                <w:szCs w:val="20"/>
                <w:color w:val="auto"/>
              </w:rPr>
            </w:pPr>
            <w:r>
              <w:rPr>
                <w:rFonts w:ascii="Arial" w:cs="Arial" w:eastAsia="Arial" w:hAnsi="Arial"/>
                <w:sz w:val="16"/>
                <w:szCs w:val="16"/>
                <w:b w:val="1"/>
                <w:bCs w:val="1"/>
                <w:color w:val="auto"/>
              </w:rPr>
              <w:t>407,534</w:t>
            </w:r>
          </w:p>
        </w:tc>
        <w:tc>
          <w:tcPr>
            <w:tcW w:w="220" w:type="dxa"/>
            <w:vAlign w:val="bottom"/>
            <w:shd w:val="clear" w:color="auto" w:fill="E5FFFF"/>
          </w:tcPr>
          <w:p>
            <w:pPr>
              <w:spacing w:after="0"/>
              <w:rPr>
                <w:sz w:val="15"/>
                <w:szCs w:val="15"/>
                <w:color w:val="auto"/>
              </w:rPr>
            </w:pPr>
          </w:p>
        </w:tc>
        <w:tc>
          <w:tcPr>
            <w:tcW w:w="1320" w:type="dxa"/>
            <w:vAlign w:val="bottom"/>
            <w:vMerge w:val="restart"/>
            <w:shd w:val="clear" w:color="auto" w:fill="E5FFFF"/>
          </w:tcPr>
          <w:p>
            <w:pPr>
              <w:jc w:val="right"/>
              <w:spacing w:after="0"/>
              <w:rPr>
                <w:sz w:val="20"/>
                <w:szCs w:val="20"/>
                <w:color w:val="auto"/>
              </w:rPr>
            </w:pPr>
            <w:r>
              <w:rPr>
                <w:rFonts w:ascii="Arial" w:cs="Arial" w:eastAsia="Arial" w:hAnsi="Arial"/>
                <w:sz w:val="16"/>
                <w:szCs w:val="16"/>
                <w:b w:val="1"/>
                <w:bCs w:val="1"/>
                <w:color w:val="auto"/>
              </w:rPr>
              <w:t>4,753</w:t>
            </w:r>
          </w:p>
        </w:tc>
        <w:tc>
          <w:tcPr>
            <w:tcW w:w="200" w:type="dxa"/>
            <w:vAlign w:val="bottom"/>
            <w:shd w:val="clear" w:color="auto" w:fill="E5FFFF"/>
          </w:tcPr>
          <w:p>
            <w:pPr>
              <w:spacing w:after="0"/>
              <w:rPr>
                <w:sz w:val="15"/>
                <w:szCs w:val="15"/>
                <w:color w:val="auto"/>
              </w:rPr>
            </w:pPr>
          </w:p>
        </w:tc>
        <w:tc>
          <w:tcPr>
            <w:tcW w:w="1100" w:type="dxa"/>
            <w:vAlign w:val="bottom"/>
            <w:vMerge w:val="restart"/>
            <w:shd w:val="clear" w:color="auto" w:fill="E5FFFF"/>
          </w:tcPr>
          <w:p>
            <w:pPr>
              <w:jc w:val="right"/>
              <w:spacing w:after="0"/>
              <w:rPr>
                <w:sz w:val="20"/>
                <w:szCs w:val="20"/>
                <w:color w:val="auto"/>
              </w:rPr>
            </w:pPr>
            <w:r>
              <w:rPr>
                <w:rFonts w:ascii="Arial" w:cs="Arial" w:eastAsia="Arial" w:hAnsi="Arial"/>
                <w:sz w:val="16"/>
                <w:szCs w:val="16"/>
                <w:b w:val="1"/>
                <w:bCs w:val="1"/>
                <w:color w:val="auto"/>
              </w:rPr>
              <w:t>4,144</w:t>
            </w:r>
          </w:p>
        </w:tc>
        <w:tc>
          <w:tcPr>
            <w:tcW w:w="220" w:type="dxa"/>
            <w:vAlign w:val="bottom"/>
            <w:shd w:val="clear" w:color="auto" w:fill="E5FFFF"/>
          </w:tcPr>
          <w:p>
            <w:pPr>
              <w:spacing w:after="0"/>
              <w:rPr>
                <w:sz w:val="15"/>
                <w:szCs w:val="15"/>
                <w:color w:val="auto"/>
              </w:rPr>
            </w:pPr>
          </w:p>
        </w:tc>
        <w:tc>
          <w:tcPr>
            <w:tcW w:w="1520" w:type="dxa"/>
            <w:vAlign w:val="bottom"/>
            <w:gridSpan w:val="2"/>
            <w:vMerge w:val="restart"/>
            <w:shd w:val="clear" w:color="auto" w:fill="E5FFFF"/>
          </w:tcPr>
          <w:p>
            <w:pPr>
              <w:jc w:val="right"/>
              <w:ind w:right="160"/>
              <w:spacing w:after="0"/>
              <w:rPr>
                <w:sz w:val="20"/>
                <w:szCs w:val="20"/>
                <w:color w:val="auto"/>
              </w:rPr>
            </w:pPr>
            <w:r>
              <w:rPr>
                <w:rFonts w:ascii="Arial" w:cs="Arial" w:eastAsia="Arial" w:hAnsi="Arial"/>
                <w:sz w:val="16"/>
                <w:szCs w:val="16"/>
                <w:b w:val="1"/>
                <w:bCs w:val="1"/>
                <w:color w:val="auto"/>
              </w:rPr>
              <w:t>(13,573)</w:t>
            </w:r>
          </w:p>
        </w:tc>
        <w:tc>
          <w:tcPr>
            <w:tcW w:w="1100" w:type="dxa"/>
            <w:vAlign w:val="bottom"/>
            <w:vMerge w:val="restart"/>
            <w:shd w:val="clear" w:color="auto" w:fill="E5FFFF"/>
          </w:tcPr>
          <w:p>
            <w:pPr>
              <w:jc w:val="right"/>
              <w:spacing w:after="0"/>
              <w:rPr>
                <w:sz w:val="20"/>
                <w:szCs w:val="20"/>
                <w:color w:val="auto"/>
              </w:rPr>
            </w:pPr>
            <w:r>
              <w:rPr>
                <w:rFonts w:ascii="Arial" w:cs="Arial" w:eastAsia="Arial" w:hAnsi="Arial"/>
                <w:sz w:val="16"/>
                <w:szCs w:val="16"/>
                <w:b w:val="1"/>
                <w:bCs w:val="1"/>
                <w:color w:val="auto"/>
              </w:rPr>
              <w:t>2,950,414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48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March 31, 2018</w:t>
            </w:r>
          </w:p>
        </w:tc>
        <w:tc>
          <w:tcPr>
            <w:tcW w:w="1480" w:type="dxa"/>
            <w:vAlign w:val="bottom"/>
            <w:vMerge w:val="continue"/>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100" w:type="dxa"/>
            <w:vAlign w:val="bottom"/>
            <w:vMerge w:val="continue"/>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320" w:type="dxa"/>
            <w:vAlign w:val="bottom"/>
            <w:vMerge w:val="continue"/>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100" w:type="dxa"/>
            <w:vAlign w:val="bottom"/>
            <w:vMerge w:val="continue"/>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520" w:type="dxa"/>
            <w:vAlign w:val="bottom"/>
            <w:gridSpan w:val="2"/>
            <w:vMerge w:val="continue"/>
            <w:shd w:val="clear" w:color="auto" w:fill="E5FFFF"/>
          </w:tcPr>
          <w:p>
            <w:pPr>
              <w:spacing w:after="0"/>
              <w:rPr>
                <w:sz w:val="17"/>
                <w:szCs w:val="17"/>
                <w:color w:val="auto"/>
              </w:rPr>
            </w:pPr>
          </w:p>
        </w:tc>
        <w:tc>
          <w:tcPr>
            <w:tcW w:w="1100" w:type="dxa"/>
            <w:vAlign w:val="bottom"/>
            <w:vMerge w:val="continue"/>
            <w:shd w:val="clear" w:color="auto" w:fill="E5FF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80" w:type="dxa"/>
            <w:vAlign w:val="bottom"/>
            <w:tcBorders>
              <w:top w:val="single" w:sz="8" w:color="E5FF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E5FF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5FF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E5FF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5FF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5FF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3"/>
        </w:trPr>
        <w:tc>
          <w:tcPr>
            <w:tcW w:w="24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8"/>
              </w:rPr>
              <w:t>Other</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4"/>
              </w:rPr>
              <w:t>Deferred</w:t>
            </w: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4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6"/>
              </w:rPr>
              <w:t>comprehensive</w:t>
            </w:r>
          </w:p>
        </w:tc>
        <w:tc>
          <w:tcPr>
            <w:tcW w:w="13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Non-cash</w:t>
            </w:r>
          </w:p>
        </w:tc>
        <w:tc>
          <w:tcPr>
            <w:tcW w:w="15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6"/>
              </w:rPr>
              <w:t>financing costs,</w:t>
            </w:r>
          </w:p>
        </w:tc>
        <w:tc>
          <w:tcPr>
            <w:tcW w:w="1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480" w:type="dxa"/>
            <w:vAlign w:val="bottom"/>
          </w:tcPr>
          <w:p>
            <w:pPr>
              <w:spacing w:after="0"/>
              <w:rPr>
                <w:sz w:val="18"/>
                <w:szCs w:val="18"/>
                <w:color w:val="auto"/>
              </w:rPr>
            </w:pPr>
          </w:p>
        </w:tc>
        <w:tc>
          <w:tcPr>
            <w:tcW w:w="172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rPr>
              <w:t>Opening balance</w:t>
            </w:r>
          </w:p>
        </w:tc>
        <w:tc>
          <w:tcPr>
            <w:tcW w:w="132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rPr>
              <w:t>Cash flows</w:t>
            </w:r>
          </w:p>
        </w:tc>
        <w:tc>
          <w:tcPr>
            <w:tcW w:w="15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income</w:t>
            </w:r>
          </w:p>
        </w:tc>
        <w:tc>
          <w:tcPr>
            <w:tcW w:w="13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items</w:t>
            </w:r>
          </w:p>
        </w:tc>
        <w:tc>
          <w:tcPr>
            <w:tcW w:w="15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76"/>
              </w:rPr>
              <w:t>assets</w:t>
            </w:r>
          </w:p>
        </w:tc>
        <w:tc>
          <w:tcPr>
            <w:tcW w:w="1140" w:type="dxa"/>
            <w:vAlign w:val="bottom"/>
            <w:gridSpan w:val="2"/>
          </w:tcPr>
          <w:p>
            <w:pPr>
              <w:ind w:left="36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79"/>
        </w:trPr>
        <w:tc>
          <w:tcPr>
            <w:tcW w:w="2480" w:type="dxa"/>
            <w:vAlign w:val="bottom"/>
            <w:tcBorders>
              <w:top w:val="single" w:sz="8" w:color="E5FFFF"/>
            </w:tcBorders>
            <w:shd w:val="clear" w:color="auto" w:fill="E5FFFF"/>
          </w:tcPr>
          <w:p>
            <w:pPr>
              <w:spacing w:after="0" w:line="179" w:lineRule="exact"/>
              <w:rPr>
                <w:sz w:val="20"/>
                <w:szCs w:val="20"/>
                <w:color w:val="auto"/>
              </w:rPr>
            </w:pPr>
            <w:r>
              <w:rPr>
                <w:rFonts w:ascii="Arial" w:cs="Arial" w:eastAsia="Arial" w:hAnsi="Arial"/>
                <w:sz w:val="16"/>
                <w:szCs w:val="16"/>
                <w:color w:val="auto"/>
              </w:rPr>
              <w:t>Borrowings outstanding as of</w:t>
            </w:r>
          </w:p>
        </w:tc>
        <w:tc>
          <w:tcPr>
            <w:tcW w:w="1480" w:type="dxa"/>
            <w:vAlign w:val="bottom"/>
            <w:tcBorders>
              <w:top w:val="single" w:sz="8" w:color="auto"/>
            </w:tcBorders>
            <w:shd w:val="clear" w:color="auto" w:fill="E5FFFF"/>
          </w:tcPr>
          <w:p>
            <w:pPr>
              <w:spacing w:after="0"/>
              <w:rPr>
                <w:sz w:val="15"/>
                <w:szCs w:val="15"/>
                <w:color w:val="auto"/>
              </w:rPr>
            </w:pPr>
          </w:p>
        </w:tc>
        <w:tc>
          <w:tcPr>
            <w:tcW w:w="240" w:type="dxa"/>
            <w:vAlign w:val="bottom"/>
            <w:tcBorders>
              <w:top w:val="single" w:sz="8" w:color="E5FFFF"/>
            </w:tcBorders>
            <w:shd w:val="clear" w:color="auto" w:fill="E5FFFF"/>
          </w:tcPr>
          <w:p>
            <w:pPr>
              <w:spacing w:after="0"/>
              <w:rPr>
                <w:sz w:val="15"/>
                <w:szCs w:val="15"/>
                <w:color w:val="auto"/>
              </w:rPr>
            </w:pPr>
          </w:p>
        </w:tc>
        <w:tc>
          <w:tcPr>
            <w:tcW w:w="1100" w:type="dxa"/>
            <w:vAlign w:val="bottom"/>
            <w:tcBorders>
              <w:top w:val="single" w:sz="8" w:color="auto"/>
            </w:tcBorders>
            <w:shd w:val="clear" w:color="auto" w:fill="E5FFFF"/>
          </w:tcPr>
          <w:p>
            <w:pPr>
              <w:spacing w:after="0"/>
              <w:rPr>
                <w:sz w:val="15"/>
                <w:szCs w:val="15"/>
                <w:color w:val="auto"/>
              </w:rPr>
            </w:pPr>
          </w:p>
        </w:tc>
        <w:tc>
          <w:tcPr>
            <w:tcW w:w="220" w:type="dxa"/>
            <w:vAlign w:val="bottom"/>
            <w:tcBorders>
              <w:top w:val="single" w:sz="8" w:color="E5FFFF"/>
            </w:tcBorders>
            <w:shd w:val="clear" w:color="auto" w:fill="E5FFFF"/>
          </w:tcPr>
          <w:p>
            <w:pPr>
              <w:spacing w:after="0"/>
              <w:rPr>
                <w:sz w:val="15"/>
                <w:szCs w:val="15"/>
                <w:color w:val="auto"/>
              </w:rPr>
            </w:pPr>
          </w:p>
        </w:tc>
        <w:tc>
          <w:tcPr>
            <w:tcW w:w="1320" w:type="dxa"/>
            <w:vAlign w:val="bottom"/>
            <w:tcBorders>
              <w:top w:val="single" w:sz="8" w:color="auto"/>
            </w:tcBorders>
            <w:shd w:val="clear" w:color="auto" w:fill="E5FFFF"/>
          </w:tcPr>
          <w:p>
            <w:pPr>
              <w:spacing w:after="0"/>
              <w:rPr>
                <w:sz w:val="15"/>
                <w:szCs w:val="15"/>
                <w:color w:val="auto"/>
              </w:rPr>
            </w:pPr>
          </w:p>
        </w:tc>
        <w:tc>
          <w:tcPr>
            <w:tcW w:w="200" w:type="dxa"/>
            <w:vAlign w:val="bottom"/>
            <w:tcBorders>
              <w:top w:val="single" w:sz="8" w:color="E5FFFF"/>
            </w:tcBorders>
            <w:shd w:val="clear" w:color="auto" w:fill="E5FFFF"/>
          </w:tcPr>
          <w:p>
            <w:pPr>
              <w:spacing w:after="0"/>
              <w:rPr>
                <w:sz w:val="15"/>
                <w:szCs w:val="15"/>
                <w:color w:val="auto"/>
              </w:rPr>
            </w:pPr>
          </w:p>
        </w:tc>
        <w:tc>
          <w:tcPr>
            <w:tcW w:w="1100" w:type="dxa"/>
            <w:vAlign w:val="bottom"/>
            <w:tcBorders>
              <w:top w:val="single" w:sz="8" w:color="auto"/>
            </w:tcBorders>
            <w:shd w:val="clear" w:color="auto" w:fill="E5FFFF"/>
          </w:tcPr>
          <w:p>
            <w:pPr>
              <w:spacing w:after="0"/>
              <w:rPr>
                <w:sz w:val="15"/>
                <w:szCs w:val="15"/>
                <w:color w:val="auto"/>
              </w:rPr>
            </w:pPr>
          </w:p>
        </w:tc>
        <w:tc>
          <w:tcPr>
            <w:tcW w:w="220" w:type="dxa"/>
            <w:vAlign w:val="bottom"/>
            <w:tcBorders>
              <w:top w:val="single" w:sz="8" w:color="E5FFFF"/>
            </w:tcBorders>
            <w:shd w:val="clear" w:color="auto" w:fill="E5FFFF"/>
          </w:tcPr>
          <w:p>
            <w:pPr>
              <w:spacing w:after="0"/>
              <w:rPr>
                <w:sz w:val="15"/>
                <w:szCs w:val="15"/>
                <w:color w:val="auto"/>
              </w:rPr>
            </w:pPr>
          </w:p>
        </w:tc>
        <w:tc>
          <w:tcPr>
            <w:tcW w:w="1300" w:type="dxa"/>
            <w:vAlign w:val="bottom"/>
            <w:tcBorders>
              <w:top w:val="single" w:sz="8" w:color="auto"/>
            </w:tcBorders>
            <w:shd w:val="clear" w:color="auto" w:fill="E5FFFF"/>
          </w:tcPr>
          <w:p>
            <w:pPr>
              <w:spacing w:after="0"/>
              <w:rPr>
                <w:sz w:val="15"/>
                <w:szCs w:val="15"/>
                <w:color w:val="auto"/>
              </w:rPr>
            </w:pPr>
          </w:p>
        </w:tc>
        <w:tc>
          <w:tcPr>
            <w:tcW w:w="220" w:type="dxa"/>
            <w:vAlign w:val="bottom"/>
            <w:tcBorders>
              <w:top w:val="single" w:sz="8" w:color="E5FFFF"/>
            </w:tcBorders>
            <w:shd w:val="clear" w:color="auto" w:fill="E5FFFF"/>
          </w:tcPr>
          <w:p>
            <w:pPr>
              <w:spacing w:after="0"/>
              <w:rPr>
                <w:sz w:val="15"/>
                <w:szCs w:val="15"/>
                <w:color w:val="auto"/>
              </w:rPr>
            </w:pPr>
          </w:p>
        </w:tc>
        <w:tc>
          <w:tcPr>
            <w:tcW w:w="1100" w:type="dxa"/>
            <w:vAlign w:val="bottom"/>
            <w:tcBorders>
              <w:top w:val="single" w:sz="8" w:color="auto"/>
            </w:tcBorders>
            <w:shd w:val="clear" w:color="auto" w:fill="E5FF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2480" w:type="dxa"/>
            <w:vAlign w:val="bottom"/>
            <w:shd w:val="clear" w:color="auto" w:fill="E5FFFF"/>
          </w:tcPr>
          <w:p>
            <w:pPr>
              <w:spacing w:after="0"/>
              <w:rPr>
                <w:sz w:val="20"/>
                <w:szCs w:val="20"/>
                <w:color w:val="auto"/>
              </w:rPr>
            </w:pPr>
            <w:r>
              <w:rPr>
                <w:rFonts w:ascii="Arial" w:cs="Arial" w:eastAsia="Arial" w:hAnsi="Arial"/>
                <w:sz w:val="16"/>
                <w:szCs w:val="16"/>
                <w:color w:val="auto"/>
              </w:rPr>
              <w:t>January 1, 2019</w:t>
            </w:r>
          </w:p>
        </w:tc>
        <w:tc>
          <w:tcPr>
            <w:tcW w:w="14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2,828,459</w:t>
            </w:r>
          </w:p>
        </w:tc>
        <w:tc>
          <w:tcPr>
            <w:tcW w:w="240" w:type="dxa"/>
            <w:vAlign w:val="bottom"/>
            <w:shd w:val="clear" w:color="auto" w:fill="E5FFFF"/>
          </w:tcPr>
          <w:p>
            <w:pPr>
              <w:spacing w:after="0"/>
              <w:rPr>
                <w:sz w:val="18"/>
                <w:szCs w:val="18"/>
                <w:color w:val="auto"/>
              </w:rPr>
            </w:pPr>
          </w:p>
        </w:tc>
        <w:tc>
          <w:tcPr>
            <w:tcW w:w="132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w:t>
            </w:r>
          </w:p>
        </w:tc>
        <w:tc>
          <w:tcPr>
            <w:tcW w:w="152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w:t>
            </w:r>
          </w:p>
        </w:tc>
        <w:tc>
          <w:tcPr>
            <w:tcW w:w="132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w:t>
            </w:r>
          </w:p>
        </w:tc>
        <w:tc>
          <w:tcPr>
            <w:tcW w:w="152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2,828,459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480" w:type="dxa"/>
            <w:vAlign w:val="bottom"/>
          </w:tcPr>
          <w:p>
            <w:pPr>
              <w:spacing w:after="0"/>
              <w:rPr>
                <w:sz w:val="20"/>
                <w:szCs w:val="20"/>
                <w:color w:val="auto"/>
              </w:rPr>
            </w:pPr>
            <w:r>
              <w:rPr>
                <w:rFonts w:ascii="Arial" w:cs="Arial" w:eastAsia="Arial" w:hAnsi="Arial"/>
                <w:sz w:val="16"/>
                <w:szCs w:val="16"/>
                <w:color w:val="auto"/>
              </w:rPr>
              <w:t>Proceeds from bank loans</w:t>
            </w:r>
          </w:p>
        </w:tc>
        <w:tc>
          <w:tcPr>
            <w:tcW w:w="17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525,805</w:t>
            </w:r>
          </w:p>
        </w:tc>
        <w:tc>
          <w:tcPr>
            <w:tcW w:w="220" w:type="dxa"/>
            <w:vAlign w:val="bottom"/>
          </w:tcPr>
          <w:p>
            <w:pPr>
              <w:spacing w:after="0"/>
              <w:rPr>
                <w:sz w:val="17"/>
                <w:szCs w:val="17"/>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5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525,805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80" w:type="dxa"/>
            <w:vAlign w:val="bottom"/>
            <w:shd w:val="clear" w:color="auto" w:fill="E5FFFF"/>
          </w:tcPr>
          <w:p>
            <w:pPr>
              <w:spacing w:after="0"/>
              <w:rPr>
                <w:sz w:val="20"/>
                <w:szCs w:val="20"/>
                <w:color w:val="auto"/>
              </w:rPr>
            </w:pPr>
            <w:r>
              <w:rPr>
                <w:rFonts w:ascii="Arial" w:cs="Arial" w:eastAsia="Arial" w:hAnsi="Arial"/>
                <w:sz w:val="16"/>
                <w:szCs w:val="16"/>
                <w:color w:val="auto"/>
              </w:rPr>
              <w:t>Bank loan repayments</w:t>
            </w:r>
          </w:p>
        </w:tc>
        <w:tc>
          <w:tcPr>
            <w:tcW w:w="1720" w:type="dxa"/>
            <w:vAlign w:val="bottom"/>
            <w:gridSpan w:val="2"/>
            <w:shd w:val="clear" w:color="auto" w:fill="E5FFFF"/>
          </w:tcPr>
          <w:p>
            <w:pPr>
              <w:jc w:val="right"/>
              <w:ind w:right="240"/>
              <w:spacing w:after="0"/>
              <w:rPr>
                <w:sz w:val="20"/>
                <w:szCs w:val="20"/>
                <w:color w:val="auto"/>
              </w:rPr>
            </w:pPr>
            <w:r>
              <w:rPr>
                <w:rFonts w:ascii="Arial" w:cs="Arial" w:eastAsia="Arial" w:hAnsi="Arial"/>
                <w:sz w:val="16"/>
                <w:szCs w:val="16"/>
                <w:color w:val="auto"/>
              </w:rPr>
              <w:t>—</w:t>
            </w:r>
          </w:p>
        </w:tc>
        <w:tc>
          <w:tcPr>
            <w:tcW w:w="1320" w:type="dxa"/>
            <w:vAlign w:val="bottom"/>
            <w:gridSpan w:val="2"/>
            <w:shd w:val="clear" w:color="auto" w:fill="E5FFFF"/>
          </w:tcPr>
          <w:p>
            <w:pPr>
              <w:jc w:val="right"/>
              <w:ind w:right="160"/>
              <w:spacing w:after="0"/>
              <w:rPr>
                <w:sz w:val="20"/>
                <w:szCs w:val="20"/>
                <w:color w:val="auto"/>
              </w:rPr>
            </w:pPr>
            <w:r>
              <w:rPr>
                <w:rFonts w:ascii="Arial" w:cs="Arial" w:eastAsia="Arial" w:hAnsi="Arial"/>
                <w:sz w:val="16"/>
                <w:szCs w:val="16"/>
                <w:color w:val="auto"/>
              </w:rPr>
              <w:t>(426,208)</w:t>
            </w:r>
          </w:p>
        </w:tc>
        <w:tc>
          <w:tcPr>
            <w:tcW w:w="152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w:t>
            </w:r>
          </w:p>
        </w:tc>
        <w:tc>
          <w:tcPr>
            <w:tcW w:w="132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w:t>
            </w:r>
          </w:p>
        </w:tc>
        <w:tc>
          <w:tcPr>
            <w:tcW w:w="152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(426,208)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80" w:type="dxa"/>
            <w:vAlign w:val="bottom"/>
          </w:tcPr>
          <w:p>
            <w:pPr>
              <w:spacing w:after="0"/>
              <w:rPr>
                <w:sz w:val="20"/>
                <w:szCs w:val="20"/>
                <w:color w:val="auto"/>
              </w:rPr>
            </w:pPr>
            <w:r>
              <w:rPr>
                <w:rFonts w:ascii="Arial" w:cs="Arial" w:eastAsia="Arial" w:hAnsi="Arial"/>
                <w:sz w:val="16"/>
                <w:szCs w:val="16"/>
                <w:color w:val="auto"/>
              </w:rPr>
              <w:t>Additions in deferred loan fees</w:t>
            </w:r>
          </w:p>
        </w:tc>
        <w:tc>
          <w:tcPr>
            <w:tcW w:w="17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(7,780)</w:t>
            </w:r>
          </w:p>
        </w:tc>
        <w:tc>
          <w:tcPr>
            <w:tcW w:w="15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155</w:t>
            </w:r>
          </w:p>
        </w:tc>
        <w:tc>
          <w:tcPr>
            <w:tcW w:w="220" w:type="dxa"/>
            <w:vAlign w:val="bottom"/>
          </w:tcPr>
          <w:p>
            <w:pPr>
              <w:spacing w:after="0"/>
              <w:rPr>
                <w:sz w:val="17"/>
                <w:szCs w:val="17"/>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6"/>
                <w:szCs w:val="16"/>
                <w:color w:val="auto"/>
              </w:rPr>
              <w:t>(4,576)</w:t>
            </w:r>
          </w:p>
        </w:tc>
        <w:tc>
          <w:tcPr>
            <w:tcW w:w="1100" w:type="dxa"/>
            <w:vAlign w:val="bottom"/>
          </w:tcPr>
          <w:p>
            <w:pPr>
              <w:jc w:val="right"/>
              <w:spacing w:after="0"/>
              <w:rPr>
                <w:sz w:val="20"/>
                <w:szCs w:val="20"/>
                <w:color w:val="auto"/>
              </w:rPr>
            </w:pPr>
            <w:r>
              <w:rPr>
                <w:rFonts w:ascii="Arial" w:cs="Arial" w:eastAsia="Arial" w:hAnsi="Arial"/>
                <w:sz w:val="16"/>
                <w:szCs w:val="16"/>
                <w:color w:val="auto"/>
              </w:rPr>
              <w:t>(12,201)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480" w:type="dxa"/>
            <w:vAlign w:val="bottom"/>
            <w:shd w:val="clear" w:color="auto" w:fill="E5FFFF"/>
          </w:tcPr>
          <w:p>
            <w:pPr>
              <w:spacing w:after="0"/>
              <w:rPr>
                <w:sz w:val="20"/>
                <w:szCs w:val="20"/>
                <w:color w:val="auto"/>
              </w:rPr>
            </w:pPr>
            <w:r>
              <w:rPr>
                <w:rFonts w:ascii="Arial" w:cs="Arial" w:eastAsia="Arial" w:hAnsi="Arial"/>
                <w:sz w:val="16"/>
                <w:szCs w:val="16"/>
                <w:color w:val="auto"/>
              </w:rPr>
              <w:t>Amortization and write-off of</w:t>
            </w:r>
          </w:p>
        </w:tc>
        <w:tc>
          <w:tcPr>
            <w:tcW w:w="1480" w:type="dxa"/>
            <w:vAlign w:val="bottom"/>
            <w:shd w:val="clear" w:color="auto" w:fill="E5FFFF"/>
          </w:tcPr>
          <w:p>
            <w:pPr>
              <w:spacing w:after="0"/>
              <w:rPr>
                <w:sz w:val="16"/>
                <w:szCs w:val="16"/>
                <w:color w:val="auto"/>
              </w:rPr>
            </w:pPr>
          </w:p>
        </w:tc>
        <w:tc>
          <w:tcPr>
            <w:tcW w:w="240" w:type="dxa"/>
            <w:vAlign w:val="bottom"/>
            <w:shd w:val="clear" w:color="auto" w:fill="E5FFFF"/>
          </w:tcPr>
          <w:p>
            <w:pPr>
              <w:spacing w:after="0"/>
              <w:rPr>
                <w:sz w:val="16"/>
                <w:szCs w:val="16"/>
                <w:color w:val="auto"/>
              </w:rPr>
            </w:pPr>
          </w:p>
        </w:tc>
        <w:tc>
          <w:tcPr>
            <w:tcW w:w="1100" w:type="dxa"/>
            <w:vAlign w:val="bottom"/>
            <w:shd w:val="clear" w:color="auto" w:fill="E5FFFF"/>
          </w:tcPr>
          <w:p>
            <w:pPr>
              <w:spacing w:after="0"/>
              <w:rPr>
                <w:sz w:val="16"/>
                <w:szCs w:val="16"/>
                <w:color w:val="auto"/>
              </w:rPr>
            </w:pPr>
          </w:p>
        </w:tc>
        <w:tc>
          <w:tcPr>
            <w:tcW w:w="220" w:type="dxa"/>
            <w:vAlign w:val="bottom"/>
            <w:shd w:val="clear" w:color="auto" w:fill="E5FFFF"/>
          </w:tcPr>
          <w:p>
            <w:pPr>
              <w:spacing w:after="0"/>
              <w:rPr>
                <w:sz w:val="16"/>
                <w:szCs w:val="16"/>
                <w:color w:val="auto"/>
              </w:rPr>
            </w:pPr>
          </w:p>
        </w:tc>
        <w:tc>
          <w:tcPr>
            <w:tcW w:w="1320" w:type="dxa"/>
            <w:vAlign w:val="bottom"/>
            <w:shd w:val="clear" w:color="auto" w:fill="E5FFFF"/>
          </w:tcPr>
          <w:p>
            <w:pPr>
              <w:spacing w:after="0"/>
              <w:rPr>
                <w:sz w:val="16"/>
                <w:szCs w:val="16"/>
                <w:color w:val="auto"/>
              </w:rPr>
            </w:pPr>
          </w:p>
        </w:tc>
        <w:tc>
          <w:tcPr>
            <w:tcW w:w="200" w:type="dxa"/>
            <w:vAlign w:val="bottom"/>
            <w:shd w:val="clear" w:color="auto" w:fill="E5FFFF"/>
          </w:tcPr>
          <w:p>
            <w:pPr>
              <w:spacing w:after="0"/>
              <w:rPr>
                <w:sz w:val="16"/>
                <w:szCs w:val="16"/>
                <w:color w:val="auto"/>
              </w:rPr>
            </w:pPr>
          </w:p>
        </w:tc>
        <w:tc>
          <w:tcPr>
            <w:tcW w:w="1100" w:type="dxa"/>
            <w:vAlign w:val="bottom"/>
            <w:shd w:val="clear" w:color="auto" w:fill="E5FFFF"/>
          </w:tcPr>
          <w:p>
            <w:pPr>
              <w:spacing w:after="0"/>
              <w:rPr>
                <w:sz w:val="16"/>
                <w:szCs w:val="16"/>
                <w:color w:val="auto"/>
              </w:rPr>
            </w:pPr>
          </w:p>
        </w:tc>
        <w:tc>
          <w:tcPr>
            <w:tcW w:w="220" w:type="dxa"/>
            <w:vAlign w:val="bottom"/>
            <w:shd w:val="clear" w:color="auto" w:fill="E5FFFF"/>
          </w:tcPr>
          <w:p>
            <w:pPr>
              <w:spacing w:after="0"/>
              <w:rPr>
                <w:sz w:val="16"/>
                <w:szCs w:val="16"/>
                <w:color w:val="auto"/>
              </w:rPr>
            </w:pPr>
          </w:p>
        </w:tc>
        <w:tc>
          <w:tcPr>
            <w:tcW w:w="1300" w:type="dxa"/>
            <w:vAlign w:val="bottom"/>
            <w:shd w:val="clear" w:color="auto" w:fill="E5FFFF"/>
          </w:tcPr>
          <w:p>
            <w:pPr>
              <w:spacing w:after="0"/>
              <w:rPr>
                <w:sz w:val="16"/>
                <w:szCs w:val="16"/>
                <w:color w:val="auto"/>
              </w:rPr>
            </w:pPr>
          </w:p>
        </w:tc>
        <w:tc>
          <w:tcPr>
            <w:tcW w:w="220" w:type="dxa"/>
            <w:vAlign w:val="bottom"/>
            <w:shd w:val="clear" w:color="auto" w:fill="E5FFFF"/>
          </w:tcPr>
          <w:p>
            <w:pPr>
              <w:spacing w:after="0"/>
              <w:rPr>
                <w:sz w:val="16"/>
                <w:szCs w:val="16"/>
                <w:color w:val="auto"/>
              </w:rPr>
            </w:pPr>
          </w:p>
        </w:tc>
        <w:tc>
          <w:tcPr>
            <w:tcW w:w="1100" w:type="dxa"/>
            <w:vAlign w:val="bottom"/>
            <w:shd w:val="clear" w:color="auto" w:fill="E5FF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480" w:type="dxa"/>
            <w:vAlign w:val="bottom"/>
            <w:shd w:val="clear" w:color="auto" w:fill="E5FFFF"/>
          </w:tcPr>
          <w:p>
            <w:pPr>
              <w:ind w:left="180"/>
              <w:spacing w:after="0"/>
              <w:rPr>
                <w:sz w:val="20"/>
                <w:szCs w:val="20"/>
                <w:color w:val="auto"/>
              </w:rPr>
            </w:pPr>
            <w:r>
              <w:rPr>
                <w:rFonts w:ascii="Arial" w:cs="Arial" w:eastAsia="Arial" w:hAnsi="Arial"/>
                <w:sz w:val="16"/>
                <w:szCs w:val="16"/>
                <w:color w:val="auto"/>
              </w:rPr>
              <w:t>deferred loan issuance costs</w:t>
            </w:r>
          </w:p>
        </w:tc>
        <w:tc>
          <w:tcPr>
            <w:tcW w:w="1720" w:type="dxa"/>
            <w:vAlign w:val="bottom"/>
            <w:gridSpan w:val="2"/>
            <w:shd w:val="clear" w:color="auto" w:fill="E5FFFF"/>
          </w:tcPr>
          <w:p>
            <w:pPr>
              <w:jc w:val="right"/>
              <w:ind w:right="240"/>
              <w:spacing w:after="0"/>
              <w:rPr>
                <w:sz w:val="20"/>
                <w:szCs w:val="20"/>
                <w:color w:val="auto"/>
              </w:rPr>
            </w:pPr>
            <w:r>
              <w:rPr>
                <w:rFonts w:ascii="Arial" w:cs="Arial" w:eastAsia="Arial" w:hAnsi="Arial"/>
                <w:sz w:val="16"/>
                <w:szCs w:val="16"/>
                <w:color w:val="auto"/>
              </w:rPr>
              <w:t>—</w:t>
            </w:r>
          </w:p>
        </w:tc>
        <w:tc>
          <w:tcPr>
            <w:tcW w:w="132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w:t>
            </w:r>
          </w:p>
        </w:tc>
        <w:tc>
          <w:tcPr>
            <w:tcW w:w="152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4,161</w:t>
            </w:r>
          </w:p>
        </w:tc>
        <w:tc>
          <w:tcPr>
            <w:tcW w:w="220" w:type="dxa"/>
            <w:vAlign w:val="bottom"/>
            <w:shd w:val="clear" w:color="auto" w:fill="E5FFFF"/>
          </w:tcPr>
          <w:p>
            <w:pPr>
              <w:spacing w:after="0"/>
              <w:rPr>
                <w:sz w:val="18"/>
                <w:szCs w:val="18"/>
                <w:color w:val="auto"/>
              </w:rPr>
            </w:pPr>
          </w:p>
        </w:tc>
        <w:tc>
          <w:tcPr>
            <w:tcW w:w="152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4,161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480" w:type="dxa"/>
            <w:vAlign w:val="bottom"/>
          </w:tcPr>
          <w:p>
            <w:pPr>
              <w:spacing w:after="0"/>
              <w:rPr>
                <w:sz w:val="20"/>
                <w:szCs w:val="20"/>
                <w:color w:val="auto"/>
              </w:rPr>
            </w:pPr>
            <w:r>
              <w:rPr>
                <w:rFonts w:ascii="Arial" w:cs="Arial" w:eastAsia="Arial" w:hAnsi="Arial"/>
                <w:sz w:val="16"/>
                <w:szCs w:val="16"/>
                <w:color w:val="auto"/>
              </w:rPr>
              <w:t>Retranslation of the 2021 NOK</w:t>
            </w:r>
          </w:p>
        </w:tc>
        <w:tc>
          <w:tcPr>
            <w:tcW w:w="1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480" w:type="dxa"/>
            <w:vAlign w:val="bottom"/>
          </w:tcPr>
          <w:p>
            <w:pPr>
              <w:spacing w:after="0"/>
              <w:rPr>
                <w:sz w:val="20"/>
                <w:szCs w:val="20"/>
                <w:color w:val="auto"/>
              </w:rPr>
            </w:pPr>
            <w:r>
              <w:rPr>
                <w:rFonts w:ascii="Arial" w:cs="Arial" w:eastAsia="Arial" w:hAnsi="Arial"/>
                <w:sz w:val="16"/>
                <w:szCs w:val="16"/>
                <w:color w:val="auto"/>
              </w:rPr>
              <w:t>Bonds in USD</w:t>
            </w:r>
          </w:p>
        </w:tc>
        <w:tc>
          <w:tcPr>
            <w:tcW w:w="17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705</w:t>
            </w:r>
          </w:p>
        </w:tc>
        <w:tc>
          <w:tcPr>
            <w:tcW w:w="200" w:type="dxa"/>
            <w:vAlign w:val="bottom"/>
          </w:tcPr>
          <w:p>
            <w:pPr>
              <w:spacing w:after="0"/>
              <w:rPr>
                <w:sz w:val="17"/>
                <w:szCs w:val="17"/>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5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705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80" w:type="dxa"/>
            <w:vAlign w:val="bottom"/>
            <w:vMerge w:val="restart"/>
            <w:shd w:val="clear" w:color="auto" w:fill="E5FFFF"/>
          </w:tcPr>
          <w:p>
            <w:pPr>
              <w:spacing w:after="0"/>
              <w:rPr>
                <w:sz w:val="20"/>
                <w:szCs w:val="20"/>
                <w:color w:val="auto"/>
              </w:rPr>
            </w:pPr>
            <w:r>
              <w:rPr>
                <w:rFonts w:ascii="Arial" w:cs="Arial" w:eastAsia="Arial" w:hAnsi="Arial"/>
                <w:sz w:val="16"/>
                <w:szCs w:val="16"/>
                <w:b w:val="1"/>
                <w:bCs w:val="1"/>
                <w:color w:val="auto"/>
              </w:rPr>
              <w:t>Borrowings outstanding as of</w:t>
            </w:r>
          </w:p>
        </w:tc>
        <w:tc>
          <w:tcPr>
            <w:tcW w:w="1480" w:type="dxa"/>
            <w:vAlign w:val="bottom"/>
            <w:shd w:val="clear" w:color="auto" w:fill="000000"/>
          </w:tcPr>
          <w:p>
            <w:pPr>
              <w:spacing w:after="0" w:line="20" w:lineRule="exact"/>
              <w:rPr>
                <w:sz w:val="1"/>
                <w:szCs w:val="1"/>
                <w:color w:val="auto"/>
              </w:rPr>
            </w:pPr>
          </w:p>
        </w:tc>
        <w:tc>
          <w:tcPr>
            <w:tcW w:w="240" w:type="dxa"/>
            <w:vAlign w:val="bottom"/>
            <w:shd w:val="clear" w:color="auto" w:fill="E5FF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E5FFFF"/>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00" w:type="dxa"/>
            <w:vAlign w:val="bottom"/>
            <w:shd w:val="clear" w:color="auto" w:fill="E5FF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E5FFFF"/>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20" w:type="dxa"/>
            <w:vAlign w:val="bottom"/>
            <w:shd w:val="clear" w:color="auto" w:fill="E5FF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480" w:type="dxa"/>
            <w:vAlign w:val="bottom"/>
            <w:vMerge w:val="continue"/>
            <w:shd w:val="clear" w:color="auto" w:fill="E5FFFF"/>
          </w:tcPr>
          <w:p>
            <w:pPr>
              <w:spacing w:after="0"/>
              <w:rPr>
                <w:sz w:val="15"/>
                <w:szCs w:val="15"/>
                <w:color w:val="auto"/>
              </w:rPr>
            </w:pPr>
          </w:p>
        </w:tc>
        <w:tc>
          <w:tcPr>
            <w:tcW w:w="1480" w:type="dxa"/>
            <w:vAlign w:val="bottom"/>
            <w:vMerge w:val="restart"/>
            <w:shd w:val="clear" w:color="auto" w:fill="E5FFFF"/>
          </w:tcPr>
          <w:p>
            <w:pPr>
              <w:jc w:val="right"/>
              <w:spacing w:after="0"/>
              <w:rPr>
                <w:sz w:val="20"/>
                <w:szCs w:val="20"/>
                <w:color w:val="auto"/>
              </w:rPr>
            </w:pPr>
            <w:r>
              <w:rPr>
                <w:rFonts w:ascii="Arial" w:cs="Arial" w:eastAsia="Arial" w:hAnsi="Arial"/>
                <w:sz w:val="16"/>
                <w:szCs w:val="16"/>
                <w:b w:val="1"/>
                <w:bCs w:val="1"/>
                <w:color w:val="auto"/>
              </w:rPr>
              <w:t>2,828,459</w:t>
            </w:r>
          </w:p>
        </w:tc>
        <w:tc>
          <w:tcPr>
            <w:tcW w:w="240" w:type="dxa"/>
            <w:vAlign w:val="bottom"/>
            <w:shd w:val="clear" w:color="auto" w:fill="E5FFFF"/>
          </w:tcPr>
          <w:p>
            <w:pPr>
              <w:spacing w:after="0"/>
              <w:rPr>
                <w:sz w:val="15"/>
                <w:szCs w:val="15"/>
                <w:color w:val="auto"/>
              </w:rPr>
            </w:pPr>
          </w:p>
        </w:tc>
        <w:tc>
          <w:tcPr>
            <w:tcW w:w="1100" w:type="dxa"/>
            <w:vAlign w:val="bottom"/>
            <w:vMerge w:val="restart"/>
            <w:shd w:val="clear" w:color="auto" w:fill="E5FFFF"/>
          </w:tcPr>
          <w:p>
            <w:pPr>
              <w:jc w:val="right"/>
              <w:spacing w:after="0"/>
              <w:rPr>
                <w:sz w:val="20"/>
                <w:szCs w:val="20"/>
                <w:color w:val="auto"/>
              </w:rPr>
            </w:pPr>
            <w:r>
              <w:rPr>
                <w:rFonts w:ascii="Arial" w:cs="Arial" w:eastAsia="Arial" w:hAnsi="Arial"/>
                <w:sz w:val="16"/>
                <w:szCs w:val="16"/>
                <w:b w:val="1"/>
                <w:bCs w:val="1"/>
                <w:color w:val="auto"/>
              </w:rPr>
              <w:t>91,817</w:t>
            </w:r>
          </w:p>
        </w:tc>
        <w:tc>
          <w:tcPr>
            <w:tcW w:w="220" w:type="dxa"/>
            <w:vAlign w:val="bottom"/>
            <w:shd w:val="clear" w:color="auto" w:fill="E5FFFF"/>
          </w:tcPr>
          <w:p>
            <w:pPr>
              <w:spacing w:after="0"/>
              <w:rPr>
                <w:sz w:val="15"/>
                <w:szCs w:val="15"/>
                <w:color w:val="auto"/>
              </w:rPr>
            </w:pPr>
          </w:p>
        </w:tc>
        <w:tc>
          <w:tcPr>
            <w:tcW w:w="1320" w:type="dxa"/>
            <w:vAlign w:val="bottom"/>
            <w:vMerge w:val="restart"/>
            <w:shd w:val="clear" w:color="auto" w:fill="E5FFFF"/>
          </w:tcPr>
          <w:p>
            <w:pPr>
              <w:jc w:val="right"/>
              <w:spacing w:after="0"/>
              <w:rPr>
                <w:sz w:val="20"/>
                <w:szCs w:val="20"/>
                <w:color w:val="auto"/>
              </w:rPr>
            </w:pPr>
            <w:r>
              <w:rPr>
                <w:rFonts w:ascii="Arial" w:cs="Arial" w:eastAsia="Arial" w:hAnsi="Arial"/>
                <w:sz w:val="16"/>
                <w:szCs w:val="16"/>
                <w:b w:val="1"/>
                <w:bCs w:val="1"/>
                <w:color w:val="auto"/>
              </w:rPr>
              <w:t>705</w:t>
            </w:r>
          </w:p>
        </w:tc>
        <w:tc>
          <w:tcPr>
            <w:tcW w:w="200" w:type="dxa"/>
            <w:vAlign w:val="bottom"/>
            <w:shd w:val="clear" w:color="auto" w:fill="E5FFFF"/>
          </w:tcPr>
          <w:p>
            <w:pPr>
              <w:spacing w:after="0"/>
              <w:rPr>
                <w:sz w:val="15"/>
                <w:szCs w:val="15"/>
                <w:color w:val="auto"/>
              </w:rPr>
            </w:pPr>
          </w:p>
        </w:tc>
        <w:tc>
          <w:tcPr>
            <w:tcW w:w="1100" w:type="dxa"/>
            <w:vAlign w:val="bottom"/>
            <w:vMerge w:val="restart"/>
            <w:shd w:val="clear" w:color="auto" w:fill="E5FFFF"/>
          </w:tcPr>
          <w:p>
            <w:pPr>
              <w:jc w:val="right"/>
              <w:spacing w:after="0"/>
              <w:rPr>
                <w:sz w:val="20"/>
                <w:szCs w:val="20"/>
                <w:color w:val="auto"/>
              </w:rPr>
            </w:pPr>
            <w:r>
              <w:rPr>
                <w:rFonts w:ascii="Arial" w:cs="Arial" w:eastAsia="Arial" w:hAnsi="Arial"/>
                <w:sz w:val="16"/>
                <w:szCs w:val="16"/>
                <w:b w:val="1"/>
                <w:bCs w:val="1"/>
                <w:color w:val="auto"/>
              </w:rPr>
              <w:t>4,316</w:t>
            </w:r>
          </w:p>
        </w:tc>
        <w:tc>
          <w:tcPr>
            <w:tcW w:w="220" w:type="dxa"/>
            <w:vAlign w:val="bottom"/>
            <w:shd w:val="clear" w:color="auto" w:fill="E5FFFF"/>
          </w:tcPr>
          <w:p>
            <w:pPr>
              <w:spacing w:after="0"/>
              <w:rPr>
                <w:sz w:val="15"/>
                <w:szCs w:val="15"/>
                <w:color w:val="auto"/>
              </w:rPr>
            </w:pPr>
          </w:p>
        </w:tc>
        <w:tc>
          <w:tcPr>
            <w:tcW w:w="1520" w:type="dxa"/>
            <w:vAlign w:val="bottom"/>
            <w:gridSpan w:val="2"/>
            <w:vMerge w:val="restart"/>
            <w:shd w:val="clear" w:color="auto" w:fill="E5FFFF"/>
          </w:tcPr>
          <w:p>
            <w:pPr>
              <w:jc w:val="right"/>
              <w:ind w:right="160"/>
              <w:spacing w:after="0"/>
              <w:rPr>
                <w:sz w:val="20"/>
                <w:szCs w:val="20"/>
                <w:color w:val="auto"/>
              </w:rPr>
            </w:pPr>
            <w:r>
              <w:rPr>
                <w:rFonts w:ascii="Arial" w:cs="Arial" w:eastAsia="Arial" w:hAnsi="Arial"/>
                <w:sz w:val="16"/>
                <w:szCs w:val="16"/>
                <w:b w:val="1"/>
                <w:bCs w:val="1"/>
                <w:color w:val="auto"/>
              </w:rPr>
              <w:t>(4,576)</w:t>
            </w:r>
          </w:p>
        </w:tc>
        <w:tc>
          <w:tcPr>
            <w:tcW w:w="1100" w:type="dxa"/>
            <w:vAlign w:val="bottom"/>
            <w:vMerge w:val="restart"/>
            <w:shd w:val="clear" w:color="auto" w:fill="E5FFFF"/>
          </w:tcPr>
          <w:p>
            <w:pPr>
              <w:jc w:val="right"/>
              <w:spacing w:after="0"/>
              <w:rPr>
                <w:sz w:val="20"/>
                <w:szCs w:val="20"/>
                <w:color w:val="auto"/>
              </w:rPr>
            </w:pPr>
            <w:r>
              <w:rPr>
                <w:rFonts w:ascii="Arial" w:cs="Arial" w:eastAsia="Arial" w:hAnsi="Arial"/>
                <w:sz w:val="16"/>
                <w:szCs w:val="16"/>
                <w:b w:val="1"/>
                <w:bCs w:val="1"/>
                <w:color w:val="auto"/>
              </w:rPr>
              <w:t>2,920,721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48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March 31, 2019</w:t>
            </w:r>
          </w:p>
        </w:tc>
        <w:tc>
          <w:tcPr>
            <w:tcW w:w="1480" w:type="dxa"/>
            <w:vAlign w:val="bottom"/>
            <w:vMerge w:val="continue"/>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100" w:type="dxa"/>
            <w:vAlign w:val="bottom"/>
            <w:vMerge w:val="continue"/>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320" w:type="dxa"/>
            <w:vAlign w:val="bottom"/>
            <w:vMerge w:val="continue"/>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100" w:type="dxa"/>
            <w:vAlign w:val="bottom"/>
            <w:vMerge w:val="continue"/>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520" w:type="dxa"/>
            <w:vAlign w:val="bottom"/>
            <w:gridSpan w:val="2"/>
            <w:vMerge w:val="continue"/>
            <w:shd w:val="clear" w:color="auto" w:fill="E5FFFF"/>
          </w:tcPr>
          <w:p>
            <w:pPr>
              <w:spacing w:after="0"/>
              <w:rPr>
                <w:sz w:val="17"/>
                <w:szCs w:val="17"/>
                <w:color w:val="auto"/>
              </w:rPr>
            </w:pPr>
          </w:p>
        </w:tc>
        <w:tc>
          <w:tcPr>
            <w:tcW w:w="1100" w:type="dxa"/>
            <w:vAlign w:val="bottom"/>
            <w:vMerge w:val="continue"/>
            <w:shd w:val="clear" w:color="auto" w:fill="E5FF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80" w:type="dxa"/>
            <w:vAlign w:val="bottom"/>
            <w:tcBorders>
              <w:top w:val="single" w:sz="8" w:color="E5FF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E5FF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5FF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E5FF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5FF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5FF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 reconciliation of derivatives arising from financing activities is as follows:</w:t>
      </w: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60" w:type="dxa"/>
            <w:vAlign w:val="bottom"/>
            <w:gridSpan w:val="2"/>
          </w:tcPr>
          <w:p>
            <w:pPr>
              <w:jc w:val="right"/>
              <w:ind w:right="540"/>
              <w:spacing w:after="0"/>
              <w:rPr>
                <w:sz w:val="20"/>
                <w:szCs w:val="20"/>
                <w:color w:val="auto"/>
              </w:rPr>
            </w:pPr>
            <w:r>
              <w:rPr>
                <w:rFonts w:ascii="Arial" w:cs="Arial" w:eastAsia="Arial" w:hAnsi="Arial"/>
                <w:sz w:val="16"/>
                <w:szCs w:val="16"/>
                <w:b w:val="1"/>
                <w:bCs w:val="1"/>
                <w:color w:val="auto"/>
              </w:rPr>
              <w:t>Other comprehensive</w:t>
            </w:r>
          </w:p>
        </w:tc>
        <w:tc>
          <w:tcPr>
            <w:tcW w:w="1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10"/>
        </w:trPr>
        <w:tc>
          <w:tcPr>
            <w:tcW w:w="40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780" w:type="dxa"/>
            <w:vAlign w:val="bottom"/>
            <w:gridSpan w:val="2"/>
          </w:tcPr>
          <w:p>
            <w:pPr>
              <w:ind w:left="160"/>
              <w:spacing w:after="0"/>
              <w:rPr>
                <w:sz w:val="20"/>
                <w:szCs w:val="20"/>
                <w:color w:val="auto"/>
              </w:rPr>
            </w:pPr>
            <w:r>
              <w:rPr>
                <w:rFonts w:ascii="Arial" w:cs="Arial" w:eastAsia="Arial" w:hAnsi="Arial"/>
                <w:sz w:val="16"/>
                <w:szCs w:val="16"/>
                <w:b w:val="1"/>
                <w:bCs w:val="1"/>
                <w:color w:val="auto"/>
              </w:rPr>
              <w:t>Opening balance</w:t>
            </w:r>
          </w:p>
        </w:tc>
        <w:tc>
          <w:tcPr>
            <w:tcW w:w="2260" w:type="dxa"/>
            <w:vAlign w:val="bottom"/>
            <w:gridSpan w:val="2"/>
          </w:tcPr>
          <w:p>
            <w:pPr>
              <w:jc w:val="right"/>
              <w:ind w:right="1040"/>
              <w:spacing w:after="0"/>
              <w:rPr>
                <w:sz w:val="20"/>
                <w:szCs w:val="20"/>
                <w:color w:val="auto"/>
              </w:rPr>
            </w:pPr>
            <w:r>
              <w:rPr>
                <w:rFonts w:ascii="Arial" w:cs="Arial" w:eastAsia="Arial" w:hAnsi="Arial"/>
                <w:sz w:val="16"/>
                <w:szCs w:val="16"/>
                <w:b w:val="1"/>
                <w:bCs w:val="1"/>
                <w:color w:val="auto"/>
              </w:rPr>
              <w:t>income</w:t>
            </w:r>
          </w:p>
        </w:tc>
        <w:tc>
          <w:tcPr>
            <w:tcW w:w="1660" w:type="dxa"/>
            <w:vAlign w:val="bottom"/>
            <w:gridSpan w:val="2"/>
          </w:tcPr>
          <w:p>
            <w:pPr>
              <w:jc w:val="right"/>
              <w:ind w:right="460"/>
              <w:spacing w:after="0"/>
              <w:rPr>
                <w:sz w:val="20"/>
                <w:szCs w:val="20"/>
                <w:color w:val="auto"/>
              </w:rPr>
            </w:pPr>
            <w:r>
              <w:rPr>
                <w:rFonts w:ascii="Arial" w:cs="Arial" w:eastAsia="Arial" w:hAnsi="Arial"/>
                <w:sz w:val="16"/>
                <w:szCs w:val="16"/>
                <w:b w:val="1"/>
                <w:bCs w:val="1"/>
                <w:color w:val="auto"/>
                <w:w w:val="99"/>
              </w:rPr>
              <w:t>Non-cash items</w:t>
            </w:r>
          </w:p>
        </w:tc>
        <w:tc>
          <w:tcPr>
            <w:tcW w:w="1620" w:type="dxa"/>
            <w:vAlign w:val="bottom"/>
            <w:gridSpan w:val="2"/>
          </w:tcPr>
          <w:p>
            <w:pPr>
              <w:ind w:left="500"/>
              <w:spacing w:after="0"/>
              <w:rPr>
                <w:sz w:val="20"/>
                <w:szCs w:val="20"/>
                <w:color w:val="auto"/>
              </w:rPr>
            </w:pPr>
            <w:r>
              <w:rPr>
                <w:rFonts w:ascii="Arial" w:cs="Arial" w:eastAsia="Arial" w:hAnsi="Arial"/>
                <w:sz w:val="16"/>
                <w:szCs w:val="16"/>
                <w:b w:val="1"/>
                <w:bCs w:val="1"/>
                <w:color w:val="auto"/>
              </w:rPr>
              <w:t>Total</w:t>
            </w:r>
          </w:p>
        </w:tc>
      </w:tr>
      <w:tr>
        <w:trPr>
          <w:trHeight w:val="202"/>
        </w:trPr>
        <w:tc>
          <w:tcPr>
            <w:tcW w:w="400" w:type="dxa"/>
            <w:vAlign w:val="bottom"/>
          </w:tcPr>
          <w:p>
            <w:pPr>
              <w:spacing w:after="0"/>
              <w:rPr>
                <w:sz w:val="17"/>
                <w:szCs w:val="17"/>
                <w:color w:val="auto"/>
              </w:rPr>
            </w:pPr>
          </w:p>
        </w:tc>
        <w:tc>
          <w:tcPr>
            <w:tcW w:w="388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Net derivative assets as of January 1, 2018</w:t>
            </w:r>
          </w:p>
        </w:tc>
        <w:tc>
          <w:tcPr>
            <w:tcW w:w="15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16,396</w:t>
            </w:r>
          </w:p>
        </w:tc>
        <w:tc>
          <w:tcPr>
            <w:tcW w:w="280" w:type="dxa"/>
            <w:vAlign w:val="bottom"/>
            <w:tcBorders>
              <w:top w:val="single" w:sz="8" w:color="E5FFFF"/>
            </w:tcBorders>
            <w:shd w:val="clear" w:color="auto" w:fill="E5FFFF"/>
          </w:tcPr>
          <w:p>
            <w:pPr>
              <w:spacing w:after="0"/>
              <w:rPr>
                <w:sz w:val="17"/>
                <w:szCs w:val="17"/>
                <w:color w:val="auto"/>
              </w:rPr>
            </w:pPr>
          </w:p>
        </w:tc>
        <w:tc>
          <w:tcPr>
            <w:tcW w:w="19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top w:val="single" w:sz="8" w:color="E5FFFF"/>
            </w:tcBorders>
            <w:shd w:val="clear" w:color="auto" w:fill="E5FFFF"/>
          </w:tcPr>
          <w:p>
            <w:pPr>
              <w:spacing w:after="0"/>
              <w:rPr>
                <w:sz w:val="17"/>
                <w:szCs w:val="17"/>
                <w:color w:val="auto"/>
              </w:rPr>
            </w:pPr>
          </w:p>
        </w:tc>
        <w:tc>
          <w:tcPr>
            <w:tcW w:w="13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top w:val="single" w:sz="8" w:color="E5FFFF"/>
            </w:tcBorders>
            <w:shd w:val="clear" w:color="auto" w:fill="E5FFFF"/>
          </w:tcPr>
          <w:p>
            <w:pPr>
              <w:spacing w:after="0"/>
              <w:rPr>
                <w:sz w:val="17"/>
                <w:szCs w:val="17"/>
                <w:color w:val="auto"/>
              </w:rPr>
            </w:pPr>
          </w:p>
        </w:tc>
        <w:tc>
          <w:tcPr>
            <w:tcW w:w="138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16,396</w:t>
            </w:r>
          </w:p>
        </w:tc>
        <w:tc>
          <w:tcPr>
            <w:tcW w:w="240" w:type="dxa"/>
            <w:vAlign w:val="bottom"/>
          </w:tcPr>
          <w:p>
            <w:pPr>
              <w:spacing w:after="0"/>
              <w:rPr>
                <w:sz w:val="17"/>
                <w:szCs w:val="17"/>
                <w:color w:val="auto"/>
              </w:rPr>
            </w:pPr>
          </w:p>
        </w:tc>
      </w:tr>
      <w:tr>
        <w:trPr>
          <w:trHeight w:val="193"/>
        </w:trPr>
        <w:tc>
          <w:tcPr>
            <w:tcW w:w="400" w:type="dxa"/>
            <w:vAlign w:val="bottom"/>
          </w:tcPr>
          <w:p>
            <w:pPr>
              <w:spacing w:after="0"/>
              <w:rPr>
                <w:sz w:val="16"/>
                <w:szCs w:val="16"/>
                <w:color w:val="auto"/>
              </w:rPr>
            </w:pPr>
          </w:p>
        </w:tc>
        <w:tc>
          <w:tcPr>
            <w:tcW w:w="3880" w:type="dxa"/>
            <w:vAlign w:val="bottom"/>
          </w:tcPr>
          <w:p>
            <w:pPr>
              <w:spacing w:after="0"/>
              <w:rPr>
                <w:sz w:val="20"/>
                <w:szCs w:val="20"/>
                <w:color w:val="auto"/>
              </w:rPr>
            </w:pPr>
            <w:r>
              <w:rPr>
                <w:rFonts w:ascii="Arial" w:cs="Arial" w:eastAsia="Arial" w:hAnsi="Arial"/>
                <w:sz w:val="16"/>
                <w:szCs w:val="16"/>
                <w:color w:val="auto"/>
              </w:rPr>
              <w:t>Unrealized gain on derivative financial instruments</w:t>
            </w:r>
          </w:p>
        </w:tc>
        <w:tc>
          <w:tcPr>
            <w:tcW w:w="1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206"/>
        </w:trPr>
        <w:tc>
          <w:tcPr>
            <w:tcW w:w="4280" w:type="dxa"/>
            <w:vAlign w:val="bottom"/>
            <w:gridSpan w:val="2"/>
          </w:tcPr>
          <w:p>
            <w:pPr>
              <w:ind w:left="400"/>
              <w:spacing w:after="0"/>
              <w:rPr>
                <w:sz w:val="20"/>
                <w:szCs w:val="20"/>
                <w:color w:val="auto"/>
              </w:rPr>
            </w:pPr>
            <w:r>
              <w:rPr>
                <w:rFonts w:ascii="Arial" w:cs="Arial" w:eastAsia="Arial" w:hAnsi="Arial"/>
                <w:sz w:val="16"/>
                <w:szCs w:val="16"/>
                <w:color w:val="auto"/>
              </w:rPr>
              <w:t>held for trading (Note 16)</w:t>
            </w:r>
          </w:p>
        </w:tc>
        <w:tc>
          <w:tcPr>
            <w:tcW w:w="17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2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17,161</w:t>
            </w:r>
          </w:p>
        </w:tc>
        <w:tc>
          <w:tcPr>
            <w:tcW w:w="3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17,161</w:t>
            </w:r>
          </w:p>
        </w:tc>
        <w:tc>
          <w:tcPr>
            <w:tcW w:w="240" w:type="dxa"/>
            <w:vAlign w:val="bottom"/>
          </w:tcPr>
          <w:p>
            <w:pPr>
              <w:spacing w:after="0"/>
              <w:rPr>
                <w:sz w:val="17"/>
                <w:szCs w:val="17"/>
                <w:color w:val="auto"/>
              </w:rPr>
            </w:pPr>
          </w:p>
        </w:tc>
      </w:tr>
      <w:tr>
        <w:trPr>
          <w:trHeight w:val="209"/>
        </w:trPr>
        <w:tc>
          <w:tcPr>
            <w:tcW w:w="400" w:type="dxa"/>
            <w:vAlign w:val="bottom"/>
          </w:tcPr>
          <w:p>
            <w:pPr>
              <w:spacing w:after="0"/>
              <w:rPr>
                <w:sz w:val="18"/>
                <w:szCs w:val="18"/>
                <w:color w:val="auto"/>
              </w:rPr>
            </w:pPr>
          </w:p>
        </w:tc>
        <w:tc>
          <w:tcPr>
            <w:tcW w:w="3880" w:type="dxa"/>
            <w:vAlign w:val="bottom"/>
            <w:shd w:val="clear" w:color="auto" w:fill="E5FFFF"/>
          </w:tcPr>
          <w:p>
            <w:pPr>
              <w:spacing w:after="0"/>
              <w:rPr>
                <w:sz w:val="20"/>
                <w:szCs w:val="20"/>
                <w:color w:val="auto"/>
              </w:rPr>
            </w:pPr>
            <w:r>
              <w:rPr>
                <w:rFonts w:ascii="Arial" w:cs="Arial" w:eastAsia="Arial" w:hAnsi="Arial"/>
                <w:sz w:val="16"/>
                <w:szCs w:val="16"/>
                <w:color w:val="auto"/>
              </w:rPr>
              <w:t>Ineffective portion of cash flow hedges (Note 16)</w:t>
            </w:r>
          </w:p>
        </w:tc>
        <w:tc>
          <w:tcPr>
            <w:tcW w:w="1780" w:type="dxa"/>
            <w:vAlign w:val="bottom"/>
            <w:gridSpan w:val="2"/>
            <w:shd w:val="clear" w:color="auto" w:fill="E5FFFF"/>
          </w:tcPr>
          <w:p>
            <w:pPr>
              <w:jc w:val="right"/>
              <w:ind w:right="300"/>
              <w:spacing w:after="0"/>
              <w:rPr>
                <w:sz w:val="20"/>
                <w:szCs w:val="20"/>
                <w:color w:val="auto"/>
              </w:rPr>
            </w:pPr>
            <w:r>
              <w:rPr>
                <w:rFonts w:ascii="Arial" w:cs="Arial" w:eastAsia="Arial" w:hAnsi="Arial"/>
                <w:sz w:val="16"/>
                <w:szCs w:val="16"/>
                <w:color w:val="auto"/>
              </w:rPr>
              <w:t>—</w:t>
            </w:r>
          </w:p>
        </w:tc>
        <w:tc>
          <w:tcPr>
            <w:tcW w:w="2260" w:type="dxa"/>
            <w:vAlign w:val="bottom"/>
            <w:gridSpan w:val="2"/>
            <w:shd w:val="clear" w:color="auto" w:fill="E5FFFF"/>
          </w:tcPr>
          <w:p>
            <w:pPr>
              <w:jc w:val="right"/>
              <w:ind w:right="300"/>
              <w:spacing w:after="0"/>
              <w:rPr>
                <w:sz w:val="20"/>
                <w:szCs w:val="20"/>
                <w:color w:val="auto"/>
              </w:rPr>
            </w:pPr>
            <w:r>
              <w:rPr>
                <w:rFonts w:ascii="Arial" w:cs="Arial" w:eastAsia="Arial" w:hAnsi="Arial"/>
                <w:sz w:val="16"/>
                <w:szCs w:val="16"/>
                <w:color w:val="auto"/>
              </w:rPr>
              <w:t>—</w:t>
            </w:r>
          </w:p>
        </w:tc>
        <w:tc>
          <w:tcPr>
            <w:tcW w:w="1660" w:type="dxa"/>
            <w:vAlign w:val="bottom"/>
            <w:gridSpan w:val="2"/>
            <w:shd w:val="clear" w:color="auto" w:fill="E5FFFF"/>
          </w:tcPr>
          <w:p>
            <w:pPr>
              <w:jc w:val="right"/>
              <w:ind w:right="240"/>
              <w:spacing w:after="0"/>
              <w:rPr>
                <w:sz w:val="20"/>
                <w:szCs w:val="20"/>
                <w:color w:val="auto"/>
              </w:rPr>
            </w:pPr>
            <w:r>
              <w:rPr>
                <w:rFonts w:ascii="Arial" w:cs="Arial" w:eastAsia="Arial" w:hAnsi="Arial"/>
                <w:sz w:val="16"/>
                <w:szCs w:val="16"/>
                <w:color w:val="auto"/>
              </w:rPr>
              <w:t>(263)</w:t>
            </w: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(263)</w:t>
            </w:r>
          </w:p>
        </w:tc>
        <w:tc>
          <w:tcPr>
            <w:tcW w:w="240" w:type="dxa"/>
            <w:vAlign w:val="bottom"/>
          </w:tcPr>
          <w:p>
            <w:pPr>
              <w:spacing w:after="0"/>
              <w:rPr>
                <w:sz w:val="18"/>
                <w:szCs w:val="18"/>
                <w:color w:val="auto"/>
              </w:rPr>
            </w:pPr>
          </w:p>
        </w:tc>
      </w:tr>
      <w:tr>
        <w:trPr>
          <w:trHeight w:val="193"/>
        </w:trPr>
        <w:tc>
          <w:tcPr>
            <w:tcW w:w="400" w:type="dxa"/>
            <w:vAlign w:val="bottom"/>
          </w:tcPr>
          <w:p>
            <w:pPr>
              <w:spacing w:after="0"/>
              <w:rPr>
                <w:sz w:val="16"/>
                <w:szCs w:val="16"/>
                <w:color w:val="auto"/>
              </w:rPr>
            </w:pPr>
          </w:p>
        </w:tc>
        <w:tc>
          <w:tcPr>
            <w:tcW w:w="3880" w:type="dxa"/>
            <w:vAlign w:val="bottom"/>
          </w:tcPr>
          <w:p>
            <w:pPr>
              <w:spacing w:after="0"/>
              <w:rPr>
                <w:sz w:val="20"/>
                <w:szCs w:val="20"/>
                <w:color w:val="auto"/>
              </w:rPr>
            </w:pPr>
            <w:r>
              <w:rPr>
                <w:rFonts w:ascii="Arial" w:cs="Arial" w:eastAsia="Arial" w:hAnsi="Arial"/>
                <w:sz w:val="16"/>
                <w:szCs w:val="16"/>
                <w:color w:val="auto"/>
              </w:rPr>
              <w:t>Effective portion of changes in the fair value of</w:t>
            </w:r>
          </w:p>
        </w:tc>
        <w:tc>
          <w:tcPr>
            <w:tcW w:w="1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203"/>
        </w:trPr>
        <w:tc>
          <w:tcPr>
            <w:tcW w:w="4280" w:type="dxa"/>
            <w:vAlign w:val="bottom"/>
            <w:gridSpan w:val="2"/>
          </w:tcPr>
          <w:p>
            <w:pPr>
              <w:ind w:left="400"/>
              <w:spacing w:after="0"/>
              <w:rPr>
                <w:sz w:val="20"/>
                <w:szCs w:val="20"/>
                <w:color w:val="auto"/>
              </w:rPr>
            </w:pPr>
            <w:r>
              <w:rPr>
                <w:rFonts w:ascii="Arial" w:cs="Arial" w:eastAsia="Arial" w:hAnsi="Arial"/>
                <w:sz w:val="16"/>
                <w:szCs w:val="16"/>
                <w:color w:val="auto"/>
              </w:rPr>
              <w:t>derivatives designated as cash flow hedging</w:t>
            </w:r>
          </w:p>
        </w:tc>
        <w:tc>
          <w:tcPr>
            <w:tcW w:w="1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06"/>
        </w:trPr>
        <w:tc>
          <w:tcPr>
            <w:tcW w:w="4280" w:type="dxa"/>
            <w:vAlign w:val="bottom"/>
            <w:gridSpan w:val="2"/>
          </w:tcPr>
          <w:p>
            <w:pPr>
              <w:ind w:left="400"/>
              <w:spacing w:after="0"/>
              <w:rPr>
                <w:sz w:val="20"/>
                <w:szCs w:val="20"/>
                <w:color w:val="auto"/>
              </w:rPr>
            </w:pPr>
            <w:r>
              <w:rPr>
                <w:rFonts w:ascii="Arial" w:cs="Arial" w:eastAsia="Arial" w:hAnsi="Arial"/>
                <w:sz w:val="16"/>
                <w:szCs w:val="16"/>
                <w:color w:val="auto"/>
              </w:rPr>
              <w:t>instruments</w:t>
            </w:r>
          </w:p>
        </w:tc>
        <w:tc>
          <w:tcPr>
            <w:tcW w:w="17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960" w:type="dxa"/>
            <w:vAlign w:val="bottom"/>
          </w:tcPr>
          <w:p>
            <w:pPr>
              <w:jc w:val="right"/>
              <w:spacing w:after="0"/>
              <w:rPr>
                <w:sz w:val="20"/>
                <w:szCs w:val="20"/>
                <w:color w:val="auto"/>
              </w:rPr>
            </w:pPr>
            <w:r>
              <w:rPr>
                <w:rFonts w:ascii="Arial" w:cs="Arial" w:eastAsia="Arial" w:hAnsi="Arial"/>
                <w:sz w:val="16"/>
                <w:szCs w:val="16"/>
                <w:color w:val="auto"/>
              </w:rPr>
              <w:t>6,259</w:t>
            </w:r>
          </w:p>
        </w:tc>
        <w:tc>
          <w:tcPr>
            <w:tcW w:w="300" w:type="dxa"/>
            <w:vAlign w:val="bottom"/>
          </w:tcPr>
          <w:p>
            <w:pPr>
              <w:spacing w:after="0"/>
              <w:rPr>
                <w:sz w:val="17"/>
                <w:szCs w:val="17"/>
                <w:color w:val="auto"/>
              </w:rPr>
            </w:pPr>
          </w:p>
        </w:tc>
        <w:tc>
          <w:tcPr>
            <w:tcW w:w="16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6,259</w:t>
            </w:r>
          </w:p>
        </w:tc>
        <w:tc>
          <w:tcPr>
            <w:tcW w:w="240" w:type="dxa"/>
            <w:vAlign w:val="bottom"/>
          </w:tcPr>
          <w:p>
            <w:pPr>
              <w:spacing w:after="0"/>
              <w:rPr>
                <w:sz w:val="17"/>
                <w:szCs w:val="17"/>
                <w:color w:val="auto"/>
              </w:rPr>
            </w:pPr>
          </w:p>
        </w:tc>
      </w:tr>
      <w:tr>
        <w:trPr>
          <w:trHeight w:val="202"/>
        </w:trPr>
        <w:tc>
          <w:tcPr>
            <w:tcW w:w="400" w:type="dxa"/>
            <w:vAlign w:val="bottom"/>
          </w:tcPr>
          <w:p>
            <w:pPr>
              <w:spacing w:after="0"/>
              <w:rPr>
                <w:sz w:val="17"/>
                <w:szCs w:val="17"/>
                <w:color w:val="auto"/>
              </w:rPr>
            </w:pPr>
          </w:p>
        </w:tc>
        <w:tc>
          <w:tcPr>
            <w:tcW w:w="3880" w:type="dxa"/>
            <w:vAlign w:val="bottom"/>
            <w:tcBorders>
              <w:top w:val="single" w:sz="8" w:color="E5FFFF"/>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Net derivative assets as of March 31, 2018</w:t>
            </w:r>
          </w:p>
        </w:tc>
        <w:tc>
          <w:tcPr>
            <w:tcW w:w="15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16,396</w:t>
            </w:r>
          </w:p>
        </w:tc>
        <w:tc>
          <w:tcPr>
            <w:tcW w:w="280" w:type="dxa"/>
            <w:vAlign w:val="bottom"/>
            <w:tcBorders>
              <w:top w:val="single" w:sz="8" w:color="E5FFFF"/>
              <w:bottom w:val="single" w:sz="8" w:color="E5FFFF"/>
            </w:tcBorders>
            <w:shd w:val="clear" w:color="auto" w:fill="E5FFFF"/>
          </w:tcPr>
          <w:p>
            <w:pPr>
              <w:spacing w:after="0"/>
              <w:rPr>
                <w:sz w:val="17"/>
                <w:szCs w:val="17"/>
                <w:color w:val="auto"/>
              </w:rPr>
            </w:pPr>
          </w:p>
        </w:tc>
        <w:tc>
          <w:tcPr>
            <w:tcW w:w="19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6,259</w:t>
            </w:r>
          </w:p>
        </w:tc>
        <w:tc>
          <w:tcPr>
            <w:tcW w:w="300" w:type="dxa"/>
            <w:vAlign w:val="bottom"/>
            <w:tcBorders>
              <w:top w:val="single" w:sz="8" w:color="E5FFFF"/>
              <w:bottom w:val="single" w:sz="8" w:color="E5FFFF"/>
            </w:tcBorders>
            <w:shd w:val="clear" w:color="auto" w:fill="E5FFFF"/>
          </w:tcPr>
          <w:p>
            <w:pPr>
              <w:spacing w:after="0"/>
              <w:rPr>
                <w:sz w:val="17"/>
                <w:szCs w:val="17"/>
                <w:color w:val="auto"/>
              </w:rPr>
            </w:pPr>
          </w:p>
        </w:tc>
        <w:tc>
          <w:tcPr>
            <w:tcW w:w="13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16,898</w:t>
            </w:r>
          </w:p>
        </w:tc>
        <w:tc>
          <w:tcPr>
            <w:tcW w:w="300" w:type="dxa"/>
            <w:vAlign w:val="bottom"/>
            <w:tcBorders>
              <w:top w:val="single" w:sz="8" w:color="E5FFFF"/>
              <w:bottom w:val="single" w:sz="8" w:color="E5FFFF"/>
            </w:tcBorders>
            <w:shd w:val="clear" w:color="auto" w:fill="E5FFFF"/>
          </w:tcPr>
          <w:p>
            <w:pPr>
              <w:spacing w:after="0"/>
              <w:rPr>
                <w:sz w:val="17"/>
                <w:szCs w:val="17"/>
                <w:color w:val="auto"/>
              </w:rPr>
            </w:pPr>
          </w:p>
        </w:tc>
        <w:tc>
          <w:tcPr>
            <w:tcW w:w="13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39,553</w:t>
            </w:r>
          </w:p>
        </w:tc>
        <w:tc>
          <w:tcPr>
            <w:tcW w:w="240" w:type="dxa"/>
            <w:vAlign w:val="bottom"/>
          </w:tcPr>
          <w:p>
            <w:pPr>
              <w:spacing w:after="0"/>
              <w:rPr>
                <w:sz w:val="17"/>
                <w:szCs w:val="17"/>
                <w:color w:val="auto"/>
              </w:rPr>
            </w:pPr>
          </w:p>
        </w:tc>
      </w:tr>
      <w:tr>
        <w:trPr>
          <w:trHeight w:val="20"/>
        </w:trPr>
        <w:tc>
          <w:tcPr>
            <w:tcW w:w="40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393"/>
        </w:trPr>
        <w:tc>
          <w:tcPr>
            <w:tcW w:w="40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780" w:type="dxa"/>
            <w:vAlign w:val="bottom"/>
            <w:gridSpan w:val="2"/>
          </w:tcPr>
          <w:p>
            <w:pPr>
              <w:ind w:left="1360"/>
              <w:spacing w:after="0"/>
              <w:rPr>
                <w:sz w:val="20"/>
                <w:szCs w:val="20"/>
                <w:color w:val="auto"/>
              </w:rPr>
            </w:pPr>
            <w:r>
              <w:rPr>
                <w:rFonts w:ascii="Arial" w:cs="Arial" w:eastAsia="Arial" w:hAnsi="Arial"/>
                <w:sz w:val="16"/>
                <w:szCs w:val="16"/>
                <w:color w:val="auto"/>
              </w:rPr>
              <w:t>F-18</w:t>
            </w:r>
          </w:p>
        </w:tc>
        <w:tc>
          <w:tcPr>
            <w:tcW w:w="1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138"/>
        </w:trPr>
        <w:tc>
          <w:tcPr>
            <w:tcW w:w="400" w:type="dxa"/>
            <w:vAlign w:val="bottom"/>
            <w:tcBorders>
              <w:bottom w:val="single" w:sz="8" w:color="808080"/>
            </w:tcBorders>
          </w:tcPr>
          <w:p>
            <w:pPr>
              <w:spacing w:after="0"/>
              <w:rPr>
                <w:sz w:val="11"/>
                <w:szCs w:val="11"/>
                <w:color w:val="auto"/>
              </w:rPr>
            </w:pPr>
          </w:p>
        </w:tc>
        <w:tc>
          <w:tcPr>
            <w:tcW w:w="3880" w:type="dxa"/>
            <w:vAlign w:val="bottom"/>
            <w:tcBorders>
              <w:bottom w:val="single" w:sz="8" w:color="808080"/>
            </w:tcBorders>
          </w:tcPr>
          <w:p>
            <w:pPr>
              <w:spacing w:after="0"/>
              <w:rPr>
                <w:sz w:val="11"/>
                <w:szCs w:val="11"/>
                <w:color w:val="auto"/>
              </w:rPr>
            </w:pPr>
          </w:p>
        </w:tc>
        <w:tc>
          <w:tcPr>
            <w:tcW w:w="150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96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38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7349490</wp:posOffset>
            </wp:positionH>
            <wp:positionV relativeFrom="paragraph">
              <wp:posOffset>-29210</wp:posOffset>
            </wp:positionV>
            <wp:extent cx="1270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600"/>
          </w:cols>
          <w:pgMar w:left="160" w:top="262" w:right="139" w:bottom="996"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02"/>
        </w:trPr>
        <w:tc>
          <w:tcPr>
            <w:tcW w:w="3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60" w:type="dxa"/>
            <w:vAlign w:val="bottom"/>
            <w:gridSpan w:val="4"/>
          </w:tcPr>
          <w:p>
            <w:pPr>
              <w:jc w:val="right"/>
              <w:ind w:right="540"/>
              <w:spacing w:after="0"/>
              <w:rPr>
                <w:sz w:val="20"/>
                <w:szCs w:val="20"/>
                <w:color w:val="auto"/>
              </w:rPr>
            </w:pPr>
            <w:r>
              <w:rPr>
                <w:rFonts w:ascii="Arial" w:cs="Arial" w:eastAsia="Arial" w:hAnsi="Arial"/>
                <w:sz w:val="16"/>
                <w:szCs w:val="16"/>
                <w:b w:val="1"/>
                <w:bCs w:val="1"/>
                <w:color w:val="auto"/>
              </w:rPr>
              <w:t>Other comprehensive</w:t>
            </w:r>
          </w:p>
        </w:tc>
        <w:tc>
          <w:tcPr>
            <w:tcW w:w="1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gridSpan w:val="5"/>
          </w:tcPr>
          <w:p>
            <w:pPr>
              <w:ind w:left="60"/>
              <w:spacing w:after="0"/>
              <w:rPr>
                <w:sz w:val="20"/>
                <w:szCs w:val="20"/>
                <w:color w:val="auto"/>
              </w:rPr>
            </w:pPr>
            <w:r>
              <w:rPr>
                <w:rFonts w:ascii="Arial" w:cs="Arial" w:eastAsia="Arial" w:hAnsi="Arial"/>
                <w:sz w:val="16"/>
                <w:szCs w:val="16"/>
                <w:b w:val="1"/>
                <w:bCs w:val="1"/>
                <w:color w:val="auto"/>
              </w:rPr>
              <w:t>Opening balance</w:t>
            </w:r>
          </w:p>
        </w:tc>
        <w:tc>
          <w:tcPr>
            <w:tcW w:w="1700" w:type="dxa"/>
            <w:vAlign w:val="bottom"/>
            <w:gridSpan w:val="2"/>
          </w:tcPr>
          <w:p>
            <w:pPr>
              <w:jc w:val="right"/>
              <w:ind w:right="1160"/>
              <w:spacing w:after="0"/>
              <w:rPr>
                <w:sz w:val="20"/>
                <w:szCs w:val="20"/>
                <w:color w:val="auto"/>
              </w:rPr>
            </w:pPr>
            <w:r>
              <w:rPr>
                <w:rFonts w:ascii="Arial" w:cs="Arial" w:eastAsia="Arial" w:hAnsi="Arial"/>
                <w:sz w:val="16"/>
                <w:szCs w:val="16"/>
                <w:b w:val="1"/>
                <w:bCs w:val="1"/>
                <w:color w:val="auto"/>
              </w:rPr>
              <w:t>loss</w:t>
            </w:r>
          </w:p>
        </w:tc>
        <w:tc>
          <w:tcPr>
            <w:tcW w:w="1660" w:type="dxa"/>
            <w:vAlign w:val="bottom"/>
            <w:gridSpan w:val="2"/>
          </w:tcPr>
          <w:p>
            <w:pPr>
              <w:jc w:val="right"/>
              <w:ind w:right="460"/>
              <w:spacing w:after="0"/>
              <w:rPr>
                <w:sz w:val="20"/>
                <w:szCs w:val="20"/>
                <w:color w:val="auto"/>
              </w:rPr>
            </w:pPr>
            <w:r>
              <w:rPr>
                <w:rFonts w:ascii="Arial" w:cs="Arial" w:eastAsia="Arial" w:hAnsi="Arial"/>
                <w:sz w:val="16"/>
                <w:szCs w:val="16"/>
                <w:b w:val="1"/>
                <w:bCs w:val="1"/>
                <w:color w:val="auto"/>
                <w:w w:val="99"/>
              </w:rPr>
              <w:t>Non-cash items</w:t>
            </w:r>
          </w:p>
        </w:tc>
        <w:tc>
          <w:tcPr>
            <w:tcW w:w="1440" w:type="dxa"/>
            <w:vAlign w:val="bottom"/>
            <w:gridSpan w:val="2"/>
          </w:tcPr>
          <w:p>
            <w:pPr>
              <w:jc w:val="right"/>
              <w:ind w:right="49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2"/>
        </w:trPr>
        <w:tc>
          <w:tcPr>
            <w:tcW w:w="388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Net derivative assets as of January 1, 2019</w:t>
            </w:r>
          </w:p>
        </w:tc>
        <w:tc>
          <w:tcPr>
            <w:tcW w:w="100" w:type="dxa"/>
            <w:vAlign w:val="bottom"/>
            <w:tcBorders>
              <w:top w:val="single" w:sz="8" w:color="auto"/>
            </w:tcBorders>
            <w:shd w:val="clear" w:color="auto" w:fill="E5FFFF"/>
          </w:tcPr>
          <w:p>
            <w:pPr>
              <w:spacing w:after="0"/>
              <w:rPr>
                <w:sz w:val="17"/>
                <w:szCs w:val="17"/>
                <w:color w:val="auto"/>
              </w:rPr>
            </w:pPr>
          </w:p>
        </w:tc>
        <w:tc>
          <w:tcPr>
            <w:tcW w:w="1400" w:type="dxa"/>
            <w:vAlign w:val="bottom"/>
            <w:tcBorders>
              <w:top w:val="single" w:sz="8" w:color="auto"/>
            </w:tcBorders>
            <w:gridSpan w:val="2"/>
            <w:shd w:val="clear" w:color="auto" w:fill="E5FFFF"/>
          </w:tcPr>
          <w:p>
            <w:pPr>
              <w:jc w:val="right"/>
              <w:spacing w:after="0"/>
              <w:rPr>
                <w:sz w:val="20"/>
                <w:szCs w:val="20"/>
                <w:color w:val="auto"/>
              </w:rPr>
            </w:pPr>
            <w:r>
              <w:rPr>
                <w:rFonts w:ascii="Arial" w:cs="Arial" w:eastAsia="Arial" w:hAnsi="Arial"/>
                <w:sz w:val="16"/>
                <w:szCs w:val="16"/>
                <w:color w:val="auto"/>
              </w:rPr>
              <w:t>3,096</w:t>
            </w:r>
          </w:p>
        </w:tc>
        <w:tc>
          <w:tcPr>
            <w:tcW w:w="280" w:type="dxa"/>
            <w:vAlign w:val="bottom"/>
            <w:tcBorders>
              <w:top w:val="single" w:sz="8" w:color="E5FFFF"/>
            </w:tcBorders>
            <w:shd w:val="clear" w:color="auto" w:fill="E5FFFF"/>
          </w:tcPr>
          <w:p>
            <w:pPr>
              <w:spacing w:after="0"/>
              <w:rPr>
                <w:sz w:val="17"/>
                <w:szCs w:val="17"/>
                <w:color w:val="auto"/>
              </w:rPr>
            </w:pPr>
          </w:p>
        </w:tc>
        <w:tc>
          <w:tcPr>
            <w:tcW w:w="280" w:type="dxa"/>
            <w:vAlign w:val="bottom"/>
            <w:tcBorders>
              <w:top w:val="single" w:sz="8" w:color="auto"/>
            </w:tcBorders>
            <w:shd w:val="clear" w:color="auto" w:fill="E5FFFF"/>
          </w:tcPr>
          <w:p>
            <w:pPr>
              <w:spacing w:after="0"/>
              <w:rPr>
                <w:sz w:val="17"/>
                <w:szCs w:val="17"/>
                <w:color w:val="auto"/>
              </w:rPr>
            </w:pPr>
          </w:p>
        </w:tc>
        <w:tc>
          <w:tcPr>
            <w:tcW w:w="280" w:type="dxa"/>
            <w:vAlign w:val="bottom"/>
            <w:tcBorders>
              <w:top w:val="single" w:sz="8" w:color="auto"/>
            </w:tcBorders>
            <w:shd w:val="clear" w:color="auto" w:fill="E5FFFF"/>
          </w:tcPr>
          <w:p>
            <w:pPr>
              <w:spacing w:after="0"/>
              <w:rPr>
                <w:sz w:val="17"/>
                <w:szCs w:val="17"/>
                <w:color w:val="auto"/>
              </w:rPr>
            </w:pPr>
          </w:p>
        </w:tc>
        <w:tc>
          <w:tcPr>
            <w:tcW w:w="1420" w:type="dxa"/>
            <w:vAlign w:val="bottom"/>
            <w:tcBorders>
              <w:top w:val="single" w:sz="8" w:color="auto"/>
              <w:right w:val="single" w:sz="8" w:color="E5FFFF"/>
            </w:tcBorders>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top w:val="single" w:sz="8" w:color="E5FFFF"/>
              <w:right w:val="single" w:sz="8" w:color="E5FFFF"/>
            </w:tcBorders>
            <w:shd w:val="clear" w:color="auto" w:fill="E5FFFF"/>
          </w:tcPr>
          <w:p>
            <w:pPr>
              <w:spacing w:after="0"/>
              <w:rPr>
                <w:sz w:val="17"/>
                <w:szCs w:val="17"/>
                <w:color w:val="auto"/>
              </w:rPr>
            </w:pPr>
          </w:p>
        </w:tc>
        <w:tc>
          <w:tcPr>
            <w:tcW w:w="13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top w:val="single" w:sz="8" w:color="E5FFFF"/>
            </w:tcBorders>
            <w:shd w:val="clear" w:color="auto" w:fill="E5FFFF"/>
          </w:tcPr>
          <w:p>
            <w:pPr>
              <w:spacing w:after="0"/>
              <w:rPr>
                <w:sz w:val="17"/>
                <w:szCs w:val="17"/>
                <w:color w:val="auto"/>
              </w:rPr>
            </w:pPr>
          </w:p>
        </w:tc>
        <w:tc>
          <w:tcPr>
            <w:tcW w:w="138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3,096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980" w:type="dxa"/>
            <w:vAlign w:val="bottom"/>
            <w:gridSpan w:val="2"/>
          </w:tcPr>
          <w:p>
            <w:pPr>
              <w:spacing w:after="0"/>
              <w:rPr>
                <w:sz w:val="20"/>
                <w:szCs w:val="20"/>
                <w:color w:val="auto"/>
              </w:rPr>
            </w:pPr>
            <w:r>
              <w:rPr>
                <w:rFonts w:ascii="Arial" w:cs="Arial" w:eastAsia="Arial" w:hAnsi="Arial"/>
                <w:sz w:val="16"/>
                <w:szCs w:val="16"/>
                <w:color w:val="auto"/>
              </w:rPr>
              <w:t>Unrealized loss on derivative financial instruments</w:t>
            </w:r>
          </w:p>
        </w:tc>
        <w:tc>
          <w:tcPr>
            <w:tcW w:w="4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980" w:type="dxa"/>
            <w:vAlign w:val="bottom"/>
            <w:gridSpan w:val="2"/>
          </w:tcPr>
          <w:p>
            <w:pPr>
              <w:spacing w:after="0"/>
              <w:rPr>
                <w:sz w:val="20"/>
                <w:szCs w:val="20"/>
                <w:color w:val="auto"/>
              </w:rPr>
            </w:pPr>
            <w:r>
              <w:rPr>
                <w:rFonts w:ascii="Arial" w:cs="Arial" w:eastAsia="Arial" w:hAnsi="Arial"/>
                <w:sz w:val="16"/>
                <w:szCs w:val="16"/>
                <w:color w:val="auto"/>
              </w:rPr>
              <w:t>held for trading (Note 16)</w:t>
            </w:r>
          </w:p>
        </w:tc>
        <w:tc>
          <w:tcPr>
            <w:tcW w:w="460" w:type="dxa"/>
            <w:vAlign w:val="bottom"/>
          </w:tcPr>
          <w:p>
            <w:pPr>
              <w:spacing w:after="0"/>
              <w:rPr>
                <w:sz w:val="17"/>
                <w:szCs w:val="17"/>
                <w:color w:val="auto"/>
              </w:rPr>
            </w:pPr>
          </w:p>
        </w:tc>
        <w:tc>
          <w:tcPr>
            <w:tcW w:w="1780" w:type="dxa"/>
            <w:vAlign w:val="bottom"/>
            <w:gridSpan w:val="4"/>
          </w:tcPr>
          <w:p>
            <w:pPr>
              <w:jc w:val="right"/>
              <w:ind w:right="860"/>
              <w:spacing w:after="0"/>
              <w:rPr>
                <w:sz w:val="20"/>
                <w:szCs w:val="20"/>
                <w:color w:val="auto"/>
              </w:rPr>
            </w:pPr>
            <w:r>
              <w:rPr>
                <w:rFonts w:ascii="Arial" w:cs="Arial" w:eastAsia="Arial" w:hAnsi="Arial"/>
                <w:sz w:val="16"/>
                <w:szCs w:val="16"/>
                <w:color w:val="auto"/>
              </w:rPr>
              <w:t>—</w:t>
            </w:r>
          </w:p>
        </w:tc>
        <w:tc>
          <w:tcPr>
            <w:tcW w:w="17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660" w:type="dxa"/>
            <w:vAlign w:val="bottom"/>
            <w:gridSpan w:val="2"/>
          </w:tcPr>
          <w:p>
            <w:pPr>
              <w:jc w:val="right"/>
              <w:ind w:right="240"/>
              <w:spacing w:after="0"/>
              <w:rPr>
                <w:sz w:val="20"/>
                <w:szCs w:val="20"/>
                <w:color w:val="auto"/>
              </w:rPr>
            </w:pPr>
            <w:r>
              <w:rPr>
                <w:rFonts w:ascii="Arial" w:cs="Arial" w:eastAsia="Arial" w:hAnsi="Arial"/>
                <w:sz w:val="16"/>
                <w:szCs w:val="16"/>
                <w:color w:val="auto"/>
              </w:rPr>
              <w:t>(21,150)</w:t>
            </w: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(21,150)</w:t>
            </w:r>
          </w:p>
        </w:tc>
        <w:tc>
          <w:tcPr>
            <w:tcW w:w="0" w:type="dxa"/>
            <w:vAlign w:val="bottom"/>
          </w:tcPr>
          <w:p>
            <w:pPr>
              <w:spacing w:after="0"/>
              <w:rPr>
                <w:sz w:val="1"/>
                <w:szCs w:val="1"/>
                <w:color w:val="auto"/>
              </w:rPr>
            </w:pPr>
          </w:p>
        </w:tc>
      </w:tr>
      <w:tr>
        <w:trPr>
          <w:trHeight w:val="208"/>
        </w:trPr>
        <w:tc>
          <w:tcPr>
            <w:tcW w:w="398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Ineffective portion of cash flow hedges (Note 16)</w:t>
            </w:r>
          </w:p>
        </w:tc>
        <w:tc>
          <w:tcPr>
            <w:tcW w:w="460" w:type="dxa"/>
            <w:vAlign w:val="bottom"/>
            <w:shd w:val="clear" w:color="auto" w:fill="E5FFFF"/>
          </w:tcPr>
          <w:p>
            <w:pPr>
              <w:spacing w:after="0"/>
              <w:rPr>
                <w:sz w:val="18"/>
                <w:szCs w:val="18"/>
                <w:color w:val="auto"/>
              </w:rPr>
            </w:pPr>
          </w:p>
        </w:tc>
        <w:tc>
          <w:tcPr>
            <w:tcW w:w="1780" w:type="dxa"/>
            <w:vAlign w:val="bottom"/>
            <w:gridSpan w:val="4"/>
            <w:shd w:val="clear" w:color="auto" w:fill="E5FFFF"/>
          </w:tcPr>
          <w:p>
            <w:pPr>
              <w:jc w:val="right"/>
              <w:ind w:right="860"/>
              <w:spacing w:after="0"/>
              <w:rPr>
                <w:sz w:val="20"/>
                <w:szCs w:val="20"/>
                <w:color w:val="auto"/>
              </w:rPr>
            </w:pPr>
            <w:r>
              <w:rPr>
                <w:rFonts w:ascii="Arial" w:cs="Arial" w:eastAsia="Arial" w:hAnsi="Arial"/>
                <w:sz w:val="16"/>
                <w:szCs w:val="16"/>
                <w:color w:val="auto"/>
              </w:rPr>
              <w:t>—</w:t>
            </w:r>
          </w:p>
        </w:tc>
        <w:tc>
          <w:tcPr>
            <w:tcW w:w="1700" w:type="dxa"/>
            <w:vAlign w:val="bottom"/>
            <w:tcBorders>
              <w:right w:val="single" w:sz="8" w:color="E5FFFF"/>
            </w:tcBorders>
            <w:gridSpan w:val="2"/>
            <w:shd w:val="clear" w:color="auto" w:fill="E5FFFF"/>
          </w:tcPr>
          <w:p>
            <w:pPr>
              <w:jc w:val="right"/>
              <w:ind w:right="300"/>
              <w:spacing w:after="0"/>
              <w:rPr>
                <w:sz w:val="20"/>
                <w:szCs w:val="20"/>
                <w:color w:val="auto"/>
              </w:rPr>
            </w:pPr>
            <w:r>
              <w:rPr>
                <w:rFonts w:ascii="Arial" w:cs="Arial" w:eastAsia="Arial" w:hAnsi="Arial"/>
                <w:sz w:val="16"/>
                <w:szCs w:val="16"/>
                <w:color w:val="auto"/>
              </w:rPr>
              <w:t>—</w:t>
            </w: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47</w:t>
            </w:r>
          </w:p>
        </w:tc>
        <w:tc>
          <w:tcPr>
            <w:tcW w:w="300" w:type="dxa"/>
            <w:vAlign w:val="bottom"/>
            <w:shd w:val="clear" w:color="auto" w:fill="E5FFFF"/>
          </w:tcPr>
          <w:p>
            <w:pPr>
              <w:spacing w:after="0"/>
              <w:rPr>
                <w:sz w:val="18"/>
                <w:szCs w:val="18"/>
                <w:color w:val="auto"/>
              </w:rPr>
            </w:pP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3980" w:type="dxa"/>
            <w:vAlign w:val="bottom"/>
            <w:gridSpan w:val="2"/>
          </w:tcPr>
          <w:p>
            <w:pPr>
              <w:spacing w:after="0"/>
              <w:rPr>
                <w:sz w:val="20"/>
                <w:szCs w:val="20"/>
                <w:color w:val="auto"/>
              </w:rPr>
            </w:pPr>
            <w:r>
              <w:rPr>
                <w:rFonts w:ascii="Arial" w:cs="Arial" w:eastAsia="Arial" w:hAnsi="Arial"/>
                <w:sz w:val="16"/>
                <w:szCs w:val="16"/>
                <w:color w:val="auto"/>
              </w:rPr>
              <w:t>Effective portion of changes in the fair value of</w:t>
            </w:r>
          </w:p>
        </w:tc>
        <w:tc>
          <w:tcPr>
            <w:tcW w:w="4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980" w:type="dxa"/>
            <w:vAlign w:val="bottom"/>
            <w:gridSpan w:val="2"/>
          </w:tcPr>
          <w:p>
            <w:pPr>
              <w:spacing w:after="0"/>
              <w:rPr>
                <w:sz w:val="20"/>
                <w:szCs w:val="20"/>
                <w:color w:val="auto"/>
              </w:rPr>
            </w:pPr>
            <w:r>
              <w:rPr>
                <w:rFonts w:ascii="Arial" w:cs="Arial" w:eastAsia="Arial" w:hAnsi="Arial"/>
                <w:sz w:val="16"/>
                <w:szCs w:val="16"/>
                <w:color w:val="auto"/>
              </w:rPr>
              <w:t>derivatives designated as cash flow hedging</w:t>
            </w:r>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880" w:type="dxa"/>
            <w:vAlign w:val="bottom"/>
          </w:tcPr>
          <w:p>
            <w:pPr>
              <w:spacing w:after="0"/>
              <w:rPr>
                <w:sz w:val="20"/>
                <w:szCs w:val="20"/>
                <w:color w:val="auto"/>
              </w:rPr>
            </w:pPr>
            <w:r>
              <w:rPr>
                <w:rFonts w:ascii="Arial" w:cs="Arial" w:eastAsia="Arial" w:hAnsi="Arial"/>
                <w:sz w:val="16"/>
                <w:szCs w:val="16"/>
                <w:color w:val="auto"/>
              </w:rPr>
              <w:t>instruments</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560" w:type="dxa"/>
            <w:vAlign w:val="bottom"/>
            <w:gridSpan w:val="2"/>
          </w:tcPr>
          <w:p>
            <w:pPr>
              <w:spacing w:after="0"/>
              <w:rPr>
                <w:sz w:val="17"/>
                <w:szCs w:val="17"/>
                <w:color w:val="auto"/>
              </w:rPr>
            </w:pPr>
          </w:p>
        </w:tc>
        <w:tc>
          <w:tcPr>
            <w:tcW w:w="1700" w:type="dxa"/>
            <w:vAlign w:val="bottom"/>
            <w:gridSpan w:val="2"/>
          </w:tcPr>
          <w:p>
            <w:pPr>
              <w:jc w:val="right"/>
              <w:ind w:right="240"/>
              <w:spacing w:after="0"/>
              <w:rPr>
                <w:sz w:val="20"/>
                <w:szCs w:val="20"/>
                <w:color w:val="auto"/>
              </w:rPr>
            </w:pPr>
            <w:r>
              <w:rPr>
                <w:rFonts w:ascii="Arial" w:cs="Arial" w:eastAsia="Arial" w:hAnsi="Arial"/>
                <w:sz w:val="16"/>
                <w:szCs w:val="16"/>
                <w:color w:val="auto"/>
              </w:rPr>
              <w:t>(536)</w:t>
            </w:r>
          </w:p>
        </w:tc>
        <w:tc>
          <w:tcPr>
            <w:tcW w:w="16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(536)</w:t>
            </w:r>
          </w:p>
        </w:tc>
        <w:tc>
          <w:tcPr>
            <w:tcW w:w="0" w:type="dxa"/>
            <w:vAlign w:val="bottom"/>
          </w:tcPr>
          <w:p>
            <w:pPr>
              <w:spacing w:after="0"/>
              <w:rPr>
                <w:sz w:val="1"/>
                <w:szCs w:val="1"/>
                <w:color w:val="auto"/>
              </w:rPr>
            </w:pPr>
          </w:p>
        </w:tc>
      </w:tr>
      <w:tr>
        <w:trPr>
          <w:trHeight w:val="20"/>
        </w:trPr>
        <w:tc>
          <w:tcPr>
            <w:tcW w:w="3880" w:type="dxa"/>
            <w:vAlign w:val="bottom"/>
            <w:vMerge w:val="restart"/>
            <w:shd w:val="clear" w:color="auto" w:fill="E5FFFF"/>
          </w:tcPr>
          <w:p>
            <w:pPr>
              <w:spacing w:after="0"/>
              <w:rPr>
                <w:sz w:val="20"/>
                <w:szCs w:val="20"/>
                <w:color w:val="auto"/>
              </w:rPr>
            </w:pPr>
            <w:r>
              <w:rPr>
                <w:rFonts w:ascii="Arial" w:cs="Arial" w:eastAsia="Arial" w:hAnsi="Arial"/>
                <w:sz w:val="16"/>
                <w:szCs w:val="16"/>
                <w:b w:val="1"/>
                <w:bCs w:val="1"/>
                <w:color w:val="auto"/>
              </w:rPr>
              <w:t>Net derivative assets/(liabilities) as of March 31,</w:t>
            </w: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shd w:val="clear" w:color="auto" w:fill="E5FF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2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tcBorders>
              <w:right w:val="single" w:sz="8" w:color="E5FFFF"/>
            </w:tcBorders>
            <w:shd w:val="clear" w:color="auto" w:fill="E5FFFF"/>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300" w:type="dxa"/>
            <w:vAlign w:val="bottom"/>
            <w:shd w:val="clear" w:color="auto" w:fill="E5FFFF"/>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3880" w:type="dxa"/>
            <w:vAlign w:val="bottom"/>
            <w:vMerge w:val="continue"/>
            <w:shd w:val="clear" w:color="auto" w:fill="E5FFFF"/>
          </w:tcPr>
          <w:p>
            <w:pPr>
              <w:spacing w:after="0"/>
              <w:rPr>
                <w:sz w:val="15"/>
                <w:szCs w:val="15"/>
                <w:color w:val="auto"/>
              </w:rPr>
            </w:pPr>
          </w:p>
        </w:tc>
        <w:tc>
          <w:tcPr>
            <w:tcW w:w="100" w:type="dxa"/>
            <w:vAlign w:val="bottom"/>
            <w:shd w:val="clear" w:color="auto" w:fill="E5FFFF"/>
          </w:tcPr>
          <w:p>
            <w:pPr>
              <w:spacing w:after="0"/>
              <w:rPr>
                <w:sz w:val="15"/>
                <w:szCs w:val="15"/>
                <w:color w:val="auto"/>
              </w:rPr>
            </w:pPr>
          </w:p>
        </w:tc>
        <w:tc>
          <w:tcPr>
            <w:tcW w:w="1400" w:type="dxa"/>
            <w:vAlign w:val="bottom"/>
            <w:gridSpan w:val="2"/>
            <w:vMerge w:val="restart"/>
            <w:shd w:val="clear" w:color="auto" w:fill="E5FFFF"/>
          </w:tcPr>
          <w:p>
            <w:pPr>
              <w:jc w:val="right"/>
              <w:spacing w:after="0"/>
              <w:rPr>
                <w:sz w:val="20"/>
                <w:szCs w:val="20"/>
                <w:color w:val="auto"/>
              </w:rPr>
            </w:pPr>
            <w:r>
              <w:rPr>
                <w:rFonts w:ascii="Arial" w:cs="Arial" w:eastAsia="Arial" w:hAnsi="Arial"/>
                <w:sz w:val="16"/>
                <w:szCs w:val="16"/>
                <w:b w:val="1"/>
                <w:bCs w:val="1"/>
                <w:color w:val="auto"/>
              </w:rPr>
              <w:t>3,096</w:t>
            </w:r>
          </w:p>
        </w:tc>
        <w:tc>
          <w:tcPr>
            <w:tcW w:w="280" w:type="dxa"/>
            <w:vAlign w:val="bottom"/>
            <w:shd w:val="clear" w:color="auto" w:fill="E5FFFF"/>
          </w:tcPr>
          <w:p>
            <w:pPr>
              <w:spacing w:after="0"/>
              <w:rPr>
                <w:sz w:val="15"/>
                <w:szCs w:val="15"/>
                <w:color w:val="auto"/>
              </w:rPr>
            </w:pPr>
          </w:p>
        </w:tc>
        <w:tc>
          <w:tcPr>
            <w:tcW w:w="280" w:type="dxa"/>
            <w:vAlign w:val="bottom"/>
            <w:shd w:val="clear" w:color="auto" w:fill="E5FFFF"/>
          </w:tcPr>
          <w:p>
            <w:pPr>
              <w:spacing w:after="0"/>
              <w:rPr>
                <w:sz w:val="15"/>
                <w:szCs w:val="15"/>
                <w:color w:val="auto"/>
              </w:rPr>
            </w:pPr>
          </w:p>
        </w:tc>
        <w:tc>
          <w:tcPr>
            <w:tcW w:w="280" w:type="dxa"/>
            <w:vAlign w:val="bottom"/>
            <w:shd w:val="clear" w:color="auto" w:fill="E5FFFF"/>
          </w:tcPr>
          <w:p>
            <w:pPr>
              <w:spacing w:after="0"/>
              <w:rPr>
                <w:sz w:val="15"/>
                <w:szCs w:val="15"/>
                <w:color w:val="auto"/>
              </w:rPr>
            </w:pPr>
          </w:p>
        </w:tc>
        <w:tc>
          <w:tcPr>
            <w:tcW w:w="1700" w:type="dxa"/>
            <w:vAlign w:val="bottom"/>
            <w:tcBorders>
              <w:right w:val="single" w:sz="8" w:color="E5FFFF"/>
            </w:tcBorders>
            <w:gridSpan w:val="2"/>
            <w:vMerge w:val="restart"/>
            <w:shd w:val="clear" w:color="auto" w:fill="E5FFFF"/>
          </w:tcPr>
          <w:p>
            <w:pPr>
              <w:jc w:val="right"/>
              <w:ind w:right="240"/>
              <w:spacing w:after="0"/>
              <w:rPr>
                <w:sz w:val="20"/>
                <w:szCs w:val="20"/>
                <w:color w:val="auto"/>
              </w:rPr>
            </w:pPr>
            <w:r>
              <w:rPr>
                <w:rFonts w:ascii="Arial" w:cs="Arial" w:eastAsia="Arial" w:hAnsi="Arial"/>
                <w:sz w:val="16"/>
                <w:szCs w:val="16"/>
                <w:b w:val="1"/>
                <w:bCs w:val="1"/>
                <w:color w:val="auto"/>
              </w:rPr>
              <w:t>(536)</w:t>
            </w:r>
          </w:p>
        </w:tc>
        <w:tc>
          <w:tcPr>
            <w:tcW w:w="1660" w:type="dxa"/>
            <w:vAlign w:val="bottom"/>
            <w:gridSpan w:val="2"/>
            <w:vMerge w:val="restart"/>
            <w:shd w:val="clear" w:color="auto" w:fill="E5FFFF"/>
          </w:tcPr>
          <w:p>
            <w:pPr>
              <w:jc w:val="right"/>
              <w:ind w:right="240"/>
              <w:spacing w:after="0"/>
              <w:rPr>
                <w:sz w:val="20"/>
                <w:szCs w:val="20"/>
                <w:color w:val="auto"/>
              </w:rPr>
            </w:pPr>
            <w:r>
              <w:rPr>
                <w:rFonts w:ascii="Arial" w:cs="Arial" w:eastAsia="Arial" w:hAnsi="Arial"/>
                <w:sz w:val="16"/>
                <w:szCs w:val="16"/>
                <w:b w:val="1"/>
                <w:bCs w:val="1"/>
                <w:color w:val="auto"/>
              </w:rPr>
              <w:t>(21,103)</w:t>
            </w:r>
          </w:p>
        </w:tc>
        <w:tc>
          <w:tcPr>
            <w:tcW w:w="1380" w:type="dxa"/>
            <w:vAlign w:val="bottom"/>
            <w:vMerge w:val="restart"/>
            <w:shd w:val="clear" w:color="auto" w:fill="E5FFFF"/>
          </w:tcPr>
          <w:p>
            <w:pPr>
              <w:jc w:val="right"/>
              <w:spacing w:after="0"/>
              <w:rPr>
                <w:sz w:val="20"/>
                <w:szCs w:val="20"/>
                <w:color w:val="auto"/>
              </w:rPr>
            </w:pPr>
            <w:r>
              <w:rPr>
                <w:rFonts w:ascii="Arial" w:cs="Arial" w:eastAsia="Arial" w:hAnsi="Arial"/>
                <w:sz w:val="16"/>
                <w:szCs w:val="16"/>
                <w:b w:val="1"/>
                <w:bCs w:val="1"/>
                <w:color w:val="auto"/>
              </w:rPr>
              <w:t>(18,543</w:t>
            </w:r>
          </w:p>
        </w:tc>
        <w:tc>
          <w:tcPr>
            <w:tcW w:w="6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3"/>
        </w:trPr>
        <w:tc>
          <w:tcPr>
            <w:tcW w:w="388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2019</w:t>
            </w:r>
          </w:p>
        </w:tc>
        <w:tc>
          <w:tcPr>
            <w:tcW w:w="100" w:type="dxa"/>
            <w:vAlign w:val="bottom"/>
            <w:shd w:val="clear" w:color="auto" w:fill="E5FFFF"/>
          </w:tcPr>
          <w:p>
            <w:pPr>
              <w:spacing w:after="0"/>
              <w:rPr>
                <w:sz w:val="17"/>
                <w:szCs w:val="17"/>
                <w:color w:val="auto"/>
              </w:rPr>
            </w:pPr>
          </w:p>
        </w:tc>
        <w:tc>
          <w:tcPr>
            <w:tcW w:w="1400" w:type="dxa"/>
            <w:vAlign w:val="bottom"/>
            <w:gridSpan w:val="2"/>
            <w:vMerge w:val="continue"/>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700" w:type="dxa"/>
            <w:vAlign w:val="bottom"/>
            <w:tcBorders>
              <w:right w:val="single" w:sz="8" w:color="E5FFFF"/>
            </w:tcBorders>
            <w:gridSpan w:val="2"/>
            <w:vMerge w:val="continue"/>
            <w:shd w:val="clear" w:color="auto" w:fill="E5FFFF"/>
          </w:tcPr>
          <w:p>
            <w:pPr>
              <w:spacing w:after="0"/>
              <w:rPr>
                <w:sz w:val="17"/>
                <w:szCs w:val="17"/>
                <w:color w:val="auto"/>
              </w:rPr>
            </w:pPr>
          </w:p>
        </w:tc>
        <w:tc>
          <w:tcPr>
            <w:tcW w:w="1660" w:type="dxa"/>
            <w:vAlign w:val="bottom"/>
            <w:gridSpan w:val="2"/>
            <w:vMerge w:val="continue"/>
            <w:shd w:val="clear" w:color="auto" w:fill="E5FFFF"/>
          </w:tcPr>
          <w:p>
            <w:pPr>
              <w:spacing w:after="0"/>
              <w:rPr>
                <w:sz w:val="17"/>
                <w:szCs w:val="17"/>
                <w:color w:val="auto"/>
              </w:rPr>
            </w:pPr>
          </w:p>
        </w:tc>
        <w:tc>
          <w:tcPr>
            <w:tcW w:w="1380" w:type="dxa"/>
            <w:vAlign w:val="bottom"/>
            <w:vMerge w:val="continue"/>
            <w:shd w:val="clear" w:color="auto" w:fill="E5FFFF"/>
          </w:tcPr>
          <w:p>
            <w:pPr>
              <w:spacing w:after="0"/>
              <w:rPr>
                <w:sz w:val="17"/>
                <w:szCs w:val="17"/>
                <w:color w:val="auto"/>
              </w:rPr>
            </w:pPr>
          </w:p>
        </w:tc>
        <w:tc>
          <w:tcPr>
            <w:tcW w:w="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80" w:type="dxa"/>
            <w:vAlign w:val="bottom"/>
            <w:tcBorders>
              <w:top w:val="single" w:sz="8" w:color="E5FFFF"/>
            </w:tcBorders>
          </w:tcPr>
          <w:p>
            <w:pPr>
              <w:spacing w:after="0" w:line="20" w:lineRule="exact"/>
              <w:rPr>
                <w:sz w:val="1"/>
                <w:szCs w:val="1"/>
                <w:color w:val="auto"/>
              </w:rPr>
            </w:pPr>
          </w:p>
        </w:tc>
        <w:tc>
          <w:tcPr>
            <w:tcW w:w="560" w:type="dxa"/>
            <w:vAlign w:val="bottom"/>
            <w:tcBorders>
              <w:top w:val="single" w:sz="8" w:color="auto"/>
              <w:bottom w:val="single" w:sz="8" w:color="auto"/>
            </w:tcBorders>
            <w:gridSpan w:val="2"/>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E5FF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Borders>
              <w:top w:val="single" w:sz="8" w:color="E5FF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E5FF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7920" w:type="dxa"/>
            <w:vAlign w:val="bottom"/>
            <w:gridSpan w:val="9"/>
          </w:tcPr>
          <w:p>
            <w:pPr>
              <w:ind w:left="20"/>
              <w:spacing w:after="0"/>
              <w:rPr>
                <w:sz w:val="20"/>
                <w:szCs w:val="20"/>
                <w:color w:val="auto"/>
              </w:rPr>
            </w:pPr>
            <w:r>
              <w:rPr>
                <w:rFonts w:ascii="Arial" w:cs="Arial" w:eastAsia="Arial" w:hAnsi="Arial"/>
                <w:sz w:val="16"/>
                <w:szCs w:val="16"/>
                <w:color w:val="auto"/>
                <w:w w:val="96"/>
              </w:rPr>
              <w:t>A reconciliation of tangible fixed assets and vessels under construction arising from investing activities is as follows:</w:t>
            </w: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3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780" w:type="dxa"/>
            <w:vAlign w:val="bottom"/>
            <w:gridSpan w:val="4"/>
          </w:tcPr>
          <w:p>
            <w:pPr>
              <w:ind w:left="160"/>
              <w:spacing w:after="0"/>
              <w:rPr>
                <w:sz w:val="20"/>
                <w:szCs w:val="20"/>
                <w:color w:val="auto"/>
              </w:rPr>
            </w:pPr>
            <w:r>
              <w:rPr>
                <w:rFonts w:ascii="Arial" w:cs="Arial" w:eastAsia="Arial" w:hAnsi="Arial"/>
                <w:sz w:val="16"/>
                <w:szCs w:val="16"/>
                <w:b w:val="1"/>
                <w:bCs w:val="1"/>
                <w:color w:val="auto"/>
              </w:rPr>
              <w:t>Opening balance</w:t>
            </w:r>
          </w:p>
        </w:tc>
        <w:tc>
          <w:tcPr>
            <w:tcW w:w="1700" w:type="dxa"/>
            <w:vAlign w:val="bottom"/>
            <w:gridSpan w:val="2"/>
          </w:tcPr>
          <w:p>
            <w:pPr>
              <w:jc w:val="right"/>
              <w:ind w:right="620"/>
              <w:spacing w:after="0"/>
              <w:rPr>
                <w:sz w:val="20"/>
                <w:szCs w:val="20"/>
                <w:color w:val="auto"/>
              </w:rPr>
            </w:pPr>
            <w:r>
              <w:rPr>
                <w:rFonts w:ascii="Arial" w:cs="Arial" w:eastAsia="Arial" w:hAnsi="Arial"/>
                <w:sz w:val="16"/>
                <w:szCs w:val="16"/>
                <w:b w:val="1"/>
                <w:bCs w:val="1"/>
                <w:color w:val="auto"/>
              </w:rPr>
              <w:t>Cash flows</w:t>
            </w:r>
          </w:p>
        </w:tc>
        <w:tc>
          <w:tcPr>
            <w:tcW w:w="1660" w:type="dxa"/>
            <w:vAlign w:val="bottom"/>
            <w:gridSpan w:val="2"/>
          </w:tcPr>
          <w:p>
            <w:pPr>
              <w:jc w:val="right"/>
              <w:ind w:right="460"/>
              <w:spacing w:after="0"/>
              <w:rPr>
                <w:sz w:val="20"/>
                <w:szCs w:val="20"/>
                <w:color w:val="auto"/>
              </w:rPr>
            </w:pPr>
            <w:r>
              <w:rPr>
                <w:rFonts w:ascii="Arial" w:cs="Arial" w:eastAsia="Arial" w:hAnsi="Arial"/>
                <w:sz w:val="16"/>
                <w:szCs w:val="16"/>
                <w:b w:val="1"/>
                <w:bCs w:val="1"/>
                <w:color w:val="auto"/>
                <w:w w:val="99"/>
              </w:rPr>
              <w:t>Non-cash items</w:t>
            </w:r>
          </w:p>
        </w:tc>
        <w:tc>
          <w:tcPr>
            <w:tcW w:w="1440" w:type="dxa"/>
            <w:vAlign w:val="bottom"/>
            <w:gridSpan w:val="2"/>
          </w:tcPr>
          <w:p>
            <w:pPr>
              <w:jc w:val="right"/>
              <w:ind w:right="49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79"/>
        </w:trPr>
        <w:tc>
          <w:tcPr>
            <w:tcW w:w="3980" w:type="dxa"/>
            <w:vAlign w:val="bottom"/>
            <w:tcBorders>
              <w:top w:val="single" w:sz="8" w:color="E5FFFF"/>
            </w:tcBorders>
            <w:gridSpan w:val="2"/>
            <w:shd w:val="clear" w:color="auto" w:fill="E5FFFF"/>
          </w:tcPr>
          <w:p>
            <w:pPr>
              <w:spacing w:after="0" w:line="179" w:lineRule="exact"/>
              <w:rPr>
                <w:sz w:val="20"/>
                <w:szCs w:val="20"/>
                <w:color w:val="auto"/>
              </w:rPr>
            </w:pPr>
            <w:r>
              <w:rPr>
                <w:rFonts w:ascii="Arial" w:cs="Arial" w:eastAsia="Arial" w:hAnsi="Arial"/>
                <w:sz w:val="16"/>
                <w:szCs w:val="16"/>
                <w:color w:val="auto"/>
                <w:w w:val="95"/>
              </w:rPr>
              <w:t>Tangible fixed assets and vessels under construction as of</w:t>
            </w:r>
          </w:p>
        </w:tc>
        <w:tc>
          <w:tcPr>
            <w:tcW w:w="460" w:type="dxa"/>
            <w:vAlign w:val="bottom"/>
            <w:tcBorders>
              <w:top w:val="single" w:sz="8" w:color="E5FFFF"/>
            </w:tcBorders>
            <w:shd w:val="clear" w:color="auto" w:fill="E5FFFF"/>
          </w:tcPr>
          <w:p>
            <w:pPr>
              <w:spacing w:after="0"/>
              <w:rPr>
                <w:sz w:val="15"/>
                <w:szCs w:val="15"/>
                <w:color w:val="auto"/>
              </w:rPr>
            </w:pPr>
          </w:p>
        </w:tc>
        <w:tc>
          <w:tcPr>
            <w:tcW w:w="940" w:type="dxa"/>
            <w:vAlign w:val="bottom"/>
            <w:tcBorders>
              <w:top w:val="single" w:sz="8" w:color="auto"/>
            </w:tcBorders>
            <w:shd w:val="clear" w:color="auto" w:fill="E5FFFF"/>
          </w:tcPr>
          <w:p>
            <w:pPr>
              <w:spacing w:after="0"/>
              <w:rPr>
                <w:sz w:val="15"/>
                <w:szCs w:val="15"/>
                <w:color w:val="auto"/>
              </w:rPr>
            </w:pPr>
          </w:p>
        </w:tc>
        <w:tc>
          <w:tcPr>
            <w:tcW w:w="280" w:type="dxa"/>
            <w:vAlign w:val="bottom"/>
            <w:tcBorders>
              <w:top w:val="single" w:sz="8" w:color="auto"/>
            </w:tcBorders>
            <w:shd w:val="clear" w:color="auto" w:fill="E5FFFF"/>
          </w:tcPr>
          <w:p>
            <w:pPr>
              <w:spacing w:after="0"/>
              <w:rPr>
                <w:sz w:val="15"/>
                <w:szCs w:val="15"/>
                <w:color w:val="auto"/>
              </w:rPr>
            </w:pPr>
          </w:p>
        </w:tc>
        <w:tc>
          <w:tcPr>
            <w:tcW w:w="280" w:type="dxa"/>
            <w:vAlign w:val="bottom"/>
            <w:tcBorders>
              <w:top w:val="single" w:sz="8" w:color="auto"/>
            </w:tcBorders>
            <w:shd w:val="clear" w:color="auto" w:fill="E5FFFF"/>
          </w:tcPr>
          <w:p>
            <w:pPr>
              <w:spacing w:after="0"/>
              <w:rPr>
                <w:sz w:val="15"/>
                <w:szCs w:val="15"/>
                <w:color w:val="auto"/>
              </w:rPr>
            </w:pPr>
          </w:p>
        </w:tc>
        <w:tc>
          <w:tcPr>
            <w:tcW w:w="280" w:type="dxa"/>
            <w:vAlign w:val="bottom"/>
            <w:tcBorders>
              <w:top w:val="single" w:sz="8" w:color="E5FFFF"/>
            </w:tcBorders>
            <w:shd w:val="clear" w:color="auto" w:fill="E5FFFF"/>
          </w:tcPr>
          <w:p>
            <w:pPr>
              <w:spacing w:after="0"/>
              <w:rPr>
                <w:sz w:val="15"/>
                <w:szCs w:val="15"/>
                <w:color w:val="auto"/>
              </w:rPr>
            </w:pPr>
          </w:p>
        </w:tc>
        <w:tc>
          <w:tcPr>
            <w:tcW w:w="1420" w:type="dxa"/>
            <w:vAlign w:val="bottom"/>
            <w:tcBorders>
              <w:top w:val="single" w:sz="8" w:color="auto"/>
              <w:right w:val="single" w:sz="8" w:color="E5FFFF"/>
            </w:tcBorders>
            <w:shd w:val="clear" w:color="auto" w:fill="E5FFFF"/>
          </w:tcPr>
          <w:p>
            <w:pPr>
              <w:spacing w:after="0"/>
              <w:rPr>
                <w:sz w:val="15"/>
                <w:szCs w:val="15"/>
                <w:color w:val="auto"/>
              </w:rPr>
            </w:pPr>
          </w:p>
        </w:tc>
        <w:tc>
          <w:tcPr>
            <w:tcW w:w="280" w:type="dxa"/>
            <w:vAlign w:val="bottom"/>
            <w:tcBorders>
              <w:top w:val="single" w:sz="8" w:color="E5FFFF"/>
              <w:right w:val="single" w:sz="8" w:color="E5FFFF"/>
            </w:tcBorders>
            <w:shd w:val="clear" w:color="auto" w:fill="E5FFFF"/>
          </w:tcPr>
          <w:p>
            <w:pPr>
              <w:spacing w:after="0"/>
              <w:rPr>
                <w:sz w:val="15"/>
                <w:szCs w:val="15"/>
                <w:color w:val="auto"/>
              </w:rPr>
            </w:pPr>
          </w:p>
        </w:tc>
        <w:tc>
          <w:tcPr>
            <w:tcW w:w="1360" w:type="dxa"/>
            <w:vAlign w:val="bottom"/>
            <w:tcBorders>
              <w:top w:val="single" w:sz="8" w:color="auto"/>
            </w:tcBorders>
            <w:shd w:val="clear" w:color="auto" w:fill="E5FFFF"/>
          </w:tcPr>
          <w:p>
            <w:pPr>
              <w:spacing w:after="0"/>
              <w:rPr>
                <w:sz w:val="15"/>
                <w:szCs w:val="15"/>
                <w:color w:val="auto"/>
              </w:rPr>
            </w:pPr>
          </w:p>
        </w:tc>
        <w:tc>
          <w:tcPr>
            <w:tcW w:w="300" w:type="dxa"/>
            <w:vAlign w:val="bottom"/>
            <w:tcBorders>
              <w:top w:val="single" w:sz="8" w:color="E5FFFF"/>
            </w:tcBorders>
            <w:shd w:val="clear" w:color="auto" w:fill="E5FFFF"/>
          </w:tcPr>
          <w:p>
            <w:pPr>
              <w:spacing w:after="0"/>
              <w:rPr>
                <w:sz w:val="15"/>
                <w:szCs w:val="15"/>
                <w:color w:val="auto"/>
              </w:rPr>
            </w:pPr>
          </w:p>
        </w:tc>
        <w:tc>
          <w:tcPr>
            <w:tcW w:w="1380" w:type="dxa"/>
            <w:vAlign w:val="bottom"/>
            <w:tcBorders>
              <w:top w:val="single" w:sz="8" w:color="auto"/>
            </w:tcBorders>
            <w:shd w:val="clear" w:color="auto" w:fill="E5FFFF"/>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398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January 1, 2018</w:t>
            </w:r>
          </w:p>
        </w:tc>
        <w:tc>
          <w:tcPr>
            <w:tcW w:w="1960" w:type="dxa"/>
            <w:vAlign w:val="bottom"/>
            <w:gridSpan w:val="4"/>
            <w:shd w:val="clear" w:color="auto" w:fill="E5FFFF"/>
          </w:tcPr>
          <w:p>
            <w:pPr>
              <w:jc w:val="right"/>
              <w:spacing w:after="0"/>
              <w:rPr>
                <w:sz w:val="20"/>
                <w:szCs w:val="20"/>
                <w:color w:val="auto"/>
              </w:rPr>
            </w:pPr>
            <w:r>
              <w:rPr>
                <w:rFonts w:ascii="Arial" w:cs="Arial" w:eastAsia="Arial" w:hAnsi="Arial"/>
                <w:sz w:val="16"/>
                <w:szCs w:val="16"/>
                <w:color w:val="auto"/>
              </w:rPr>
              <w:t>3,939,221</w:t>
            </w:r>
          </w:p>
        </w:tc>
        <w:tc>
          <w:tcPr>
            <w:tcW w:w="280" w:type="dxa"/>
            <w:vAlign w:val="bottom"/>
            <w:shd w:val="clear" w:color="auto" w:fill="E5FFFF"/>
          </w:tcPr>
          <w:p>
            <w:pPr>
              <w:spacing w:after="0"/>
              <w:rPr>
                <w:sz w:val="18"/>
                <w:szCs w:val="18"/>
                <w:color w:val="auto"/>
              </w:rPr>
            </w:pPr>
          </w:p>
        </w:tc>
        <w:tc>
          <w:tcPr>
            <w:tcW w:w="1700" w:type="dxa"/>
            <w:vAlign w:val="bottom"/>
            <w:tcBorders>
              <w:right w:val="single" w:sz="8" w:color="E5FFFF"/>
            </w:tcBorders>
            <w:gridSpan w:val="2"/>
            <w:shd w:val="clear" w:color="auto" w:fill="E5FFFF"/>
          </w:tcPr>
          <w:p>
            <w:pPr>
              <w:jc w:val="right"/>
              <w:ind w:right="300"/>
              <w:spacing w:after="0"/>
              <w:rPr>
                <w:sz w:val="20"/>
                <w:szCs w:val="20"/>
                <w:color w:val="auto"/>
              </w:rPr>
            </w:pPr>
            <w:r>
              <w:rPr>
                <w:rFonts w:ascii="Arial" w:cs="Arial" w:eastAsia="Arial" w:hAnsi="Arial"/>
                <w:sz w:val="16"/>
                <w:szCs w:val="16"/>
                <w:color w:val="auto"/>
              </w:rPr>
              <w:t>—</w:t>
            </w:r>
          </w:p>
        </w:tc>
        <w:tc>
          <w:tcPr>
            <w:tcW w:w="1660" w:type="dxa"/>
            <w:vAlign w:val="bottom"/>
            <w:gridSpan w:val="2"/>
            <w:shd w:val="clear" w:color="auto" w:fill="E5FFFF"/>
          </w:tcPr>
          <w:p>
            <w:pPr>
              <w:jc w:val="right"/>
              <w:ind w:right="300"/>
              <w:spacing w:after="0"/>
              <w:rPr>
                <w:sz w:val="20"/>
                <w:szCs w:val="20"/>
                <w:color w:val="auto"/>
              </w:rPr>
            </w:pPr>
            <w:r>
              <w:rPr>
                <w:rFonts w:ascii="Arial" w:cs="Arial" w:eastAsia="Arial" w:hAnsi="Arial"/>
                <w:sz w:val="16"/>
                <w:szCs w:val="16"/>
                <w:color w:val="auto"/>
              </w:rPr>
              <w:t>—</w:t>
            </w: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3,939,221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980" w:type="dxa"/>
            <w:vAlign w:val="bottom"/>
            <w:gridSpan w:val="2"/>
          </w:tcPr>
          <w:p>
            <w:pPr>
              <w:spacing w:after="0"/>
              <w:rPr>
                <w:sz w:val="20"/>
                <w:szCs w:val="20"/>
                <w:color w:val="auto"/>
              </w:rPr>
            </w:pPr>
            <w:r>
              <w:rPr>
                <w:rFonts w:ascii="Arial" w:cs="Arial" w:eastAsia="Arial" w:hAnsi="Arial"/>
                <w:sz w:val="16"/>
                <w:szCs w:val="16"/>
                <w:color w:val="auto"/>
              </w:rPr>
              <w:t>Additions (Note 5)</w:t>
            </w:r>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547,021</w:t>
            </w:r>
          </w:p>
        </w:tc>
        <w:tc>
          <w:tcPr>
            <w:tcW w:w="2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3,069</w:t>
            </w:r>
          </w:p>
        </w:tc>
        <w:tc>
          <w:tcPr>
            <w:tcW w:w="3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550,090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8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Transfer under “Other non-current assets”</w:t>
            </w:r>
          </w:p>
        </w:tc>
        <w:tc>
          <w:tcPr>
            <w:tcW w:w="460" w:type="dxa"/>
            <w:vAlign w:val="bottom"/>
            <w:shd w:val="clear" w:color="auto" w:fill="E5FFFF"/>
          </w:tcPr>
          <w:p>
            <w:pPr>
              <w:spacing w:after="0"/>
              <w:rPr>
                <w:sz w:val="17"/>
                <w:szCs w:val="17"/>
                <w:color w:val="auto"/>
              </w:rPr>
            </w:pPr>
          </w:p>
        </w:tc>
        <w:tc>
          <w:tcPr>
            <w:tcW w:w="94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56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w:t>
            </w:r>
          </w:p>
        </w:tc>
        <w:tc>
          <w:tcPr>
            <w:tcW w:w="1700" w:type="dxa"/>
            <w:vAlign w:val="bottom"/>
            <w:tcBorders>
              <w:right w:val="single" w:sz="8" w:color="E5FFFF"/>
            </w:tcBorders>
            <w:gridSpan w:val="2"/>
            <w:shd w:val="clear" w:color="auto" w:fill="E5FFFF"/>
          </w:tcPr>
          <w:p>
            <w:pPr>
              <w:jc w:val="right"/>
              <w:ind w:right="300"/>
              <w:spacing w:after="0"/>
              <w:rPr>
                <w:sz w:val="20"/>
                <w:szCs w:val="20"/>
                <w:color w:val="auto"/>
              </w:rPr>
            </w:pPr>
            <w:r>
              <w:rPr>
                <w:rFonts w:ascii="Arial" w:cs="Arial" w:eastAsia="Arial" w:hAnsi="Arial"/>
                <w:sz w:val="16"/>
                <w:szCs w:val="16"/>
                <w:color w:val="auto"/>
              </w:rPr>
              <w:t>—</w:t>
            </w:r>
          </w:p>
        </w:tc>
        <w:tc>
          <w:tcPr>
            <w:tcW w:w="1660" w:type="dxa"/>
            <w:vAlign w:val="bottom"/>
            <w:gridSpan w:val="2"/>
            <w:shd w:val="clear" w:color="auto" w:fill="E5FFFF"/>
          </w:tcPr>
          <w:p>
            <w:pPr>
              <w:jc w:val="right"/>
              <w:ind w:right="240"/>
              <w:spacing w:after="0"/>
              <w:rPr>
                <w:sz w:val="20"/>
                <w:szCs w:val="20"/>
                <w:color w:val="auto"/>
              </w:rPr>
            </w:pPr>
            <w:r>
              <w:rPr>
                <w:rFonts w:ascii="Arial" w:cs="Arial" w:eastAsia="Arial" w:hAnsi="Arial"/>
                <w:sz w:val="16"/>
                <w:szCs w:val="16"/>
                <w:color w:val="auto"/>
              </w:rPr>
              <w:t>(1,650)</w:t>
            </w: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(1,650)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80" w:type="dxa"/>
            <w:vAlign w:val="bottom"/>
            <w:gridSpan w:val="2"/>
          </w:tcPr>
          <w:p>
            <w:pPr>
              <w:spacing w:after="0"/>
              <w:rPr>
                <w:sz w:val="20"/>
                <w:szCs w:val="20"/>
                <w:color w:val="auto"/>
              </w:rPr>
            </w:pPr>
            <w:r>
              <w:rPr>
                <w:rFonts w:ascii="Arial" w:cs="Arial" w:eastAsia="Arial" w:hAnsi="Arial"/>
                <w:sz w:val="16"/>
                <w:szCs w:val="16"/>
                <w:color w:val="auto"/>
              </w:rPr>
              <w:t>Depreciation expense (Note 5)</w:t>
            </w:r>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660" w:type="dxa"/>
            <w:vAlign w:val="bottom"/>
            <w:gridSpan w:val="2"/>
          </w:tcPr>
          <w:p>
            <w:pPr>
              <w:jc w:val="right"/>
              <w:ind w:right="240"/>
              <w:spacing w:after="0"/>
              <w:rPr>
                <w:sz w:val="20"/>
                <w:szCs w:val="20"/>
                <w:color w:val="auto"/>
              </w:rPr>
            </w:pPr>
            <w:r>
              <w:rPr>
                <w:rFonts w:ascii="Arial" w:cs="Arial" w:eastAsia="Arial" w:hAnsi="Arial"/>
                <w:sz w:val="16"/>
                <w:szCs w:val="16"/>
                <w:color w:val="auto"/>
              </w:rPr>
              <w:t>(33,627)</w:t>
            </w:r>
          </w:p>
        </w:tc>
        <w:tc>
          <w:tcPr>
            <w:tcW w:w="1380" w:type="dxa"/>
            <w:vAlign w:val="bottom"/>
          </w:tcPr>
          <w:p>
            <w:pPr>
              <w:jc w:val="right"/>
              <w:spacing w:after="0"/>
              <w:rPr>
                <w:sz w:val="20"/>
                <w:szCs w:val="20"/>
                <w:color w:val="auto"/>
              </w:rPr>
            </w:pPr>
            <w:r>
              <w:rPr>
                <w:rFonts w:ascii="Arial" w:cs="Arial" w:eastAsia="Arial" w:hAnsi="Arial"/>
                <w:sz w:val="16"/>
                <w:szCs w:val="16"/>
                <w:color w:val="auto"/>
              </w:rPr>
              <w:t>(33,627)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980" w:type="dxa"/>
            <w:vAlign w:val="bottom"/>
            <w:gridSpan w:val="2"/>
            <w:vMerge w:val="restart"/>
            <w:shd w:val="clear" w:color="auto" w:fill="E5FFFF"/>
          </w:tcPr>
          <w:p>
            <w:pPr>
              <w:spacing w:after="0"/>
              <w:rPr>
                <w:sz w:val="20"/>
                <w:szCs w:val="20"/>
                <w:color w:val="auto"/>
              </w:rPr>
            </w:pPr>
            <w:r>
              <w:rPr>
                <w:rFonts w:ascii="Arial" w:cs="Arial" w:eastAsia="Arial" w:hAnsi="Arial"/>
                <w:sz w:val="16"/>
                <w:szCs w:val="16"/>
                <w:b w:val="1"/>
                <w:bCs w:val="1"/>
                <w:color w:val="auto"/>
                <w:w w:val="88"/>
              </w:rPr>
              <w:t>Tangible fixed assets and vessels under construction as of</w:t>
            </w:r>
          </w:p>
        </w:tc>
        <w:tc>
          <w:tcPr>
            <w:tcW w:w="460" w:type="dxa"/>
            <w:vAlign w:val="bottom"/>
            <w:shd w:val="clear" w:color="auto" w:fill="E5FF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shd w:val="clear" w:color="auto" w:fill="E5FFFF"/>
          </w:tcPr>
          <w:p>
            <w:pPr>
              <w:spacing w:after="0" w:line="20" w:lineRule="exact"/>
              <w:rPr>
                <w:sz w:val="1"/>
                <w:szCs w:val="1"/>
                <w:color w:val="auto"/>
              </w:rPr>
            </w:pPr>
          </w:p>
        </w:tc>
        <w:tc>
          <w:tcPr>
            <w:tcW w:w="1420" w:type="dxa"/>
            <w:vAlign w:val="bottom"/>
            <w:tcBorders>
              <w:right w:val="single" w:sz="8" w:color="E5FFFF"/>
            </w:tcBorders>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E5FFFF"/>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300" w:type="dxa"/>
            <w:vAlign w:val="bottom"/>
            <w:shd w:val="clear" w:color="auto" w:fill="E5FFFF"/>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980" w:type="dxa"/>
            <w:vAlign w:val="bottom"/>
            <w:gridSpan w:val="2"/>
            <w:vMerge w:val="continue"/>
            <w:shd w:val="clear" w:color="auto" w:fill="E5FFFF"/>
          </w:tcPr>
          <w:p>
            <w:pPr>
              <w:spacing w:after="0"/>
              <w:rPr>
                <w:sz w:val="14"/>
                <w:szCs w:val="14"/>
                <w:color w:val="auto"/>
              </w:rPr>
            </w:pPr>
          </w:p>
        </w:tc>
        <w:tc>
          <w:tcPr>
            <w:tcW w:w="460" w:type="dxa"/>
            <w:vAlign w:val="bottom"/>
            <w:vMerge w:val="restart"/>
            <w:shd w:val="clear" w:color="auto" w:fill="E5FFFF"/>
          </w:tcPr>
          <w:p>
            <w:pPr>
              <w:spacing w:after="0"/>
              <w:rPr>
                <w:sz w:val="14"/>
                <w:szCs w:val="14"/>
                <w:color w:val="auto"/>
              </w:rPr>
            </w:pPr>
          </w:p>
        </w:tc>
        <w:tc>
          <w:tcPr>
            <w:tcW w:w="1500" w:type="dxa"/>
            <w:vAlign w:val="bottom"/>
            <w:gridSpan w:val="3"/>
            <w:vMerge w:val="restart"/>
            <w:shd w:val="clear" w:color="auto" w:fill="E5FFFF"/>
          </w:tcPr>
          <w:p>
            <w:pPr>
              <w:jc w:val="right"/>
              <w:spacing w:after="0"/>
              <w:rPr>
                <w:sz w:val="20"/>
                <w:szCs w:val="20"/>
                <w:color w:val="auto"/>
              </w:rPr>
            </w:pPr>
            <w:r>
              <w:rPr>
                <w:rFonts w:ascii="Arial" w:cs="Arial" w:eastAsia="Arial" w:hAnsi="Arial"/>
                <w:sz w:val="16"/>
                <w:szCs w:val="16"/>
                <w:b w:val="1"/>
                <w:bCs w:val="1"/>
                <w:color w:val="auto"/>
              </w:rPr>
              <w:t>3,939,221</w:t>
            </w:r>
          </w:p>
        </w:tc>
        <w:tc>
          <w:tcPr>
            <w:tcW w:w="280" w:type="dxa"/>
            <w:vAlign w:val="bottom"/>
            <w:shd w:val="clear" w:color="auto" w:fill="E5FFFF"/>
          </w:tcPr>
          <w:p>
            <w:pPr>
              <w:spacing w:after="0"/>
              <w:rPr>
                <w:sz w:val="14"/>
                <w:szCs w:val="14"/>
                <w:color w:val="auto"/>
              </w:rPr>
            </w:pPr>
          </w:p>
        </w:tc>
        <w:tc>
          <w:tcPr>
            <w:tcW w:w="1420" w:type="dxa"/>
            <w:vAlign w:val="bottom"/>
            <w:tcBorders>
              <w:right w:val="single" w:sz="8" w:color="E5FFFF"/>
            </w:tcBorders>
            <w:vMerge w:val="restart"/>
            <w:shd w:val="clear" w:color="auto" w:fill="E5FFFF"/>
          </w:tcPr>
          <w:p>
            <w:pPr>
              <w:jc w:val="right"/>
              <w:spacing w:after="0"/>
              <w:rPr>
                <w:sz w:val="20"/>
                <w:szCs w:val="20"/>
                <w:color w:val="auto"/>
              </w:rPr>
            </w:pPr>
            <w:r>
              <w:rPr>
                <w:rFonts w:ascii="Arial" w:cs="Arial" w:eastAsia="Arial" w:hAnsi="Arial"/>
                <w:sz w:val="16"/>
                <w:szCs w:val="16"/>
                <w:b w:val="1"/>
                <w:bCs w:val="1"/>
                <w:color w:val="auto"/>
              </w:rPr>
              <w:t>547,021</w:t>
            </w:r>
          </w:p>
        </w:tc>
        <w:tc>
          <w:tcPr>
            <w:tcW w:w="280" w:type="dxa"/>
            <w:vAlign w:val="bottom"/>
            <w:tcBorders>
              <w:right w:val="single" w:sz="8" w:color="E5FFFF"/>
            </w:tcBorders>
            <w:shd w:val="clear" w:color="auto" w:fill="E5FFFF"/>
          </w:tcPr>
          <w:p>
            <w:pPr>
              <w:spacing w:after="0"/>
              <w:rPr>
                <w:sz w:val="14"/>
                <w:szCs w:val="14"/>
                <w:color w:val="auto"/>
              </w:rPr>
            </w:pPr>
          </w:p>
        </w:tc>
        <w:tc>
          <w:tcPr>
            <w:tcW w:w="1660" w:type="dxa"/>
            <w:vAlign w:val="bottom"/>
            <w:gridSpan w:val="2"/>
            <w:vMerge w:val="restart"/>
            <w:shd w:val="clear" w:color="auto" w:fill="E5FFFF"/>
          </w:tcPr>
          <w:p>
            <w:pPr>
              <w:jc w:val="right"/>
              <w:ind w:right="240"/>
              <w:spacing w:after="0"/>
              <w:rPr>
                <w:sz w:val="20"/>
                <w:szCs w:val="20"/>
                <w:color w:val="auto"/>
              </w:rPr>
            </w:pPr>
            <w:r>
              <w:rPr>
                <w:rFonts w:ascii="Arial" w:cs="Arial" w:eastAsia="Arial" w:hAnsi="Arial"/>
                <w:sz w:val="16"/>
                <w:szCs w:val="16"/>
                <w:b w:val="1"/>
                <w:bCs w:val="1"/>
                <w:color w:val="auto"/>
              </w:rPr>
              <w:t>(32,208)</w:t>
            </w:r>
          </w:p>
        </w:tc>
        <w:tc>
          <w:tcPr>
            <w:tcW w:w="1380" w:type="dxa"/>
            <w:vAlign w:val="bottom"/>
            <w:vMerge w:val="restart"/>
            <w:shd w:val="clear" w:color="auto" w:fill="E5FFFF"/>
          </w:tcPr>
          <w:p>
            <w:pPr>
              <w:jc w:val="right"/>
              <w:spacing w:after="0"/>
              <w:rPr>
                <w:sz w:val="20"/>
                <w:szCs w:val="20"/>
                <w:color w:val="auto"/>
              </w:rPr>
            </w:pPr>
            <w:r>
              <w:rPr>
                <w:rFonts w:ascii="Arial" w:cs="Arial" w:eastAsia="Arial" w:hAnsi="Arial"/>
                <w:sz w:val="16"/>
                <w:szCs w:val="16"/>
                <w:b w:val="1"/>
                <w:bCs w:val="1"/>
                <w:color w:val="auto"/>
              </w:rPr>
              <w:t>4,454,034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980" w:type="dxa"/>
            <w:vAlign w:val="bottom"/>
            <w:gridSpan w:val="2"/>
            <w:shd w:val="clear" w:color="auto" w:fill="E5FFFF"/>
          </w:tcPr>
          <w:p>
            <w:pPr>
              <w:spacing w:after="0"/>
              <w:rPr>
                <w:sz w:val="20"/>
                <w:szCs w:val="20"/>
                <w:color w:val="auto"/>
              </w:rPr>
            </w:pPr>
            <w:r>
              <w:rPr>
                <w:rFonts w:ascii="Arial" w:cs="Arial" w:eastAsia="Arial" w:hAnsi="Arial"/>
                <w:sz w:val="16"/>
                <w:szCs w:val="16"/>
                <w:b w:val="1"/>
                <w:bCs w:val="1"/>
                <w:color w:val="auto"/>
              </w:rPr>
              <w:t>March 31, 2018</w:t>
            </w:r>
          </w:p>
        </w:tc>
        <w:tc>
          <w:tcPr>
            <w:tcW w:w="460" w:type="dxa"/>
            <w:vAlign w:val="bottom"/>
            <w:vMerge w:val="continue"/>
            <w:shd w:val="clear" w:color="auto" w:fill="E5FFFF"/>
          </w:tcPr>
          <w:p>
            <w:pPr>
              <w:spacing w:after="0"/>
              <w:rPr>
                <w:sz w:val="17"/>
                <w:szCs w:val="17"/>
                <w:color w:val="auto"/>
              </w:rPr>
            </w:pPr>
          </w:p>
        </w:tc>
        <w:tc>
          <w:tcPr>
            <w:tcW w:w="1500" w:type="dxa"/>
            <w:vAlign w:val="bottom"/>
            <w:gridSpan w:val="3"/>
            <w:vMerge w:val="continue"/>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420" w:type="dxa"/>
            <w:vAlign w:val="bottom"/>
            <w:tcBorders>
              <w:right w:val="single" w:sz="8" w:color="E5FFFF"/>
            </w:tcBorders>
            <w:vMerge w:val="continue"/>
            <w:shd w:val="clear" w:color="auto" w:fill="E5FFFF"/>
          </w:tcPr>
          <w:p>
            <w:pPr>
              <w:spacing w:after="0"/>
              <w:rPr>
                <w:sz w:val="17"/>
                <w:szCs w:val="17"/>
                <w:color w:val="auto"/>
              </w:rPr>
            </w:pPr>
          </w:p>
        </w:tc>
        <w:tc>
          <w:tcPr>
            <w:tcW w:w="280" w:type="dxa"/>
            <w:vAlign w:val="bottom"/>
            <w:tcBorders>
              <w:right w:val="single" w:sz="8" w:color="E5FFFF"/>
            </w:tcBorders>
            <w:shd w:val="clear" w:color="auto" w:fill="E5FFFF"/>
          </w:tcPr>
          <w:p>
            <w:pPr>
              <w:spacing w:after="0"/>
              <w:rPr>
                <w:sz w:val="17"/>
                <w:szCs w:val="17"/>
                <w:color w:val="auto"/>
              </w:rPr>
            </w:pPr>
          </w:p>
        </w:tc>
        <w:tc>
          <w:tcPr>
            <w:tcW w:w="1660" w:type="dxa"/>
            <w:vAlign w:val="bottom"/>
            <w:gridSpan w:val="2"/>
            <w:vMerge w:val="continue"/>
            <w:shd w:val="clear" w:color="auto" w:fill="E5FFFF"/>
          </w:tcPr>
          <w:p>
            <w:pPr>
              <w:spacing w:after="0"/>
              <w:rPr>
                <w:sz w:val="17"/>
                <w:szCs w:val="17"/>
                <w:color w:val="auto"/>
              </w:rPr>
            </w:pPr>
          </w:p>
        </w:tc>
        <w:tc>
          <w:tcPr>
            <w:tcW w:w="1380" w:type="dxa"/>
            <w:vAlign w:val="bottom"/>
            <w:vMerge w:val="continue"/>
            <w:shd w:val="clear" w:color="auto" w:fill="E5FF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80" w:type="dxa"/>
            <w:vAlign w:val="bottom"/>
            <w:tcBorders>
              <w:top w:val="single" w:sz="8" w:color="E5FFFF"/>
            </w:tcBorders>
          </w:tcPr>
          <w:p>
            <w:pPr>
              <w:spacing w:after="0" w:line="20" w:lineRule="exact"/>
              <w:rPr>
                <w:sz w:val="1"/>
                <w:szCs w:val="1"/>
                <w:color w:val="auto"/>
              </w:rPr>
            </w:pPr>
          </w:p>
        </w:tc>
        <w:tc>
          <w:tcPr>
            <w:tcW w:w="100" w:type="dxa"/>
            <w:vAlign w:val="bottom"/>
            <w:tcBorders>
              <w:top w:val="single" w:sz="8" w:color="E5FFFF"/>
            </w:tcBorders>
          </w:tcPr>
          <w:p>
            <w:pPr>
              <w:spacing w:after="0" w:line="20" w:lineRule="exact"/>
              <w:rPr>
                <w:sz w:val="1"/>
                <w:szCs w:val="1"/>
                <w:color w:val="auto"/>
              </w:rPr>
            </w:pPr>
          </w:p>
        </w:tc>
        <w:tc>
          <w:tcPr>
            <w:tcW w:w="460" w:type="dxa"/>
            <w:vAlign w:val="bottom"/>
            <w:tcBorders>
              <w:top w:val="single" w:sz="8" w:color="E5FFFF"/>
            </w:tcBorders>
          </w:tcPr>
          <w:p>
            <w:pPr>
              <w:spacing w:after="0" w:line="20" w:lineRule="exact"/>
              <w:rPr>
                <w:sz w:val="1"/>
                <w:szCs w:val="1"/>
                <w:color w:val="auto"/>
              </w:rPr>
            </w:pPr>
          </w:p>
        </w:tc>
        <w:tc>
          <w:tcPr>
            <w:tcW w:w="1500" w:type="dxa"/>
            <w:vAlign w:val="bottom"/>
            <w:tcBorders>
              <w:top w:val="single" w:sz="8" w:color="auto"/>
              <w:bottom w:val="single" w:sz="8" w:color="auto"/>
            </w:tcBorders>
            <w:gridSpan w:val="3"/>
          </w:tcPr>
          <w:p>
            <w:pPr>
              <w:spacing w:after="0" w:line="20" w:lineRule="exact"/>
              <w:rPr>
                <w:sz w:val="1"/>
                <w:szCs w:val="1"/>
                <w:color w:val="auto"/>
              </w:rPr>
            </w:pPr>
          </w:p>
        </w:tc>
        <w:tc>
          <w:tcPr>
            <w:tcW w:w="280" w:type="dxa"/>
            <w:vAlign w:val="bottom"/>
            <w:tcBorders>
              <w:top w:val="single" w:sz="8" w:color="E5FF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E5FF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E5FF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9"/>
        </w:trPr>
        <w:tc>
          <w:tcPr>
            <w:tcW w:w="3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780" w:type="dxa"/>
            <w:vAlign w:val="bottom"/>
            <w:gridSpan w:val="4"/>
          </w:tcPr>
          <w:p>
            <w:pPr>
              <w:ind w:left="160"/>
              <w:spacing w:after="0"/>
              <w:rPr>
                <w:sz w:val="20"/>
                <w:szCs w:val="20"/>
                <w:color w:val="auto"/>
              </w:rPr>
            </w:pPr>
            <w:r>
              <w:rPr>
                <w:rFonts w:ascii="Arial" w:cs="Arial" w:eastAsia="Arial" w:hAnsi="Arial"/>
                <w:sz w:val="16"/>
                <w:szCs w:val="16"/>
                <w:b w:val="1"/>
                <w:bCs w:val="1"/>
                <w:color w:val="auto"/>
              </w:rPr>
              <w:t>Opening balance</w:t>
            </w:r>
          </w:p>
        </w:tc>
        <w:tc>
          <w:tcPr>
            <w:tcW w:w="1700" w:type="dxa"/>
            <w:vAlign w:val="bottom"/>
            <w:gridSpan w:val="2"/>
          </w:tcPr>
          <w:p>
            <w:pPr>
              <w:jc w:val="right"/>
              <w:ind w:right="620"/>
              <w:spacing w:after="0"/>
              <w:rPr>
                <w:sz w:val="20"/>
                <w:szCs w:val="20"/>
                <w:color w:val="auto"/>
              </w:rPr>
            </w:pPr>
            <w:r>
              <w:rPr>
                <w:rFonts w:ascii="Arial" w:cs="Arial" w:eastAsia="Arial" w:hAnsi="Arial"/>
                <w:sz w:val="16"/>
                <w:szCs w:val="16"/>
                <w:b w:val="1"/>
                <w:bCs w:val="1"/>
                <w:color w:val="auto"/>
              </w:rPr>
              <w:t>Cash flows</w:t>
            </w:r>
          </w:p>
        </w:tc>
        <w:tc>
          <w:tcPr>
            <w:tcW w:w="1660" w:type="dxa"/>
            <w:vAlign w:val="bottom"/>
            <w:gridSpan w:val="2"/>
          </w:tcPr>
          <w:p>
            <w:pPr>
              <w:jc w:val="right"/>
              <w:ind w:right="460"/>
              <w:spacing w:after="0"/>
              <w:rPr>
                <w:sz w:val="20"/>
                <w:szCs w:val="20"/>
                <w:color w:val="auto"/>
              </w:rPr>
            </w:pPr>
            <w:r>
              <w:rPr>
                <w:rFonts w:ascii="Arial" w:cs="Arial" w:eastAsia="Arial" w:hAnsi="Arial"/>
                <w:sz w:val="16"/>
                <w:szCs w:val="16"/>
                <w:b w:val="1"/>
                <w:bCs w:val="1"/>
                <w:color w:val="auto"/>
                <w:w w:val="99"/>
              </w:rPr>
              <w:t>Non-cash items</w:t>
            </w:r>
          </w:p>
        </w:tc>
        <w:tc>
          <w:tcPr>
            <w:tcW w:w="1440" w:type="dxa"/>
            <w:vAlign w:val="bottom"/>
            <w:gridSpan w:val="2"/>
          </w:tcPr>
          <w:p>
            <w:pPr>
              <w:jc w:val="right"/>
              <w:ind w:right="49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79"/>
        </w:trPr>
        <w:tc>
          <w:tcPr>
            <w:tcW w:w="3980" w:type="dxa"/>
            <w:vAlign w:val="bottom"/>
            <w:tcBorders>
              <w:top w:val="single" w:sz="8" w:color="E5FFFF"/>
            </w:tcBorders>
            <w:gridSpan w:val="2"/>
            <w:shd w:val="clear" w:color="auto" w:fill="E5FFFF"/>
          </w:tcPr>
          <w:p>
            <w:pPr>
              <w:spacing w:after="0" w:line="179" w:lineRule="exact"/>
              <w:rPr>
                <w:sz w:val="20"/>
                <w:szCs w:val="20"/>
                <w:color w:val="auto"/>
              </w:rPr>
            </w:pPr>
            <w:r>
              <w:rPr>
                <w:rFonts w:ascii="Arial" w:cs="Arial" w:eastAsia="Arial" w:hAnsi="Arial"/>
                <w:sz w:val="16"/>
                <w:szCs w:val="16"/>
                <w:color w:val="auto"/>
                <w:w w:val="95"/>
              </w:rPr>
              <w:t>Tangible fixed assets and vessels under construction as of</w:t>
            </w:r>
          </w:p>
        </w:tc>
        <w:tc>
          <w:tcPr>
            <w:tcW w:w="460" w:type="dxa"/>
            <w:vAlign w:val="bottom"/>
            <w:tcBorders>
              <w:top w:val="single" w:sz="8" w:color="E5FFFF"/>
            </w:tcBorders>
            <w:shd w:val="clear" w:color="auto" w:fill="E5FFFF"/>
          </w:tcPr>
          <w:p>
            <w:pPr>
              <w:spacing w:after="0"/>
              <w:rPr>
                <w:sz w:val="15"/>
                <w:szCs w:val="15"/>
                <w:color w:val="auto"/>
              </w:rPr>
            </w:pPr>
          </w:p>
        </w:tc>
        <w:tc>
          <w:tcPr>
            <w:tcW w:w="940" w:type="dxa"/>
            <w:vAlign w:val="bottom"/>
            <w:tcBorders>
              <w:top w:val="single" w:sz="8" w:color="auto"/>
            </w:tcBorders>
            <w:shd w:val="clear" w:color="auto" w:fill="E5FFFF"/>
          </w:tcPr>
          <w:p>
            <w:pPr>
              <w:spacing w:after="0"/>
              <w:rPr>
                <w:sz w:val="15"/>
                <w:szCs w:val="15"/>
                <w:color w:val="auto"/>
              </w:rPr>
            </w:pPr>
          </w:p>
        </w:tc>
        <w:tc>
          <w:tcPr>
            <w:tcW w:w="280" w:type="dxa"/>
            <w:vAlign w:val="bottom"/>
            <w:tcBorders>
              <w:top w:val="single" w:sz="8" w:color="auto"/>
            </w:tcBorders>
            <w:shd w:val="clear" w:color="auto" w:fill="E5FFFF"/>
          </w:tcPr>
          <w:p>
            <w:pPr>
              <w:spacing w:after="0"/>
              <w:rPr>
                <w:sz w:val="15"/>
                <w:szCs w:val="15"/>
                <w:color w:val="auto"/>
              </w:rPr>
            </w:pPr>
          </w:p>
        </w:tc>
        <w:tc>
          <w:tcPr>
            <w:tcW w:w="280" w:type="dxa"/>
            <w:vAlign w:val="bottom"/>
            <w:tcBorders>
              <w:top w:val="single" w:sz="8" w:color="auto"/>
            </w:tcBorders>
            <w:shd w:val="clear" w:color="auto" w:fill="E5FFFF"/>
          </w:tcPr>
          <w:p>
            <w:pPr>
              <w:spacing w:after="0"/>
              <w:rPr>
                <w:sz w:val="15"/>
                <w:szCs w:val="15"/>
                <w:color w:val="auto"/>
              </w:rPr>
            </w:pPr>
          </w:p>
        </w:tc>
        <w:tc>
          <w:tcPr>
            <w:tcW w:w="280" w:type="dxa"/>
            <w:vAlign w:val="bottom"/>
            <w:tcBorders>
              <w:top w:val="single" w:sz="8" w:color="E5FFFF"/>
            </w:tcBorders>
            <w:shd w:val="clear" w:color="auto" w:fill="E5FFFF"/>
          </w:tcPr>
          <w:p>
            <w:pPr>
              <w:spacing w:after="0"/>
              <w:rPr>
                <w:sz w:val="15"/>
                <w:szCs w:val="15"/>
                <w:color w:val="auto"/>
              </w:rPr>
            </w:pPr>
          </w:p>
        </w:tc>
        <w:tc>
          <w:tcPr>
            <w:tcW w:w="1420" w:type="dxa"/>
            <w:vAlign w:val="bottom"/>
            <w:tcBorders>
              <w:top w:val="single" w:sz="8" w:color="auto"/>
              <w:right w:val="single" w:sz="8" w:color="E5FFFF"/>
            </w:tcBorders>
            <w:shd w:val="clear" w:color="auto" w:fill="E5FFFF"/>
          </w:tcPr>
          <w:p>
            <w:pPr>
              <w:spacing w:after="0"/>
              <w:rPr>
                <w:sz w:val="15"/>
                <w:szCs w:val="15"/>
                <w:color w:val="auto"/>
              </w:rPr>
            </w:pPr>
          </w:p>
        </w:tc>
        <w:tc>
          <w:tcPr>
            <w:tcW w:w="280" w:type="dxa"/>
            <w:vAlign w:val="bottom"/>
            <w:tcBorders>
              <w:top w:val="single" w:sz="8" w:color="E5FFFF"/>
              <w:right w:val="single" w:sz="8" w:color="E5FFFF"/>
            </w:tcBorders>
            <w:shd w:val="clear" w:color="auto" w:fill="E5FFFF"/>
          </w:tcPr>
          <w:p>
            <w:pPr>
              <w:spacing w:after="0"/>
              <w:rPr>
                <w:sz w:val="15"/>
                <w:szCs w:val="15"/>
                <w:color w:val="auto"/>
              </w:rPr>
            </w:pPr>
          </w:p>
        </w:tc>
        <w:tc>
          <w:tcPr>
            <w:tcW w:w="1360" w:type="dxa"/>
            <w:vAlign w:val="bottom"/>
            <w:tcBorders>
              <w:top w:val="single" w:sz="8" w:color="auto"/>
            </w:tcBorders>
            <w:shd w:val="clear" w:color="auto" w:fill="E5FFFF"/>
          </w:tcPr>
          <w:p>
            <w:pPr>
              <w:spacing w:after="0"/>
              <w:rPr>
                <w:sz w:val="15"/>
                <w:szCs w:val="15"/>
                <w:color w:val="auto"/>
              </w:rPr>
            </w:pPr>
          </w:p>
        </w:tc>
        <w:tc>
          <w:tcPr>
            <w:tcW w:w="300" w:type="dxa"/>
            <w:vAlign w:val="bottom"/>
            <w:tcBorders>
              <w:top w:val="single" w:sz="8" w:color="E5FFFF"/>
            </w:tcBorders>
            <w:shd w:val="clear" w:color="auto" w:fill="E5FFFF"/>
          </w:tcPr>
          <w:p>
            <w:pPr>
              <w:spacing w:after="0"/>
              <w:rPr>
                <w:sz w:val="15"/>
                <w:szCs w:val="15"/>
                <w:color w:val="auto"/>
              </w:rPr>
            </w:pPr>
          </w:p>
        </w:tc>
        <w:tc>
          <w:tcPr>
            <w:tcW w:w="1380" w:type="dxa"/>
            <w:vAlign w:val="bottom"/>
            <w:tcBorders>
              <w:top w:val="single" w:sz="8" w:color="auto"/>
            </w:tcBorders>
            <w:shd w:val="clear" w:color="auto" w:fill="E5FFFF"/>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398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January 1, 2019</w:t>
            </w:r>
          </w:p>
        </w:tc>
        <w:tc>
          <w:tcPr>
            <w:tcW w:w="1960" w:type="dxa"/>
            <w:vAlign w:val="bottom"/>
            <w:gridSpan w:val="4"/>
            <w:shd w:val="clear" w:color="auto" w:fill="E5FFFF"/>
          </w:tcPr>
          <w:p>
            <w:pPr>
              <w:jc w:val="right"/>
              <w:spacing w:after="0"/>
              <w:rPr>
                <w:sz w:val="20"/>
                <w:szCs w:val="20"/>
                <w:color w:val="auto"/>
              </w:rPr>
            </w:pPr>
            <w:r>
              <w:rPr>
                <w:rFonts w:ascii="Arial" w:cs="Arial" w:eastAsia="Arial" w:hAnsi="Arial"/>
                <w:sz w:val="16"/>
                <w:szCs w:val="16"/>
                <w:color w:val="auto"/>
              </w:rPr>
              <w:t>4,482,857</w:t>
            </w:r>
          </w:p>
        </w:tc>
        <w:tc>
          <w:tcPr>
            <w:tcW w:w="280" w:type="dxa"/>
            <w:vAlign w:val="bottom"/>
            <w:shd w:val="clear" w:color="auto" w:fill="E5FFFF"/>
          </w:tcPr>
          <w:p>
            <w:pPr>
              <w:spacing w:after="0"/>
              <w:rPr>
                <w:sz w:val="18"/>
                <w:szCs w:val="18"/>
                <w:color w:val="auto"/>
              </w:rPr>
            </w:pPr>
          </w:p>
        </w:tc>
        <w:tc>
          <w:tcPr>
            <w:tcW w:w="1700" w:type="dxa"/>
            <w:vAlign w:val="bottom"/>
            <w:tcBorders>
              <w:right w:val="single" w:sz="8" w:color="E5FFFF"/>
            </w:tcBorders>
            <w:gridSpan w:val="2"/>
            <w:shd w:val="clear" w:color="auto" w:fill="E5FFFF"/>
          </w:tcPr>
          <w:p>
            <w:pPr>
              <w:jc w:val="right"/>
              <w:ind w:right="300"/>
              <w:spacing w:after="0"/>
              <w:rPr>
                <w:sz w:val="20"/>
                <w:szCs w:val="20"/>
                <w:color w:val="auto"/>
              </w:rPr>
            </w:pPr>
            <w:r>
              <w:rPr>
                <w:rFonts w:ascii="Arial" w:cs="Arial" w:eastAsia="Arial" w:hAnsi="Arial"/>
                <w:sz w:val="16"/>
                <w:szCs w:val="16"/>
                <w:color w:val="auto"/>
              </w:rPr>
              <w:t>—</w:t>
            </w:r>
          </w:p>
        </w:tc>
        <w:tc>
          <w:tcPr>
            <w:tcW w:w="1660" w:type="dxa"/>
            <w:vAlign w:val="bottom"/>
            <w:gridSpan w:val="2"/>
            <w:shd w:val="clear" w:color="auto" w:fill="E5FFFF"/>
          </w:tcPr>
          <w:p>
            <w:pPr>
              <w:jc w:val="right"/>
              <w:ind w:right="300"/>
              <w:spacing w:after="0"/>
              <w:rPr>
                <w:sz w:val="20"/>
                <w:szCs w:val="20"/>
                <w:color w:val="auto"/>
              </w:rPr>
            </w:pPr>
            <w:r>
              <w:rPr>
                <w:rFonts w:ascii="Arial" w:cs="Arial" w:eastAsia="Arial" w:hAnsi="Arial"/>
                <w:sz w:val="16"/>
                <w:szCs w:val="16"/>
                <w:color w:val="auto"/>
              </w:rPr>
              <w:t>—</w:t>
            </w: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4,482,857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980" w:type="dxa"/>
            <w:vAlign w:val="bottom"/>
            <w:gridSpan w:val="2"/>
          </w:tcPr>
          <w:p>
            <w:pPr>
              <w:spacing w:after="0"/>
              <w:rPr>
                <w:sz w:val="20"/>
                <w:szCs w:val="20"/>
                <w:color w:val="auto"/>
              </w:rPr>
            </w:pPr>
            <w:r>
              <w:rPr>
                <w:rFonts w:ascii="Arial" w:cs="Arial" w:eastAsia="Arial" w:hAnsi="Arial"/>
                <w:sz w:val="16"/>
                <w:szCs w:val="16"/>
                <w:color w:val="auto"/>
              </w:rPr>
              <w:t>Additions (Note 5)</w:t>
            </w:r>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220,550</w:t>
            </w:r>
          </w:p>
        </w:tc>
        <w:tc>
          <w:tcPr>
            <w:tcW w:w="280" w:type="dxa"/>
            <w:vAlign w:val="bottom"/>
          </w:tcPr>
          <w:p>
            <w:pPr>
              <w:spacing w:after="0"/>
              <w:rPr>
                <w:sz w:val="17"/>
                <w:szCs w:val="17"/>
                <w:color w:val="auto"/>
              </w:rPr>
            </w:pPr>
          </w:p>
        </w:tc>
        <w:tc>
          <w:tcPr>
            <w:tcW w:w="1660" w:type="dxa"/>
            <w:vAlign w:val="bottom"/>
            <w:gridSpan w:val="2"/>
          </w:tcPr>
          <w:p>
            <w:pPr>
              <w:jc w:val="right"/>
              <w:ind w:right="240"/>
              <w:spacing w:after="0"/>
              <w:rPr>
                <w:sz w:val="20"/>
                <w:szCs w:val="20"/>
                <w:color w:val="auto"/>
              </w:rPr>
            </w:pPr>
            <w:r>
              <w:rPr>
                <w:rFonts w:ascii="Arial" w:cs="Arial" w:eastAsia="Arial" w:hAnsi="Arial"/>
                <w:sz w:val="16"/>
                <w:szCs w:val="16"/>
                <w:color w:val="auto"/>
              </w:rPr>
              <w:t>(4,440)</w:t>
            </w:r>
          </w:p>
        </w:tc>
        <w:tc>
          <w:tcPr>
            <w:tcW w:w="1380" w:type="dxa"/>
            <w:vAlign w:val="bottom"/>
          </w:tcPr>
          <w:p>
            <w:pPr>
              <w:jc w:val="right"/>
              <w:spacing w:after="0"/>
              <w:rPr>
                <w:sz w:val="20"/>
                <w:szCs w:val="20"/>
                <w:color w:val="auto"/>
              </w:rPr>
            </w:pPr>
            <w:r>
              <w:rPr>
                <w:rFonts w:ascii="Arial" w:cs="Arial" w:eastAsia="Arial" w:hAnsi="Arial"/>
                <w:sz w:val="16"/>
                <w:szCs w:val="16"/>
                <w:color w:val="auto"/>
              </w:rPr>
              <w:t>216,110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8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Returns for capital expenditures (Note 5)</w:t>
            </w:r>
          </w:p>
        </w:tc>
        <w:tc>
          <w:tcPr>
            <w:tcW w:w="460" w:type="dxa"/>
            <w:vAlign w:val="bottom"/>
            <w:shd w:val="clear" w:color="auto" w:fill="E5FFFF"/>
          </w:tcPr>
          <w:p>
            <w:pPr>
              <w:spacing w:after="0"/>
              <w:rPr>
                <w:sz w:val="17"/>
                <w:szCs w:val="17"/>
                <w:color w:val="auto"/>
              </w:rPr>
            </w:pPr>
          </w:p>
        </w:tc>
        <w:tc>
          <w:tcPr>
            <w:tcW w:w="94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56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w:t>
            </w:r>
          </w:p>
        </w:tc>
        <w:tc>
          <w:tcPr>
            <w:tcW w:w="1700" w:type="dxa"/>
            <w:vAlign w:val="bottom"/>
            <w:tcBorders>
              <w:right w:val="single" w:sz="8" w:color="E5FFFF"/>
            </w:tcBorders>
            <w:gridSpan w:val="2"/>
            <w:shd w:val="clear" w:color="auto" w:fill="E5FFFF"/>
          </w:tcPr>
          <w:p>
            <w:pPr>
              <w:jc w:val="right"/>
              <w:ind w:right="260"/>
              <w:spacing w:after="0"/>
              <w:rPr>
                <w:sz w:val="20"/>
                <w:szCs w:val="20"/>
                <w:color w:val="auto"/>
              </w:rPr>
            </w:pPr>
            <w:r>
              <w:rPr>
                <w:rFonts w:ascii="Arial" w:cs="Arial" w:eastAsia="Arial" w:hAnsi="Arial"/>
                <w:sz w:val="16"/>
                <w:szCs w:val="16"/>
                <w:color w:val="auto"/>
              </w:rPr>
              <w:t>(5,629)</w:t>
            </w:r>
          </w:p>
        </w:tc>
        <w:tc>
          <w:tcPr>
            <w:tcW w:w="1660" w:type="dxa"/>
            <w:vAlign w:val="bottom"/>
            <w:gridSpan w:val="2"/>
            <w:shd w:val="clear" w:color="auto" w:fill="E5FFFF"/>
          </w:tcPr>
          <w:p>
            <w:pPr>
              <w:jc w:val="right"/>
              <w:ind w:right="300"/>
              <w:spacing w:after="0"/>
              <w:rPr>
                <w:sz w:val="20"/>
                <w:szCs w:val="20"/>
                <w:color w:val="auto"/>
              </w:rPr>
            </w:pPr>
            <w:r>
              <w:rPr>
                <w:rFonts w:ascii="Arial" w:cs="Arial" w:eastAsia="Arial" w:hAnsi="Arial"/>
                <w:sz w:val="16"/>
                <w:szCs w:val="16"/>
                <w:color w:val="auto"/>
              </w:rPr>
              <w:t>—</w:t>
            </w: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(5,629)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80" w:type="dxa"/>
            <w:vAlign w:val="bottom"/>
            <w:gridSpan w:val="2"/>
          </w:tcPr>
          <w:p>
            <w:pPr>
              <w:spacing w:after="0"/>
              <w:rPr>
                <w:sz w:val="20"/>
                <w:szCs w:val="20"/>
                <w:color w:val="auto"/>
              </w:rPr>
            </w:pPr>
            <w:r>
              <w:rPr>
                <w:rFonts w:ascii="Arial" w:cs="Arial" w:eastAsia="Arial" w:hAnsi="Arial"/>
                <w:sz w:val="16"/>
                <w:szCs w:val="16"/>
                <w:color w:val="auto"/>
              </w:rPr>
              <w:t>Depreciation expense (Note 5)</w:t>
            </w:r>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660" w:type="dxa"/>
            <w:vAlign w:val="bottom"/>
            <w:gridSpan w:val="2"/>
          </w:tcPr>
          <w:p>
            <w:pPr>
              <w:jc w:val="right"/>
              <w:ind w:right="240"/>
              <w:spacing w:after="0"/>
              <w:rPr>
                <w:sz w:val="20"/>
                <w:szCs w:val="20"/>
                <w:color w:val="auto"/>
              </w:rPr>
            </w:pPr>
            <w:r>
              <w:rPr>
                <w:rFonts w:ascii="Arial" w:cs="Arial" w:eastAsia="Arial" w:hAnsi="Arial"/>
                <w:sz w:val="16"/>
                <w:szCs w:val="16"/>
                <w:color w:val="auto"/>
              </w:rPr>
              <w:t>(37,082)</w:t>
            </w:r>
          </w:p>
        </w:tc>
        <w:tc>
          <w:tcPr>
            <w:tcW w:w="1380" w:type="dxa"/>
            <w:vAlign w:val="bottom"/>
          </w:tcPr>
          <w:p>
            <w:pPr>
              <w:jc w:val="right"/>
              <w:spacing w:after="0"/>
              <w:rPr>
                <w:sz w:val="20"/>
                <w:szCs w:val="20"/>
                <w:color w:val="auto"/>
              </w:rPr>
            </w:pPr>
            <w:r>
              <w:rPr>
                <w:rFonts w:ascii="Arial" w:cs="Arial" w:eastAsia="Arial" w:hAnsi="Arial"/>
                <w:sz w:val="16"/>
                <w:szCs w:val="16"/>
                <w:color w:val="auto"/>
              </w:rPr>
              <w:t>(37,082)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980" w:type="dxa"/>
            <w:vAlign w:val="bottom"/>
            <w:gridSpan w:val="2"/>
            <w:vMerge w:val="restart"/>
            <w:shd w:val="clear" w:color="auto" w:fill="E5FFFF"/>
          </w:tcPr>
          <w:p>
            <w:pPr>
              <w:spacing w:after="0"/>
              <w:rPr>
                <w:sz w:val="20"/>
                <w:szCs w:val="20"/>
                <w:color w:val="auto"/>
              </w:rPr>
            </w:pPr>
            <w:r>
              <w:rPr>
                <w:rFonts w:ascii="Arial" w:cs="Arial" w:eastAsia="Arial" w:hAnsi="Arial"/>
                <w:sz w:val="16"/>
                <w:szCs w:val="16"/>
                <w:b w:val="1"/>
                <w:bCs w:val="1"/>
                <w:color w:val="auto"/>
                <w:w w:val="88"/>
              </w:rPr>
              <w:t>Tangible fixed assets and vessels under construction as of</w:t>
            </w:r>
          </w:p>
        </w:tc>
        <w:tc>
          <w:tcPr>
            <w:tcW w:w="460" w:type="dxa"/>
            <w:vAlign w:val="bottom"/>
            <w:shd w:val="clear" w:color="auto" w:fill="E5FF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shd w:val="clear" w:color="auto" w:fill="E5FFFF"/>
          </w:tcPr>
          <w:p>
            <w:pPr>
              <w:spacing w:after="0" w:line="20" w:lineRule="exact"/>
              <w:rPr>
                <w:sz w:val="1"/>
                <w:szCs w:val="1"/>
                <w:color w:val="auto"/>
              </w:rPr>
            </w:pPr>
          </w:p>
        </w:tc>
        <w:tc>
          <w:tcPr>
            <w:tcW w:w="1420" w:type="dxa"/>
            <w:vAlign w:val="bottom"/>
            <w:tcBorders>
              <w:right w:val="single" w:sz="8" w:color="E5FFFF"/>
            </w:tcBorders>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E5FFFF"/>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300" w:type="dxa"/>
            <w:vAlign w:val="bottom"/>
            <w:shd w:val="clear" w:color="auto" w:fill="E5FFFF"/>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980" w:type="dxa"/>
            <w:vAlign w:val="bottom"/>
            <w:gridSpan w:val="2"/>
            <w:vMerge w:val="continue"/>
            <w:shd w:val="clear" w:color="auto" w:fill="E5FFFF"/>
          </w:tcPr>
          <w:p>
            <w:pPr>
              <w:spacing w:after="0"/>
              <w:rPr>
                <w:sz w:val="14"/>
                <w:szCs w:val="14"/>
                <w:color w:val="auto"/>
              </w:rPr>
            </w:pPr>
          </w:p>
        </w:tc>
        <w:tc>
          <w:tcPr>
            <w:tcW w:w="460" w:type="dxa"/>
            <w:vAlign w:val="bottom"/>
            <w:vMerge w:val="restart"/>
            <w:shd w:val="clear" w:color="auto" w:fill="E5FFFF"/>
          </w:tcPr>
          <w:p>
            <w:pPr>
              <w:spacing w:after="0"/>
              <w:rPr>
                <w:sz w:val="14"/>
                <w:szCs w:val="14"/>
                <w:color w:val="auto"/>
              </w:rPr>
            </w:pPr>
          </w:p>
        </w:tc>
        <w:tc>
          <w:tcPr>
            <w:tcW w:w="1500" w:type="dxa"/>
            <w:vAlign w:val="bottom"/>
            <w:gridSpan w:val="3"/>
            <w:vMerge w:val="restart"/>
            <w:shd w:val="clear" w:color="auto" w:fill="E5FFFF"/>
          </w:tcPr>
          <w:p>
            <w:pPr>
              <w:jc w:val="right"/>
              <w:spacing w:after="0"/>
              <w:rPr>
                <w:sz w:val="20"/>
                <w:szCs w:val="20"/>
                <w:color w:val="auto"/>
              </w:rPr>
            </w:pPr>
            <w:r>
              <w:rPr>
                <w:rFonts w:ascii="Arial" w:cs="Arial" w:eastAsia="Arial" w:hAnsi="Arial"/>
                <w:sz w:val="16"/>
                <w:szCs w:val="16"/>
                <w:b w:val="1"/>
                <w:bCs w:val="1"/>
                <w:color w:val="auto"/>
              </w:rPr>
              <w:t>4,482,857</w:t>
            </w:r>
          </w:p>
        </w:tc>
        <w:tc>
          <w:tcPr>
            <w:tcW w:w="280" w:type="dxa"/>
            <w:vAlign w:val="bottom"/>
            <w:shd w:val="clear" w:color="auto" w:fill="E5FFFF"/>
          </w:tcPr>
          <w:p>
            <w:pPr>
              <w:spacing w:after="0"/>
              <w:rPr>
                <w:sz w:val="14"/>
                <w:szCs w:val="14"/>
                <w:color w:val="auto"/>
              </w:rPr>
            </w:pPr>
          </w:p>
        </w:tc>
        <w:tc>
          <w:tcPr>
            <w:tcW w:w="1420" w:type="dxa"/>
            <w:vAlign w:val="bottom"/>
            <w:tcBorders>
              <w:right w:val="single" w:sz="8" w:color="E5FFFF"/>
            </w:tcBorders>
            <w:vMerge w:val="restart"/>
            <w:shd w:val="clear" w:color="auto" w:fill="E5FFFF"/>
          </w:tcPr>
          <w:p>
            <w:pPr>
              <w:jc w:val="right"/>
              <w:spacing w:after="0"/>
              <w:rPr>
                <w:sz w:val="20"/>
                <w:szCs w:val="20"/>
                <w:color w:val="auto"/>
              </w:rPr>
            </w:pPr>
            <w:r>
              <w:rPr>
                <w:rFonts w:ascii="Arial" w:cs="Arial" w:eastAsia="Arial" w:hAnsi="Arial"/>
                <w:sz w:val="16"/>
                <w:szCs w:val="16"/>
                <w:b w:val="1"/>
                <w:bCs w:val="1"/>
                <w:color w:val="auto"/>
              </w:rPr>
              <w:t>214,921</w:t>
            </w:r>
          </w:p>
        </w:tc>
        <w:tc>
          <w:tcPr>
            <w:tcW w:w="280" w:type="dxa"/>
            <w:vAlign w:val="bottom"/>
            <w:tcBorders>
              <w:right w:val="single" w:sz="8" w:color="E5FFFF"/>
            </w:tcBorders>
            <w:shd w:val="clear" w:color="auto" w:fill="E5FFFF"/>
          </w:tcPr>
          <w:p>
            <w:pPr>
              <w:spacing w:after="0"/>
              <w:rPr>
                <w:sz w:val="14"/>
                <w:szCs w:val="14"/>
                <w:color w:val="auto"/>
              </w:rPr>
            </w:pPr>
          </w:p>
        </w:tc>
        <w:tc>
          <w:tcPr>
            <w:tcW w:w="1660" w:type="dxa"/>
            <w:vAlign w:val="bottom"/>
            <w:gridSpan w:val="2"/>
            <w:vMerge w:val="restart"/>
            <w:shd w:val="clear" w:color="auto" w:fill="E5FFFF"/>
          </w:tcPr>
          <w:p>
            <w:pPr>
              <w:jc w:val="right"/>
              <w:ind w:right="240"/>
              <w:spacing w:after="0"/>
              <w:rPr>
                <w:sz w:val="20"/>
                <w:szCs w:val="20"/>
                <w:color w:val="auto"/>
              </w:rPr>
            </w:pPr>
            <w:r>
              <w:rPr>
                <w:rFonts w:ascii="Arial" w:cs="Arial" w:eastAsia="Arial" w:hAnsi="Arial"/>
                <w:sz w:val="16"/>
                <w:szCs w:val="16"/>
                <w:b w:val="1"/>
                <w:bCs w:val="1"/>
                <w:color w:val="auto"/>
              </w:rPr>
              <w:t>(41,522)</w:t>
            </w:r>
          </w:p>
        </w:tc>
        <w:tc>
          <w:tcPr>
            <w:tcW w:w="1380" w:type="dxa"/>
            <w:vAlign w:val="bottom"/>
            <w:vMerge w:val="restart"/>
            <w:shd w:val="clear" w:color="auto" w:fill="E5FFFF"/>
          </w:tcPr>
          <w:p>
            <w:pPr>
              <w:jc w:val="right"/>
              <w:spacing w:after="0"/>
              <w:rPr>
                <w:sz w:val="20"/>
                <w:szCs w:val="20"/>
                <w:color w:val="auto"/>
              </w:rPr>
            </w:pPr>
            <w:r>
              <w:rPr>
                <w:rFonts w:ascii="Arial" w:cs="Arial" w:eastAsia="Arial" w:hAnsi="Arial"/>
                <w:sz w:val="16"/>
                <w:szCs w:val="16"/>
                <w:b w:val="1"/>
                <w:bCs w:val="1"/>
                <w:color w:val="auto"/>
              </w:rPr>
              <w:t>4,656,256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980" w:type="dxa"/>
            <w:vAlign w:val="bottom"/>
            <w:gridSpan w:val="2"/>
            <w:shd w:val="clear" w:color="auto" w:fill="E5FFFF"/>
          </w:tcPr>
          <w:p>
            <w:pPr>
              <w:spacing w:after="0"/>
              <w:rPr>
                <w:sz w:val="20"/>
                <w:szCs w:val="20"/>
                <w:color w:val="auto"/>
              </w:rPr>
            </w:pPr>
            <w:r>
              <w:rPr>
                <w:rFonts w:ascii="Arial" w:cs="Arial" w:eastAsia="Arial" w:hAnsi="Arial"/>
                <w:sz w:val="16"/>
                <w:szCs w:val="16"/>
                <w:b w:val="1"/>
                <w:bCs w:val="1"/>
                <w:color w:val="auto"/>
              </w:rPr>
              <w:t>March 31, 2019</w:t>
            </w:r>
          </w:p>
        </w:tc>
        <w:tc>
          <w:tcPr>
            <w:tcW w:w="460" w:type="dxa"/>
            <w:vAlign w:val="bottom"/>
            <w:vMerge w:val="continue"/>
            <w:shd w:val="clear" w:color="auto" w:fill="E5FFFF"/>
          </w:tcPr>
          <w:p>
            <w:pPr>
              <w:spacing w:after="0"/>
              <w:rPr>
                <w:sz w:val="17"/>
                <w:szCs w:val="17"/>
                <w:color w:val="auto"/>
              </w:rPr>
            </w:pPr>
          </w:p>
        </w:tc>
        <w:tc>
          <w:tcPr>
            <w:tcW w:w="1500" w:type="dxa"/>
            <w:vAlign w:val="bottom"/>
            <w:gridSpan w:val="3"/>
            <w:vMerge w:val="continue"/>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420" w:type="dxa"/>
            <w:vAlign w:val="bottom"/>
            <w:tcBorders>
              <w:right w:val="single" w:sz="8" w:color="E5FFFF"/>
            </w:tcBorders>
            <w:vMerge w:val="continue"/>
            <w:shd w:val="clear" w:color="auto" w:fill="E5FFFF"/>
          </w:tcPr>
          <w:p>
            <w:pPr>
              <w:spacing w:after="0"/>
              <w:rPr>
                <w:sz w:val="17"/>
                <w:szCs w:val="17"/>
                <w:color w:val="auto"/>
              </w:rPr>
            </w:pPr>
          </w:p>
        </w:tc>
        <w:tc>
          <w:tcPr>
            <w:tcW w:w="280" w:type="dxa"/>
            <w:vAlign w:val="bottom"/>
            <w:tcBorders>
              <w:right w:val="single" w:sz="8" w:color="E5FFFF"/>
            </w:tcBorders>
            <w:shd w:val="clear" w:color="auto" w:fill="E5FFFF"/>
          </w:tcPr>
          <w:p>
            <w:pPr>
              <w:spacing w:after="0"/>
              <w:rPr>
                <w:sz w:val="17"/>
                <w:szCs w:val="17"/>
                <w:color w:val="auto"/>
              </w:rPr>
            </w:pPr>
          </w:p>
        </w:tc>
        <w:tc>
          <w:tcPr>
            <w:tcW w:w="1660" w:type="dxa"/>
            <w:vAlign w:val="bottom"/>
            <w:gridSpan w:val="2"/>
            <w:vMerge w:val="continue"/>
            <w:shd w:val="clear" w:color="auto" w:fill="E5FFFF"/>
          </w:tcPr>
          <w:p>
            <w:pPr>
              <w:spacing w:after="0"/>
              <w:rPr>
                <w:sz w:val="17"/>
                <w:szCs w:val="17"/>
                <w:color w:val="auto"/>
              </w:rPr>
            </w:pPr>
          </w:p>
        </w:tc>
        <w:tc>
          <w:tcPr>
            <w:tcW w:w="1380" w:type="dxa"/>
            <w:vAlign w:val="bottom"/>
            <w:vMerge w:val="continue"/>
            <w:shd w:val="clear" w:color="auto" w:fill="E5FF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80" w:type="dxa"/>
            <w:vAlign w:val="bottom"/>
            <w:tcBorders>
              <w:top w:val="single" w:sz="8" w:color="E5FFFF"/>
            </w:tcBorders>
          </w:tcPr>
          <w:p>
            <w:pPr>
              <w:spacing w:after="0" w:line="20" w:lineRule="exact"/>
              <w:rPr>
                <w:sz w:val="1"/>
                <w:szCs w:val="1"/>
                <w:color w:val="auto"/>
              </w:rPr>
            </w:pPr>
          </w:p>
        </w:tc>
        <w:tc>
          <w:tcPr>
            <w:tcW w:w="100" w:type="dxa"/>
            <w:vAlign w:val="bottom"/>
            <w:tcBorders>
              <w:top w:val="single" w:sz="8" w:color="E5FFFF"/>
            </w:tcBorders>
          </w:tcPr>
          <w:p>
            <w:pPr>
              <w:spacing w:after="0" w:line="20" w:lineRule="exact"/>
              <w:rPr>
                <w:sz w:val="1"/>
                <w:szCs w:val="1"/>
                <w:color w:val="auto"/>
              </w:rPr>
            </w:pPr>
          </w:p>
        </w:tc>
        <w:tc>
          <w:tcPr>
            <w:tcW w:w="460" w:type="dxa"/>
            <w:vAlign w:val="bottom"/>
            <w:tcBorders>
              <w:top w:val="single" w:sz="8" w:color="E5FF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E5FF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E5FF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E5FF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20"/>
        <w:spacing w:after="0"/>
        <w:rPr>
          <w:sz w:val="20"/>
          <w:szCs w:val="20"/>
          <w:color w:val="auto"/>
        </w:rPr>
      </w:pPr>
      <w:r>
        <w:rPr>
          <w:rFonts w:ascii="Arial" w:cs="Arial" w:eastAsia="Arial" w:hAnsi="Arial"/>
          <w:sz w:val="16"/>
          <w:szCs w:val="16"/>
          <w:color w:val="auto"/>
        </w:rPr>
        <w:t>A reconciliation of lease liabilities arising from financing activities is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440" w:type="dxa"/>
            <w:vAlign w:val="bottom"/>
          </w:tcPr>
          <w:p>
            <w:pPr>
              <w:spacing w:after="0"/>
              <w:rPr>
                <w:sz w:val="18"/>
                <w:szCs w:val="18"/>
                <w:color w:val="auto"/>
              </w:rPr>
            </w:pPr>
          </w:p>
        </w:tc>
        <w:tc>
          <w:tcPr>
            <w:tcW w:w="1780" w:type="dxa"/>
            <w:vAlign w:val="bottom"/>
            <w:gridSpan w:val="2"/>
          </w:tcPr>
          <w:p>
            <w:pPr>
              <w:ind w:left="160"/>
              <w:spacing w:after="0"/>
              <w:rPr>
                <w:sz w:val="20"/>
                <w:szCs w:val="20"/>
                <w:color w:val="auto"/>
              </w:rPr>
            </w:pPr>
            <w:r>
              <w:rPr>
                <w:rFonts w:ascii="Arial" w:cs="Arial" w:eastAsia="Arial" w:hAnsi="Arial"/>
                <w:sz w:val="16"/>
                <w:szCs w:val="16"/>
                <w:b w:val="1"/>
                <w:bCs w:val="1"/>
                <w:color w:val="auto"/>
              </w:rPr>
              <w:t>Opening balance</w:t>
            </w:r>
          </w:p>
        </w:tc>
        <w:tc>
          <w:tcPr>
            <w:tcW w:w="1680" w:type="dxa"/>
            <w:vAlign w:val="bottom"/>
            <w:gridSpan w:val="2"/>
          </w:tcPr>
          <w:p>
            <w:pPr>
              <w:jc w:val="right"/>
              <w:ind w:right="560"/>
              <w:spacing w:after="0"/>
              <w:rPr>
                <w:sz w:val="20"/>
                <w:szCs w:val="20"/>
                <w:color w:val="auto"/>
              </w:rPr>
            </w:pPr>
            <w:r>
              <w:rPr>
                <w:rFonts w:ascii="Arial" w:cs="Arial" w:eastAsia="Arial" w:hAnsi="Arial"/>
                <w:sz w:val="16"/>
                <w:szCs w:val="16"/>
                <w:b w:val="1"/>
                <w:bCs w:val="1"/>
                <w:color w:val="auto"/>
              </w:rPr>
              <w:t>Cash flows</w:t>
            </w:r>
          </w:p>
        </w:tc>
        <w:tc>
          <w:tcPr>
            <w:tcW w:w="1680" w:type="dxa"/>
            <w:vAlign w:val="bottom"/>
            <w:gridSpan w:val="2"/>
          </w:tcPr>
          <w:p>
            <w:pPr>
              <w:jc w:val="right"/>
              <w:ind w:right="460"/>
              <w:spacing w:after="0"/>
              <w:rPr>
                <w:sz w:val="20"/>
                <w:szCs w:val="20"/>
                <w:color w:val="auto"/>
              </w:rPr>
            </w:pPr>
            <w:r>
              <w:rPr>
                <w:rFonts w:ascii="Arial" w:cs="Arial" w:eastAsia="Arial" w:hAnsi="Arial"/>
                <w:sz w:val="16"/>
                <w:szCs w:val="16"/>
                <w:b w:val="1"/>
                <w:bCs w:val="1"/>
                <w:color w:val="auto"/>
              </w:rPr>
              <w:t>Non-cash items</w:t>
            </w:r>
          </w:p>
        </w:tc>
        <w:tc>
          <w:tcPr>
            <w:tcW w:w="1440" w:type="dxa"/>
            <w:vAlign w:val="bottom"/>
            <w:gridSpan w:val="2"/>
          </w:tcPr>
          <w:p>
            <w:pPr>
              <w:ind w:left="500"/>
              <w:spacing w:after="0"/>
              <w:rPr>
                <w:sz w:val="20"/>
                <w:szCs w:val="20"/>
                <w:color w:val="auto"/>
              </w:rPr>
            </w:pPr>
            <w:r>
              <w:rPr>
                <w:rFonts w:ascii="Arial" w:cs="Arial" w:eastAsia="Arial" w:hAnsi="Arial"/>
                <w:sz w:val="16"/>
                <w:szCs w:val="16"/>
                <w:b w:val="1"/>
                <w:bCs w:val="1"/>
                <w:color w:val="auto"/>
              </w:rPr>
              <w:t>Total</w:t>
            </w:r>
          </w:p>
        </w:tc>
      </w:tr>
      <w:tr>
        <w:trPr>
          <w:trHeight w:val="202"/>
        </w:trPr>
        <w:tc>
          <w:tcPr>
            <w:tcW w:w="444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Lease liabilities as of January 1, 2018</w:t>
            </w:r>
          </w:p>
        </w:tc>
        <w:tc>
          <w:tcPr>
            <w:tcW w:w="15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213,428</w:t>
            </w:r>
          </w:p>
        </w:tc>
        <w:tc>
          <w:tcPr>
            <w:tcW w:w="280" w:type="dxa"/>
            <w:vAlign w:val="bottom"/>
            <w:tcBorders>
              <w:top w:val="single" w:sz="8" w:color="E5FFFF"/>
            </w:tcBorders>
            <w:shd w:val="clear" w:color="auto" w:fill="E5FFFF"/>
          </w:tcPr>
          <w:p>
            <w:pPr>
              <w:spacing w:after="0"/>
              <w:rPr>
                <w:sz w:val="17"/>
                <w:szCs w:val="17"/>
                <w:color w:val="auto"/>
              </w:rPr>
            </w:pPr>
          </w:p>
        </w:tc>
        <w:tc>
          <w:tcPr>
            <w:tcW w:w="14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top w:val="single" w:sz="8" w:color="E5FFFF"/>
            </w:tcBorders>
            <w:shd w:val="clear" w:color="auto" w:fill="E5FFFF"/>
          </w:tcPr>
          <w:p>
            <w:pPr>
              <w:spacing w:after="0"/>
              <w:rPr>
                <w:sz w:val="17"/>
                <w:szCs w:val="17"/>
                <w:color w:val="auto"/>
              </w:rPr>
            </w:pPr>
          </w:p>
        </w:tc>
        <w:tc>
          <w:tcPr>
            <w:tcW w:w="138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top w:val="single" w:sz="8" w:color="E5FFFF"/>
            </w:tcBorders>
            <w:shd w:val="clear" w:color="auto" w:fill="E5FFFF"/>
          </w:tcPr>
          <w:p>
            <w:pPr>
              <w:spacing w:after="0"/>
              <w:rPr>
                <w:sz w:val="17"/>
                <w:szCs w:val="17"/>
                <w:color w:val="auto"/>
              </w:rPr>
            </w:pPr>
          </w:p>
        </w:tc>
        <w:tc>
          <w:tcPr>
            <w:tcW w:w="138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213,428</w:t>
            </w:r>
          </w:p>
        </w:tc>
        <w:tc>
          <w:tcPr>
            <w:tcW w:w="60" w:type="dxa"/>
            <w:vAlign w:val="bottom"/>
          </w:tcPr>
          <w:p>
            <w:pPr>
              <w:spacing w:after="0"/>
              <w:rPr>
                <w:sz w:val="17"/>
                <w:szCs w:val="17"/>
                <w:color w:val="auto"/>
              </w:rPr>
            </w:pPr>
          </w:p>
        </w:tc>
      </w:tr>
      <w:tr>
        <w:trPr>
          <w:trHeight w:val="203"/>
        </w:trPr>
        <w:tc>
          <w:tcPr>
            <w:tcW w:w="4440" w:type="dxa"/>
            <w:vAlign w:val="bottom"/>
          </w:tcPr>
          <w:p>
            <w:pPr>
              <w:spacing w:after="0"/>
              <w:rPr>
                <w:sz w:val="20"/>
                <w:szCs w:val="20"/>
                <w:color w:val="auto"/>
              </w:rPr>
            </w:pPr>
            <w:r>
              <w:rPr>
                <w:rFonts w:ascii="Arial" w:cs="Arial" w:eastAsia="Arial" w:hAnsi="Arial"/>
                <w:sz w:val="16"/>
                <w:szCs w:val="16"/>
                <w:color w:val="auto"/>
              </w:rPr>
              <w:t>Lease charge (Note 16)</w:t>
            </w:r>
          </w:p>
        </w:tc>
        <w:tc>
          <w:tcPr>
            <w:tcW w:w="17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6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2,628</w:t>
            </w:r>
          </w:p>
        </w:tc>
        <w:tc>
          <w:tcPr>
            <w:tcW w:w="3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2,628</w:t>
            </w:r>
          </w:p>
        </w:tc>
        <w:tc>
          <w:tcPr>
            <w:tcW w:w="60" w:type="dxa"/>
            <w:vAlign w:val="bottom"/>
          </w:tcPr>
          <w:p>
            <w:pPr>
              <w:spacing w:after="0"/>
              <w:rPr>
                <w:sz w:val="17"/>
                <w:szCs w:val="17"/>
                <w:color w:val="auto"/>
              </w:rPr>
            </w:pPr>
          </w:p>
        </w:tc>
      </w:tr>
      <w:tr>
        <w:trPr>
          <w:trHeight w:val="203"/>
        </w:trPr>
        <w:tc>
          <w:tcPr>
            <w:tcW w:w="4440" w:type="dxa"/>
            <w:vAlign w:val="bottom"/>
            <w:shd w:val="clear" w:color="auto" w:fill="E5FFFF"/>
          </w:tcPr>
          <w:p>
            <w:pPr>
              <w:spacing w:after="0"/>
              <w:rPr>
                <w:sz w:val="20"/>
                <w:szCs w:val="20"/>
                <w:color w:val="auto"/>
              </w:rPr>
            </w:pPr>
            <w:r>
              <w:rPr>
                <w:rFonts w:ascii="Arial" w:cs="Arial" w:eastAsia="Arial" w:hAnsi="Arial"/>
                <w:sz w:val="16"/>
                <w:szCs w:val="16"/>
                <w:color w:val="auto"/>
              </w:rPr>
              <w:t>Payments for interest</w:t>
            </w:r>
          </w:p>
        </w:tc>
        <w:tc>
          <w:tcPr>
            <w:tcW w:w="178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w:t>
            </w:r>
          </w:p>
        </w:tc>
        <w:tc>
          <w:tcPr>
            <w:tcW w:w="1680" w:type="dxa"/>
            <w:vAlign w:val="bottom"/>
            <w:gridSpan w:val="2"/>
            <w:shd w:val="clear" w:color="auto" w:fill="E5FFFF"/>
          </w:tcPr>
          <w:p>
            <w:pPr>
              <w:jc w:val="right"/>
              <w:ind w:right="200"/>
              <w:spacing w:after="0"/>
              <w:rPr>
                <w:sz w:val="20"/>
                <w:szCs w:val="20"/>
                <w:color w:val="auto"/>
              </w:rPr>
            </w:pPr>
            <w:r>
              <w:rPr>
                <w:rFonts w:ascii="Arial" w:cs="Arial" w:eastAsia="Arial" w:hAnsi="Arial"/>
                <w:sz w:val="16"/>
                <w:szCs w:val="16"/>
                <w:color w:val="auto"/>
              </w:rPr>
              <w:t>(2,628)</w:t>
            </w:r>
          </w:p>
        </w:tc>
        <w:tc>
          <w:tcPr>
            <w:tcW w:w="1680" w:type="dxa"/>
            <w:vAlign w:val="bottom"/>
            <w:gridSpan w:val="2"/>
            <w:shd w:val="clear" w:color="auto" w:fill="E5FFFF"/>
          </w:tcPr>
          <w:p>
            <w:pPr>
              <w:jc w:val="right"/>
              <w:ind w:right="300"/>
              <w:spacing w:after="0"/>
              <w:rPr>
                <w:sz w:val="20"/>
                <w:szCs w:val="20"/>
                <w:color w:val="auto"/>
              </w:rPr>
            </w:pPr>
            <w:r>
              <w:rPr>
                <w:rFonts w:ascii="Arial" w:cs="Arial" w:eastAsia="Arial" w:hAnsi="Arial"/>
                <w:sz w:val="16"/>
                <w:szCs w:val="16"/>
                <w:color w:val="auto"/>
              </w:rPr>
              <w:t>—</w:t>
            </w: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(2,628)</w:t>
            </w:r>
          </w:p>
        </w:tc>
        <w:tc>
          <w:tcPr>
            <w:tcW w:w="60" w:type="dxa"/>
            <w:vAlign w:val="bottom"/>
          </w:tcPr>
          <w:p>
            <w:pPr>
              <w:spacing w:after="0"/>
              <w:rPr>
                <w:sz w:val="17"/>
                <w:szCs w:val="17"/>
                <w:color w:val="auto"/>
              </w:rPr>
            </w:pPr>
          </w:p>
        </w:tc>
      </w:tr>
      <w:tr>
        <w:trPr>
          <w:trHeight w:val="203"/>
        </w:trPr>
        <w:tc>
          <w:tcPr>
            <w:tcW w:w="4440" w:type="dxa"/>
            <w:vAlign w:val="bottom"/>
          </w:tcPr>
          <w:p>
            <w:pPr>
              <w:spacing w:after="0"/>
              <w:rPr>
                <w:sz w:val="20"/>
                <w:szCs w:val="20"/>
                <w:color w:val="auto"/>
              </w:rPr>
            </w:pPr>
            <w:r>
              <w:rPr>
                <w:rFonts w:ascii="Arial" w:cs="Arial" w:eastAsia="Arial" w:hAnsi="Arial"/>
                <w:sz w:val="16"/>
                <w:szCs w:val="16"/>
                <w:color w:val="auto"/>
              </w:rPr>
              <w:t>Payments for lease liability</w:t>
            </w:r>
          </w:p>
        </w:tc>
        <w:tc>
          <w:tcPr>
            <w:tcW w:w="17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680" w:type="dxa"/>
            <w:vAlign w:val="bottom"/>
            <w:gridSpan w:val="2"/>
          </w:tcPr>
          <w:p>
            <w:pPr>
              <w:jc w:val="right"/>
              <w:ind w:right="200"/>
              <w:spacing w:after="0"/>
              <w:rPr>
                <w:sz w:val="20"/>
                <w:szCs w:val="20"/>
                <w:color w:val="auto"/>
              </w:rPr>
            </w:pPr>
            <w:r>
              <w:rPr>
                <w:rFonts w:ascii="Arial" w:cs="Arial" w:eastAsia="Arial" w:hAnsi="Arial"/>
                <w:sz w:val="16"/>
                <w:szCs w:val="16"/>
                <w:color w:val="auto"/>
              </w:rPr>
              <w:t>(1,773)</w:t>
            </w:r>
          </w:p>
        </w:tc>
        <w:tc>
          <w:tcPr>
            <w:tcW w:w="16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(1,773)</w:t>
            </w:r>
          </w:p>
        </w:tc>
        <w:tc>
          <w:tcPr>
            <w:tcW w:w="60" w:type="dxa"/>
            <w:vAlign w:val="bottom"/>
          </w:tcPr>
          <w:p>
            <w:pPr>
              <w:spacing w:after="0"/>
              <w:rPr>
                <w:sz w:val="17"/>
                <w:szCs w:val="17"/>
                <w:color w:val="auto"/>
              </w:rPr>
            </w:pPr>
          </w:p>
        </w:tc>
      </w:tr>
      <w:tr>
        <w:trPr>
          <w:trHeight w:val="207"/>
        </w:trPr>
        <w:tc>
          <w:tcPr>
            <w:tcW w:w="4440" w:type="dxa"/>
            <w:vAlign w:val="bottom"/>
            <w:tcBorders>
              <w:top w:val="single" w:sz="8" w:color="E5FFFF"/>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Lease liabilities as of March 31, 2018</w:t>
            </w:r>
          </w:p>
        </w:tc>
        <w:tc>
          <w:tcPr>
            <w:tcW w:w="15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213,428</w:t>
            </w:r>
          </w:p>
        </w:tc>
        <w:tc>
          <w:tcPr>
            <w:tcW w:w="280" w:type="dxa"/>
            <w:vAlign w:val="bottom"/>
            <w:tcBorders>
              <w:top w:val="single" w:sz="8" w:color="E5FFFF"/>
              <w:bottom w:val="single" w:sz="8" w:color="E5FFFF"/>
            </w:tcBorders>
            <w:shd w:val="clear" w:color="auto" w:fill="E5FFFF"/>
          </w:tcPr>
          <w:p>
            <w:pPr>
              <w:spacing w:after="0"/>
              <w:rPr>
                <w:sz w:val="17"/>
                <w:szCs w:val="17"/>
                <w:color w:val="auto"/>
              </w:rPr>
            </w:pPr>
          </w:p>
        </w:tc>
        <w:tc>
          <w:tcPr>
            <w:tcW w:w="14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(4,401</w:t>
            </w:r>
          </w:p>
        </w:tc>
        <w:tc>
          <w:tcPr>
            <w:tcW w:w="280" w:type="dxa"/>
            <w:vAlign w:val="bottom"/>
            <w:tcBorders>
              <w:top w:val="single" w:sz="8" w:color="E5FFFF"/>
              <w:bottom w:val="single" w:sz="8" w:color="E5FFFF"/>
            </w:tcBorders>
            <w:shd w:val="clear" w:color="auto" w:fill="E5FFFF"/>
          </w:tcPr>
          <w:p>
            <w:pPr>
              <w:jc w:val="right"/>
              <w:ind w:right="200"/>
              <w:spacing w:after="0"/>
              <w:rPr>
                <w:sz w:val="20"/>
                <w:szCs w:val="20"/>
                <w:color w:val="auto"/>
              </w:rPr>
            </w:pPr>
            <w:r>
              <w:rPr>
                <w:rFonts w:ascii="Arial" w:cs="Arial" w:eastAsia="Arial" w:hAnsi="Arial"/>
                <w:sz w:val="8"/>
                <w:szCs w:val="8"/>
                <w:b w:val="1"/>
                <w:bCs w:val="1"/>
                <w:color w:val="auto"/>
                <w:w w:val="73"/>
              </w:rPr>
              <w:t>)</w:t>
            </w:r>
          </w:p>
        </w:tc>
        <w:tc>
          <w:tcPr>
            <w:tcW w:w="13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2,628</w:t>
            </w:r>
          </w:p>
        </w:tc>
        <w:tc>
          <w:tcPr>
            <w:tcW w:w="300" w:type="dxa"/>
            <w:vAlign w:val="bottom"/>
            <w:tcBorders>
              <w:top w:val="single" w:sz="8" w:color="E5FFFF"/>
              <w:bottom w:val="single" w:sz="8" w:color="E5FFFF"/>
            </w:tcBorders>
            <w:shd w:val="clear" w:color="auto" w:fill="E5FFFF"/>
          </w:tcPr>
          <w:p>
            <w:pPr>
              <w:spacing w:after="0"/>
              <w:rPr>
                <w:sz w:val="17"/>
                <w:szCs w:val="17"/>
                <w:color w:val="auto"/>
              </w:rPr>
            </w:pPr>
          </w:p>
        </w:tc>
        <w:tc>
          <w:tcPr>
            <w:tcW w:w="13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211,655</w:t>
            </w:r>
          </w:p>
        </w:tc>
        <w:tc>
          <w:tcPr>
            <w:tcW w:w="60" w:type="dxa"/>
            <w:vAlign w:val="bottom"/>
          </w:tcPr>
          <w:p>
            <w:pPr>
              <w:spacing w:after="0"/>
              <w:rPr>
                <w:sz w:val="17"/>
                <w:szCs w:val="17"/>
                <w:color w:val="auto"/>
              </w:rPr>
            </w:pPr>
          </w:p>
        </w:tc>
      </w:tr>
      <w:tr>
        <w:trPr>
          <w:trHeight w:val="20"/>
        </w:trPr>
        <w:tc>
          <w:tcPr>
            <w:tcW w:w="44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96"/>
        </w:trPr>
        <w:tc>
          <w:tcPr>
            <w:tcW w:w="4440" w:type="dxa"/>
            <w:vAlign w:val="bottom"/>
          </w:tcPr>
          <w:p>
            <w:pPr>
              <w:spacing w:after="0"/>
              <w:rPr>
                <w:sz w:val="24"/>
                <w:szCs w:val="24"/>
                <w:color w:val="auto"/>
              </w:rPr>
            </w:pPr>
          </w:p>
        </w:tc>
        <w:tc>
          <w:tcPr>
            <w:tcW w:w="1780" w:type="dxa"/>
            <w:vAlign w:val="bottom"/>
            <w:gridSpan w:val="2"/>
          </w:tcPr>
          <w:p>
            <w:pPr>
              <w:ind w:left="160"/>
              <w:spacing w:after="0"/>
              <w:rPr>
                <w:sz w:val="20"/>
                <w:szCs w:val="20"/>
                <w:color w:val="auto"/>
              </w:rPr>
            </w:pPr>
            <w:r>
              <w:rPr>
                <w:rFonts w:ascii="Arial" w:cs="Arial" w:eastAsia="Arial" w:hAnsi="Arial"/>
                <w:sz w:val="16"/>
                <w:szCs w:val="16"/>
                <w:b w:val="1"/>
                <w:bCs w:val="1"/>
                <w:color w:val="auto"/>
              </w:rPr>
              <w:t>Opening balance</w:t>
            </w:r>
          </w:p>
        </w:tc>
        <w:tc>
          <w:tcPr>
            <w:tcW w:w="1680" w:type="dxa"/>
            <w:vAlign w:val="bottom"/>
            <w:gridSpan w:val="2"/>
          </w:tcPr>
          <w:p>
            <w:pPr>
              <w:jc w:val="right"/>
              <w:ind w:right="560"/>
              <w:spacing w:after="0"/>
              <w:rPr>
                <w:sz w:val="20"/>
                <w:szCs w:val="20"/>
                <w:color w:val="auto"/>
              </w:rPr>
            </w:pPr>
            <w:r>
              <w:rPr>
                <w:rFonts w:ascii="Arial" w:cs="Arial" w:eastAsia="Arial" w:hAnsi="Arial"/>
                <w:sz w:val="16"/>
                <w:szCs w:val="16"/>
                <w:b w:val="1"/>
                <w:bCs w:val="1"/>
                <w:color w:val="auto"/>
              </w:rPr>
              <w:t>Cash flows</w:t>
            </w:r>
          </w:p>
        </w:tc>
        <w:tc>
          <w:tcPr>
            <w:tcW w:w="1680" w:type="dxa"/>
            <w:vAlign w:val="bottom"/>
            <w:gridSpan w:val="2"/>
          </w:tcPr>
          <w:p>
            <w:pPr>
              <w:jc w:val="right"/>
              <w:ind w:right="460"/>
              <w:spacing w:after="0"/>
              <w:rPr>
                <w:sz w:val="20"/>
                <w:szCs w:val="20"/>
                <w:color w:val="auto"/>
              </w:rPr>
            </w:pPr>
            <w:r>
              <w:rPr>
                <w:rFonts w:ascii="Arial" w:cs="Arial" w:eastAsia="Arial" w:hAnsi="Arial"/>
                <w:sz w:val="16"/>
                <w:szCs w:val="16"/>
                <w:b w:val="1"/>
                <w:bCs w:val="1"/>
                <w:color w:val="auto"/>
              </w:rPr>
              <w:t>Non-cash items</w:t>
            </w:r>
          </w:p>
        </w:tc>
        <w:tc>
          <w:tcPr>
            <w:tcW w:w="1440" w:type="dxa"/>
            <w:vAlign w:val="bottom"/>
            <w:gridSpan w:val="2"/>
          </w:tcPr>
          <w:p>
            <w:pPr>
              <w:ind w:left="500"/>
              <w:spacing w:after="0"/>
              <w:rPr>
                <w:sz w:val="20"/>
                <w:szCs w:val="20"/>
                <w:color w:val="auto"/>
              </w:rPr>
            </w:pPr>
            <w:r>
              <w:rPr>
                <w:rFonts w:ascii="Arial" w:cs="Arial" w:eastAsia="Arial" w:hAnsi="Arial"/>
                <w:sz w:val="16"/>
                <w:szCs w:val="16"/>
                <w:b w:val="1"/>
                <w:bCs w:val="1"/>
                <w:color w:val="auto"/>
              </w:rPr>
              <w:t>Total</w:t>
            </w:r>
          </w:p>
        </w:tc>
      </w:tr>
      <w:tr>
        <w:trPr>
          <w:trHeight w:val="202"/>
        </w:trPr>
        <w:tc>
          <w:tcPr>
            <w:tcW w:w="444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Lease liabilities as of January 1, 2019</w:t>
            </w:r>
          </w:p>
        </w:tc>
        <w:tc>
          <w:tcPr>
            <w:tcW w:w="15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213,374</w:t>
            </w:r>
          </w:p>
        </w:tc>
        <w:tc>
          <w:tcPr>
            <w:tcW w:w="280" w:type="dxa"/>
            <w:vAlign w:val="bottom"/>
            <w:tcBorders>
              <w:top w:val="single" w:sz="8" w:color="E5FFFF"/>
            </w:tcBorders>
            <w:shd w:val="clear" w:color="auto" w:fill="E5FFFF"/>
          </w:tcPr>
          <w:p>
            <w:pPr>
              <w:spacing w:after="0"/>
              <w:rPr>
                <w:sz w:val="17"/>
                <w:szCs w:val="17"/>
                <w:color w:val="auto"/>
              </w:rPr>
            </w:pPr>
          </w:p>
        </w:tc>
        <w:tc>
          <w:tcPr>
            <w:tcW w:w="14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top w:val="single" w:sz="8" w:color="E5FFFF"/>
            </w:tcBorders>
            <w:shd w:val="clear" w:color="auto" w:fill="E5FFFF"/>
          </w:tcPr>
          <w:p>
            <w:pPr>
              <w:spacing w:after="0"/>
              <w:rPr>
                <w:sz w:val="17"/>
                <w:szCs w:val="17"/>
                <w:color w:val="auto"/>
              </w:rPr>
            </w:pPr>
          </w:p>
        </w:tc>
        <w:tc>
          <w:tcPr>
            <w:tcW w:w="138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top w:val="single" w:sz="8" w:color="E5FFFF"/>
            </w:tcBorders>
            <w:shd w:val="clear" w:color="auto" w:fill="E5FFFF"/>
          </w:tcPr>
          <w:p>
            <w:pPr>
              <w:spacing w:after="0"/>
              <w:rPr>
                <w:sz w:val="17"/>
                <w:szCs w:val="17"/>
                <w:color w:val="auto"/>
              </w:rPr>
            </w:pPr>
          </w:p>
        </w:tc>
        <w:tc>
          <w:tcPr>
            <w:tcW w:w="138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213,374</w:t>
            </w:r>
          </w:p>
        </w:tc>
        <w:tc>
          <w:tcPr>
            <w:tcW w:w="60" w:type="dxa"/>
            <w:vAlign w:val="bottom"/>
          </w:tcPr>
          <w:p>
            <w:pPr>
              <w:spacing w:after="0"/>
              <w:rPr>
                <w:sz w:val="17"/>
                <w:szCs w:val="17"/>
                <w:color w:val="auto"/>
              </w:rPr>
            </w:pPr>
          </w:p>
        </w:tc>
      </w:tr>
      <w:tr>
        <w:trPr>
          <w:trHeight w:val="203"/>
        </w:trPr>
        <w:tc>
          <w:tcPr>
            <w:tcW w:w="4440" w:type="dxa"/>
            <w:vAlign w:val="bottom"/>
          </w:tcPr>
          <w:p>
            <w:pPr>
              <w:spacing w:after="0"/>
              <w:rPr>
                <w:sz w:val="20"/>
                <w:szCs w:val="20"/>
                <w:color w:val="auto"/>
              </w:rPr>
            </w:pPr>
            <w:r>
              <w:rPr>
                <w:rFonts w:ascii="Arial" w:cs="Arial" w:eastAsia="Arial" w:hAnsi="Arial"/>
                <w:sz w:val="16"/>
                <w:szCs w:val="16"/>
                <w:color w:val="auto"/>
              </w:rPr>
              <w:t>Lease charge (Note 16)</w:t>
            </w:r>
          </w:p>
        </w:tc>
        <w:tc>
          <w:tcPr>
            <w:tcW w:w="17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6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2,629</w:t>
            </w:r>
          </w:p>
        </w:tc>
        <w:tc>
          <w:tcPr>
            <w:tcW w:w="3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2,629</w:t>
            </w:r>
          </w:p>
        </w:tc>
        <w:tc>
          <w:tcPr>
            <w:tcW w:w="60" w:type="dxa"/>
            <w:vAlign w:val="bottom"/>
          </w:tcPr>
          <w:p>
            <w:pPr>
              <w:spacing w:after="0"/>
              <w:rPr>
                <w:sz w:val="17"/>
                <w:szCs w:val="17"/>
                <w:color w:val="auto"/>
              </w:rPr>
            </w:pPr>
          </w:p>
        </w:tc>
      </w:tr>
      <w:tr>
        <w:trPr>
          <w:trHeight w:val="203"/>
        </w:trPr>
        <w:tc>
          <w:tcPr>
            <w:tcW w:w="4440" w:type="dxa"/>
            <w:vAlign w:val="bottom"/>
            <w:shd w:val="clear" w:color="auto" w:fill="E5FFFF"/>
          </w:tcPr>
          <w:p>
            <w:pPr>
              <w:spacing w:after="0"/>
              <w:rPr>
                <w:sz w:val="20"/>
                <w:szCs w:val="20"/>
                <w:color w:val="auto"/>
              </w:rPr>
            </w:pPr>
            <w:r>
              <w:rPr>
                <w:rFonts w:ascii="Arial" w:cs="Arial" w:eastAsia="Arial" w:hAnsi="Arial"/>
                <w:sz w:val="16"/>
                <w:szCs w:val="16"/>
                <w:color w:val="auto"/>
              </w:rPr>
              <w:t>Additions</w:t>
            </w:r>
          </w:p>
        </w:tc>
        <w:tc>
          <w:tcPr>
            <w:tcW w:w="178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w:t>
            </w:r>
          </w:p>
        </w:tc>
        <w:tc>
          <w:tcPr>
            <w:tcW w:w="1680" w:type="dxa"/>
            <w:vAlign w:val="bottom"/>
            <w:gridSpan w:val="2"/>
            <w:shd w:val="clear" w:color="auto" w:fill="E5FFFF"/>
          </w:tcPr>
          <w:p>
            <w:pPr>
              <w:jc w:val="right"/>
              <w:ind w:right="240"/>
              <w:spacing w:after="0"/>
              <w:rPr>
                <w:sz w:val="20"/>
                <w:szCs w:val="20"/>
                <w:color w:val="auto"/>
              </w:rPr>
            </w:pPr>
            <w:r>
              <w:rPr>
                <w:rFonts w:ascii="Arial" w:cs="Arial" w:eastAsia="Arial" w:hAnsi="Arial"/>
                <w:sz w:val="16"/>
                <w:szCs w:val="16"/>
                <w:color w:val="auto"/>
              </w:rPr>
              <w:t>—</w:t>
            </w: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1,064</w:t>
            </w:r>
          </w:p>
        </w:tc>
        <w:tc>
          <w:tcPr>
            <w:tcW w:w="300" w:type="dxa"/>
            <w:vAlign w:val="bottom"/>
            <w:shd w:val="clear" w:color="auto" w:fill="E5FFFF"/>
          </w:tcPr>
          <w:p>
            <w:pPr>
              <w:spacing w:after="0"/>
              <w:rPr>
                <w:sz w:val="17"/>
                <w:szCs w:val="17"/>
                <w:color w:val="auto"/>
              </w:rPr>
            </w:pP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1,064</w:t>
            </w:r>
          </w:p>
        </w:tc>
        <w:tc>
          <w:tcPr>
            <w:tcW w:w="60" w:type="dxa"/>
            <w:vAlign w:val="bottom"/>
          </w:tcPr>
          <w:p>
            <w:pPr>
              <w:spacing w:after="0"/>
              <w:rPr>
                <w:sz w:val="17"/>
                <w:szCs w:val="17"/>
                <w:color w:val="auto"/>
              </w:rPr>
            </w:pPr>
          </w:p>
        </w:tc>
      </w:tr>
      <w:tr>
        <w:trPr>
          <w:trHeight w:val="203"/>
        </w:trPr>
        <w:tc>
          <w:tcPr>
            <w:tcW w:w="4440" w:type="dxa"/>
            <w:vAlign w:val="bottom"/>
          </w:tcPr>
          <w:p>
            <w:pPr>
              <w:spacing w:after="0"/>
              <w:rPr>
                <w:sz w:val="20"/>
                <w:szCs w:val="20"/>
                <w:color w:val="auto"/>
              </w:rPr>
            </w:pPr>
            <w:r>
              <w:rPr>
                <w:rFonts w:ascii="Arial" w:cs="Arial" w:eastAsia="Arial" w:hAnsi="Arial"/>
                <w:sz w:val="16"/>
                <w:szCs w:val="16"/>
                <w:color w:val="auto"/>
              </w:rPr>
              <w:t>Payments for interest</w:t>
            </w:r>
          </w:p>
        </w:tc>
        <w:tc>
          <w:tcPr>
            <w:tcW w:w="17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680" w:type="dxa"/>
            <w:vAlign w:val="bottom"/>
            <w:gridSpan w:val="2"/>
          </w:tcPr>
          <w:p>
            <w:pPr>
              <w:jc w:val="right"/>
              <w:ind w:right="200"/>
              <w:spacing w:after="0"/>
              <w:rPr>
                <w:sz w:val="20"/>
                <w:szCs w:val="20"/>
                <w:color w:val="auto"/>
              </w:rPr>
            </w:pPr>
            <w:r>
              <w:rPr>
                <w:rFonts w:ascii="Arial" w:cs="Arial" w:eastAsia="Arial" w:hAnsi="Arial"/>
                <w:sz w:val="16"/>
                <w:szCs w:val="16"/>
                <w:color w:val="auto"/>
              </w:rPr>
              <w:t>(2,633)</w:t>
            </w:r>
          </w:p>
        </w:tc>
        <w:tc>
          <w:tcPr>
            <w:tcW w:w="16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(2,633)</w:t>
            </w:r>
          </w:p>
        </w:tc>
        <w:tc>
          <w:tcPr>
            <w:tcW w:w="60" w:type="dxa"/>
            <w:vAlign w:val="bottom"/>
          </w:tcPr>
          <w:p>
            <w:pPr>
              <w:spacing w:after="0"/>
              <w:rPr>
                <w:sz w:val="17"/>
                <w:szCs w:val="17"/>
                <w:color w:val="auto"/>
              </w:rPr>
            </w:pPr>
          </w:p>
        </w:tc>
      </w:tr>
      <w:tr>
        <w:trPr>
          <w:trHeight w:val="203"/>
        </w:trPr>
        <w:tc>
          <w:tcPr>
            <w:tcW w:w="4440" w:type="dxa"/>
            <w:vAlign w:val="bottom"/>
            <w:shd w:val="clear" w:color="auto" w:fill="E5FFFF"/>
          </w:tcPr>
          <w:p>
            <w:pPr>
              <w:spacing w:after="0"/>
              <w:rPr>
                <w:sz w:val="20"/>
                <w:szCs w:val="20"/>
                <w:color w:val="auto"/>
              </w:rPr>
            </w:pPr>
            <w:r>
              <w:rPr>
                <w:rFonts w:ascii="Arial" w:cs="Arial" w:eastAsia="Arial" w:hAnsi="Arial"/>
                <w:sz w:val="16"/>
                <w:szCs w:val="16"/>
                <w:color w:val="auto"/>
              </w:rPr>
              <w:t>Payments for lease liability</w:t>
            </w:r>
          </w:p>
        </w:tc>
        <w:tc>
          <w:tcPr>
            <w:tcW w:w="178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w:t>
            </w:r>
          </w:p>
        </w:tc>
        <w:tc>
          <w:tcPr>
            <w:tcW w:w="1680" w:type="dxa"/>
            <w:vAlign w:val="bottom"/>
            <w:gridSpan w:val="2"/>
            <w:shd w:val="clear" w:color="auto" w:fill="E5FFFF"/>
          </w:tcPr>
          <w:p>
            <w:pPr>
              <w:jc w:val="right"/>
              <w:ind w:right="200"/>
              <w:spacing w:after="0"/>
              <w:rPr>
                <w:sz w:val="20"/>
                <w:szCs w:val="20"/>
                <w:color w:val="auto"/>
              </w:rPr>
            </w:pPr>
            <w:r>
              <w:rPr>
                <w:rFonts w:ascii="Arial" w:cs="Arial" w:eastAsia="Arial" w:hAnsi="Arial"/>
                <w:sz w:val="16"/>
                <w:szCs w:val="16"/>
                <w:color w:val="auto"/>
              </w:rPr>
              <w:t>(2,388)</w:t>
            </w: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13</w:t>
            </w:r>
          </w:p>
        </w:tc>
        <w:tc>
          <w:tcPr>
            <w:tcW w:w="300" w:type="dxa"/>
            <w:vAlign w:val="bottom"/>
            <w:shd w:val="clear" w:color="auto" w:fill="E5FFFF"/>
          </w:tcPr>
          <w:p>
            <w:pPr>
              <w:spacing w:after="0"/>
              <w:rPr>
                <w:sz w:val="17"/>
                <w:szCs w:val="17"/>
                <w:color w:val="auto"/>
              </w:rPr>
            </w:pP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(2,375)</w:t>
            </w:r>
          </w:p>
        </w:tc>
        <w:tc>
          <w:tcPr>
            <w:tcW w:w="60" w:type="dxa"/>
            <w:vAlign w:val="bottom"/>
          </w:tcPr>
          <w:p>
            <w:pPr>
              <w:spacing w:after="0"/>
              <w:rPr>
                <w:sz w:val="17"/>
                <w:szCs w:val="17"/>
                <w:color w:val="auto"/>
              </w:rPr>
            </w:pPr>
          </w:p>
        </w:tc>
      </w:tr>
      <w:tr>
        <w:trPr>
          <w:trHeight w:val="207"/>
        </w:trPr>
        <w:tc>
          <w:tcPr>
            <w:tcW w:w="4440" w:type="dxa"/>
            <w:vAlign w:val="bottom"/>
          </w:tcPr>
          <w:p>
            <w:pPr>
              <w:spacing w:after="0"/>
              <w:rPr>
                <w:sz w:val="20"/>
                <w:szCs w:val="20"/>
                <w:color w:val="auto"/>
              </w:rPr>
            </w:pPr>
            <w:r>
              <w:rPr>
                <w:rFonts w:ascii="Arial" w:cs="Arial" w:eastAsia="Arial" w:hAnsi="Arial"/>
                <w:sz w:val="16"/>
                <w:szCs w:val="16"/>
                <w:b w:val="1"/>
                <w:bCs w:val="1"/>
                <w:color w:val="auto"/>
              </w:rPr>
              <w:t>Lease liabilities as of March 31, 2019</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213,374</w:t>
            </w:r>
          </w:p>
        </w:tc>
        <w:tc>
          <w:tcPr>
            <w:tcW w:w="280" w:type="dxa"/>
            <w:vAlign w:val="bottom"/>
          </w:tcPr>
          <w:p>
            <w:pPr>
              <w:spacing w:after="0"/>
              <w:rPr>
                <w:sz w:val="17"/>
                <w:szCs w:val="17"/>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(5,021</w:t>
            </w:r>
          </w:p>
        </w:tc>
        <w:tc>
          <w:tcPr>
            <w:tcW w:w="280" w:type="dxa"/>
            <w:vAlign w:val="bottom"/>
          </w:tcPr>
          <w:p>
            <w:pPr>
              <w:jc w:val="right"/>
              <w:ind w:right="200"/>
              <w:spacing w:after="0"/>
              <w:rPr>
                <w:sz w:val="20"/>
                <w:szCs w:val="20"/>
                <w:color w:val="auto"/>
              </w:rPr>
            </w:pPr>
            <w:r>
              <w:rPr>
                <w:rFonts w:ascii="Arial" w:cs="Arial" w:eastAsia="Arial" w:hAnsi="Arial"/>
                <w:sz w:val="8"/>
                <w:szCs w:val="8"/>
                <w:b w:val="1"/>
                <w:bCs w:val="1"/>
                <w:color w:val="auto"/>
                <w:w w:val="73"/>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3,706</w:t>
            </w:r>
          </w:p>
        </w:tc>
        <w:tc>
          <w:tcPr>
            <w:tcW w:w="300" w:type="dxa"/>
            <w:vAlign w:val="bottom"/>
          </w:tcPr>
          <w:p>
            <w:pPr>
              <w:spacing w:after="0"/>
              <w:rPr>
                <w:sz w:val="17"/>
                <w:szCs w:val="17"/>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212,059</w:t>
            </w:r>
          </w:p>
        </w:tc>
        <w:tc>
          <w:tcPr>
            <w:tcW w:w="60" w:type="dxa"/>
            <w:vAlign w:val="bottom"/>
          </w:tcPr>
          <w:p>
            <w:pPr>
              <w:spacing w:after="0"/>
              <w:rPr>
                <w:sz w:val="17"/>
                <w:szCs w:val="17"/>
                <w:color w:val="auto"/>
              </w:rPr>
            </w:pPr>
          </w:p>
        </w:tc>
      </w:tr>
      <w:tr>
        <w:trPr>
          <w:trHeight w:val="20"/>
        </w:trPr>
        <w:tc>
          <w:tcPr>
            <w:tcW w:w="44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6" w:lineRule="exact"/>
        <w:rPr>
          <w:sz w:val="20"/>
          <w:szCs w:val="20"/>
          <w:color w:val="auto"/>
        </w:rPr>
      </w:pPr>
    </w:p>
    <w:p>
      <w:pPr>
        <w:ind w:left="20"/>
        <w:spacing w:after="0"/>
        <w:rPr>
          <w:sz w:val="20"/>
          <w:szCs w:val="20"/>
          <w:color w:val="auto"/>
        </w:rPr>
      </w:pPr>
      <w:r>
        <w:rPr>
          <w:rFonts w:ascii="Arial" w:cs="Arial" w:eastAsia="Arial" w:hAnsi="Arial"/>
          <w:sz w:val="16"/>
          <w:szCs w:val="16"/>
          <w:color w:val="auto"/>
        </w:rPr>
        <w:t>A reconciliation of equity offerings arising from financing activities is as follows:</w:t>
      </w:r>
    </w:p>
    <w:p>
      <w:pPr>
        <w:sectPr>
          <w:pgSz w:w="11900" w:h="16838" w:orient="portrait"/>
          <w:cols w:equalWidth="0" w:num="1">
            <w:col w:w="11020"/>
          </w:cols>
          <w:pgMar w:left="560" w:top="262" w:right="319" w:bottom="1440" w:gutter="0" w:footer="0" w:header="0"/>
        </w:sectPr>
      </w:pPr>
    </w:p>
    <w:p>
      <w:pPr>
        <w:spacing w:after="0" w:line="200" w:lineRule="exact"/>
        <w:rPr>
          <w:sz w:val="20"/>
          <w:szCs w:val="20"/>
          <w:color w:val="auto"/>
        </w:rPr>
      </w:pPr>
    </w:p>
    <w:p>
      <w:pPr>
        <w:spacing w:after="0" w:line="237" w:lineRule="exact"/>
        <w:rPr>
          <w:sz w:val="20"/>
          <w:szCs w:val="20"/>
          <w:color w:val="auto"/>
        </w:rPr>
      </w:pPr>
    </w:p>
    <w:p>
      <w:pPr>
        <w:ind w:left="180" w:hanging="181"/>
        <w:spacing w:after="0" w:line="266" w:lineRule="auto"/>
        <w:rPr>
          <w:sz w:val="20"/>
          <w:szCs w:val="20"/>
          <w:color w:val="auto"/>
        </w:rPr>
      </w:pPr>
      <w:r>
        <w:rPr>
          <w:rFonts w:ascii="Arial" w:cs="Arial" w:eastAsia="Arial" w:hAnsi="Arial"/>
          <w:sz w:val="16"/>
          <w:szCs w:val="16"/>
          <w:color w:val="auto"/>
        </w:rPr>
        <w:t>Proceeds from GasLog Partners’ preference unit offerings (net of underwriting discounts and commissions)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-252095</wp:posOffset>
            </wp:positionV>
            <wp:extent cx="6960870" cy="25717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60870" cy="25717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Offering costs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 proceeds from equity offerings in the period ended March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-112395</wp:posOffset>
            </wp:positionV>
            <wp:extent cx="6960870" cy="1543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96087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3"/>
        </w:trPr>
        <w:tc>
          <w:tcPr>
            <w:tcW w:w="13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Cash flows</w:t>
            </w:r>
          </w:p>
        </w:tc>
        <w:tc>
          <w:tcPr>
            <w:tcW w:w="300" w:type="dxa"/>
            <w:vAlign w:val="bottom"/>
          </w:tcPr>
          <w:p>
            <w:pPr>
              <w:spacing w:after="0"/>
              <w:rPr>
                <w:sz w:val="18"/>
                <w:szCs w:val="18"/>
                <w:color w:val="auto"/>
              </w:rPr>
            </w:pPr>
          </w:p>
        </w:tc>
        <w:tc>
          <w:tcPr>
            <w:tcW w:w="13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99"/>
              </w:rPr>
              <w:t>Non-cash items</w:t>
            </w:r>
          </w:p>
        </w:tc>
        <w:tc>
          <w:tcPr>
            <w:tcW w:w="300" w:type="dxa"/>
            <w:vAlign w:val="bottom"/>
          </w:tcPr>
          <w:p>
            <w:pPr>
              <w:spacing w:after="0"/>
              <w:rPr>
                <w:sz w:val="18"/>
                <w:szCs w:val="18"/>
                <w:color w:val="auto"/>
              </w:rPr>
            </w:pPr>
          </w:p>
        </w:tc>
        <w:tc>
          <w:tcPr>
            <w:tcW w:w="13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Total</w:t>
            </w:r>
          </w:p>
        </w:tc>
        <w:tc>
          <w:tcPr>
            <w:tcW w:w="60" w:type="dxa"/>
            <w:vAlign w:val="bottom"/>
          </w:tcPr>
          <w:p>
            <w:pPr>
              <w:spacing w:after="0"/>
              <w:rPr>
                <w:sz w:val="18"/>
                <w:szCs w:val="18"/>
                <w:color w:val="auto"/>
              </w:rPr>
            </w:pPr>
          </w:p>
        </w:tc>
      </w:tr>
      <w:tr>
        <w:trPr>
          <w:trHeight w:val="378"/>
        </w:trPr>
        <w:tc>
          <w:tcPr>
            <w:tcW w:w="1380" w:type="dxa"/>
            <w:vAlign w:val="bottom"/>
          </w:tcPr>
          <w:p>
            <w:pPr>
              <w:jc w:val="right"/>
              <w:spacing w:after="0"/>
              <w:rPr>
                <w:sz w:val="20"/>
                <w:szCs w:val="20"/>
                <w:color w:val="auto"/>
              </w:rPr>
            </w:pPr>
            <w:r>
              <w:rPr>
                <w:rFonts w:ascii="Arial" w:cs="Arial" w:eastAsia="Arial" w:hAnsi="Arial"/>
                <w:sz w:val="16"/>
                <w:szCs w:val="16"/>
                <w:color w:val="auto"/>
              </w:rPr>
              <w:t>111,544</w:t>
            </w:r>
          </w:p>
        </w:tc>
        <w:tc>
          <w:tcPr>
            <w:tcW w:w="300" w:type="dxa"/>
            <w:vAlign w:val="bottom"/>
          </w:tcPr>
          <w:p>
            <w:pPr>
              <w:spacing w:after="0"/>
              <w:rPr>
                <w:sz w:val="24"/>
                <w:szCs w:val="24"/>
                <w:color w:val="auto"/>
              </w:rPr>
            </w:pPr>
          </w:p>
        </w:tc>
        <w:tc>
          <w:tcPr>
            <w:tcW w:w="1660" w:type="dxa"/>
            <w:vAlign w:val="bottom"/>
            <w:gridSpan w:val="2"/>
          </w:tcPr>
          <w:p>
            <w:pPr>
              <w:jc w:val="right"/>
              <w:ind w:right="219"/>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111,544</w:t>
            </w:r>
          </w:p>
        </w:tc>
        <w:tc>
          <w:tcPr>
            <w:tcW w:w="60" w:type="dxa"/>
            <w:vAlign w:val="bottom"/>
          </w:tcPr>
          <w:p>
            <w:pPr>
              <w:spacing w:after="0"/>
              <w:rPr>
                <w:sz w:val="24"/>
                <w:szCs w:val="24"/>
                <w:color w:val="auto"/>
              </w:rPr>
            </w:pPr>
          </w:p>
        </w:tc>
      </w:tr>
      <w:tr>
        <w:trPr>
          <w:trHeight w:val="206"/>
        </w:trPr>
        <w:tc>
          <w:tcPr>
            <w:tcW w:w="1680" w:type="dxa"/>
            <w:vAlign w:val="bottom"/>
            <w:gridSpan w:val="2"/>
          </w:tcPr>
          <w:p>
            <w:pPr>
              <w:jc w:val="right"/>
              <w:ind w:right="240"/>
              <w:spacing w:after="0"/>
              <w:rPr>
                <w:sz w:val="20"/>
                <w:szCs w:val="20"/>
                <w:color w:val="auto"/>
              </w:rPr>
            </w:pPr>
            <w:r>
              <w:rPr>
                <w:rFonts w:ascii="Arial" w:cs="Arial" w:eastAsia="Arial" w:hAnsi="Arial"/>
                <w:sz w:val="16"/>
                <w:szCs w:val="16"/>
                <w:color w:val="auto"/>
              </w:rPr>
              <w:t>(315)</w:t>
            </w:r>
          </w:p>
        </w:tc>
        <w:tc>
          <w:tcPr>
            <w:tcW w:w="1660" w:type="dxa"/>
            <w:vAlign w:val="bottom"/>
            <w:gridSpan w:val="2"/>
          </w:tcPr>
          <w:p>
            <w:pPr>
              <w:jc w:val="right"/>
              <w:ind w:right="159"/>
              <w:spacing w:after="0"/>
              <w:rPr>
                <w:sz w:val="20"/>
                <w:szCs w:val="20"/>
                <w:color w:val="auto"/>
              </w:rPr>
            </w:pPr>
            <w:r>
              <w:rPr>
                <w:rFonts w:ascii="Arial" w:cs="Arial" w:eastAsia="Arial" w:hAnsi="Arial"/>
                <w:sz w:val="16"/>
                <w:szCs w:val="16"/>
                <w:color w:val="auto"/>
              </w:rPr>
              <w:t>(32)</w:t>
            </w: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(347)</w:t>
            </w:r>
          </w:p>
        </w:tc>
      </w:tr>
      <w:tr>
        <w:trPr>
          <w:trHeight w:val="213"/>
        </w:trPr>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111,229</w:t>
            </w:r>
          </w:p>
        </w:tc>
        <w:tc>
          <w:tcPr>
            <w:tcW w:w="30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(32</w:t>
            </w:r>
          </w:p>
        </w:tc>
        <w:tc>
          <w:tcPr>
            <w:tcW w:w="300" w:type="dxa"/>
            <w:vAlign w:val="bottom"/>
          </w:tcPr>
          <w:p>
            <w:pPr>
              <w:jc w:val="right"/>
              <w:ind w:right="159"/>
              <w:spacing w:after="0"/>
              <w:rPr>
                <w:sz w:val="20"/>
                <w:szCs w:val="20"/>
                <w:color w:val="auto"/>
              </w:rPr>
            </w:pPr>
            <w:r>
              <w:rPr>
                <w:rFonts w:ascii="Arial" w:cs="Arial" w:eastAsia="Arial" w:hAnsi="Arial"/>
                <w:sz w:val="16"/>
                <w:szCs w:val="16"/>
                <w:b w:val="1"/>
                <w:bCs w:val="1"/>
                <w:color w:val="auto"/>
                <w:w w:val="74"/>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111,197</w:t>
            </w:r>
          </w:p>
        </w:tc>
        <w:tc>
          <w:tcPr>
            <w:tcW w:w="60" w:type="dxa"/>
            <w:vAlign w:val="bottom"/>
          </w:tcPr>
          <w:p>
            <w:pPr>
              <w:spacing w:after="0"/>
              <w:rPr>
                <w:sz w:val="18"/>
                <w:szCs w:val="18"/>
                <w:color w:val="auto"/>
              </w:rPr>
            </w:pPr>
          </w:p>
        </w:tc>
      </w:tr>
      <w:tr>
        <w:trPr>
          <w:trHeight w:val="20"/>
        </w:trPr>
        <w:tc>
          <w:tcPr>
            <w:tcW w:w="13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760" w:space="480"/>
            <w:col w:w="4780"/>
          </w:cols>
          <w:pgMar w:left="560" w:top="262" w:right="319" w:bottom="1440" w:gutter="0" w:footer="0" w:header="0"/>
          <w:type w:val="continuous"/>
        </w:sectPr>
      </w:pPr>
    </w:p>
    <w:p>
      <w:pPr>
        <w:spacing w:after="0" w:line="6" w:lineRule="exact"/>
        <w:rPr>
          <w:sz w:val="20"/>
          <w:szCs w:val="20"/>
          <w:color w:val="auto"/>
        </w:rPr>
      </w:pPr>
    </w:p>
    <w:p>
      <w:pPr>
        <w:jc w:val="center"/>
        <w:ind w:right="240"/>
        <w:spacing w:after="0"/>
        <w:rPr>
          <w:sz w:val="20"/>
          <w:szCs w:val="20"/>
          <w:color w:val="auto"/>
        </w:rPr>
      </w:pPr>
      <w:r>
        <w:rPr>
          <w:rFonts w:ascii="Arial" w:cs="Arial" w:eastAsia="Arial" w:hAnsi="Arial"/>
          <w:sz w:val="14"/>
          <w:szCs w:val="14"/>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wp:posOffset>
            </wp:positionH>
            <wp:positionV relativeFrom="paragraph">
              <wp:posOffset>99060</wp:posOffset>
            </wp:positionV>
            <wp:extent cx="735901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359015" cy="29845"/>
                    </a:xfrm>
                    <a:prstGeom prst="rect">
                      <a:avLst/>
                    </a:prstGeom>
                    <a:noFill/>
                  </pic:spPr>
                </pic:pic>
              </a:graphicData>
            </a:graphic>
          </wp:anchor>
        </w:drawing>
      </w:r>
    </w:p>
    <w:p>
      <w:pPr>
        <w:sectPr>
          <w:pgSz w:w="11900" w:h="16838" w:orient="portrait"/>
          <w:cols w:equalWidth="0" w:num="1">
            <w:col w:w="11020"/>
          </w:cols>
          <w:pgMar w:left="560" w:top="262" w:right="319" w:bottom="1440" w:gutter="0" w:footer="0" w:header="0"/>
          <w:type w:val="continuous"/>
        </w:sectPr>
      </w:pPr>
    </w:p>
    <w:bookmarkStart w:id="43" w:name="page44"/>
    <w:bookmarkEnd w:id="43"/>
    <w:tbl>
      <w:tblPr>
        <w:tblLayout w:type="fixed"/>
        <w:tblInd w:w="400" w:type="dxa"/>
        <w:tblCellMar>
          <w:top w:w="0" w:type="dxa"/>
          <w:left w:w="0" w:type="dxa"/>
          <w:bottom w:w="0" w:type="dxa"/>
          <w:right w:w="0" w:type="dxa"/>
        </w:tblCellMar>
      </w:tblPr>
      <w:tr>
        <w:trPr>
          <w:trHeight w:val="210"/>
        </w:trPr>
        <w:tc>
          <w:tcPr>
            <w:tcW w:w="6240" w:type="dxa"/>
            <w:vAlign w:val="bottom"/>
          </w:tcPr>
          <w:p>
            <w:pPr>
              <w:spacing w:after="0"/>
              <w:rPr>
                <w:sz w:val="18"/>
                <w:szCs w:val="18"/>
                <w:color w:val="auto"/>
              </w:rPr>
            </w:pPr>
          </w:p>
        </w:tc>
        <w:tc>
          <w:tcPr>
            <w:tcW w:w="1080" w:type="dxa"/>
            <w:vAlign w:val="bottom"/>
          </w:tcPr>
          <w:p>
            <w:pPr>
              <w:ind w:left="320"/>
              <w:spacing w:after="0"/>
              <w:rPr>
                <w:sz w:val="20"/>
                <w:szCs w:val="20"/>
                <w:color w:val="auto"/>
              </w:rPr>
            </w:pPr>
            <w:r>
              <w:rPr>
                <w:rFonts w:ascii="Arial" w:cs="Arial" w:eastAsia="Arial" w:hAnsi="Arial"/>
                <w:sz w:val="16"/>
                <w:szCs w:val="16"/>
                <w:b w:val="1"/>
                <w:bCs w:val="1"/>
                <w:color w:val="auto"/>
                <w:w w:val="87"/>
              </w:rPr>
              <w:t>Cash flows</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gridSpan w:val="2"/>
          </w:tcPr>
          <w:p>
            <w:pPr>
              <w:ind w:left="140"/>
              <w:spacing w:after="0"/>
              <w:rPr>
                <w:sz w:val="20"/>
                <w:szCs w:val="20"/>
                <w:color w:val="auto"/>
              </w:rPr>
            </w:pPr>
            <w:r>
              <w:rPr>
                <w:rFonts w:ascii="Arial" w:cs="Arial" w:eastAsia="Arial" w:hAnsi="Arial"/>
                <w:sz w:val="16"/>
                <w:szCs w:val="16"/>
                <w:b w:val="1"/>
                <w:bCs w:val="1"/>
                <w:color w:val="auto"/>
              </w:rPr>
              <w:t>Non-cash items</w:t>
            </w:r>
          </w:p>
        </w:tc>
        <w:tc>
          <w:tcPr>
            <w:tcW w:w="1380" w:type="dxa"/>
            <w:vAlign w:val="bottom"/>
          </w:tcPr>
          <w:p>
            <w:pPr>
              <w:jc w:val="right"/>
              <w:ind w:right="439"/>
              <w:spacing w:after="0"/>
              <w:rPr>
                <w:sz w:val="20"/>
                <w:szCs w:val="20"/>
                <w:color w:val="auto"/>
              </w:rPr>
            </w:pPr>
            <w:r>
              <w:rPr>
                <w:rFonts w:ascii="Arial" w:cs="Arial" w:eastAsia="Arial" w:hAnsi="Arial"/>
                <w:sz w:val="16"/>
                <w:szCs w:val="16"/>
                <w:b w:val="1"/>
                <w:bCs w:val="1"/>
                <w:color w:val="auto"/>
              </w:rPr>
              <w:t>Total</w:t>
            </w:r>
          </w:p>
        </w:tc>
      </w:tr>
      <w:tr>
        <w:trPr>
          <w:trHeight w:val="202"/>
        </w:trPr>
        <w:tc>
          <w:tcPr>
            <w:tcW w:w="624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Equity offering costs</w:t>
            </w:r>
          </w:p>
        </w:tc>
        <w:tc>
          <w:tcPr>
            <w:tcW w:w="1080" w:type="dxa"/>
            <w:vAlign w:val="bottom"/>
            <w:tcBorders>
              <w:top w:val="single" w:sz="8" w:color="auto"/>
              <w:bottom w:val="single" w:sz="8" w:color="auto"/>
            </w:tcBorders>
            <w:shd w:val="clear" w:color="auto" w:fill="E5FFFF"/>
          </w:tcPr>
          <w:p>
            <w:pPr>
              <w:spacing w:after="0"/>
              <w:rPr>
                <w:sz w:val="17"/>
                <w:szCs w:val="17"/>
                <w:color w:val="auto"/>
              </w:rPr>
            </w:pPr>
          </w:p>
        </w:tc>
        <w:tc>
          <w:tcPr>
            <w:tcW w:w="3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w w:val="74"/>
              </w:rPr>
              <w:t>(668)</w:t>
            </w:r>
          </w:p>
        </w:tc>
        <w:tc>
          <w:tcPr>
            <w:tcW w:w="300" w:type="dxa"/>
            <w:vAlign w:val="bottom"/>
            <w:tcBorders>
              <w:top w:val="single" w:sz="8" w:color="E5FFFF"/>
            </w:tcBorders>
            <w:shd w:val="clear" w:color="auto" w:fill="E5FFFF"/>
          </w:tcPr>
          <w:p>
            <w:pPr>
              <w:spacing w:after="0"/>
              <w:rPr>
                <w:sz w:val="17"/>
                <w:szCs w:val="17"/>
                <w:color w:val="auto"/>
              </w:rPr>
            </w:pPr>
          </w:p>
        </w:tc>
        <w:tc>
          <w:tcPr>
            <w:tcW w:w="13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820</w:t>
            </w:r>
          </w:p>
        </w:tc>
        <w:tc>
          <w:tcPr>
            <w:tcW w:w="300" w:type="dxa"/>
            <w:vAlign w:val="bottom"/>
            <w:tcBorders>
              <w:top w:val="single" w:sz="8" w:color="E5FFFF"/>
            </w:tcBorders>
            <w:shd w:val="clear" w:color="auto" w:fill="E5FFFF"/>
          </w:tcPr>
          <w:p>
            <w:pPr>
              <w:spacing w:after="0"/>
              <w:rPr>
                <w:sz w:val="17"/>
                <w:szCs w:val="17"/>
                <w:color w:val="auto"/>
              </w:rPr>
            </w:pPr>
          </w:p>
        </w:tc>
        <w:tc>
          <w:tcPr>
            <w:tcW w:w="13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152</w:t>
            </w:r>
          </w:p>
        </w:tc>
      </w:tr>
      <w:tr>
        <w:trPr>
          <w:trHeight w:val="207"/>
        </w:trPr>
        <w:tc>
          <w:tcPr>
            <w:tcW w:w="6240" w:type="dxa"/>
            <w:vAlign w:val="bottom"/>
          </w:tcPr>
          <w:p>
            <w:pPr>
              <w:spacing w:after="0"/>
              <w:rPr>
                <w:sz w:val="20"/>
                <w:szCs w:val="20"/>
                <w:color w:val="auto"/>
              </w:rPr>
            </w:pPr>
            <w:r>
              <w:rPr>
                <w:rFonts w:ascii="Arial" w:cs="Arial" w:eastAsia="Arial" w:hAnsi="Arial"/>
                <w:sz w:val="16"/>
                <w:szCs w:val="16"/>
                <w:b w:val="1"/>
                <w:bCs w:val="1"/>
                <w:color w:val="auto"/>
              </w:rPr>
              <w:t>Net proceeds from equity offerings in the period ended March 31, 2019</w:t>
            </w:r>
          </w:p>
        </w:tc>
        <w:tc>
          <w:tcPr>
            <w:tcW w:w="10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7"/>
              </w:rPr>
              <w:t>(668</w:t>
            </w:r>
          </w:p>
        </w:tc>
        <w:tc>
          <w:tcPr>
            <w:tcW w:w="300" w:type="dxa"/>
            <w:vAlign w:val="bottom"/>
          </w:tcPr>
          <w:p>
            <w:pPr>
              <w:jc w:val="right"/>
              <w:ind w:right="159"/>
              <w:spacing w:after="0"/>
              <w:rPr>
                <w:sz w:val="20"/>
                <w:szCs w:val="20"/>
                <w:color w:val="auto"/>
              </w:rPr>
            </w:pPr>
            <w:r>
              <w:rPr>
                <w:rFonts w:ascii="Arial" w:cs="Arial" w:eastAsia="Arial" w:hAnsi="Arial"/>
                <w:sz w:val="16"/>
                <w:szCs w:val="16"/>
                <w:b w:val="1"/>
                <w:bCs w:val="1"/>
                <w:color w:val="auto"/>
                <w:w w:val="74"/>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820</w:t>
            </w:r>
          </w:p>
        </w:tc>
        <w:tc>
          <w:tcPr>
            <w:tcW w:w="300" w:type="dxa"/>
            <w:vAlign w:val="bottom"/>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152</w:t>
            </w:r>
          </w:p>
        </w:tc>
      </w:tr>
      <w:tr>
        <w:trPr>
          <w:trHeight w:val="20"/>
        </w:trPr>
        <w:tc>
          <w:tcPr>
            <w:tcW w:w="62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18. Share-Based Compensation</w:t>
      </w:r>
    </w:p>
    <w:p>
      <w:pPr>
        <w:spacing w:after="0" w:line="239" w:lineRule="exact"/>
        <w:rPr>
          <w:sz w:val="20"/>
          <w:szCs w:val="20"/>
          <w:color w:val="auto"/>
        </w:rPr>
      </w:pPr>
    </w:p>
    <w:p>
      <w:pPr>
        <w:ind w:right="120" w:firstLine="357"/>
        <w:spacing w:after="0" w:line="273" w:lineRule="auto"/>
        <w:rPr>
          <w:sz w:val="20"/>
          <w:szCs w:val="20"/>
          <w:color w:val="auto"/>
        </w:rPr>
      </w:pPr>
      <w:r>
        <w:rPr>
          <w:rFonts w:ascii="Arial" w:cs="Arial" w:eastAsia="Arial" w:hAnsi="Arial"/>
          <w:sz w:val="16"/>
          <w:szCs w:val="16"/>
          <w:color w:val="auto"/>
        </w:rPr>
        <w:t>The terms of the 2013 Omnibus Incentive Compensation Plan (the “Plan”) and the assumptions for the valuation of Restricted Stock Units (“RSUs”) and Stock Appreciation Rights or Stock Options (collectively the “SARs”) and the terms of the GasLog Partners’ 2015 Long-Term Incentive Plan (the “GasLog Partners’ Plan”) and the assumptions for the valuation of Restricted Common Units (“RCUs”) and Performance Common Units (“PCUs”) have been disclosed in Note 22 “Share-Based Compensation” in the annual audited consolidated financial statements for the year ended December 31, 2018.</w:t>
      </w:r>
    </w:p>
    <w:p>
      <w:pPr>
        <w:spacing w:after="0" w:line="189" w:lineRule="exact"/>
        <w:rPr>
          <w:sz w:val="20"/>
          <w:szCs w:val="20"/>
          <w:color w:val="auto"/>
        </w:rPr>
      </w:pPr>
    </w:p>
    <w:p>
      <w:pPr>
        <w:ind w:right="460" w:firstLine="357"/>
        <w:spacing w:after="0" w:line="293" w:lineRule="auto"/>
        <w:rPr>
          <w:sz w:val="20"/>
          <w:szCs w:val="20"/>
          <w:color w:val="auto"/>
        </w:rPr>
      </w:pPr>
      <w:r>
        <w:rPr>
          <w:rFonts w:ascii="Arial" w:cs="Arial" w:eastAsia="Arial" w:hAnsi="Arial"/>
          <w:sz w:val="16"/>
          <w:szCs w:val="16"/>
          <w:color w:val="auto"/>
        </w:rPr>
        <w:t>As of March 31, 2019, there were 488,173 RSUs and 2,372,163 SARs outstanding (December 31, 2018: 488,173 RSUs and 2,372,163 SARs). As of March 31, 2019, 1,395,692 SARs have vested but have not been exercised.</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As of March 31, 2019, there were 75,084 RCUs and 75,084 PCUs outstanding (December 31, 2018: 75,084 RCUs and 75,084 PCUs).</w:t>
      </w:r>
    </w:p>
    <w:p>
      <w:pPr>
        <w:spacing w:after="0" w:line="235"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The total expense recognized in respect of share-based compensation for the three months ended March 31, 2019 was $1,321 (for the three months ended March 31, 2018:</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color w:val="auto"/>
        </w:rPr>
        <w:t>$1,186). The total accrued cash distribution as of March 31, 2019 is $1,420 (December 31, 2018: $1,265).</w:t>
      </w: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19. Earnings/(losses) per Share (“EPS”)</w:t>
      </w:r>
    </w:p>
    <w:p>
      <w:pPr>
        <w:spacing w:after="0" w:line="239" w:lineRule="exact"/>
        <w:rPr>
          <w:sz w:val="20"/>
          <w:szCs w:val="20"/>
          <w:color w:val="auto"/>
        </w:rPr>
      </w:pPr>
    </w:p>
    <w:p>
      <w:pPr>
        <w:ind w:right="20" w:firstLine="356"/>
        <w:spacing w:after="0" w:line="293" w:lineRule="auto"/>
        <w:rPr>
          <w:sz w:val="20"/>
          <w:szCs w:val="20"/>
          <w:color w:val="auto"/>
        </w:rPr>
      </w:pPr>
      <w:r>
        <w:rPr>
          <w:rFonts w:ascii="Arial" w:cs="Arial" w:eastAsia="Arial" w:hAnsi="Arial"/>
          <w:sz w:val="16"/>
          <w:szCs w:val="16"/>
          <w:color w:val="auto"/>
        </w:rPr>
        <w:t>Basic earnings/(losses) per share was calculated by dividing the net profit for the period attributable to the owners of the common shares by the weighted average number of common shares issued and outstanding during the period.</w:t>
      </w:r>
    </w:p>
    <w:p>
      <w:pPr>
        <w:spacing w:after="0" w:line="172" w:lineRule="exact"/>
        <w:rPr>
          <w:sz w:val="20"/>
          <w:szCs w:val="20"/>
          <w:color w:val="auto"/>
        </w:rPr>
      </w:pPr>
    </w:p>
    <w:p>
      <w:pPr>
        <w:ind w:right="60" w:firstLine="356"/>
        <w:spacing w:after="0" w:line="293" w:lineRule="auto"/>
        <w:rPr>
          <w:sz w:val="20"/>
          <w:szCs w:val="20"/>
          <w:color w:val="auto"/>
        </w:rPr>
      </w:pPr>
      <w:r>
        <w:rPr>
          <w:rFonts w:ascii="Arial" w:cs="Arial" w:eastAsia="Arial" w:hAnsi="Arial"/>
          <w:sz w:val="16"/>
          <w:szCs w:val="16"/>
          <w:color w:val="auto"/>
        </w:rPr>
        <w:t>Diluted earnings/(losses) per share is calculated by dividing the profit for the period attributable to the owners of the Group by the weighted average number of all potential ordinary shares assumed to have been converted into common shares, unless such potential ordinary shares have an antidilutive effect.</w:t>
      </w:r>
    </w:p>
    <w:p>
      <w:pPr>
        <w:spacing w:after="0" w:line="172"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following reflects the earnings/(losses) and share data used in the basic and diluted earnings per share computations: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720" w:type="dxa"/>
            <w:vAlign w:val="bottom"/>
          </w:tcPr>
          <w:p>
            <w:pPr>
              <w:spacing w:after="0"/>
              <w:rPr>
                <w:sz w:val="17"/>
                <w:szCs w:val="17"/>
                <w:color w:val="auto"/>
              </w:rPr>
            </w:pPr>
          </w:p>
        </w:tc>
        <w:tc>
          <w:tcPr>
            <w:tcW w:w="3080" w:type="dxa"/>
            <w:vAlign w:val="bottom"/>
            <w:gridSpan w:val="4"/>
          </w:tcPr>
          <w:p>
            <w:pPr>
              <w:jc w:val="right"/>
              <w:ind w:right="560"/>
              <w:spacing w:after="0"/>
              <w:rPr>
                <w:sz w:val="20"/>
                <w:szCs w:val="20"/>
                <w:color w:val="auto"/>
              </w:rPr>
            </w:pPr>
            <w:r>
              <w:rPr>
                <w:rFonts w:ascii="Arial" w:cs="Arial" w:eastAsia="Arial" w:hAnsi="Arial"/>
                <w:sz w:val="16"/>
                <w:szCs w:val="16"/>
                <w:b w:val="1"/>
                <w:bCs w:val="1"/>
                <w:color w:val="auto"/>
              </w:rPr>
              <w:t>For the three months ended</w:t>
            </w:r>
          </w:p>
        </w:tc>
        <w:tc>
          <w:tcPr>
            <w:tcW w:w="0" w:type="dxa"/>
            <w:vAlign w:val="bottom"/>
          </w:tcPr>
          <w:p>
            <w:pPr>
              <w:spacing w:after="0"/>
              <w:rPr>
                <w:sz w:val="1"/>
                <w:szCs w:val="1"/>
                <w:color w:val="auto"/>
              </w:rPr>
            </w:pPr>
          </w:p>
        </w:tc>
      </w:tr>
      <w:tr>
        <w:trPr>
          <w:trHeight w:val="213"/>
        </w:trPr>
        <w:tc>
          <w:tcPr>
            <w:tcW w:w="7720" w:type="dxa"/>
            <w:vAlign w:val="bottom"/>
          </w:tcPr>
          <w:p>
            <w:pPr>
              <w:spacing w:after="0"/>
              <w:rPr>
                <w:sz w:val="18"/>
                <w:szCs w:val="18"/>
                <w:color w:val="auto"/>
              </w:rPr>
            </w:pPr>
          </w:p>
        </w:tc>
        <w:tc>
          <w:tcPr>
            <w:tcW w:w="168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rPr>
              <w:t>March 31, 2018</w:t>
            </w:r>
          </w:p>
        </w:tc>
        <w:tc>
          <w:tcPr>
            <w:tcW w:w="140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March 31, 2019</w:t>
            </w:r>
          </w:p>
        </w:tc>
        <w:tc>
          <w:tcPr>
            <w:tcW w:w="0" w:type="dxa"/>
            <w:vAlign w:val="bottom"/>
          </w:tcPr>
          <w:p>
            <w:pPr>
              <w:spacing w:after="0"/>
              <w:rPr>
                <w:sz w:val="1"/>
                <w:szCs w:val="1"/>
                <w:color w:val="auto"/>
              </w:rPr>
            </w:pPr>
          </w:p>
        </w:tc>
      </w:tr>
      <w:tr>
        <w:trPr>
          <w:trHeight w:val="185"/>
        </w:trPr>
        <w:tc>
          <w:tcPr>
            <w:tcW w:w="772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i w:val="1"/>
                <w:iCs w:val="1"/>
                <w:color w:val="auto"/>
              </w:rPr>
              <w:t>Basic earnings/(loss) per share</w:t>
            </w:r>
          </w:p>
        </w:tc>
        <w:tc>
          <w:tcPr>
            <w:tcW w:w="1380" w:type="dxa"/>
            <w:vAlign w:val="bottom"/>
            <w:tcBorders>
              <w:top w:val="single" w:sz="8" w:color="auto"/>
            </w:tcBorders>
            <w:shd w:val="clear" w:color="auto" w:fill="E5FFFF"/>
          </w:tcPr>
          <w:p>
            <w:pPr>
              <w:spacing w:after="0"/>
              <w:rPr>
                <w:sz w:val="16"/>
                <w:szCs w:val="16"/>
                <w:color w:val="auto"/>
              </w:rPr>
            </w:pPr>
          </w:p>
        </w:tc>
        <w:tc>
          <w:tcPr>
            <w:tcW w:w="300" w:type="dxa"/>
            <w:vAlign w:val="bottom"/>
            <w:tcBorders>
              <w:top w:val="single" w:sz="8" w:color="E5FFFF"/>
            </w:tcBorders>
            <w:shd w:val="clear" w:color="auto" w:fill="E5FFFF"/>
          </w:tcPr>
          <w:p>
            <w:pPr>
              <w:spacing w:after="0"/>
              <w:rPr>
                <w:sz w:val="16"/>
                <w:szCs w:val="16"/>
                <w:color w:val="auto"/>
              </w:rPr>
            </w:pPr>
          </w:p>
        </w:tc>
        <w:tc>
          <w:tcPr>
            <w:tcW w:w="1360" w:type="dxa"/>
            <w:vAlign w:val="bottom"/>
            <w:tcBorders>
              <w:top w:val="single" w:sz="8" w:color="auto"/>
            </w:tcBorders>
            <w:shd w:val="clear" w:color="auto" w:fill="E5FF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720" w:type="dxa"/>
            <w:vAlign w:val="bottom"/>
          </w:tcPr>
          <w:p>
            <w:pPr>
              <w:spacing w:after="0"/>
              <w:rPr>
                <w:sz w:val="20"/>
                <w:szCs w:val="20"/>
                <w:color w:val="auto"/>
              </w:rPr>
            </w:pPr>
            <w:r>
              <w:rPr>
                <w:rFonts w:ascii="Arial" w:cs="Arial" w:eastAsia="Arial" w:hAnsi="Arial"/>
                <w:sz w:val="16"/>
                <w:szCs w:val="16"/>
                <w:color w:val="auto"/>
              </w:rPr>
              <w:t>Profit/(loss) for the period attributable to owners of the Group</w:t>
            </w:r>
          </w:p>
        </w:tc>
        <w:tc>
          <w:tcPr>
            <w:tcW w:w="1680" w:type="dxa"/>
            <w:vAlign w:val="bottom"/>
            <w:gridSpan w:val="2"/>
          </w:tcPr>
          <w:p>
            <w:pPr>
              <w:jc w:val="right"/>
              <w:ind w:right="300"/>
              <w:spacing w:after="0"/>
              <w:rPr>
                <w:sz w:val="20"/>
                <w:szCs w:val="20"/>
                <w:color w:val="auto"/>
              </w:rPr>
            </w:pPr>
            <w:r>
              <w:rPr>
                <w:rFonts w:ascii="Arial" w:cs="Arial" w:eastAsia="Arial" w:hAnsi="Arial"/>
                <w:sz w:val="16"/>
                <w:szCs w:val="16"/>
                <w:color w:val="auto"/>
              </w:rPr>
              <w:t>19,304</w:t>
            </w:r>
          </w:p>
        </w:tc>
        <w:tc>
          <w:tcPr>
            <w:tcW w:w="1360" w:type="dxa"/>
            <w:vAlign w:val="bottom"/>
          </w:tcPr>
          <w:p>
            <w:pPr>
              <w:jc w:val="right"/>
              <w:spacing w:after="0"/>
              <w:rPr>
                <w:sz w:val="20"/>
                <w:szCs w:val="20"/>
                <w:color w:val="auto"/>
              </w:rPr>
            </w:pPr>
            <w:r>
              <w:rPr>
                <w:rFonts w:ascii="Arial" w:cs="Arial" w:eastAsia="Arial" w:hAnsi="Arial"/>
                <w:sz w:val="16"/>
                <w:szCs w:val="16"/>
                <w:color w:val="auto"/>
              </w:rPr>
              <w:t>(10,947)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20" w:type="dxa"/>
            <w:vAlign w:val="bottom"/>
            <w:shd w:val="clear" w:color="auto" w:fill="E5FFFF"/>
          </w:tcPr>
          <w:p>
            <w:pPr>
              <w:spacing w:after="0"/>
              <w:rPr>
                <w:sz w:val="20"/>
                <w:szCs w:val="20"/>
                <w:color w:val="auto"/>
              </w:rPr>
            </w:pPr>
            <w:r>
              <w:rPr>
                <w:rFonts w:ascii="Arial" w:cs="Arial" w:eastAsia="Arial" w:hAnsi="Arial"/>
                <w:sz w:val="16"/>
                <w:szCs w:val="16"/>
                <w:color w:val="auto"/>
              </w:rPr>
              <w:t>Less:</w:t>
            </w:r>
          </w:p>
        </w:tc>
        <w:tc>
          <w:tcPr>
            <w:tcW w:w="138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360" w:type="dxa"/>
            <w:vAlign w:val="bottom"/>
            <w:shd w:val="clear" w:color="auto" w:fill="E5FF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20" w:type="dxa"/>
            <w:vAlign w:val="bottom"/>
          </w:tcPr>
          <w:p>
            <w:pPr>
              <w:spacing w:after="0"/>
              <w:rPr>
                <w:sz w:val="20"/>
                <w:szCs w:val="20"/>
                <w:color w:val="auto"/>
              </w:rPr>
            </w:pPr>
            <w:r>
              <w:rPr>
                <w:rFonts w:ascii="Arial" w:cs="Arial" w:eastAsia="Arial" w:hAnsi="Arial"/>
                <w:sz w:val="16"/>
                <w:szCs w:val="16"/>
                <w:color w:val="auto"/>
              </w:rPr>
              <w:t>Dividend on preference shares</w:t>
            </w:r>
          </w:p>
        </w:tc>
        <w:tc>
          <w:tcPr>
            <w:tcW w:w="1680" w:type="dxa"/>
            <w:vAlign w:val="bottom"/>
            <w:gridSpan w:val="2"/>
          </w:tcPr>
          <w:p>
            <w:pPr>
              <w:jc w:val="right"/>
              <w:ind w:right="240"/>
              <w:spacing w:after="0"/>
              <w:rPr>
                <w:sz w:val="20"/>
                <w:szCs w:val="20"/>
                <w:color w:val="auto"/>
              </w:rPr>
            </w:pPr>
            <w:r>
              <w:rPr>
                <w:rFonts w:ascii="Arial" w:cs="Arial" w:eastAsia="Arial" w:hAnsi="Arial"/>
                <w:sz w:val="16"/>
                <w:szCs w:val="16"/>
                <w:color w:val="auto"/>
              </w:rPr>
              <w:t>(2,516)</w:t>
            </w:r>
          </w:p>
        </w:tc>
        <w:tc>
          <w:tcPr>
            <w:tcW w:w="1360" w:type="dxa"/>
            <w:vAlign w:val="bottom"/>
          </w:tcPr>
          <w:p>
            <w:pPr>
              <w:jc w:val="right"/>
              <w:spacing w:after="0"/>
              <w:rPr>
                <w:sz w:val="20"/>
                <w:szCs w:val="20"/>
                <w:color w:val="auto"/>
              </w:rPr>
            </w:pPr>
            <w:r>
              <w:rPr>
                <w:rFonts w:ascii="Arial" w:cs="Arial" w:eastAsia="Arial" w:hAnsi="Arial"/>
                <w:sz w:val="16"/>
                <w:szCs w:val="16"/>
                <w:color w:val="auto"/>
              </w:rPr>
              <w:t>(2,516)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72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Profit/(loss) for the period available to owners of the Group</w:t>
            </w:r>
          </w:p>
        </w:tc>
        <w:tc>
          <w:tcPr>
            <w:tcW w:w="13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16,788</w:t>
            </w:r>
          </w:p>
        </w:tc>
        <w:tc>
          <w:tcPr>
            <w:tcW w:w="300" w:type="dxa"/>
            <w:vAlign w:val="bottom"/>
            <w:tcBorders>
              <w:top w:val="single" w:sz="8" w:color="E5FFFF"/>
            </w:tcBorders>
            <w:shd w:val="clear" w:color="auto" w:fill="E5FFFF"/>
          </w:tcPr>
          <w:p>
            <w:pPr>
              <w:spacing w:after="0"/>
              <w:rPr>
                <w:sz w:val="17"/>
                <w:szCs w:val="17"/>
                <w:color w:val="auto"/>
              </w:rPr>
            </w:pPr>
          </w:p>
        </w:tc>
        <w:tc>
          <w:tcPr>
            <w:tcW w:w="13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(13,463)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720" w:type="dxa"/>
            <w:vAlign w:val="bottom"/>
          </w:tcPr>
          <w:p>
            <w:pPr>
              <w:spacing w:after="0"/>
              <w:rPr>
                <w:sz w:val="20"/>
                <w:szCs w:val="20"/>
                <w:color w:val="auto"/>
              </w:rPr>
            </w:pPr>
            <w:r>
              <w:rPr>
                <w:rFonts w:ascii="Arial" w:cs="Arial" w:eastAsia="Arial" w:hAnsi="Arial"/>
                <w:sz w:val="16"/>
                <w:szCs w:val="16"/>
                <w:color w:val="auto"/>
              </w:rPr>
              <w:t>Weighted average number of shares outstanding, basic</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80,715,130</w:t>
            </w:r>
          </w:p>
        </w:tc>
        <w:tc>
          <w:tcPr>
            <w:tcW w:w="300" w:type="dxa"/>
            <w:vAlign w:val="bottom"/>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80,825,637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720" w:type="dxa"/>
            <w:vAlign w:val="bottom"/>
          </w:tcPr>
          <w:p>
            <w:pPr>
              <w:spacing w:after="0"/>
              <w:rPr>
                <w:sz w:val="20"/>
                <w:szCs w:val="20"/>
                <w:color w:val="auto"/>
              </w:rPr>
            </w:pPr>
            <w:r>
              <w:rPr>
                <w:rFonts w:ascii="Arial" w:cs="Arial" w:eastAsia="Arial" w:hAnsi="Arial"/>
                <w:sz w:val="16"/>
                <w:szCs w:val="16"/>
                <w:b w:val="1"/>
                <w:bCs w:val="1"/>
                <w:color w:val="auto"/>
              </w:rPr>
              <w:t>Basic earnings/(loss) per share</w:t>
            </w:r>
          </w:p>
        </w:tc>
        <w:tc>
          <w:tcPr>
            <w:tcW w:w="1380" w:type="dxa"/>
            <w:vAlign w:val="bottom"/>
          </w:tcPr>
          <w:p>
            <w:pPr>
              <w:jc w:val="right"/>
              <w:spacing w:after="0"/>
              <w:rPr>
                <w:sz w:val="20"/>
                <w:szCs w:val="20"/>
                <w:color w:val="auto"/>
              </w:rPr>
            </w:pPr>
            <w:r>
              <w:rPr>
                <w:rFonts w:ascii="Arial" w:cs="Arial" w:eastAsia="Arial" w:hAnsi="Arial"/>
                <w:sz w:val="16"/>
                <w:szCs w:val="16"/>
                <w:b w:val="1"/>
                <w:bCs w:val="1"/>
                <w:color w:val="auto"/>
              </w:rPr>
              <w:t>0.21</w:t>
            </w:r>
          </w:p>
        </w:tc>
        <w:tc>
          <w:tcPr>
            <w:tcW w:w="300" w:type="dxa"/>
            <w:vAlign w:val="bottom"/>
          </w:tcPr>
          <w:p>
            <w:pPr>
              <w:spacing w:after="0"/>
              <w:rPr>
                <w:sz w:val="17"/>
                <w:szCs w:val="17"/>
                <w:color w:val="auto"/>
              </w:rPr>
            </w:pPr>
          </w:p>
        </w:tc>
        <w:tc>
          <w:tcPr>
            <w:tcW w:w="1400" w:type="dxa"/>
            <w:vAlign w:val="bottom"/>
            <w:gridSpan w:val="2"/>
          </w:tcPr>
          <w:p>
            <w:pPr>
              <w:jc w:val="right"/>
              <w:spacing w:after="0"/>
              <w:rPr>
                <w:sz w:val="20"/>
                <w:szCs w:val="20"/>
                <w:color w:val="auto"/>
              </w:rPr>
            </w:pPr>
            <w:r>
              <w:rPr>
                <w:rFonts w:ascii="Arial" w:cs="Arial" w:eastAsia="Arial" w:hAnsi="Arial"/>
                <w:sz w:val="16"/>
                <w:szCs w:val="16"/>
                <w:b w:val="1"/>
                <w:bCs w:val="1"/>
                <w:color w:val="auto"/>
              </w:rPr>
              <w:t>(0.17)</w:t>
            </w:r>
          </w:p>
        </w:tc>
        <w:tc>
          <w:tcPr>
            <w:tcW w:w="0" w:type="dxa"/>
            <w:vAlign w:val="bottom"/>
          </w:tcPr>
          <w:p>
            <w:pPr>
              <w:spacing w:after="0"/>
              <w:rPr>
                <w:sz w:val="1"/>
                <w:szCs w:val="1"/>
                <w:color w:val="auto"/>
              </w:rPr>
            </w:pPr>
          </w:p>
        </w:tc>
      </w:tr>
      <w:tr>
        <w:trPr>
          <w:trHeight w:val="183"/>
        </w:trPr>
        <w:tc>
          <w:tcPr>
            <w:tcW w:w="7720" w:type="dxa"/>
            <w:vAlign w:val="bottom"/>
          </w:tcPr>
          <w:p>
            <w:pPr>
              <w:spacing w:after="0" w:line="183" w:lineRule="exact"/>
              <w:rPr>
                <w:sz w:val="20"/>
                <w:szCs w:val="20"/>
                <w:color w:val="auto"/>
              </w:rPr>
            </w:pPr>
            <w:r>
              <w:rPr>
                <w:rFonts w:ascii="Arial" w:cs="Arial" w:eastAsia="Arial" w:hAnsi="Arial"/>
                <w:sz w:val="16"/>
                <w:szCs w:val="16"/>
                <w:b w:val="1"/>
                <w:bCs w:val="1"/>
                <w:i w:val="1"/>
                <w:iCs w:val="1"/>
                <w:color w:val="auto"/>
              </w:rPr>
              <w:t>Diluted earnings/(loss) per share</w:t>
            </w:r>
          </w:p>
        </w:tc>
        <w:tc>
          <w:tcPr>
            <w:tcW w:w="138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7720" w:type="dxa"/>
            <w:vAlign w:val="bottom"/>
            <w:shd w:val="clear" w:color="auto" w:fill="E5FFFF"/>
          </w:tcPr>
          <w:p>
            <w:pPr>
              <w:spacing w:after="0"/>
              <w:rPr>
                <w:sz w:val="20"/>
                <w:szCs w:val="20"/>
                <w:color w:val="auto"/>
              </w:rPr>
            </w:pPr>
            <w:r>
              <w:rPr>
                <w:rFonts w:ascii="Arial" w:cs="Arial" w:eastAsia="Arial" w:hAnsi="Arial"/>
                <w:sz w:val="16"/>
                <w:szCs w:val="16"/>
                <w:color w:val="auto"/>
                <w:w w:val="98"/>
              </w:rPr>
              <w:t>Profit/(loss) for the period available to owners of the Group used in the calculation of diluted earnings/(loss) per</w:t>
            </w:r>
          </w:p>
        </w:tc>
        <w:tc>
          <w:tcPr>
            <w:tcW w:w="1380" w:type="dxa"/>
            <w:vAlign w:val="bottom"/>
            <w:shd w:val="clear" w:color="auto" w:fill="E5FFFF"/>
          </w:tcPr>
          <w:p>
            <w:pPr>
              <w:spacing w:after="0"/>
              <w:rPr>
                <w:sz w:val="16"/>
                <w:szCs w:val="16"/>
                <w:color w:val="auto"/>
              </w:rPr>
            </w:pPr>
          </w:p>
        </w:tc>
        <w:tc>
          <w:tcPr>
            <w:tcW w:w="300" w:type="dxa"/>
            <w:vAlign w:val="bottom"/>
            <w:shd w:val="clear" w:color="auto" w:fill="E5FFFF"/>
          </w:tcPr>
          <w:p>
            <w:pPr>
              <w:spacing w:after="0"/>
              <w:rPr>
                <w:sz w:val="16"/>
                <w:szCs w:val="16"/>
                <w:color w:val="auto"/>
              </w:rPr>
            </w:pPr>
          </w:p>
        </w:tc>
        <w:tc>
          <w:tcPr>
            <w:tcW w:w="1360" w:type="dxa"/>
            <w:vAlign w:val="bottom"/>
            <w:shd w:val="clear" w:color="auto" w:fill="E5FF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7720" w:type="dxa"/>
            <w:vAlign w:val="bottom"/>
            <w:shd w:val="clear" w:color="auto" w:fill="E5FFFF"/>
          </w:tcPr>
          <w:p>
            <w:pPr>
              <w:ind w:left="180"/>
              <w:spacing w:after="0"/>
              <w:rPr>
                <w:sz w:val="20"/>
                <w:szCs w:val="20"/>
                <w:color w:val="auto"/>
              </w:rPr>
            </w:pPr>
            <w:r>
              <w:rPr>
                <w:rFonts w:ascii="Arial" w:cs="Arial" w:eastAsia="Arial" w:hAnsi="Arial"/>
                <w:sz w:val="16"/>
                <w:szCs w:val="16"/>
                <w:color w:val="auto"/>
              </w:rPr>
              <w:t>share</w:t>
            </w:r>
          </w:p>
        </w:tc>
        <w:tc>
          <w:tcPr>
            <w:tcW w:w="1680" w:type="dxa"/>
            <w:vAlign w:val="bottom"/>
            <w:gridSpan w:val="2"/>
            <w:shd w:val="clear" w:color="auto" w:fill="E5FFFF"/>
          </w:tcPr>
          <w:p>
            <w:pPr>
              <w:jc w:val="right"/>
              <w:ind w:right="300"/>
              <w:spacing w:after="0"/>
              <w:rPr>
                <w:sz w:val="20"/>
                <w:szCs w:val="20"/>
                <w:color w:val="auto"/>
              </w:rPr>
            </w:pPr>
            <w:r>
              <w:rPr>
                <w:rFonts w:ascii="Arial" w:cs="Arial" w:eastAsia="Arial" w:hAnsi="Arial"/>
                <w:sz w:val="16"/>
                <w:szCs w:val="16"/>
                <w:color w:val="auto"/>
              </w:rPr>
              <w:t>16,788</w:t>
            </w: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(13,463)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720" w:type="dxa"/>
            <w:vAlign w:val="bottom"/>
          </w:tcPr>
          <w:p>
            <w:pPr>
              <w:spacing w:after="0"/>
              <w:rPr>
                <w:sz w:val="20"/>
                <w:szCs w:val="20"/>
                <w:color w:val="auto"/>
              </w:rPr>
            </w:pPr>
            <w:r>
              <w:rPr>
                <w:rFonts w:ascii="Arial" w:cs="Arial" w:eastAsia="Arial" w:hAnsi="Arial"/>
                <w:sz w:val="16"/>
                <w:szCs w:val="16"/>
                <w:color w:val="auto"/>
              </w:rPr>
              <w:t>Weighted average number of shares outstanding, basic</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80,715,130</w:t>
            </w:r>
          </w:p>
        </w:tc>
        <w:tc>
          <w:tcPr>
            <w:tcW w:w="300" w:type="dxa"/>
            <w:vAlign w:val="bottom"/>
          </w:tcPr>
          <w:p>
            <w:pPr>
              <w:spacing w:after="0"/>
              <w:rPr>
                <w:sz w:val="17"/>
                <w:szCs w:val="17"/>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80,825,637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20" w:type="dxa"/>
            <w:vAlign w:val="bottom"/>
            <w:shd w:val="clear" w:color="auto" w:fill="E5FFFF"/>
          </w:tcPr>
          <w:p>
            <w:pPr>
              <w:spacing w:after="0"/>
              <w:rPr>
                <w:sz w:val="20"/>
                <w:szCs w:val="20"/>
                <w:color w:val="auto"/>
              </w:rPr>
            </w:pPr>
            <w:r>
              <w:rPr>
                <w:rFonts w:ascii="Arial" w:cs="Arial" w:eastAsia="Arial" w:hAnsi="Arial"/>
                <w:sz w:val="16"/>
                <w:szCs w:val="16"/>
                <w:color w:val="auto"/>
              </w:rPr>
              <w:t>Dilutive potential ordinary shares</w:t>
            </w:r>
          </w:p>
        </w:tc>
        <w:tc>
          <w:tcPr>
            <w:tcW w:w="1680" w:type="dxa"/>
            <w:vAlign w:val="bottom"/>
            <w:gridSpan w:val="2"/>
            <w:shd w:val="clear" w:color="auto" w:fill="E5FFFF"/>
          </w:tcPr>
          <w:p>
            <w:pPr>
              <w:jc w:val="right"/>
              <w:ind w:right="300"/>
              <w:spacing w:after="0"/>
              <w:rPr>
                <w:sz w:val="20"/>
                <w:szCs w:val="20"/>
                <w:color w:val="auto"/>
              </w:rPr>
            </w:pPr>
            <w:r>
              <w:rPr>
                <w:rFonts w:ascii="Arial" w:cs="Arial" w:eastAsia="Arial" w:hAnsi="Arial"/>
                <w:sz w:val="16"/>
                <w:szCs w:val="16"/>
                <w:color w:val="auto"/>
              </w:rPr>
              <w:t>782,161</w:t>
            </w: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720" w:type="dxa"/>
            <w:vAlign w:val="bottom"/>
            <w:tcBorders>
              <w:bottom w:val="single" w:sz="8" w:color="E5FFFF"/>
            </w:tcBorders>
          </w:tcPr>
          <w:p>
            <w:pPr>
              <w:spacing w:after="0"/>
              <w:rPr>
                <w:sz w:val="20"/>
                <w:szCs w:val="20"/>
                <w:color w:val="auto"/>
              </w:rPr>
            </w:pPr>
            <w:r>
              <w:rPr>
                <w:rFonts w:ascii="Arial" w:cs="Arial" w:eastAsia="Arial" w:hAnsi="Arial"/>
                <w:sz w:val="16"/>
                <w:szCs w:val="16"/>
                <w:color w:val="auto"/>
              </w:rPr>
              <w:t>Weighted average number of shares used in the calculation of diluted earnings/(loss) per share</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81,497,291</w:t>
            </w:r>
          </w:p>
        </w:tc>
        <w:tc>
          <w:tcPr>
            <w:tcW w:w="300" w:type="dxa"/>
            <w:vAlign w:val="bottom"/>
            <w:tcBorders>
              <w:bottom w:val="single" w:sz="8" w:color="E5FFFF"/>
            </w:tcBorders>
          </w:tcPr>
          <w:p>
            <w:pPr>
              <w:spacing w:after="0"/>
              <w:rPr>
                <w:sz w:val="17"/>
                <w:szCs w:val="17"/>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80,825,637</w:t>
            </w:r>
          </w:p>
        </w:tc>
        <w:tc>
          <w:tcPr>
            <w:tcW w:w="40" w:type="dxa"/>
            <w:vAlign w:val="bottom"/>
            <w:vMerge w:val="restart"/>
          </w:tcPr>
          <w:p>
            <w:pPr>
              <w:jc w:val="right"/>
              <w:spacing w:after="0"/>
              <w:rPr>
                <w:sz w:val="20"/>
                <w:szCs w:val="20"/>
                <w:color w:val="auto"/>
              </w:rPr>
            </w:pPr>
            <w:r>
              <w:rPr>
                <w:rFonts w:ascii="Arial" w:cs="Arial" w:eastAsia="Arial" w:hAnsi="Arial"/>
                <w:sz w:val="8"/>
                <w:szCs w:val="8"/>
                <w:b w:val="1"/>
                <w:bCs w:val="1"/>
                <w:color w:val="auto"/>
                <w:w w:val="73"/>
              </w:rPr>
              <w:t>)</w:t>
            </w:r>
          </w:p>
        </w:tc>
        <w:tc>
          <w:tcPr>
            <w:tcW w:w="0" w:type="dxa"/>
            <w:vAlign w:val="bottom"/>
          </w:tcPr>
          <w:p>
            <w:pPr>
              <w:spacing w:after="0"/>
              <w:rPr>
                <w:sz w:val="1"/>
                <w:szCs w:val="1"/>
                <w:color w:val="auto"/>
              </w:rPr>
            </w:pPr>
          </w:p>
        </w:tc>
      </w:tr>
      <w:tr>
        <w:trPr>
          <w:trHeight w:val="196"/>
        </w:trPr>
        <w:tc>
          <w:tcPr>
            <w:tcW w:w="772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Diluted earnings/(loss) per share</w:t>
            </w:r>
          </w:p>
        </w:tc>
        <w:tc>
          <w:tcPr>
            <w:tcW w:w="13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0.21</w:t>
            </w:r>
          </w:p>
        </w:tc>
        <w:tc>
          <w:tcPr>
            <w:tcW w:w="300" w:type="dxa"/>
            <w:vAlign w:val="bottom"/>
            <w:shd w:val="clear" w:color="auto" w:fill="E5FFFF"/>
          </w:tcPr>
          <w:p>
            <w:pPr>
              <w:spacing w:after="0"/>
              <w:rPr>
                <w:sz w:val="17"/>
                <w:szCs w:val="17"/>
                <w:color w:val="auto"/>
              </w:rPr>
            </w:pPr>
          </w:p>
        </w:tc>
        <w:tc>
          <w:tcPr>
            <w:tcW w:w="13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(0.17</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-1070610</wp:posOffset>
            </wp:positionV>
            <wp:extent cx="6823710" cy="1371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23710" cy="137160"/>
                    </a:xfrm>
                    <a:prstGeom prst="rect">
                      <a:avLst/>
                    </a:prstGeom>
                    <a:noFill/>
                  </pic:spPr>
                </pic:pic>
              </a:graphicData>
            </a:graphic>
          </wp:anchor>
        </w:drawing>
      </w:r>
    </w:p>
    <w:p>
      <w:pPr>
        <w:spacing w:after="0" w:line="186" w:lineRule="exact"/>
        <w:rPr>
          <w:sz w:val="20"/>
          <w:szCs w:val="20"/>
          <w:color w:val="auto"/>
        </w:rPr>
      </w:pPr>
    </w:p>
    <w:p>
      <w:pPr>
        <w:ind w:firstLine="391"/>
        <w:spacing w:after="0" w:line="293" w:lineRule="auto"/>
        <w:rPr>
          <w:sz w:val="20"/>
          <w:szCs w:val="20"/>
          <w:color w:val="auto"/>
        </w:rPr>
      </w:pPr>
      <w:r>
        <w:rPr>
          <w:rFonts w:ascii="Arial" w:cs="Arial" w:eastAsia="Arial" w:hAnsi="Arial"/>
          <w:sz w:val="16"/>
          <w:szCs w:val="16"/>
          <w:color w:val="auto"/>
        </w:rPr>
        <w:t>The Group excluded the dilutive effect of 2,372,163 SARs and 488,173 RSUs (March 31, 2018: 567,651 SARs and 0 RSUs) in calculating diluted EPS for the three months ended March 31, 2019, as they were anti-dilutive.</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 Subsequent Events</w:t>
      </w:r>
    </w:p>
    <w:p>
      <w:pPr>
        <w:spacing w:after="0" w:line="239" w:lineRule="exact"/>
        <w:rPr>
          <w:sz w:val="20"/>
          <w:szCs w:val="20"/>
          <w:color w:val="auto"/>
        </w:rPr>
      </w:pPr>
    </w:p>
    <w:p>
      <w:pPr>
        <w:ind w:right="140" w:firstLine="396"/>
        <w:spacing w:after="0" w:line="293" w:lineRule="auto"/>
        <w:rPr>
          <w:sz w:val="20"/>
          <w:szCs w:val="20"/>
          <w:color w:val="auto"/>
        </w:rPr>
      </w:pPr>
      <w:r>
        <w:rPr>
          <w:rFonts w:ascii="Arial" w:cs="Arial" w:eastAsia="Arial" w:hAnsi="Arial"/>
          <w:sz w:val="16"/>
          <w:szCs w:val="16"/>
          <w:color w:val="auto"/>
        </w:rPr>
        <w:t xml:space="preserve">On April 1, 2019, GasLog completed the sale of 100% of the ownership interest in GAS-twelve Ltd., the entity which owns the </w:t>
      </w:r>
      <w:r>
        <w:rPr>
          <w:rFonts w:ascii="Arial" w:cs="Arial" w:eastAsia="Arial" w:hAnsi="Arial"/>
          <w:sz w:val="16"/>
          <w:szCs w:val="16"/>
          <w:i w:val="1"/>
          <w:iCs w:val="1"/>
          <w:color w:val="auto"/>
        </w:rPr>
        <w:t>GasLog Glasgow,</w:t>
      </w:r>
      <w:r>
        <w:rPr>
          <w:rFonts w:ascii="Arial" w:cs="Arial" w:eastAsia="Arial" w:hAnsi="Arial"/>
          <w:sz w:val="16"/>
          <w:szCs w:val="16"/>
          <w:color w:val="auto"/>
        </w:rPr>
        <w:t xml:space="preserve"> to GasLog Partners, for an aggregate purchase price of $214,000, which includes $1,000 of positive net working capital.</w:t>
      </w:r>
    </w:p>
    <w:p>
      <w:pPr>
        <w:spacing w:after="0" w:line="172" w:lineRule="exact"/>
        <w:rPr>
          <w:sz w:val="20"/>
          <w:szCs w:val="20"/>
          <w:color w:val="auto"/>
        </w:rPr>
      </w:pPr>
    </w:p>
    <w:p>
      <w:pPr>
        <w:ind w:left="400"/>
        <w:spacing w:after="0"/>
        <w:rPr>
          <w:sz w:val="20"/>
          <w:szCs w:val="20"/>
          <w:color w:val="auto"/>
        </w:rPr>
      </w:pPr>
      <w:r>
        <w:rPr>
          <w:rFonts w:ascii="Arial" w:cs="Arial" w:eastAsia="Arial" w:hAnsi="Arial"/>
          <w:sz w:val="15"/>
          <w:szCs w:val="15"/>
          <w:color w:val="auto"/>
        </w:rPr>
        <w:t>On April 1, 2019, GasLog Partners issued 49,850 common units in connection with the vesting of 24,925 RCUs and 24,925 PCUs under the GasLog Partners’ Plan.</w:t>
      </w:r>
    </w:p>
    <w:p>
      <w:pPr>
        <w:spacing w:after="0" w:line="246" w:lineRule="exact"/>
        <w:rPr>
          <w:sz w:val="20"/>
          <w:szCs w:val="20"/>
          <w:color w:val="auto"/>
        </w:rPr>
      </w:pPr>
    </w:p>
    <w:p>
      <w:pPr>
        <w:ind w:right="300" w:firstLine="356"/>
        <w:spacing w:after="0" w:line="293" w:lineRule="auto"/>
        <w:rPr>
          <w:sz w:val="20"/>
          <w:szCs w:val="20"/>
          <w:color w:val="auto"/>
        </w:rPr>
      </w:pPr>
      <w:r>
        <w:rPr>
          <w:rFonts w:ascii="Arial" w:cs="Arial" w:eastAsia="Arial" w:hAnsi="Arial"/>
          <w:sz w:val="16"/>
          <w:szCs w:val="16"/>
          <w:color w:val="auto"/>
        </w:rPr>
        <w:t>On May 2, 2019, the board of directors declared a quarterly cash dividend of $0.15 per common share payable on May 23, 2019 to shareholders of record as of May 14, 2019.</w:t>
      </w:r>
    </w:p>
    <w:p>
      <w:pPr>
        <w:spacing w:after="0" w:line="172" w:lineRule="exact"/>
        <w:rPr>
          <w:sz w:val="20"/>
          <w:szCs w:val="20"/>
          <w:color w:val="auto"/>
        </w:rPr>
      </w:pPr>
    </w:p>
    <w:p>
      <w:pPr>
        <w:ind w:right="160" w:firstLine="356"/>
        <w:spacing w:after="0" w:line="293" w:lineRule="auto"/>
        <w:rPr>
          <w:sz w:val="20"/>
          <w:szCs w:val="20"/>
          <w:color w:val="auto"/>
        </w:rPr>
      </w:pPr>
      <w:r>
        <w:rPr>
          <w:rFonts w:ascii="Arial" w:cs="Arial" w:eastAsia="Arial" w:hAnsi="Arial"/>
          <w:sz w:val="16"/>
          <w:szCs w:val="16"/>
          <w:color w:val="auto"/>
        </w:rPr>
        <w:t>In May 2019, GasLog Partners repurchased 50,000 units at a total cost of $1,044 under the unit repurchase programme approved by the Partnership’s board of directors in January 2019. The average cost of the repurchase was $20.89 per unit inclusive of all fees and commissions.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35901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359015" cy="29845"/>
                    </a:xfrm>
                    <a:prstGeom prst="rect">
                      <a:avLst/>
                    </a:prstGeom>
                    <a:noFill/>
                  </pic:spPr>
                </pic:pic>
              </a:graphicData>
            </a:graphic>
          </wp:anchor>
        </w:drawing>
      </w:r>
    </w:p>
    <w:sectPr>
      <w:pgSz w:w="11900" w:h="16838" w:orient="portrait"/>
      <w:cols w:equalWidth="0" w:num="1">
        <w:col w:w="11560"/>
      </w:cols>
      <w:pgMar w:left="160" w:top="262" w:right="1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1)"/>
      <w:numFmt w:val="decimal"/>
      <w:start w:val="1"/>
    </w:lvl>
  </w:abstractNum>
  <w:abstractNum w:abstractNumId="2">
    <w:nsid w:val="12200854"/>
    <w:multiLevelType w:val="hybridMultilevel"/>
    <w:lvl w:ilvl="0">
      <w:lvlJc w:val="left"/>
      <w:lvlText w:val="(%1)"/>
      <w:numFmt w:val="decimal"/>
      <w:start w:val="1"/>
    </w:lvl>
  </w:abstractNum>
  <w:abstractNum w:abstractNumId="3">
    <w:nsid w:val="4DB127F8"/>
    <w:multiLevelType w:val="hybridMultilevel"/>
    <w:lvl w:ilvl="0">
      <w:lvlJc w:val="left"/>
      <w:lvlText w:val="(%1)"/>
      <w:numFmt w:val="decimal"/>
      <w:start w:val="1"/>
    </w:lvl>
  </w:abstractNum>
  <w:abstractNum w:abstractNumId="4">
    <w:nsid w:val="216231B"/>
    <w:multiLevelType w:val="hybridMultilevel"/>
    <w:lvl w:ilvl="0">
      <w:lvlJc w:val="left"/>
      <w:lvlText w:val="(%1)"/>
      <w:numFmt w:val="decimal"/>
      <w:start w:val="1"/>
    </w:lvl>
  </w:abstractNum>
  <w:abstractNum w:abstractNumId="5">
    <w:nsid w:val="1F16E9E8"/>
    <w:multiLevelType w:val="hybridMultilevel"/>
    <w:lvl w:ilvl="0">
      <w:lvlJc w:val="left"/>
      <w:lvlText w:val="(%1)"/>
      <w:numFmt w:val="decimal"/>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1)"/>
      <w:numFmt w:val="decimal"/>
      <w:start w:val="1"/>
    </w:lvl>
  </w:abstractNum>
  <w:abstractNum w:abstractNumId="9">
    <w:nsid w:val="3352255A"/>
    <w:multiLevelType w:val="hybridMultilevel"/>
    <w:lvl w:ilvl="0">
      <w:lvlJc w:val="left"/>
      <w:lvlText w:val="(%1)"/>
      <w:numFmt w:val="decimal"/>
      <w:start w:val="1"/>
    </w:lvl>
  </w:abstractNum>
  <w:abstractNum w:abstractNumId="10">
    <w:nsid w:val="109CF92E"/>
    <w:multiLevelType w:val="hybridMultilevel"/>
    <w:lvl w:ilvl="0">
      <w:lvlJc w:val="left"/>
      <w:lvlText w:val="(%1)"/>
      <w:numFmt w:val="decimal"/>
      <w:start w:val="1"/>
    </w:lvl>
  </w:abstractNum>
  <w:abstractNum w:abstractNumId="11">
    <w:nsid w:val="DED7263"/>
    <w:multiLevelType w:val="hybridMultilevel"/>
    <w:lvl w:ilvl="0">
      <w:lvlJc w:val="left"/>
      <w:lvlText w:val="(%1)"/>
      <w:numFmt w:val="decimal"/>
      <w:start w:val="1"/>
    </w:lvl>
  </w:abstractNum>
  <w:abstractNum w:abstractNumId="12">
    <w:nsid w:val="7FDCC233"/>
    <w:multiLevelType w:val="hybridMultilevel"/>
    <w:lvl w:ilvl="0">
      <w:lvlJc w:val="left"/>
      <w:lvlText w:val="-"/>
      <w:numFmt w:val="bullet"/>
      <w:start w:val="1"/>
    </w:lvl>
  </w:abstractNum>
  <w:abstractNum w:abstractNumId="13">
    <w:nsid w:val="1BEFD79F"/>
    <w:multiLevelType w:val="hybridMultilevel"/>
    <w:lvl w:ilvl="0">
      <w:lvlJc w:val="left"/>
      <w:lvlText w:val="(%1)"/>
      <w:numFmt w:val="lowerLetter"/>
      <w:start w:val="2"/>
    </w:lvl>
  </w:abstractNum>
  <w:abstractNum w:abstractNumId="14">
    <w:nsid w:val="41A7C4C9"/>
    <w:multiLevelType w:val="hybridMultilevel"/>
    <w:lvl w:ilvl="0">
      <w:lvlJc w:val="left"/>
      <w:lvlText w:val="(%1)"/>
      <w:numFmt w:val="lowerLetter"/>
      <w:start w:val="3"/>
    </w:lvl>
  </w:abstractNum>
  <w:abstractNum w:abstractNumId="15">
    <w:nsid w:val="6B68079A"/>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2019-11-26T07:31:20Z</dcterms:created>
  <dcterms:modified xsi:type="dcterms:W3CDTF">2019-11-26T07:31:20Z</dcterms:modified>
</cp:coreProperties>
</file>