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520" w:type="dxa"/>
            <w:vAlign w:val="bottom"/>
          </w:tcPr>
          <w:p>
            <w:pPr>
              <w:jc w:val="center"/>
              <w:ind w:left="630"/>
              <w:spacing w:after="0"/>
              <w:rPr>
                <w:sz w:val="20"/>
                <w:szCs w:val="20"/>
                <w:color w:val="auto"/>
              </w:rPr>
            </w:pPr>
            <w:r>
              <w:rPr>
                <w:rFonts w:ascii="Arial" w:cs="Arial" w:eastAsia="Arial" w:hAnsi="Arial"/>
                <w:sz w:val="18"/>
                <w:szCs w:val="18"/>
                <w:b w:val="1"/>
                <w:bCs w:val="1"/>
                <w:color w:val="auto"/>
                <w:w w:val="96"/>
              </w:rPr>
              <w:t>Form 6-K</w:t>
            </w:r>
          </w:p>
        </w:tc>
        <w:tc>
          <w:tcPr>
            <w:tcW w:w="760" w:type="dxa"/>
            <w:vAlign w:val="bottom"/>
          </w:tcPr>
          <w:p>
            <w:pPr>
              <w:spacing w:after="0"/>
              <w:rPr>
                <w:sz w:val="20"/>
                <w:szCs w:val="20"/>
                <w:color w:val="auto"/>
              </w:rPr>
            </w:pPr>
          </w:p>
        </w:tc>
      </w:tr>
      <w:tr>
        <w:trPr>
          <w:trHeight w:val="414"/>
        </w:trPr>
        <w:tc>
          <w:tcPr>
            <w:tcW w:w="10520" w:type="dxa"/>
            <w:vAlign w:val="bottom"/>
          </w:tcPr>
          <w:p>
            <w:pPr>
              <w:jc w:val="center"/>
              <w:ind w:left="650"/>
              <w:spacing w:after="0"/>
              <w:rPr>
                <w:sz w:val="20"/>
                <w:szCs w:val="20"/>
                <w:color w:val="auto"/>
              </w:rPr>
            </w:pPr>
            <w:r>
              <w:rPr>
                <w:rFonts w:ascii="Arial" w:cs="Arial" w:eastAsia="Arial" w:hAnsi="Arial"/>
                <w:sz w:val="18"/>
                <w:szCs w:val="18"/>
                <w:b w:val="1"/>
                <w:bCs w:val="1"/>
                <w:color w:val="auto"/>
                <w:w w:val="98"/>
              </w:rPr>
              <w:t>REPORT OF FOREIGN PRIVATE ISSUER PURSUANT TO RULE 13a-16 OR 15d-16 UNDER THE SECURITIES</w:t>
            </w:r>
          </w:p>
        </w:tc>
        <w:tc>
          <w:tcPr>
            <w:tcW w:w="760" w:type="dxa"/>
            <w:vAlign w:val="bottom"/>
          </w:tcPr>
          <w:p>
            <w:pPr>
              <w:spacing w:after="0"/>
              <w:rPr>
                <w:sz w:val="24"/>
                <w:szCs w:val="24"/>
                <w:color w:val="auto"/>
              </w:rPr>
            </w:pPr>
          </w:p>
        </w:tc>
      </w:tr>
      <w:tr>
        <w:trPr>
          <w:trHeight w:val="234"/>
        </w:trPr>
        <w:tc>
          <w:tcPr>
            <w:tcW w:w="10520" w:type="dxa"/>
            <w:vAlign w:val="bottom"/>
          </w:tcPr>
          <w:p>
            <w:pPr>
              <w:jc w:val="center"/>
              <w:ind w:left="630"/>
              <w:spacing w:after="0"/>
              <w:rPr>
                <w:sz w:val="20"/>
                <w:szCs w:val="20"/>
                <w:color w:val="auto"/>
              </w:rPr>
            </w:pPr>
            <w:r>
              <w:rPr>
                <w:rFonts w:ascii="Arial" w:cs="Arial" w:eastAsia="Arial" w:hAnsi="Arial"/>
                <w:sz w:val="18"/>
                <w:szCs w:val="18"/>
                <w:b w:val="1"/>
                <w:bCs w:val="1"/>
                <w:color w:val="auto"/>
                <w:w w:val="98"/>
              </w:rPr>
              <w:t>EXCHANGE ACT OF 1934</w:t>
            </w:r>
          </w:p>
        </w:tc>
        <w:tc>
          <w:tcPr>
            <w:tcW w:w="760" w:type="dxa"/>
            <w:vAlign w:val="bottom"/>
          </w:tcPr>
          <w:p>
            <w:pPr>
              <w:spacing w:after="0"/>
              <w:rPr>
                <w:sz w:val="20"/>
                <w:szCs w:val="20"/>
                <w:color w:val="auto"/>
              </w:rPr>
            </w:pPr>
          </w:p>
        </w:tc>
      </w:tr>
      <w:tr>
        <w:trPr>
          <w:trHeight w:val="432"/>
        </w:trPr>
        <w:tc>
          <w:tcPr>
            <w:tcW w:w="10520" w:type="dxa"/>
            <w:vAlign w:val="bottom"/>
          </w:tcPr>
          <w:p>
            <w:pPr>
              <w:spacing w:after="0"/>
              <w:rPr>
                <w:sz w:val="20"/>
                <w:szCs w:val="20"/>
                <w:color w:val="auto"/>
              </w:rPr>
            </w:pPr>
            <w:r>
              <w:rPr>
                <w:rFonts w:ascii="Arial" w:cs="Arial" w:eastAsia="Arial" w:hAnsi="Arial"/>
                <w:sz w:val="18"/>
                <w:szCs w:val="18"/>
                <w:color w:val="auto"/>
              </w:rPr>
              <w:t>For the month of May 2020</w:t>
            </w:r>
          </w:p>
        </w:tc>
        <w:tc>
          <w:tcPr>
            <w:tcW w:w="760" w:type="dxa"/>
            <w:vAlign w:val="bottom"/>
          </w:tcPr>
          <w:p>
            <w:pPr>
              <w:spacing w:after="0"/>
              <w:rPr>
                <w:sz w:val="24"/>
                <w:szCs w:val="24"/>
                <w:color w:val="auto"/>
              </w:rPr>
            </w:pPr>
          </w:p>
        </w:tc>
      </w:tr>
      <w:tr>
        <w:trPr>
          <w:trHeight w:val="432"/>
        </w:trPr>
        <w:tc>
          <w:tcPr>
            <w:tcW w:w="1052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760" w:type="dxa"/>
            <w:vAlign w:val="bottom"/>
          </w:tcPr>
          <w:p>
            <w:pPr>
              <w:spacing w:after="0"/>
              <w:rPr>
                <w:sz w:val="24"/>
                <w:szCs w:val="24"/>
                <w:color w:val="auto"/>
              </w:rPr>
            </w:pPr>
          </w:p>
        </w:tc>
      </w:tr>
      <w:tr>
        <w:trPr>
          <w:trHeight w:val="418"/>
        </w:trPr>
        <w:tc>
          <w:tcPr>
            <w:tcW w:w="10520" w:type="dxa"/>
            <w:vAlign w:val="bottom"/>
          </w:tcPr>
          <w:p>
            <w:pPr>
              <w:jc w:val="center"/>
              <w:ind w:left="630"/>
              <w:spacing w:after="0"/>
              <w:rPr>
                <w:sz w:val="20"/>
                <w:szCs w:val="20"/>
                <w:color w:val="auto"/>
              </w:rPr>
            </w:pPr>
            <w:r>
              <w:rPr>
                <w:rFonts w:ascii="Arial" w:cs="Arial" w:eastAsia="Arial" w:hAnsi="Arial"/>
                <w:sz w:val="18"/>
                <w:szCs w:val="18"/>
                <w:b w:val="1"/>
                <w:bCs w:val="1"/>
                <w:color w:val="auto"/>
                <w:w w:val="91"/>
              </w:rPr>
              <w:t>GasLog Ltd</w:t>
            </w:r>
          </w:p>
        </w:tc>
        <w:tc>
          <w:tcPr>
            <w:tcW w:w="760" w:type="dxa"/>
            <w:vAlign w:val="bottom"/>
          </w:tcPr>
          <w:p>
            <w:pPr>
              <w:spacing w:after="0"/>
              <w:rPr>
                <w:sz w:val="24"/>
                <w:szCs w:val="24"/>
                <w:color w:val="auto"/>
              </w:rPr>
            </w:pPr>
          </w:p>
        </w:tc>
      </w:tr>
      <w:tr>
        <w:trPr>
          <w:trHeight w:val="230"/>
        </w:trPr>
        <w:tc>
          <w:tcPr>
            <w:tcW w:w="10520" w:type="dxa"/>
            <w:vAlign w:val="bottom"/>
          </w:tcPr>
          <w:p>
            <w:pPr>
              <w:jc w:val="center"/>
              <w:ind w:left="630"/>
              <w:spacing w:after="0"/>
              <w:rPr>
                <w:sz w:val="20"/>
                <w:szCs w:val="20"/>
                <w:color w:val="auto"/>
              </w:rPr>
            </w:pPr>
            <w:r>
              <w:rPr>
                <w:rFonts w:ascii="Arial" w:cs="Arial" w:eastAsia="Arial" w:hAnsi="Arial"/>
                <w:sz w:val="18"/>
                <w:szCs w:val="18"/>
                <w:color w:val="auto"/>
                <w:w w:val="91"/>
              </w:rPr>
              <w:t>(Translation of registrant’s name into English)</w:t>
            </w:r>
          </w:p>
        </w:tc>
        <w:tc>
          <w:tcPr>
            <w:tcW w:w="760" w:type="dxa"/>
            <w:vAlign w:val="bottom"/>
          </w:tcPr>
          <w:p>
            <w:pPr>
              <w:spacing w:after="0"/>
              <w:rPr>
                <w:sz w:val="20"/>
                <w:szCs w:val="20"/>
                <w:color w:val="auto"/>
              </w:rPr>
            </w:pPr>
          </w:p>
        </w:tc>
      </w:tr>
      <w:tr>
        <w:trPr>
          <w:trHeight w:val="418"/>
        </w:trPr>
        <w:tc>
          <w:tcPr>
            <w:tcW w:w="10520" w:type="dxa"/>
            <w:vAlign w:val="bottom"/>
          </w:tcPr>
          <w:p>
            <w:pPr>
              <w:jc w:val="center"/>
              <w:ind w:left="630"/>
              <w:spacing w:after="0"/>
              <w:rPr>
                <w:sz w:val="20"/>
                <w:szCs w:val="20"/>
                <w:color w:val="auto"/>
              </w:rPr>
            </w:pPr>
            <w:r>
              <w:rPr>
                <w:rFonts w:ascii="Arial" w:cs="Arial" w:eastAsia="Arial" w:hAnsi="Arial"/>
                <w:sz w:val="18"/>
                <w:szCs w:val="18"/>
                <w:color w:val="auto"/>
                <w:w w:val="92"/>
              </w:rPr>
              <w:t>c/o GasLog Services LNG Ltd.</w:t>
            </w:r>
          </w:p>
        </w:tc>
        <w:tc>
          <w:tcPr>
            <w:tcW w:w="760" w:type="dxa"/>
            <w:vAlign w:val="bottom"/>
          </w:tcPr>
          <w:p>
            <w:pPr>
              <w:spacing w:after="0"/>
              <w:rPr>
                <w:sz w:val="24"/>
                <w:szCs w:val="24"/>
                <w:color w:val="auto"/>
              </w:rPr>
            </w:pPr>
          </w:p>
        </w:tc>
      </w:tr>
      <w:tr>
        <w:trPr>
          <w:trHeight w:val="216"/>
        </w:trPr>
        <w:tc>
          <w:tcPr>
            <w:tcW w:w="10520" w:type="dxa"/>
            <w:vAlign w:val="bottom"/>
          </w:tcPr>
          <w:p>
            <w:pPr>
              <w:jc w:val="center"/>
              <w:ind w:left="650"/>
              <w:spacing w:after="0"/>
              <w:rPr>
                <w:sz w:val="20"/>
                <w:szCs w:val="20"/>
                <w:color w:val="auto"/>
              </w:rPr>
            </w:pPr>
            <w:r>
              <w:rPr>
                <w:rFonts w:ascii="Arial" w:cs="Arial" w:eastAsia="Arial" w:hAnsi="Arial"/>
                <w:sz w:val="18"/>
                <w:szCs w:val="18"/>
                <w:color w:val="auto"/>
                <w:w w:val="96"/>
              </w:rPr>
              <w:t>69 Akti Miaouli 18537</w:t>
            </w:r>
          </w:p>
        </w:tc>
        <w:tc>
          <w:tcPr>
            <w:tcW w:w="760" w:type="dxa"/>
            <w:vAlign w:val="bottom"/>
          </w:tcPr>
          <w:p>
            <w:pPr>
              <w:spacing w:after="0"/>
              <w:rPr>
                <w:sz w:val="18"/>
                <w:szCs w:val="18"/>
                <w:color w:val="auto"/>
              </w:rPr>
            </w:pPr>
          </w:p>
        </w:tc>
      </w:tr>
      <w:tr>
        <w:trPr>
          <w:trHeight w:val="216"/>
        </w:trPr>
        <w:tc>
          <w:tcPr>
            <w:tcW w:w="10520" w:type="dxa"/>
            <w:vAlign w:val="bottom"/>
          </w:tcPr>
          <w:p>
            <w:pPr>
              <w:jc w:val="center"/>
              <w:ind w:left="630"/>
              <w:spacing w:after="0"/>
              <w:rPr>
                <w:sz w:val="20"/>
                <w:szCs w:val="20"/>
                <w:color w:val="auto"/>
              </w:rPr>
            </w:pPr>
            <w:r>
              <w:rPr>
                <w:rFonts w:ascii="Arial" w:cs="Arial" w:eastAsia="Arial" w:hAnsi="Arial"/>
                <w:sz w:val="18"/>
                <w:szCs w:val="18"/>
                <w:color w:val="auto"/>
                <w:w w:val="86"/>
              </w:rPr>
              <w:t>Piraeus Greece</w:t>
            </w:r>
          </w:p>
        </w:tc>
        <w:tc>
          <w:tcPr>
            <w:tcW w:w="760" w:type="dxa"/>
            <w:vAlign w:val="bottom"/>
          </w:tcPr>
          <w:p>
            <w:pPr>
              <w:spacing w:after="0"/>
              <w:rPr>
                <w:sz w:val="18"/>
                <w:szCs w:val="18"/>
                <w:color w:val="auto"/>
              </w:rPr>
            </w:pPr>
          </w:p>
        </w:tc>
      </w:tr>
      <w:tr>
        <w:trPr>
          <w:trHeight w:val="230"/>
        </w:trPr>
        <w:tc>
          <w:tcPr>
            <w:tcW w:w="10520" w:type="dxa"/>
            <w:vAlign w:val="bottom"/>
          </w:tcPr>
          <w:p>
            <w:pPr>
              <w:jc w:val="center"/>
              <w:ind w:left="650"/>
              <w:spacing w:after="0"/>
              <w:rPr>
                <w:sz w:val="20"/>
                <w:szCs w:val="20"/>
                <w:color w:val="auto"/>
              </w:rPr>
            </w:pPr>
            <w:r>
              <w:rPr>
                <w:rFonts w:ascii="Arial" w:cs="Arial" w:eastAsia="Arial" w:hAnsi="Arial"/>
                <w:sz w:val="18"/>
                <w:szCs w:val="18"/>
                <w:color w:val="auto"/>
                <w:w w:val="92"/>
              </w:rPr>
              <w:t>(Address of principal executive office)</w:t>
            </w:r>
          </w:p>
        </w:tc>
        <w:tc>
          <w:tcPr>
            <w:tcW w:w="760" w:type="dxa"/>
            <w:vAlign w:val="bottom"/>
          </w:tcPr>
          <w:p>
            <w:pPr>
              <w:spacing w:after="0"/>
              <w:rPr>
                <w:sz w:val="20"/>
                <w:szCs w:val="20"/>
                <w:color w:val="auto"/>
              </w:rPr>
            </w:pPr>
          </w:p>
        </w:tc>
      </w:tr>
      <w:tr>
        <w:trPr>
          <w:trHeight w:val="432"/>
        </w:trPr>
        <w:tc>
          <w:tcPr>
            <w:tcW w:w="1052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760" w:type="dxa"/>
            <w:vAlign w:val="bottom"/>
          </w:tcPr>
          <w:p>
            <w:pPr>
              <w:spacing w:after="0"/>
              <w:rPr>
                <w:sz w:val="24"/>
                <w:szCs w:val="24"/>
                <w:color w:val="auto"/>
              </w:rPr>
            </w:pPr>
          </w:p>
        </w:tc>
      </w:tr>
      <w:tr>
        <w:trPr>
          <w:trHeight w:val="452"/>
        </w:trPr>
        <w:tc>
          <w:tcPr>
            <w:tcW w:w="1052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760" w:type="dxa"/>
            <w:vAlign w:val="bottom"/>
          </w:tcPr>
          <w:p>
            <w:pPr>
              <w:spacing w:after="0"/>
              <w:rPr>
                <w:sz w:val="24"/>
                <w:szCs w:val="24"/>
                <w:color w:val="auto"/>
              </w:rPr>
            </w:pPr>
          </w:p>
        </w:tc>
      </w:tr>
      <w:tr>
        <w:trPr>
          <w:trHeight w:val="412"/>
        </w:trPr>
        <w:tc>
          <w:tcPr>
            <w:tcW w:w="105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760" w:type="dxa"/>
            <w:vAlign w:val="bottom"/>
          </w:tcPr>
          <w:p>
            <w:pPr>
              <w:ind w:left="400"/>
              <w:spacing w:after="0"/>
              <w:rPr>
                <w:sz w:val="20"/>
                <w:szCs w:val="20"/>
                <w:color w:val="auto"/>
              </w:rPr>
            </w:pPr>
            <w:r>
              <w:rPr>
                <w:rFonts w:ascii="Arial" w:cs="Arial" w:eastAsia="Arial" w:hAnsi="Arial"/>
                <w:sz w:val="18"/>
                <w:szCs w:val="18"/>
                <w:color w:val="auto"/>
              </w:rPr>
              <w:t>o</w:t>
            </w:r>
          </w:p>
        </w:tc>
      </w:tr>
      <w:tr>
        <w:trPr>
          <w:trHeight w:val="459"/>
        </w:trPr>
        <w:tc>
          <w:tcPr>
            <w:tcW w:w="105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760" w:type="dxa"/>
            <w:vAlign w:val="bottom"/>
          </w:tcPr>
          <w:p>
            <w:pPr>
              <w:ind w:left="400"/>
              <w:spacing w:after="0"/>
              <w:rPr>
                <w:sz w:val="20"/>
                <w:szCs w:val="20"/>
                <w:color w:val="auto"/>
              </w:rPr>
            </w:pPr>
            <w:r>
              <w:rPr>
                <w:rFonts w:ascii="Arial" w:cs="Arial" w:eastAsia="Arial" w:hAnsi="Arial"/>
                <w:sz w:val="18"/>
                <w:szCs w:val="18"/>
                <w:color w:val="auto"/>
              </w:rPr>
              <w:t>o</w:t>
            </w:r>
          </w:p>
        </w:tc>
      </w:tr>
      <w:tr>
        <w:trPr>
          <w:trHeight w:val="361"/>
        </w:trPr>
        <w:tc>
          <w:tcPr>
            <w:tcW w:w="105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445" w:right="299"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The press release issued by GasLog Ltd. announcing that GasLog Ltd. is to hold a virtual Annual General Meeting for 2020 is attached hereto as Exhibit 99.1.</w:t>
      </w:r>
    </w:p>
    <w:p>
      <w:pPr>
        <w:spacing w:after="0" w:line="170"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1532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420"/>
          </w:cols>
          <w:pgMar w:left="320" w:top="341" w:right="115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620"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6, 2020</w:t>
      </w:r>
    </w:p>
    <w:p>
      <w:pPr>
        <w:spacing w:after="0" w:line="25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GASLOG LTD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500" w:type="dxa"/>
            <w:vAlign w:val="bottom"/>
          </w:tcPr>
          <w:p>
            <w:pPr>
              <w:ind w:left="6200"/>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0"/>
                <w:szCs w:val="20"/>
                <w:color w:val="auto"/>
              </w:rPr>
            </w:pPr>
          </w:p>
        </w:tc>
        <w:tc>
          <w:tcPr>
            <w:tcW w:w="38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Paul A. Wogan</w:t>
            </w:r>
          </w:p>
        </w:tc>
        <w:tc>
          <w:tcPr>
            <w:tcW w:w="800" w:type="dxa"/>
            <w:vAlign w:val="bottom"/>
          </w:tcPr>
          <w:p>
            <w:pPr>
              <w:spacing w:after="0"/>
              <w:rPr>
                <w:sz w:val="20"/>
                <w:szCs w:val="20"/>
                <w:color w:val="auto"/>
              </w:rPr>
            </w:pPr>
          </w:p>
        </w:tc>
      </w:tr>
      <w:tr>
        <w:trPr>
          <w:trHeight w:val="202"/>
        </w:trPr>
        <w:tc>
          <w:tcPr>
            <w:tcW w:w="6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280" w:type="dxa"/>
            <w:vAlign w:val="bottom"/>
          </w:tcPr>
          <w:p>
            <w:pPr>
              <w:ind w:left="80"/>
              <w:spacing w:after="0" w:line="201" w:lineRule="exact"/>
              <w:rPr>
                <w:sz w:val="20"/>
                <w:szCs w:val="20"/>
                <w:color w:val="auto"/>
              </w:rPr>
            </w:pPr>
            <w:r>
              <w:rPr>
                <w:rFonts w:ascii="Arial" w:cs="Arial" w:eastAsia="Arial" w:hAnsi="Arial"/>
                <w:sz w:val="18"/>
                <w:szCs w:val="18"/>
                <w:color w:val="auto"/>
              </w:rPr>
              <w:t>Paul A. Wogan</w:t>
            </w:r>
          </w:p>
        </w:tc>
        <w:tc>
          <w:tcPr>
            <w:tcW w:w="800" w:type="dxa"/>
            <w:vAlign w:val="bottom"/>
          </w:tcPr>
          <w:p>
            <w:pPr>
              <w:spacing w:after="0"/>
              <w:rPr>
                <w:sz w:val="17"/>
                <w:szCs w:val="17"/>
                <w:color w:val="auto"/>
              </w:rPr>
            </w:pPr>
          </w:p>
        </w:tc>
      </w:tr>
      <w:tr>
        <w:trPr>
          <w:trHeight w:val="230"/>
        </w:trPr>
        <w:tc>
          <w:tcPr>
            <w:tcW w:w="6500" w:type="dxa"/>
            <w:vAlign w:val="bottom"/>
          </w:tcPr>
          <w:p>
            <w:pPr>
              <w:spacing w:after="0"/>
              <w:rPr>
                <w:sz w:val="20"/>
                <w:szCs w:val="20"/>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Title:</w:t>
            </w:r>
          </w:p>
        </w:tc>
        <w:tc>
          <w:tcPr>
            <w:tcW w:w="3280" w:type="dxa"/>
            <w:vAlign w:val="bottom"/>
          </w:tcPr>
          <w:p>
            <w:pPr>
              <w:ind w:left="80"/>
              <w:spacing w:after="0"/>
              <w:rPr>
                <w:sz w:val="20"/>
                <w:szCs w:val="20"/>
                <w:color w:val="auto"/>
              </w:rPr>
            </w:pPr>
            <w:r>
              <w:rPr>
                <w:rFonts w:ascii="Arial" w:cs="Arial" w:eastAsia="Arial" w:hAnsi="Arial"/>
                <w:sz w:val="18"/>
                <w:szCs w:val="18"/>
                <w:color w:val="auto"/>
              </w:rPr>
              <w:t>Chief Executive Officer</w:t>
            </w:r>
          </w:p>
        </w:tc>
        <w:tc>
          <w:tcPr>
            <w:tcW w:w="800" w:type="dxa"/>
            <w:vAlign w:val="bottom"/>
          </w:tcPr>
          <w:p>
            <w:pPr>
              <w:spacing w:after="0"/>
              <w:rPr>
                <w:sz w:val="20"/>
                <w:szCs w:val="20"/>
                <w:color w:val="auto"/>
              </w:rPr>
            </w:pPr>
          </w:p>
        </w:tc>
      </w:tr>
      <w:tr>
        <w:trPr>
          <w:trHeight w:val="361"/>
        </w:trPr>
        <w:tc>
          <w:tcPr>
            <w:tcW w:w="65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to Hold Virtual Annual General Meeting for 2020</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Piraeus, Greece, May 6, 2020 – </w:t>
      </w:r>
      <w:r>
        <w:rPr>
          <w:rFonts w:ascii="Arial" w:cs="Arial" w:eastAsia="Arial" w:hAnsi="Arial"/>
          <w:sz w:val="18"/>
          <w:szCs w:val="18"/>
          <w:color w:val="auto"/>
        </w:rPr>
        <w:t>GasLog Ltd (the “Company”) announced today that its 2020 annual meeting of shareholders will be held virtually,</w:t>
      </w:r>
      <w:r>
        <w:rPr>
          <w:rFonts w:ascii="Arial" w:cs="Arial" w:eastAsia="Arial" w:hAnsi="Arial"/>
          <w:sz w:val="18"/>
          <w:szCs w:val="18"/>
          <w:b w:val="1"/>
          <w:bCs w:val="1"/>
          <w:color w:val="auto"/>
        </w:rPr>
        <w:t xml:space="preserve"> </w:t>
      </w:r>
      <w:r>
        <w:rPr>
          <w:rFonts w:ascii="Arial" w:cs="Arial" w:eastAsia="Arial" w:hAnsi="Arial"/>
          <w:sz w:val="18"/>
          <w:szCs w:val="18"/>
          <w:color w:val="auto"/>
        </w:rPr>
        <w:t>moving away from an in-person meeting due to the COVID-19 pandemic.</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previously announced, the Annual Meeting will be held on Thursday, May 14, 2020 at 14:30 hrs Atlantic Daylight Time (13:30 hrs Eastern Daylight Time). In light of public health concerns regarding COVID-19, the Annual Meeting will be held in a virtual meeting format only. Shareholders will not be able to attend the Annual Meeting physically.</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Shareholders of record as of the close of business on March 16, 2020 are entitled to notice of, and to vote at, the Annual Meeting. Only holders of Common shares are entitled to vote. To be admitted to the virtual Annual Meeting at </w:t>
      </w:r>
      <w:r>
        <w:rPr>
          <w:rFonts w:ascii="Arial" w:cs="Arial" w:eastAsia="Arial" w:hAnsi="Arial"/>
          <w:sz w:val="17"/>
          <w:szCs w:val="17"/>
          <w:u w:val="single" w:color="auto"/>
          <w:color w:val="0000FF"/>
        </w:rPr>
        <w:t>www.virtualshareholdingmeeting.com/GLOG2020</w:t>
      </w:r>
      <w:r>
        <w:rPr>
          <w:rFonts w:ascii="Arial" w:cs="Arial" w:eastAsia="Arial" w:hAnsi="Arial"/>
          <w:sz w:val="17"/>
          <w:szCs w:val="17"/>
          <w:color w:val="auto"/>
        </w:rPr>
        <w:t>, shareholders must enter the control number found on the proxy materials that were issued beginning March 23, 2020.</w:t>
      </w:r>
    </w:p>
    <w:p>
      <w:pPr>
        <w:spacing w:after="0" w:line="16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 xml:space="preserve">Whether or not shareholders plan to virtually attend the Annual Meeting, shareholders are encouraged to vote and submit their proxy in advance of the meeting at </w:t>
      </w:r>
      <w:r>
        <w:rPr>
          <w:rFonts w:ascii="Arial" w:cs="Arial" w:eastAsia="Arial" w:hAnsi="Arial"/>
          <w:sz w:val="18"/>
          <w:szCs w:val="18"/>
          <w:u w:val="single" w:color="auto"/>
          <w:color w:val="0000FF"/>
        </w:rPr>
        <w:t>www.proxyvote.com</w:t>
      </w:r>
      <w:r>
        <w:rPr>
          <w:rFonts w:ascii="Arial" w:cs="Arial" w:eastAsia="Arial" w:hAnsi="Arial"/>
          <w:sz w:val="18"/>
          <w:szCs w:val="18"/>
          <w:color w:val="auto"/>
        </w:rPr>
        <w:t xml:space="preserve"> using the instructions provided with the previously issued proxy materials.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35 LNG carriers. Of these vessels, 19 (13 on the water and six on order) are owned by GasLog, one has been sold to a subsidiary of Mitsui &amp; Co., Ltd. and leased back to GasLog under a long-term bareboat charter and the remaining 15 LNG carriers are owned by the Company’s subsidiary, GasLog Partners. GasLog’s principal executive offices are at 69 Akti Miaouli, 18537 Piraeus, Greece. Visit GasLog’s website at http://www.gaslogltd.com.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1532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2020-05-06T05:46:48Z</dcterms:created>
  <dcterms:modified xsi:type="dcterms:W3CDTF">2020-05-06T05:46:48Z</dcterms:modified>
</cp:coreProperties>
</file>