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REPORT OF FOREIGN PRIVATE ISSUER PURSUANT TO RULE 13a-16 OR 15d-16 UNDER THE SECURITIES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For the month of October 2016</w:t>
            </w:r>
          </w:p>
        </w:tc>
        <w:tc>
          <w:tcPr>
            <w:tcW w:w="1400" w:type="dxa"/>
            <w:vAlign w:val="bottom"/>
          </w:tcPr>
          <w:p>
            <w:pPr>
              <w:spacing w:after="0"/>
              <w:rPr>
                <w:sz w:val="20"/>
                <w:szCs w:val="20"/>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rPr>
              <w:t>Commission File Number 001-35466</w:t>
            </w:r>
          </w:p>
        </w:tc>
        <w:tc>
          <w:tcPr>
            <w:tcW w:w="1400" w:type="dxa"/>
            <w:vAlign w:val="bottom"/>
          </w:tcPr>
          <w:p>
            <w:pPr>
              <w:spacing w:after="0"/>
              <w:rPr>
                <w:sz w:val="24"/>
                <w:szCs w:val="24"/>
                <w:color w:val="auto"/>
              </w:rPr>
            </w:pPr>
          </w:p>
        </w:tc>
      </w:tr>
      <w:tr>
        <w:trPr>
          <w:trHeight w:val="418"/>
        </w:trPr>
        <w:tc>
          <w:tcPr>
            <w:tcW w:w="10020" w:type="dxa"/>
            <w:vAlign w:val="bottom"/>
          </w:tcPr>
          <w:p>
            <w:pPr>
              <w:jc w:val="center"/>
              <w:ind w:left="1330"/>
              <w:spacing w:after="0"/>
              <w:rPr>
                <w:sz w:val="20"/>
                <w:szCs w:val="20"/>
                <w:color w:val="auto"/>
              </w:rPr>
            </w:pPr>
            <w:r>
              <w:rPr>
                <w:rFonts w:ascii="Arial" w:cs="Arial" w:eastAsia="Arial" w:hAnsi="Arial"/>
                <w:sz w:val="18"/>
                <w:szCs w:val="18"/>
                <w:b w:val="1"/>
                <w:bCs w:val="1"/>
                <w:color w:val="auto"/>
                <w:w w:val="91"/>
              </w:rPr>
              <w:t>GasLog Ltd</w:t>
            </w:r>
          </w:p>
        </w:tc>
        <w:tc>
          <w:tcPr>
            <w:tcW w:w="1400" w:type="dxa"/>
            <w:vAlign w:val="bottom"/>
          </w:tcPr>
          <w:p>
            <w:pPr>
              <w:spacing w:after="0"/>
              <w:rPr>
                <w:sz w:val="24"/>
                <w:szCs w:val="24"/>
                <w:color w:val="auto"/>
              </w:rPr>
            </w:pPr>
          </w:p>
        </w:tc>
      </w:tr>
      <w:tr>
        <w:trPr>
          <w:trHeight w:val="230"/>
        </w:trPr>
        <w:tc>
          <w:tcPr>
            <w:tcW w:w="10020" w:type="dxa"/>
            <w:vAlign w:val="bottom"/>
          </w:tcPr>
          <w:p>
            <w:pPr>
              <w:jc w:val="center"/>
              <w:ind w:left="1330"/>
              <w:spacing w:after="0"/>
              <w:rPr>
                <w:sz w:val="20"/>
                <w:szCs w:val="20"/>
                <w:color w:val="auto"/>
              </w:rPr>
            </w:pPr>
            <w:r>
              <w:rPr>
                <w:rFonts w:ascii="Arial" w:cs="Arial" w:eastAsia="Arial" w:hAnsi="Arial"/>
                <w:sz w:val="18"/>
                <w:szCs w:val="18"/>
                <w:color w:val="auto"/>
                <w:w w:val="91"/>
              </w:rPr>
              <w:t>(Translation of registrant’s name into English)</w:t>
            </w:r>
          </w:p>
        </w:tc>
        <w:tc>
          <w:tcPr>
            <w:tcW w:w="1400" w:type="dxa"/>
            <w:vAlign w:val="bottom"/>
          </w:tcPr>
          <w:p>
            <w:pPr>
              <w:spacing w:after="0"/>
              <w:rPr>
                <w:sz w:val="20"/>
                <w:szCs w:val="20"/>
                <w:color w:val="auto"/>
              </w:rPr>
            </w:pPr>
          </w:p>
        </w:tc>
      </w:tr>
      <w:tr>
        <w:trPr>
          <w:trHeight w:val="418"/>
        </w:trPr>
        <w:tc>
          <w:tcPr>
            <w:tcW w:w="10020" w:type="dxa"/>
            <w:vAlign w:val="bottom"/>
          </w:tcPr>
          <w:p>
            <w:pPr>
              <w:jc w:val="center"/>
              <w:ind w:left="1310"/>
              <w:spacing w:after="0"/>
              <w:rPr>
                <w:sz w:val="20"/>
                <w:szCs w:val="20"/>
                <w:color w:val="auto"/>
              </w:rPr>
            </w:pPr>
            <w:r>
              <w:rPr>
                <w:rFonts w:ascii="Arial" w:cs="Arial" w:eastAsia="Arial" w:hAnsi="Arial"/>
                <w:sz w:val="18"/>
                <w:szCs w:val="18"/>
                <w:color w:val="auto"/>
                <w:w w:val="89"/>
              </w:rPr>
              <w:t>Gildo Pastor Center</w:t>
            </w:r>
          </w:p>
        </w:tc>
        <w:tc>
          <w:tcPr>
            <w:tcW w:w="1400" w:type="dxa"/>
            <w:vAlign w:val="bottom"/>
          </w:tcPr>
          <w:p>
            <w:pPr>
              <w:spacing w:after="0"/>
              <w:rPr>
                <w:sz w:val="24"/>
                <w:szCs w:val="24"/>
                <w:color w:val="auto"/>
              </w:rPr>
            </w:pPr>
          </w:p>
        </w:tc>
      </w:tr>
      <w:tr>
        <w:trPr>
          <w:trHeight w:val="216"/>
        </w:trPr>
        <w:tc>
          <w:tcPr>
            <w:tcW w:w="10020" w:type="dxa"/>
            <w:vAlign w:val="bottom"/>
          </w:tcPr>
          <w:p>
            <w:pPr>
              <w:jc w:val="center"/>
              <w:ind w:left="1310"/>
              <w:spacing w:after="0"/>
              <w:rPr>
                <w:sz w:val="20"/>
                <w:szCs w:val="20"/>
                <w:color w:val="auto"/>
              </w:rPr>
            </w:pPr>
            <w:r>
              <w:rPr>
                <w:rFonts w:ascii="Arial" w:cs="Arial" w:eastAsia="Arial" w:hAnsi="Arial"/>
                <w:sz w:val="18"/>
                <w:szCs w:val="18"/>
                <w:color w:val="auto"/>
                <w:w w:val="89"/>
              </w:rPr>
              <w:t>7 Rue du Gabian</w:t>
            </w:r>
          </w:p>
        </w:tc>
        <w:tc>
          <w:tcPr>
            <w:tcW w:w="1400" w:type="dxa"/>
            <w:vAlign w:val="bottom"/>
          </w:tcPr>
          <w:p>
            <w:pPr>
              <w:spacing w:after="0"/>
              <w:rPr>
                <w:sz w:val="18"/>
                <w:szCs w:val="18"/>
                <w:color w:val="auto"/>
              </w:rPr>
            </w:pPr>
          </w:p>
        </w:tc>
      </w:tr>
      <w:tr>
        <w:trPr>
          <w:trHeight w:val="216"/>
        </w:trPr>
        <w:tc>
          <w:tcPr>
            <w:tcW w:w="10020" w:type="dxa"/>
            <w:vAlign w:val="bottom"/>
          </w:tcPr>
          <w:p>
            <w:pPr>
              <w:jc w:val="center"/>
              <w:ind w:left="1310"/>
              <w:spacing w:after="0"/>
              <w:rPr>
                <w:sz w:val="20"/>
                <w:szCs w:val="20"/>
                <w:color w:val="auto"/>
              </w:rPr>
            </w:pPr>
            <w:r>
              <w:rPr>
                <w:rFonts w:ascii="Arial" w:cs="Arial" w:eastAsia="Arial" w:hAnsi="Arial"/>
                <w:sz w:val="18"/>
                <w:szCs w:val="18"/>
                <w:color w:val="auto"/>
                <w:w w:val="92"/>
              </w:rPr>
              <w:t>MC 98000, Monaco</w:t>
            </w:r>
          </w:p>
        </w:tc>
        <w:tc>
          <w:tcPr>
            <w:tcW w:w="1400" w:type="dxa"/>
            <w:vAlign w:val="bottom"/>
          </w:tcPr>
          <w:p>
            <w:pPr>
              <w:spacing w:after="0"/>
              <w:rPr>
                <w:sz w:val="18"/>
                <w:szCs w:val="18"/>
                <w:color w:val="auto"/>
              </w:rPr>
            </w:pPr>
          </w:p>
        </w:tc>
      </w:tr>
      <w:tr>
        <w:trPr>
          <w:trHeight w:val="230"/>
        </w:trPr>
        <w:tc>
          <w:tcPr>
            <w:tcW w:w="10020" w:type="dxa"/>
            <w:vAlign w:val="bottom"/>
          </w:tcPr>
          <w:p>
            <w:pPr>
              <w:jc w:val="center"/>
              <w:ind w:left="1310"/>
              <w:spacing w:after="0"/>
              <w:rPr>
                <w:sz w:val="20"/>
                <w:szCs w:val="20"/>
                <w:color w:val="auto"/>
              </w:rPr>
            </w:pPr>
            <w:r>
              <w:rPr>
                <w:rFonts w:ascii="Arial" w:cs="Arial" w:eastAsia="Arial" w:hAnsi="Arial"/>
                <w:sz w:val="18"/>
                <w:szCs w:val="18"/>
                <w:color w:val="auto"/>
                <w:w w:val="92"/>
              </w:rPr>
              <w:t>(Address of principal executive office)</w:t>
            </w:r>
          </w:p>
        </w:tc>
        <w:tc>
          <w:tcPr>
            <w:tcW w:w="1400" w:type="dxa"/>
            <w:vAlign w:val="bottom"/>
          </w:tcPr>
          <w:p>
            <w:pPr>
              <w:spacing w:after="0"/>
              <w:rPr>
                <w:sz w:val="20"/>
                <w:szCs w:val="20"/>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1400" w:type="dxa"/>
            <w:vAlign w:val="bottom"/>
          </w:tcPr>
          <w:p>
            <w:pPr>
              <w:spacing w:after="0"/>
              <w:rPr>
                <w:sz w:val="24"/>
                <w:szCs w:val="24"/>
                <w:color w:val="auto"/>
              </w:rPr>
            </w:pPr>
          </w:p>
        </w:tc>
      </w:tr>
      <w:tr>
        <w:trPr>
          <w:trHeight w:val="452"/>
        </w:trPr>
        <w:tc>
          <w:tcPr>
            <w:tcW w:w="1002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tc>
        <w:tc>
          <w:tcPr>
            <w:tcW w:w="1400" w:type="dxa"/>
            <w:vAlign w:val="bottom"/>
          </w:tcPr>
          <w:p>
            <w:pPr>
              <w:spacing w:after="0"/>
              <w:rPr>
                <w:sz w:val="24"/>
                <w:szCs w:val="24"/>
                <w:color w:val="auto"/>
              </w:rPr>
            </w:pPr>
          </w:p>
        </w:tc>
      </w:tr>
      <w:tr>
        <w:trPr>
          <w:trHeight w:val="412"/>
        </w:trPr>
        <w:tc>
          <w:tcPr>
            <w:tcW w:w="1002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1400" w:type="dxa"/>
            <w:vAlign w:val="bottom"/>
          </w:tcPr>
          <w:p>
            <w:pPr>
              <w:ind w:left="1060"/>
              <w:spacing w:after="0"/>
              <w:rPr>
                <w:sz w:val="20"/>
                <w:szCs w:val="20"/>
                <w:color w:val="auto"/>
              </w:rPr>
            </w:pPr>
            <w:r>
              <w:rPr>
                <w:rFonts w:ascii="Arial" w:cs="Arial" w:eastAsia="Arial" w:hAnsi="Arial"/>
                <w:sz w:val="18"/>
                <w:szCs w:val="18"/>
                <w:color w:val="auto"/>
              </w:rPr>
              <w:t>o</w:t>
            </w: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1400" w:type="dxa"/>
            <w:vAlign w:val="bottom"/>
          </w:tcPr>
          <w:p>
            <w:pPr>
              <w:ind w:left="1060"/>
              <w:spacing w:after="0"/>
              <w:rPr>
                <w:sz w:val="20"/>
                <w:szCs w:val="20"/>
                <w:color w:val="auto"/>
              </w:rPr>
            </w:pPr>
            <w:r>
              <w:rPr>
                <w:rFonts w:ascii="Arial" w:cs="Arial" w:eastAsia="Arial" w:hAnsi="Arial"/>
                <w:sz w:val="18"/>
                <w:szCs w:val="18"/>
                <w:color w:val="auto"/>
              </w:rPr>
              <w:t>o</w:t>
            </w:r>
          </w:p>
        </w:tc>
      </w:tr>
      <w:tr>
        <w:trPr>
          <w:trHeight w:val="709"/>
        </w:trPr>
        <w:tc>
          <w:tcPr>
            <w:tcW w:w="10020" w:type="dxa"/>
            <w:vAlign w:val="bottom"/>
            <w:tcBorders>
              <w:bottom w:val="single" w:sz="8" w:color="C0C0C0"/>
            </w:tcBorders>
          </w:tcPr>
          <w:p>
            <w:pPr>
              <w:spacing w:after="0"/>
              <w:rPr>
                <w:sz w:val="24"/>
                <w:szCs w:val="24"/>
                <w:color w:val="auto"/>
              </w:rPr>
            </w:pPr>
          </w:p>
        </w:tc>
        <w:tc>
          <w:tcPr>
            <w:tcW w:w="1400" w:type="dxa"/>
            <w:vAlign w:val="bottom"/>
            <w:tcBorders>
              <w:bottom w:val="single" w:sz="8" w:color="C0C0C0"/>
            </w:tcBorders>
          </w:tcPr>
          <w:p>
            <w:pPr>
              <w:spacing w:after="0"/>
              <w:rPr>
                <w:sz w:val="24"/>
                <w:szCs w:val="24"/>
                <w:color w:val="auto"/>
              </w:rPr>
            </w:pPr>
          </w:p>
        </w:tc>
      </w:tr>
    </w:tbl>
    <w:p>
      <w:pPr>
        <w:sectPr>
          <w:pgSz w:w="11900" w:h="16838" w:orient="portrait"/>
          <w:cols w:equalWidth="0" w:num="1">
            <w:col w:w="11420"/>
          </w:cols>
          <w:pgMar w:left="240" w:top="229" w:right="239" w:bottom="1440" w:gutter="0" w:footer="0" w:header="0"/>
        </w:sectPr>
      </w:pPr>
    </w:p>
    <w:bookmarkStart w:id="1" w:name="page2"/>
    <w:bookmarkEnd w:id="1"/>
    <w:p>
      <w:pPr>
        <w:ind w:right="380" w:firstLine="376"/>
        <w:spacing w:after="0" w:line="293" w:lineRule="auto"/>
        <w:rPr>
          <w:sz w:val="20"/>
          <w:szCs w:val="20"/>
          <w:color w:val="auto"/>
        </w:rPr>
      </w:pPr>
      <w:r>
        <w:rPr>
          <w:rFonts w:ascii="Arial" w:cs="Arial" w:eastAsia="Arial" w:hAnsi="Arial"/>
          <w:sz w:val="16"/>
          <w:szCs w:val="16"/>
          <w:color w:val="auto"/>
        </w:rPr>
        <w:t>The press release issued by GasLog Ltd on October 20, 2016 announcing a Charter to Centrica for seven years and placing a newbuilding order at Samsung Heavy Industries is attached hereto as Exhibit 99.1.</w:t>
      </w:r>
    </w:p>
    <w:p>
      <w:pPr>
        <w:spacing w:after="0" w:line="15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INCORPORATION BY REFERENCE</w:t>
      </w:r>
    </w:p>
    <w:p>
      <w:pPr>
        <w:spacing w:after="0" w:line="221" w:lineRule="exact"/>
        <w:rPr>
          <w:sz w:val="20"/>
          <w:szCs w:val="20"/>
          <w:color w:val="auto"/>
        </w:rPr>
      </w:pPr>
    </w:p>
    <w:p>
      <w:pPr>
        <w:ind w:firstLine="376"/>
        <w:spacing w:after="0" w:line="271" w:lineRule="auto"/>
        <w:rPr>
          <w:sz w:val="20"/>
          <w:szCs w:val="20"/>
          <w:color w:val="auto"/>
        </w:rPr>
      </w:pPr>
      <w:r>
        <w:rPr>
          <w:rFonts w:ascii="Arial" w:cs="Arial" w:eastAsia="Arial" w:hAnsi="Arial"/>
          <w:sz w:val="16"/>
          <w:szCs w:val="16"/>
          <w:color w:val="auto"/>
        </w:rPr>
        <w:t>Exhibit 99.1 to this Report on Form 6-K shall be incorporated by reference into our registration statements on Form F-3 (File Nos. 333-188817, 333-194894 and 333-194894), initially filed with the Securities and Exchange Commission (the “SEC”) on May 24, 2013, March 28, 2014 and March 14, 2016 respectively, as amended, and the registration statement on Form S-8 (File No. 333-187020) filed with the SEC on March 4, 2013,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7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EXHIBIT LIST</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6"/>
          <w:szCs w:val="16"/>
          <w:color w:val="auto"/>
        </w:rPr>
        <w:t>Exhibit</w:t>
      </w:r>
      <w:r>
        <w:rPr>
          <w:sz w:val="20"/>
          <w:szCs w:val="20"/>
          <w:color w:val="auto"/>
        </w:rPr>
        <w:tab/>
      </w:r>
      <w:r>
        <w:rPr>
          <w:rFonts w:ascii="Arial" w:cs="Arial" w:eastAsia="Arial" w:hAnsi="Arial"/>
          <w:sz w:val="16"/>
          <w:szCs w:val="16"/>
          <w:color w:val="auto"/>
        </w:rPr>
        <w:t>Description</w:t>
      </w:r>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4"/>
          <w:szCs w:val="14"/>
          <w:color w:val="auto"/>
        </w:rPr>
        <w:t>Press Release Dated October 20,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687070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20"/>
          </w:cols>
          <w:pgMar w:left="240" w:top="832"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color w:val="auto"/>
        </w:rPr>
        <w:t>SIGNATURES</w:t>
      </w:r>
    </w:p>
    <w:p>
      <w:pPr>
        <w:spacing w:after="0" w:line="221" w:lineRule="exact"/>
        <w:rPr>
          <w:sz w:val="20"/>
          <w:szCs w:val="20"/>
          <w:color w:val="auto"/>
        </w:rPr>
      </w:pPr>
    </w:p>
    <w:p>
      <w:pPr>
        <w:ind w:right="260" w:firstLine="376"/>
        <w:spacing w:after="0" w:line="293"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Date: October 20, 2016</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GASLOG LIMITED</w:t>
      </w:r>
    </w:p>
    <w:p>
      <w:pPr>
        <w:spacing w:after="0" w:line="248" w:lineRule="exact"/>
        <w:rPr>
          <w:sz w:val="20"/>
          <w:szCs w:val="20"/>
          <w:color w:val="auto"/>
        </w:rPr>
      </w:pPr>
    </w:p>
    <w:p>
      <w:pPr>
        <w:ind w:left="6540"/>
        <w:spacing w:after="0"/>
        <w:tabs>
          <w:tab w:leader="none" w:pos="6840" w:val="left"/>
        </w:tabs>
        <w:rPr>
          <w:sz w:val="20"/>
          <w:szCs w:val="20"/>
          <w:color w:val="auto"/>
        </w:rPr>
      </w:pPr>
      <w:r>
        <w:rPr>
          <w:rFonts w:ascii="Arial" w:cs="Arial" w:eastAsia="Arial" w:hAnsi="Arial"/>
          <w:sz w:val="16"/>
          <w:szCs w:val="16"/>
          <w:color w:val="auto"/>
        </w:rPr>
        <w:t>by</w:t>
        <w:tab/>
        <w:t>/s/ Paul A. Wogan</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860" w:type="dxa"/>
            <w:vAlign w:val="bottom"/>
          </w:tcPr>
          <w:p>
            <w:pPr>
              <w:spacing w:after="0"/>
              <w:rPr>
                <w:sz w:val="17"/>
                <w:szCs w:val="17"/>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Name:</w:t>
            </w:r>
          </w:p>
        </w:tc>
        <w:tc>
          <w:tcPr>
            <w:tcW w:w="334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Paul A. Wogan</w:t>
            </w:r>
          </w:p>
        </w:tc>
        <w:tc>
          <w:tcPr>
            <w:tcW w:w="680" w:type="dxa"/>
            <w:vAlign w:val="bottom"/>
          </w:tcPr>
          <w:p>
            <w:pPr>
              <w:spacing w:after="0"/>
              <w:rPr>
                <w:sz w:val="17"/>
                <w:szCs w:val="17"/>
                <w:color w:val="auto"/>
              </w:rPr>
            </w:pPr>
          </w:p>
        </w:tc>
      </w:tr>
      <w:tr>
        <w:trPr>
          <w:trHeight w:val="206"/>
        </w:trPr>
        <w:tc>
          <w:tcPr>
            <w:tcW w:w="686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Arial" w:cs="Arial" w:eastAsia="Arial" w:hAnsi="Arial"/>
                <w:sz w:val="16"/>
                <w:szCs w:val="16"/>
                <w:color w:val="auto"/>
              </w:rPr>
              <w:t>Title:</w:t>
            </w:r>
          </w:p>
        </w:tc>
        <w:tc>
          <w:tcPr>
            <w:tcW w:w="3340" w:type="dxa"/>
            <w:vAlign w:val="bottom"/>
          </w:tcPr>
          <w:p>
            <w:pPr>
              <w:ind w:left="100"/>
              <w:spacing w:after="0"/>
              <w:rPr>
                <w:sz w:val="20"/>
                <w:szCs w:val="20"/>
                <w:color w:val="auto"/>
              </w:rPr>
            </w:pPr>
            <w:r>
              <w:rPr>
                <w:rFonts w:ascii="Arial" w:cs="Arial" w:eastAsia="Arial" w:hAnsi="Arial"/>
                <w:sz w:val="16"/>
                <w:szCs w:val="16"/>
                <w:color w:val="auto"/>
              </w:rPr>
              <w:t>Chief Executive Officer</w:t>
            </w:r>
          </w:p>
        </w:tc>
        <w:tc>
          <w:tcPr>
            <w:tcW w:w="680" w:type="dxa"/>
            <w:vAlign w:val="bottom"/>
          </w:tcPr>
          <w:p>
            <w:pPr>
              <w:spacing w:after="0"/>
              <w:rPr>
                <w:sz w:val="17"/>
                <w:szCs w:val="17"/>
                <w:color w:val="auto"/>
              </w:rPr>
            </w:pPr>
          </w:p>
        </w:tc>
      </w:tr>
      <w:tr>
        <w:trPr>
          <w:trHeight w:val="688"/>
        </w:trPr>
        <w:tc>
          <w:tcPr>
            <w:tcW w:w="6860" w:type="dxa"/>
            <w:vAlign w:val="bottom"/>
            <w:tcBorders>
              <w:bottom w:val="single" w:sz="8" w:color="C0C0C0"/>
            </w:tcBorders>
          </w:tcPr>
          <w:p>
            <w:pPr>
              <w:spacing w:after="0"/>
              <w:rPr>
                <w:sz w:val="24"/>
                <w:szCs w:val="24"/>
                <w:color w:val="auto"/>
              </w:rPr>
            </w:pPr>
          </w:p>
        </w:tc>
        <w:tc>
          <w:tcPr>
            <w:tcW w:w="540" w:type="dxa"/>
            <w:vAlign w:val="bottom"/>
            <w:tcBorders>
              <w:bottom w:val="single" w:sz="8" w:color="C0C0C0"/>
            </w:tcBorders>
          </w:tcPr>
          <w:p>
            <w:pPr>
              <w:spacing w:after="0"/>
              <w:rPr>
                <w:sz w:val="24"/>
                <w:szCs w:val="24"/>
                <w:color w:val="auto"/>
              </w:rPr>
            </w:pPr>
          </w:p>
        </w:tc>
        <w:tc>
          <w:tcPr>
            <w:tcW w:w="3340" w:type="dxa"/>
            <w:vAlign w:val="bottom"/>
            <w:tcBorders>
              <w:bottom w:val="single" w:sz="8" w:color="C0C0C0"/>
            </w:tcBorders>
          </w:tcPr>
          <w:p>
            <w:pPr>
              <w:spacing w:after="0"/>
              <w:rPr>
                <w:sz w:val="24"/>
                <w:szCs w:val="24"/>
                <w:color w:val="auto"/>
              </w:rPr>
            </w:pPr>
          </w:p>
        </w:tc>
        <w:tc>
          <w:tcPr>
            <w:tcW w:w="680" w:type="dxa"/>
            <w:vAlign w:val="bottom"/>
            <w:tcBorders>
              <w:bottom w:val="single" w:sz="8" w:color="C0C0C0"/>
            </w:tcBorders>
          </w:tcPr>
          <w:p>
            <w:pPr>
              <w:spacing w:after="0"/>
              <w:rPr>
                <w:sz w:val="24"/>
                <w:szCs w:val="24"/>
                <w:color w:val="auto"/>
              </w:rPr>
            </w:pPr>
          </w:p>
        </w:tc>
      </w:tr>
    </w:tbl>
    <w:p>
      <w:pPr>
        <w:sectPr>
          <w:pgSz w:w="11900" w:h="16838" w:orient="portrait"/>
          <w:cols w:equalWidth="0" w:num="1">
            <w:col w:w="11420"/>
          </w:cols>
          <w:pgMar w:left="240" w:top="805"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Ltd. Announces a Charter to Centrica for Seven Years and Places a Newbuilding Order at Samsung Heavy Industries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Monaco – October 20, 2016 </w:t>
      </w:r>
      <w:r>
        <w:rPr>
          <w:rFonts w:ascii="Arial" w:cs="Arial" w:eastAsia="Arial" w:hAnsi="Arial"/>
          <w:sz w:val="18"/>
          <w:szCs w:val="18"/>
          <w:color w:val="auto"/>
        </w:rPr>
        <w:t>– GasLog Ltd. (“GasLog”, NYSE: GLOG), an international owner, operator and manager of liquefied natural gas (“LNG”)</w:t>
      </w:r>
      <w:r>
        <w:rPr>
          <w:rFonts w:ascii="Arial" w:cs="Arial" w:eastAsia="Arial" w:hAnsi="Arial"/>
          <w:sz w:val="18"/>
          <w:szCs w:val="18"/>
          <w:b w:val="1"/>
          <w:bCs w:val="1"/>
          <w:color w:val="auto"/>
        </w:rPr>
        <w:t xml:space="preserve"> </w:t>
      </w:r>
      <w:r>
        <w:rPr>
          <w:rFonts w:ascii="Arial" w:cs="Arial" w:eastAsia="Arial" w:hAnsi="Arial"/>
          <w:sz w:val="18"/>
          <w:szCs w:val="18"/>
          <w:color w:val="auto"/>
        </w:rPr>
        <w:t>carriers, today announces that it has signed a time charter party with Centrica plc. (“Centrica”) to charter a vessel for a period of seven years. The vessel, a 180,000 cubic meter LNG carrier with XDF propulsion, has been ordered from Samsung Heavy Industries (“Samsung”) in South Korea. Centrica will charter the vessel from GasLog for a period of seven years commencing in the second half of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daily charter rate is in line with GasLog’s average long-term charter rate.</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GasLog Partners LP (“GasLog Partners”, NYSE: GLOP) has the right to acquire the vessel pursuant to the omnibus agreement between GasLog and GasLog Partners. Securing a seven-year charter on this vessel extends GasLog Partners’ dropdown pipeline of future vessels from thirteen to fourteen.</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Paul Wogan, Chief Executive Officer of GasLog Ltd., commented, “I am delighted to secure a new charter with Centrica, one of the leading European energy companies. This new charter is consistent with GasLog’s strategy of securing long-term contracts with high quality counterparties and further extends the dropdown pipeline to GasLog Partners.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Centrica is an important new customer for GasLog and we look forward to providing them with first class LNG shipping services as they continue to expand their LNG activities.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Following this charter, GasLog has five newbuildings with contracts of between 7 and 10 years, which deliver over the next three years providing significant inbuilt revenue and EBITDA growth.”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Ltd.</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GasLog is an international owner, operator and manager of LNG carriers. GasLog’s fully-owned fleet includes 19 LNG carriers (including 14 ships in operation and 5 LNG carriers on order) and GasLog has four LNG carriers operating under its technical management for third parties. GasLog Partners LP, a master limited partnership formed by GasLog, owns a further eight LNG carriers. GasLog’s principal executive offices are at Gildo Pastor Center, 7 Rue du Gabian, MC 98000, Monaco. GasLog’s website is http://www.gaslogltd.com.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Jamie Buckland – 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+44 203 388 3116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00FF"/>
        </w:rPr>
        <w:t>ir@gaslogltd.com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 Looking Statements</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the Company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25" w:lineRule="exact"/>
        <w:rPr>
          <w:sz w:val="20"/>
          <w:szCs w:val="20"/>
          <w:color w:val="auto"/>
        </w:rPr>
      </w:pPr>
    </w:p>
    <w:p>
      <w:pPr>
        <w:ind w:left="6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general LNG shipping market conditions and trends, including spot and long-term charter rates, ship values, factors affecting supply and demand of LNG and LNG shipping and technological advancements;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continued low prices for crude oil and petroleum products;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enter into time charters with new and existing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future operating performance, financial condition, liquidity and cash available for dividends and distributions;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obtain financing to fund capital expenditures, acquisitions and other corporate activities, funding by banks of their financial commitments, and our ability to meet our restrictive covenants and other obligations under our credit facilities;</w:t>
      </w:r>
    </w:p>
    <w:p>
      <w:pPr>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future, pending or recent acquisitions of or orders for ships or other assets, business strategy, areas of possible expansion and expected capital spending or operating expenses;</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time that it may take to construct and deliver newbuildings and the useful lives of our ships;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number of off-hire days, drydocking requirements and insurance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fluctuations in currencies and interest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long-term relationships with major energy companies;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maximize the use of our ships, including the re-employment or disposal of ships not under time charter commitments;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environmental and regulatory conditions, including changes in laws and regulations or actions taken by regulatory authorities;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expected cost of, and our ability to comply with, governmental regulations and maritime self-regulatory organization standards, requirements imposed by classification societies and standards imposed by our charterers applicable to our business;</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inherent in ship operation, including the discharge of pollutants;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availability of skilled labor, ship crews and management;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political events, piracy or acts by terrorists;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breach; and</w:t>
      </w:r>
    </w:p>
    <w:p>
      <w:pPr>
        <w:ind w:left="660" w:right="20" w:hanging="328"/>
        <w:spacing w:after="0" w:line="261"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risks and uncertainties described in the Company’s Annual Report on Form 20-F filed with the SEC on March 14, 2016 and available at http://www.sec.gov.</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undertake no obligation to update or revise any forward-looking statements contained in this press release,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declaration and payment of dividends are at all times subject to the discretion of our board of directors and will depend on, amongst other things, risks and uncertainties described above, restrictions in our credit facilities, the provisions of Bermuda law and such other factors as our board of directors may deem relevant.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553085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2019-12-08T21:41:51Z</dcterms:created>
  <dcterms:modified xsi:type="dcterms:W3CDTF">2019-12-08T21:41:51Z</dcterms:modified>
</cp:coreProperties>
</file>