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3"/>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SCHEDULE 13D</w:t>
      </w:r>
    </w:p>
    <w:p>
      <w:pPr>
        <w:spacing w:after="0" w:line="22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(Amendment No. 2)*</w:t>
      </w:r>
    </w:p>
    <w:p>
      <w:pPr>
        <w:spacing w:after="0" w:line="21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GasLog Partners LP</w:t>
      </w:r>
    </w:p>
    <w:p>
      <w:pPr>
        <w:spacing w:after="0" w:line="64"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40"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Y2687W108</w:t>
      </w:r>
    </w:p>
    <w:p>
      <w:pPr>
        <w:spacing w:after="0" w:line="54"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MC 98000 Monaco</w:t>
      </w:r>
    </w:p>
    <w:p>
      <w:pPr>
        <w:spacing w:after="0" w:line="20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Nicola Lloyd, General Counsel</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 GasLog Monaco S.A.M.</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+377 97 97 51 15</w:t>
      </w:r>
    </w:p>
    <w:p>
      <w:pPr>
        <w:spacing w:after="0" w:line="35"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June 26, 2019</w:t>
      </w:r>
    </w:p>
    <w:p>
      <w:pPr>
        <w:spacing w:after="0" w:line="40"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4" w:right="220" w:hanging="4"/>
        <w:spacing w:after="0" w:line="334" w:lineRule="auto"/>
        <w:tabs>
          <w:tab w:leader="none" w:pos="13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 w:lineRule="exact"/>
        <w:rPr>
          <w:sz w:val="24"/>
          <w:szCs w:val="24"/>
          <w:color w:val="auto"/>
        </w:rPr>
      </w:pPr>
    </w:p>
    <w:p>
      <w:pPr>
        <w:ind w:left="4"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207645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84"/>
          </w:cols>
          <w:pgMar w:left="896" w:top="463" w:right="9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20" w:type="dxa"/>
            <w:vAlign w:val="bottom"/>
          </w:tcPr>
          <w:p>
            <w:pPr>
              <w:ind w:left="60"/>
              <w:spacing w:after="0"/>
              <w:rPr>
                <w:sz w:val="20"/>
                <w:szCs w:val="20"/>
                <w:color w:val="auto"/>
              </w:rPr>
            </w:pPr>
            <w:r>
              <w:rPr>
                <w:rFonts w:ascii="Arial" w:cs="Arial" w:eastAsia="Arial" w:hAnsi="Arial"/>
                <w:sz w:val="18"/>
                <w:szCs w:val="18"/>
                <w:color w:val="auto"/>
              </w:rPr>
              <w:t>CUSIP No. Y2687W108</w:t>
            </w:r>
          </w:p>
        </w:tc>
        <w:tc>
          <w:tcPr>
            <w:tcW w:w="7700" w:type="dxa"/>
            <w:vAlign w:val="bottom"/>
          </w:tcPr>
          <w:p>
            <w:pPr>
              <w:ind w:left="1840"/>
              <w:spacing w:after="0"/>
              <w:rPr>
                <w:sz w:val="20"/>
                <w:szCs w:val="20"/>
                <w:color w:val="auto"/>
              </w:rPr>
            </w:pPr>
            <w:r>
              <w:rPr>
                <w:rFonts w:ascii="Arial" w:cs="Arial" w:eastAsia="Arial" w:hAnsi="Arial"/>
                <w:sz w:val="18"/>
                <w:szCs w:val="18"/>
                <w:color w:val="auto"/>
              </w:rPr>
              <w:t>13D</w:t>
            </w:r>
          </w:p>
        </w:tc>
      </w:tr>
      <w:tr>
        <w:trPr>
          <w:trHeight w:val="135"/>
        </w:trPr>
        <w:tc>
          <w:tcPr>
            <w:tcW w:w="372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tcPr>
          <w:p>
            <w:pPr>
              <w:spacing w:after="0"/>
              <w:rPr>
                <w:sz w:val="11"/>
                <w:szCs w:val="11"/>
                <w:color w:val="auto"/>
              </w:rPr>
            </w:pPr>
          </w:p>
        </w:tc>
      </w:tr>
    </w:tbl>
    <w:p>
      <w:pPr>
        <w:spacing w:after="0" w:line="350" w:lineRule="exact"/>
        <w:rPr>
          <w:sz w:val="20"/>
          <w:szCs w:val="20"/>
          <w:color w:val="auto"/>
        </w:rPr>
      </w:pPr>
    </w:p>
    <w:p>
      <w:pPr>
        <w:ind w:left="1100" w:hanging="646"/>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00" w:right="6060"/>
        <w:spacing w:after="0" w:line="6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-164465</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00" w:lineRule="exact"/>
        <w:rPr>
          <w:sz w:val="20"/>
          <w:szCs w:val="20"/>
          <w:color w:val="auto"/>
        </w:rPr>
      </w:pPr>
    </w:p>
    <w:p>
      <w:pPr>
        <w:ind w:left="1100" w:hanging="64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60" w:hanging="1058"/>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60" w:hanging="1058"/>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48895</wp:posOffset>
            </wp:positionV>
            <wp:extent cx="5942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-207645</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0" w:hanging="646"/>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91440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00" w:right="4260" w:hanging="646"/>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0" w:right="7700" w:hanging="646"/>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46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tcPr>
          <w:p>
            <w:pPr>
              <w:spacing w:after="0"/>
              <w:rPr>
                <w:sz w:val="18"/>
                <w:szCs w:val="18"/>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14,379,602(1)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91440</wp:posOffset>
            </wp:positionV>
            <wp:extent cx="5994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245110</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14,379,602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91440</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20"/>
            <w:col w:w="9380"/>
          </w:cols>
          <w:pgMar w:left="240" w:top="463" w:right="239"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1540"/>
        <w:spacing w:after="0"/>
        <w:tabs>
          <w:tab w:leader="none" w:pos="20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238125</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00" w:right="5520" w:hanging="646"/>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14,379,602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right="3980" w:hanging="646"/>
        <w:spacing w:after="0" w:line="371"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Not Applicable</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100" w:right="6440" w:hanging="646"/>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31.91%(2)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-671195</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-1451610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463" w:right="239" w:bottom="0" w:gutter="0" w:footer="0" w:header="0"/>
          <w:type w:val="continuous"/>
        </w:sectPr>
      </w:pPr>
    </w:p>
    <w:bookmarkStart w:id="2" w:name="page3"/>
    <w:bookmarkEnd w:id="2"/>
    <w:p>
      <w:pPr>
        <w:ind w:left="1092" w:hanging="646"/>
        <w:spacing w:after="0"/>
        <w:tabs>
          <w:tab w:leader="none" w:pos="1092"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817880</wp:posOffset>
            </wp:positionH>
            <wp:positionV relativeFrom="page">
              <wp:posOffset>88900</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 w:right="20" w:firstLine="8"/>
        <w:spacing w:after="0" w:line="286" w:lineRule="auto"/>
        <w:tabs>
          <w:tab w:leader="none" w:pos="292"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the date hereof, GasLog Ltd. (“GasLog”) beneficially owns 11,846,691 common units representing limited partner interests (“Common Units”) in the Issuer and, as of June 30, 2019, will own an additional 2,532,911 Common Units in the Issuer, resulting in an aggregate amount of 14,379,602 Common Units. In addition, GasLog beneficially owns through its wholly owned subsidiary, GasLog Partners GP LLC, 100% of the general partner units (the “GP Units”) and, as of June 30, 2019, GasLog will own 100% of the 2,490,000 Class B units representing limited partner interests (“Class B Units”) in the Issuer.</w:t>
      </w:r>
    </w:p>
    <w:p>
      <w:pPr>
        <w:spacing w:after="0" w:line="1" w:lineRule="exact"/>
        <w:rPr>
          <w:rFonts w:ascii="Arial" w:cs="Arial" w:eastAsia="Arial" w:hAnsi="Arial"/>
          <w:sz w:val="16"/>
          <w:szCs w:val="16"/>
          <w:color w:val="auto"/>
        </w:rPr>
      </w:pPr>
    </w:p>
    <w:p>
      <w:pPr>
        <w:ind w:left="-8" w:firstLine="8"/>
        <w:spacing w:after="0" w:line="261" w:lineRule="auto"/>
        <w:tabs>
          <w:tab w:leader="none" w:pos="2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ownership is calculated based on an aggregate number of 45,062,492 Common Units issued and outstanding as of June 24, 2019, as reported by the Issuer to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-1125855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-911225</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719" w:right="319" w:bottom="1440" w:gutter="0" w:footer="0" w:header="0"/>
        </w:sectPr>
      </w:pPr>
    </w:p>
    <w:bookmarkStart w:id="3" w:name="page4"/>
    <w:bookmarkEnd w:id="3"/>
    <w:p>
      <w:pPr>
        <w:ind w:right="80" w:firstLine="648"/>
        <w:spacing w:after="0" w:line="308" w:lineRule="auto"/>
        <w:rPr>
          <w:sz w:val="20"/>
          <w:szCs w:val="20"/>
          <w:color w:val="auto"/>
        </w:rPr>
      </w:pPr>
      <w:r>
        <w:rPr>
          <w:rFonts w:ascii="Arial" w:cs="Arial" w:eastAsia="Arial" w:hAnsi="Arial"/>
          <w:sz w:val="17"/>
          <w:szCs w:val="17"/>
          <w:color w:val="auto"/>
        </w:rPr>
        <w:t>This Amendment No. 2 (this “Amendment No. 2”) to Schedule 13D is being filed by GasLog Ltd., a Bermuda exempted company (“GasLog” or the “Reporting Person”) to amend the Amendment No.1 to Schedule 13D filed on November 27, 2018 (the “Amended Schedule 13D”).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2 hereby amends Item 4 and Item 6 of the Amended Schedule 13D as follows: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Item 4 of the Amended Schedule 13D is hereby amended by deleting in its entirety the fifth paragraph thereof and substituting the following paragraphs in lieu thereof:</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GasLog and the Partnership have agreed to modify the capital structure of the Partnership with respect to the incentive distribution rights of the Partnership (“IDRs”). On June 24, 2019, the Partnership entered into an exchange agreement, effective as of June 30, 2019 (the “Exchange Agreement”), with GasLog and the General Partner, pursuant to which GasLog will contribute all of its IDRs, which IDRs will be canceled by the Partnership, in exchange for the issuance by the Partnership to GasLog of (i) 2,532,911 Common Units and (ii) 2,490,000 Class B Units</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Pursuant to a sixth amendment and restatement of the Partnership Agreement, dated as of June 24, 2019 and effective as of June 30, 2019 (the “Sixth Amended Agreement”), a new class of Class B Units was created which will not be entitled to receive cash distributions until they convert into Common Units.</w:t>
      </w:r>
    </w:p>
    <w:p>
      <w:pPr>
        <w:spacing w:after="0" w:line="181"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18"/>
          <w:szCs w:val="18"/>
          <w:color w:val="auto"/>
        </w:rPr>
        <w:t>The Class B Units will be divided into six tranches, with the first tranche of 415,000 Class B Units becoming convertible at GasLog’s option on July 1, 2020, the second tranche of 415,000 Class B Units becoming convertible at GasLog’s option on July 1, 2021, the third tranche of 415,000 Class B Units becoming convertible at GasLog’s option on July 1, 2022, the fourth tranche of 415,000 Class B Units becoming convertible at GasLog’s option on July 1, 2023, the fifth tranche of 415,000 Class B Units becoming convertible at GasLog’s option on July 1, 2024 and the sixth tranche of 415,000 Class B Units becoming convertible at GasLog’s option on July 1, 2025.</w:t>
      </w:r>
    </w:p>
    <w:p>
      <w:pPr>
        <w:spacing w:after="0" w:line="18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foregoing descriptions of the Exchange Agreement and the Sixth Amended Agreement do not purport to be complete and are qualified in their entirety by reference to the full text of the Exchange Agreement and the Sixth Amended Agreement, which are filed as Exhibit 1 and Exhibit 2, respectively, to this Amendment No. 2.</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of the Original Schedule 13D is hereby amended by adding the following:</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Item 4 of this Amendment No. 2 summarizes certain provisions of the Exchange Agreement and the Sixth Amended Agreement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Exhibit 1 — Exchange Agreement, dated as of June 24, 2019, among GasLog Partners LP, GasLog Partners GP LLC and GasLog Ltd. (incorporated by reference to Exhibit 10.1 to the Form 6-K of GasLog Partners LP filed with the Commission on June 24, 2019).</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Exhibit 2 — Sixth Amended and Restated Agreement of Limited Partnership of GasLog Partners LP, dated June 24, 2019 (incorporated by reference to Exhibit 3.2 to the Form 6-K of GasLog Partners LP filed with the Commission on June 24,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2019</w:t>
      </w:r>
    </w:p>
    <w:p>
      <w:pPr>
        <w:spacing w:after="0" w:line="200" w:lineRule="exact"/>
        <w:rPr>
          <w:sz w:val="20"/>
          <w:szCs w:val="20"/>
          <w:color w:val="auto"/>
        </w:rPr>
      </w:pPr>
    </w:p>
    <w:p>
      <w:pPr>
        <w:spacing w:after="0" w:line="24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0"/>
          <w:szCs w:val="20"/>
          <w:color w:val="auto"/>
        </w:rPr>
      </w:pPr>
    </w:p>
    <w:tbl>
      <w:tblPr>
        <w:tblLayout w:type="fixed"/>
        <w:tblInd w:w="62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Paul A. Wogan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5"/>
      <w:numFmt w:val="bullet"/>
      <w:start w:val="1"/>
    </w:lvl>
  </w:abstractNum>
  <w:abstractNum w:abstractNumId="6">
    <w:nsid w:val="515F007C"/>
    <w:multiLevelType w:val="hybridMultilevel"/>
    <w:lvl w:ilvl="0">
      <w:lvlJc w:val="left"/>
      <w:lvlText w:val="6"/>
      <w:numFmt w:val="bullet"/>
      <w:start w:val="1"/>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decimal"/>
      <w:start w:val="1"/>
    </w:lvl>
    <w:lvl w:ilvl="1">
      <w:lvlJc w:val="left"/>
      <w:lvlText w:val="%2"/>
      <w:numFmt w:val="decimal"/>
      <w:start w:val="14"/>
    </w:lvl>
  </w:abstractNum>
  <w:abstractNum w:abstractNumId="9">
    <w:nsid w:val="4DB127F8"/>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2019-12-01T11:10:09Z</dcterms:created>
  <dcterms:modified xsi:type="dcterms:W3CDTF">2019-12-01T11:10:09Z</dcterms:modified>
</cp:coreProperties>
</file>