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REPORT OF FOREIGN PRIVATE ISSUER PURSUANT TO RULE 13a-16 OR 15d-16 UNDER THE SECURITIES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November 2019</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001-35466</w:t>
      </w:r>
    </w:p>
    <w:p>
      <w:pPr>
        <w:spacing w:after="0" w:line="2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GasLog Ltd.</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c/o GasLog Monaco S.A.M.</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Gildo Pastor Center</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7 Rue du Gabian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MC 98000, Monaco</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014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1320" w:type="dxa"/>
            <w:vAlign w:val="bottom"/>
          </w:tcPr>
          <w:p>
            <w:pPr>
              <w:spacing w:after="0"/>
              <w:rPr>
                <w:sz w:val="20"/>
                <w:szCs w:val="20"/>
                <w:color w:val="auto"/>
              </w:rPr>
            </w:pPr>
          </w:p>
        </w:tc>
      </w:tr>
      <w:tr>
        <w:trPr>
          <w:trHeight w:val="452"/>
        </w:trPr>
        <w:tc>
          <w:tcPr>
            <w:tcW w:w="1014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1320" w:type="dxa"/>
            <w:vAlign w:val="bottom"/>
          </w:tcPr>
          <w:p>
            <w:pPr>
              <w:spacing w:after="0"/>
              <w:rPr>
                <w:sz w:val="24"/>
                <w:szCs w:val="24"/>
                <w:color w:val="auto"/>
              </w:rPr>
            </w:pPr>
          </w:p>
        </w:tc>
      </w:tr>
      <w:tr>
        <w:trPr>
          <w:trHeight w:val="412"/>
        </w:trPr>
        <w:tc>
          <w:tcPr>
            <w:tcW w:w="1014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1014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48"/>
        </w:trPr>
        <w:tc>
          <w:tcPr>
            <w:tcW w:w="1014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445" w:right="199" w:bottom="1440" w:gutter="0" w:footer="0" w:header="0"/>
        </w:sectPr>
      </w:pPr>
    </w:p>
    <w:bookmarkStart w:id="1" w:name="page2"/>
    <w:bookmarkEnd w:id="1"/>
    <w:p>
      <w:pPr>
        <w:ind w:right="40" w:firstLine="356"/>
        <w:spacing w:after="0" w:line="293" w:lineRule="auto"/>
        <w:rPr>
          <w:sz w:val="20"/>
          <w:szCs w:val="20"/>
          <w:color w:val="auto"/>
        </w:rPr>
      </w:pPr>
      <w:r>
        <w:rPr>
          <w:rFonts w:ascii="Arial" w:cs="Arial" w:eastAsia="Arial" w:hAnsi="Arial"/>
          <w:sz w:val="16"/>
          <w:szCs w:val="16"/>
          <w:color w:val="auto"/>
        </w:rPr>
        <w:t>The press release issued by GasLog Ltd. on November 6, 2019 relating to its results for the three-month period ended September 30, 2019 and the related financial report are attached hereto as Exhibits 99.1 and 99.2, respectively.</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INCORPORATION BY REFERENCE</w:t>
      </w:r>
    </w:p>
    <w:p>
      <w:pPr>
        <w:spacing w:after="0" w:line="221" w:lineRule="exact"/>
        <w:rPr>
          <w:sz w:val="20"/>
          <w:szCs w:val="20"/>
          <w:color w:val="auto"/>
        </w:rPr>
      </w:pPr>
    </w:p>
    <w:p>
      <w:pPr>
        <w:ind w:firstLine="376"/>
        <w:spacing w:after="0" w:line="271" w:lineRule="auto"/>
        <w:rPr>
          <w:sz w:val="20"/>
          <w:szCs w:val="20"/>
          <w:color w:val="auto"/>
        </w:rPr>
      </w:pPr>
      <w:r>
        <w:rPr>
          <w:rFonts w:ascii="Arial" w:cs="Arial" w:eastAsia="Arial" w:hAnsi="Arial"/>
          <w:sz w:val="16"/>
          <w:szCs w:val="16"/>
          <w:color w:val="auto"/>
        </w:rPr>
        <w:t>Exhibit 99.2 to this Report on Form 6-K shall be incorporated by reference into our registration statements on Form F-3 (File Nos. 333-194894 and 333-230205), initially filed with the Securities and Exchange Commission (the “SEC”) on March 28, 2014 and March 12, 2019, respectively, as amended, and the registration statement on Form S-8 (File No. 333-187020), filed with the SEC on March 4, 2013,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60" w:type="dxa"/>
            <w:vAlign w:val="bottom"/>
          </w:tcPr>
          <w:p>
            <w:pPr>
              <w:spacing w:after="0"/>
              <w:rPr>
                <w:sz w:val="17"/>
                <w:szCs w:val="17"/>
                <w:color w:val="auto"/>
              </w:rPr>
            </w:pPr>
          </w:p>
        </w:tc>
        <w:tc>
          <w:tcPr>
            <w:tcW w:w="6040" w:type="dxa"/>
            <w:vAlign w:val="bottom"/>
          </w:tcPr>
          <w:p>
            <w:pPr>
              <w:ind w:left="4440"/>
              <w:spacing w:after="0"/>
              <w:rPr>
                <w:sz w:val="20"/>
                <w:szCs w:val="20"/>
                <w:color w:val="auto"/>
              </w:rPr>
            </w:pPr>
            <w:r>
              <w:rPr>
                <w:rFonts w:ascii="Arial" w:cs="Arial" w:eastAsia="Arial" w:hAnsi="Arial"/>
                <w:sz w:val="16"/>
                <w:szCs w:val="16"/>
                <w:color w:val="auto"/>
              </w:rPr>
              <w:t>EXHIBIT LIST</w:t>
            </w:r>
          </w:p>
        </w:tc>
      </w:tr>
      <w:tr>
        <w:trPr>
          <w:trHeight w:val="419"/>
        </w:trPr>
        <w:tc>
          <w:tcPr>
            <w:tcW w:w="760" w:type="dxa"/>
            <w:vAlign w:val="bottom"/>
          </w:tcPr>
          <w:p>
            <w:pPr>
              <w:spacing w:after="0"/>
              <w:rPr>
                <w:sz w:val="20"/>
                <w:szCs w:val="20"/>
                <w:color w:val="auto"/>
              </w:rPr>
            </w:pPr>
            <w:r>
              <w:rPr>
                <w:rFonts w:ascii="Arial" w:cs="Arial" w:eastAsia="Arial" w:hAnsi="Arial"/>
                <w:sz w:val="16"/>
                <w:szCs w:val="16"/>
                <w:color w:val="auto"/>
              </w:rPr>
              <w:t>Exhibit</w:t>
            </w:r>
          </w:p>
        </w:tc>
        <w:tc>
          <w:tcPr>
            <w:tcW w:w="6040" w:type="dxa"/>
            <w:vAlign w:val="bottom"/>
          </w:tcPr>
          <w:p>
            <w:pPr>
              <w:ind w:left="280"/>
              <w:spacing w:after="0"/>
              <w:rPr>
                <w:sz w:val="20"/>
                <w:szCs w:val="20"/>
                <w:color w:val="auto"/>
              </w:rPr>
            </w:pPr>
            <w:r>
              <w:rPr>
                <w:rFonts w:ascii="Arial" w:cs="Arial" w:eastAsia="Arial" w:hAnsi="Arial"/>
                <w:sz w:val="16"/>
                <w:szCs w:val="16"/>
                <w:color w:val="auto"/>
              </w:rPr>
              <w:t>Description</w:t>
            </w:r>
          </w:p>
        </w:tc>
      </w:tr>
      <w:tr>
        <w:trPr>
          <w:trHeight w:val="419"/>
        </w:trPr>
        <w:tc>
          <w:tcPr>
            <w:tcW w:w="760" w:type="dxa"/>
            <w:vAlign w:val="bottom"/>
          </w:tcPr>
          <w:p>
            <w:pPr>
              <w:spacing w:after="0"/>
              <w:rPr>
                <w:sz w:val="20"/>
                <w:szCs w:val="20"/>
                <w:color w:val="auto"/>
              </w:rPr>
            </w:pPr>
            <w:r>
              <w:rPr>
                <w:rFonts w:ascii="Arial" w:cs="Arial" w:eastAsia="Arial" w:hAnsi="Arial"/>
                <w:sz w:val="16"/>
                <w:szCs w:val="16"/>
                <w:color w:val="auto"/>
              </w:rPr>
              <w:t>99.1</w:t>
            </w:r>
          </w:p>
        </w:tc>
        <w:tc>
          <w:tcPr>
            <w:tcW w:w="6040" w:type="dxa"/>
            <w:vAlign w:val="bottom"/>
          </w:tcPr>
          <w:p>
            <w:pPr>
              <w:ind w:left="280"/>
              <w:spacing w:after="0"/>
              <w:rPr>
                <w:sz w:val="20"/>
                <w:szCs w:val="20"/>
                <w:color w:val="auto"/>
              </w:rPr>
            </w:pPr>
            <w:r>
              <w:rPr>
                <w:rFonts w:ascii="Arial" w:cs="Arial" w:eastAsia="Arial" w:hAnsi="Arial"/>
                <w:sz w:val="16"/>
                <w:szCs w:val="16"/>
                <w:color w:val="auto"/>
              </w:rPr>
              <w:t>Press Release dated November 6, 2019</w:t>
            </w:r>
          </w:p>
        </w:tc>
      </w:tr>
      <w:tr>
        <w:trPr>
          <w:trHeight w:val="419"/>
        </w:trPr>
        <w:tc>
          <w:tcPr>
            <w:tcW w:w="760" w:type="dxa"/>
            <w:vAlign w:val="bottom"/>
          </w:tcPr>
          <w:p>
            <w:pPr>
              <w:spacing w:after="0"/>
              <w:rPr>
                <w:sz w:val="20"/>
                <w:szCs w:val="20"/>
                <w:color w:val="auto"/>
              </w:rPr>
            </w:pPr>
            <w:r>
              <w:rPr>
                <w:rFonts w:ascii="Arial" w:cs="Arial" w:eastAsia="Arial" w:hAnsi="Arial"/>
                <w:sz w:val="16"/>
                <w:szCs w:val="16"/>
                <w:color w:val="auto"/>
              </w:rPr>
              <w:t>99.2</w:t>
            </w:r>
          </w:p>
        </w:tc>
        <w:tc>
          <w:tcPr>
            <w:tcW w:w="6040" w:type="dxa"/>
            <w:vAlign w:val="bottom"/>
          </w:tcPr>
          <w:p>
            <w:pPr>
              <w:ind w:left="280"/>
              <w:spacing w:after="0"/>
              <w:rPr>
                <w:sz w:val="20"/>
                <w:szCs w:val="20"/>
                <w:color w:val="auto"/>
              </w:rPr>
            </w:pPr>
            <w:r>
              <w:rPr>
                <w:rFonts w:ascii="Arial" w:cs="Arial" w:eastAsia="Arial" w:hAnsi="Arial"/>
                <w:sz w:val="16"/>
                <w:szCs w:val="16"/>
                <w:color w:val="auto"/>
              </w:rPr>
              <w:t>Financial Report for the Three and Nine Months Ended September 30, 2019</w:t>
            </w:r>
          </w:p>
        </w:tc>
      </w:tr>
      <w:tr>
        <w:trPr>
          <w:trHeight w:val="419"/>
        </w:trPr>
        <w:tc>
          <w:tcPr>
            <w:tcW w:w="760" w:type="dxa"/>
            <w:vAlign w:val="bottom"/>
          </w:tcPr>
          <w:p>
            <w:pPr>
              <w:spacing w:after="0"/>
              <w:rPr>
                <w:sz w:val="24"/>
                <w:szCs w:val="24"/>
                <w:color w:val="auto"/>
              </w:rPr>
            </w:pPr>
          </w:p>
        </w:tc>
        <w:tc>
          <w:tcPr>
            <w:tcW w:w="6040" w:type="dxa"/>
            <w:vAlign w:val="bottom"/>
          </w:tcPr>
          <w:p>
            <w:pPr>
              <w:ind w:left="280"/>
              <w:spacing w:after="0"/>
              <w:rPr>
                <w:sz w:val="20"/>
                <w:szCs w:val="20"/>
                <w:color w:val="auto"/>
              </w:rPr>
            </w:pPr>
            <w:r>
              <w:rPr>
                <w:rFonts w:ascii="Arial" w:cs="Arial" w:eastAsia="Arial" w:hAnsi="Arial"/>
                <w:sz w:val="16"/>
                <w:szCs w:val="16"/>
                <w:color w:val="auto"/>
                <w:w w:val="92"/>
              </w:rPr>
              <w:t>Management’s Discussion and Analysis of Financial Condition and Results of Operation</w:t>
            </w:r>
          </w:p>
        </w:tc>
      </w:tr>
    </w:tbl>
    <w:p>
      <w:pPr>
        <w:spacing w:after="0" w:line="212"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Unaudited Condensed Consolidated Financial Statements</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6" w:right="25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6"/>
          <w:szCs w:val="16"/>
          <w:color w:val="auto"/>
        </w:rPr>
        <w:t>SIGNATURES</w:t>
      </w:r>
    </w:p>
    <w:p>
      <w:pPr>
        <w:spacing w:after="0" w:line="235" w:lineRule="exact"/>
        <w:rPr>
          <w:sz w:val="20"/>
          <w:szCs w:val="20"/>
          <w:color w:val="auto"/>
        </w:rPr>
      </w:pPr>
    </w:p>
    <w:p>
      <w:pPr>
        <w:ind w:right="320" w:firstLine="356"/>
        <w:spacing w:after="0" w:line="29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Date: November 6,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100" w:type="dxa"/>
            <w:vAlign w:val="bottom"/>
            <w:gridSpan w:val="2"/>
          </w:tcPr>
          <w:p>
            <w:pPr>
              <w:jc w:val="center"/>
              <w:ind w:left="5142"/>
              <w:spacing w:after="0"/>
              <w:rPr>
                <w:sz w:val="20"/>
                <w:szCs w:val="20"/>
                <w:color w:val="auto"/>
              </w:rPr>
            </w:pPr>
            <w:r>
              <w:rPr>
                <w:rFonts w:ascii="Arial" w:cs="Arial" w:eastAsia="Arial" w:hAnsi="Arial"/>
                <w:sz w:val="16"/>
                <w:szCs w:val="16"/>
                <w:color w:val="auto"/>
                <w:w w:val="97"/>
              </w:rPr>
              <w:t>GASLOG LTD.,</w:t>
            </w:r>
          </w:p>
        </w:tc>
        <w:tc>
          <w:tcPr>
            <w:tcW w:w="43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08"/>
        </w:trPr>
        <w:tc>
          <w:tcPr>
            <w:tcW w:w="6560" w:type="dxa"/>
            <w:vAlign w:val="bottom"/>
          </w:tcPr>
          <w:p>
            <w:pPr>
              <w:jc w:val="center"/>
              <w:ind w:left="5682"/>
              <w:spacing w:after="0"/>
              <w:rPr>
                <w:sz w:val="20"/>
                <w:szCs w:val="20"/>
                <w:color w:val="auto"/>
              </w:rPr>
            </w:pPr>
            <w:r>
              <w:rPr>
                <w:rFonts w:ascii="Arial" w:cs="Arial" w:eastAsia="Arial" w:hAnsi="Arial"/>
                <w:sz w:val="16"/>
                <w:szCs w:val="16"/>
                <w:color w:val="auto"/>
                <w:w w:val="94"/>
              </w:rPr>
              <w:t>by</w:t>
            </w:r>
          </w:p>
        </w:tc>
        <w:tc>
          <w:tcPr>
            <w:tcW w:w="48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Paul Wogan</w:t>
            </w:r>
          </w:p>
        </w:tc>
        <w:tc>
          <w:tcPr>
            <w:tcW w:w="40" w:type="dxa"/>
            <w:vAlign w:val="bottom"/>
          </w:tcPr>
          <w:p>
            <w:pPr>
              <w:spacing w:after="0"/>
              <w:rPr>
                <w:sz w:val="24"/>
                <w:szCs w:val="24"/>
                <w:color w:val="auto"/>
              </w:rPr>
            </w:pPr>
          </w:p>
        </w:tc>
      </w:tr>
      <w:tr>
        <w:trPr>
          <w:trHeight w:val="189"/>
        </w:trPr>
        <w:tc>
          <w:tcPr>
            <w:tcW w:w="6560" w:type="dxa"/>
            <w:vAlign w:val="bottom"/>
          </w:tcPr>
          <w:p>
            <w:pPr>
              <w:spacing w:after="0"/>
              <w:rPr>
                <w:sz w:val="16"/>
                <w:szCs w:val="16"/>
                <w:color w:val="auto"/>
              </w:rPr>
            </w:pPr>
          </w:p>
        </w:tc>
        <w:tc>
          <w:tcPr>
            <w:tcW w:w="540" w:type="dxa"/>
            <w:vAlign w:val="bottom"/>
          </w:tcPr>
          <w:p>
            <w:pPr>
              <w:spacing w:after="0"/>
              <w:rPr>
                <w:sz w:val="20"/>
                <w:szCs w:val="20"/>
                <w:color w:val="auto"/>
              </w:rPr>
            </w:pPr>
            <w:r>
              <w:rPr>
                <w:rFonts w:ascii="Arial" w:cs="Arial" w:eastAsia="Arial" w:hAnsi="Arial"/>
                <w:sz w:val="16"/>
                <w:szCs w:val="16"/>
                <w:color w:val="auto"/>
              </w:rPr>
              <w:t>Name:</w:t>
            </w:r>
          </w:p>
        </w:tc>
        <w:tc>
          <w:tcPr>
            <w:tcW w:w="4320" w:type="dxa"/>
            <w:vAlign w:val="bottom"/>
          </w:tcPr>
          <w:p>
            <w:pPr>
              <w:ind w:left="120"/>
              <w:spacing w:after="0"/>
              <w:rPr>
                <w:sz w:val="20"/>
                <w:szCs w:val="20"/>
                <w:color w:val="auto"/>
              </w:rPr>
            </w:pPr>
            <w:r>
              <w:rPr>
                <w:rFonts w:ascii="Arial" w:cs="Arial" w:eastAsia="Arial" w:hAnsi="Arial"/>
                <w:sz w:val="16"/>
                <w:szCs w:val="16"/>
                <w:color w:val="auto"/>
              </w:rPr>
              <w:t>Paul Wogan</w:t>
            </w:r>
          </w:p>
        </w:tc>
        <w:tc>
          <w:tcPr>
            <w:tcW w:w="40" w:type="dxa"/>
            <w:vAlign w:val="bottom"/>
          </w:tcPr>
          <w:p>
            <w:pPr>
              <w:spacing w:after="0"/>
              <w:rPr>
                <w:sz w:val="16"/>
                <w:szCs w:val="16"/>
                <w:color w:val="auto"/>
              </w:rPr>
            </w:pPr>
          </w:p>
        </w:tc>
      </w:tr>
      <w:tr>
        <w:trPr>
          <w:trHeight w:val="206"/>
        </w:trPr>
        <w:tc>
          <w:tcPr>
            <w:tcW w:w="656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Arial" w:cs="Arial" w:eastAsia="Arial" w:hAnsi="Arial"/>
                <w:sz w:val="16"/>
                <w:szCs w:val="16"/>
                <w:color w:val="auto"/>
              </w:rPr>
              <w:t>Title:</w:t>
            </w:r>
          </w:p>
        </w:tc>
        <w:tc>
          <w:tcPr>
            <w:tcW w:w="4320" w:type="dxa"/>
            <w:vAlign w:val="bottom"/>
          </w:tcPr>
          <w:p>
            <w:pPr>
              <w:ind w:left="120"/>
              <w:spacing w:after="0"/>
              <w:rPr>
                <w:sz w:val="20"/>
                <w:szCs w:val="20"/>
                <w:color w:val="auto"/>
              </w:rPr>
            </w:pPr>
            <w:r>
              <w:rPr>
                <w:rFonts w:ascii="Arial" w:cs="Arial" w:eastAsia="Arial" w:hAnsi="Arial"/>
                <w:sz w:val="16"/>
                <w:szCs w:val="16"/>
                <w:color w:val="auto"/>
              </w:rPr>
              <w:t>Chief Executive Officer</w:t>
            </w:r>
          </w:p>
        </w:tc>
        <w:tc>
          <w:tcPr>
            <w:tcW w:w="40" w:type="dxa"/>
            <w:vAlign w:val="bottom"/>
          </w:tcPr>
          <w:p>
            <w:pPr>
              <w:spacing w:after="0"/>
              <w:rPr>
                <w:sz w:val="17"/>
                <w:szCs w:val="17"/>
                <w:color w:val="auto"/>
              </w:rPr>
            </w:pPr>
          </w:p>
        </w:tc>
      </w:tr>
      <w:tr>
        <w:trPr>
          <w:trHeight w:val="372"/>
        </w:trPr>
        <w:tc>
          <w:tcPr>
            <w:tcW w:w="6560" w:type="dxa"/>
            <w:vAlign w:val="bottom"/>
          </w:tcPr>
          <w:p>
            <w:pPr>
              <w:jc w:val="right"/>
              <w:ind w:right="742"/>
              <w:spacing w:after="0"/>
              <w:rPr>
                <w:sz w:val="20"/>
                <w:szCs w:val="20"/>
                <w:color w:val="auto"/>
              </w:rPr>
            </w:pPr>
            <w:r>
              <w:rPr>
                <w:rFonts w:ascii="Arial" w:cs="Arial" w:eastAsia="Arial" w:hAnsi="Arial"/>
                <w:sz w:val="14"/>
                <w:szCs w:val="14"/>
                <w:color w:val="auto"/>
              </w:rPr>
              <w:t>3</w:t>
            </w:r>
          </w:p>
        </w:tc>
        <w:tc>
          <w:tcPr>
            <w:tcW w:w="5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7"/>
        </w:trPr>
        <w:tc>
          <w:tcPr>
            <w:tcW w:w="656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43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6"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Press Release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GasLog Ltd. Reports Financial Results for the Three-Month Period Ended September 30, 2019</w:t>
      </w:r>
    </w:p>
    <w:p>
      <w:pPr>
        <w:spacing w:after="0" w:line="221"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auto"/>
        </w:rPr>
        <w:t>Monaco, November 6, 2019, GasLog Ltd. and its subsidiaries (“GasLog” or “Group” or “Company”) (NYSE: GLOG)</w:t>
      </w:r>
      <w:r>
        <w:rPr>
          <w:rFonts w:ascii="Arial" w:cs="Arial" w:eastAsia="Arial" w:hAnsi="Arial"/>
          <w:sz w:val="16"/>
          <w:szCs w:val="16"/>
          <w:color w:val="auto"/>
        </w:rPr>
        <w:t>, an international owner, operator and manager of</w:t>
      </w:r>
      <w:r>
        <w:rPr>
          <w:rFonts w:ascii="Arial" w:cs="Arial" w:eastAsia="Arial" w:hAnsi="Arial"/>
          <w:sz w:val="16"/>
          <w:szCs w:val="16"/>
          <w:b w:val="1"/>
          <w:bCs w:val="1"/>
          <w:color w:val="auto"/>
        </w:rPr>
        <w:t xml:space="preserve"> </w:t>
      </w:r>
      <w:r>
        <w:rPr>
          <w:rFonts w:ascii="Arial" w:cs="Arial" w:eastAsia="Arial" w:hAnsi="Arial"/>
          <w:sz w:val="16"/>
          <w:szCs w:val="16"/>
          <w:color w:val="auto"/>
        </w:rPr>
        <w:t>liquefied natural gas (“LNG”) carriers, today reported its financial results for the three-month period ended September 30, 2019.</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Highlights</w:t>
      </w:r>
    </w:p>
    <w:p>
      <w:pPr>
        <w:spacing w:after="0" w:line="225" w:lineRule="exact"/>
        <w:rPr>
          <w:sz w:val="20"/>
          <w:szCs w:val="20"/>
          <w:color w:val="auto"/>
        </w:rPr>
      </w:pPr>
    </w:p>
    <w:p>
      <w:pPr>
        <w:ind w:left="460" w:right="120" w:hanging="452"/>
        <w:spacing w:after="0" w:line="266" w:lineRule="auto"/>
        <w:tabs>
          <w:tab w:leader="none" w:pos="425"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On August 27, 2019, signed a 10-year time charter to provide an LNG floating storage unit (“FSU”) for a gas-fired power project being developed in Panama. The time charter is expected to be fulfilled through the conversion of the </w:t>
      </w:r>
      <w:r>
        <w:rPr>
          <w:rFonts w:ascii="Arial" w:cs="Arial" w:eastAsia="Arial" w:hAnsi="Arial"/>
          <w:sz w:val="16"/>
          <w:szCs w:val="16"/>
          <w:i w:val="1"/>
          <w:iCs w:val="1"/>
          <w:color w:val="auto"/>
        </w:rPr>
        <w:t>GasLog Singapore</w:t>
      </w:r>
      <w:r>
        <w:rPr>
          <w:rFonts w:ascii="Arial" w:cs="Arial" w:eastAsia="Arial" w:hAnsi="Arial"/>
          <w:sz w:val="16"/>
          <w:szCs w:val="16"/>
          <w:color w:val="auto"/>
        </w:rPr>
        <w:t xml:space="preserve"> and to commence in late 2020.</w:t>
      </w:r>
    </w:p>
    <w:p>
      <w:pPr>
        <w:spacing w:after="0" w:line="1" w:lineRule="exact"/>
        <w:rPr>
          <w:rFonts w:ascii="Arial" w:cs="Arial" w:eastAsia="Arial" w:hAnsi="Arial"/>
          <w:sz w:val="16"/>
          <w:szCs w:val="16"/>
          <w:color w:val="auto"/>
        </w:rPr>
      </w:pPr>
    </w:p>
    <w:p>
      <w:pPr>
        <w:ind w:left="460" w:right="540" w:hanging="452"/>
        <w:spacing w:after="0" w:line="264" w:lineRule="auto"/>
        <w:tabs>
          <w:tab w:leader="none" w:pos="425"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Delivery of the </w:t>
      </w:r>
      <w:r>
        <w:rPr>
          <w:rFonts w:ascii="Arial" w:cs="Arial" w:eastAsia="Arial" w:hAnsi="Arial"/>
          <w:sz w:val="16"/>
          <w:szCs w:val="16"/>
          <w:i w:val="1"/>
          <w:iCs w:val="1"/>
          <w:color w:val="auto"/>
        </w:rPr>
        <w:t>GasLog Warsaw</w:t>
      </w:r>
      <w:r>
        <w:rPr>
          <w:rFonts w:ascii="Arial" w:cs="Arial" w:eastAsia="Arial" w:hAnsi="Arial"/>
          <w:sz w:val="16"/>
          <w:szCs w:val="16"/>
          <w:color w:val="auto"/>
        </w:rPr>
        <w:t xml:space="preserve"> on July 31, 2019, a 180,000 cubic meter (“cbm”) Mark III Flex Plus carrier with low pressure dual fuel two-stroke (“X-DF”) propulsion. The vessel was immediately delivered into a charter with a wholly-owned subsidiary of Cheniere Energy Inc. (“Cheniere”) for the period prior to the commencement of her long-term charter with a subsidiary of Endesa S.A. (“Endesa”) in May 2021.</w:t>
      </w:r>
    </w:p>
    <w:p>
      <w:pPr>
        <w:ind w:left="420" w:hanging="412"/>
        <w:spacing w:after="0"/>
        <w:tabs>
          <w:tab w:leader="none" w:pos="420" w:val="left"/>
        </w:tabs>
        <w:numPr>
          <w:ilvl w:val="0"/>
          <w:numId w:val="1"/>
        </w:numPr>
        <w:rPr>
          <w:rFonts w:ascii="Arial" w:cs="Arial" w:eastAsia="Arial" w:hAnsi="Arial"/>
          <w:sz w:val="16"/>
          <w:szCs w:val="16"/>
          <w:color w:val="auto"/>
        </w:rPr>
      </w:pPr>
      <w:r>
        <w:rPr>
          <w:rFonts w:ascii="Arial" w:cs="Arial" w:eastAsia="Arial" w:hAnsi="Arial"/>
          <w:sz w:val="16"/>
          <w:szCs w:val="16"/>
          <w:color w:val="auto"/>
        </w:rPr>
        <w:t>Exited the Cool Pool (the “Cool Pool”) and assumed commercial control of the vessels operating in the LNG carrier spot market.</w:t>
      </w:r>
    </w:p>
    <w:p>
      <w:pPr>
        <w:spacing w:after="0" w:line="18" w:lineRule="exact"/>
        <w:rPr>
          <w:rFonts w:ascii="Arial" w:cs="Arial" w:eastAsia="Arial" w:hAnsi="Arial"/>
          <w:sz w:val="16"/>
          <w:szCs w:val="16"/>
          <w:color w:val="auto"/>
        </w:rPr>
      </w:pPr>
    </w:p>
    <w:p>
      <w:pPr>
        <w:ind w:left="460" w:right="140" w:hanging="452"/>
        <w:spacing w:after="0" w:line="228" w:lineRule="auto"/>
        <w:tabs>
          <w:tab w:leader="none" w:pos="425" w:val="left"/>
        </w:tabs>
        <w:numPr>
          <w:ilvl w:val="0"/>
          <w:numId w:val="1"/>
        </w:numPr>
        <w:rPr>
          <w:rFonts w:ascii="Arial" w:cs="Arial" w:eastAsia="Arial" w:hAnsi="Arial"/>
          <w:sz w:val="16"/>
          <w:szCs w:val="16"/>
          <w:color w:val="auto"/>
        </w:rPr>
      </w:pPr>
      <w:r>
        <w:rPr>
          <w:rFonts w:ascii="Arial" w:cs="Arial" w:eastAsia="Arial" w:hAnsi="Arial"/>
          <w:sz w:val="16"/>
          <w:szCs w:val="16"/>
          <w:color w:val="auto"/>
        </w:rPr>
        <w:t>Revenues of $165.6 million, Profit of $8.9 million and Loss per share of ($0.20)</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for the three-month period ended September 30, 2019 ($158.4 million, $39.3 million and Earnings per share of $0.19, respectively, for the three-month period ended September 30, 2018).</w:t>
      </w:r>
    </w:p>
    <w:p>
      <w:pPr>
        <w:ind w:left="460" w:right="100" w:hanging="452"/>
        <w:spacing w:after="0" w:line="264" w:lineRule="auto"/>
        <w:tabs>
          <w:tab w:leader="none" w:pos="425" w:val="left"/>
        </w:tabs>
        <w:numPr>
          <w:ilvl w:val="0"/>
          <w:numId w:val="1"/>
        </w:numPr>
        <w:rPr>
          <w:rFonts w:ascii="Arial" w:cs="Arial" w:eastAsia="Arial" w:hAnsi="Arial"/>
          <w:sz w:val="14"/>
          <w:szCs w:val="14"/>
          <w:color w:val="auto"/>
        </w:rPr>
      </w:pPr>
      <w:r>
        <w:rPr>
          <w:rFonts w:ascii="Arial" w:cs="Arial" w:eastAsia="Arial" w:hAnsi="Arial"/>
          <w:sz w:val="14"/>
          <w:szCs w:val="14"/>
          <w:color w:val="auto"/>
        </w:rPr>
        <w:t>EBITDA</w:t>
      </w:r>
      <w:r>
        <w:rPr>
          <w:rFonts w:ascii="Arial" w:cs="Arial" w:eastAsia="Arial" w:hAnsi="Arial"/>
          <w:sz w:val="18"/>
          <w:szCs w:val="18"/>
          <w:color w:val="auto"/>
          <w:vertAlign w:val="superscript"/>
        </w:rPr>
        <w:t>(2)</w:t>
      </w:r>
      <w:r>
        <w:rPr>
          <w:rFonts w:ascii="Arial" w:cs="Arial" w:eastAsia="Arial" w:hAnsi="Arial"/>
          <w:sz w:val="14"/>
          <w:szCs w:val="14"/>
          <w:color w:val="auto"/>
        </w:rPr>
        <w:t xml:space="preserve"> of $114.2 million, Adjusted EBITDA</w:t>
      </w:r>
      <w:r>
        <w:rPr>
          <w:rFonts w:ascii="Arial" w:cs="Arial" w:eastAsia="Arial" w:hAnsi="Arial"/>
          <w:sz w:val="18"/>
          <w:szCs w:val="18"/>
          <w:color w:val="auto"/>
          <w:vertAlign w:val="superscript"/>
        </w:rPr>
        <w:t>(2)</w:t>
      </w:r>
      <w:r>
        <w:rPr>
          <w:rFonts w:ascii="Arial" w:cs="Arial" w:eastAsia="Arial" w:hAnsi="Arial"/>
          <w:sz w:val="14"/>
          <w:szCs w:val="14"/>
          <w:color w:val="auto"/>
        </w:rPr>
        <w:t xml:space="preserve"> of $115.0 million, Adjusted Profit</w:t>
      </w:r>
      <w:r>
        <w:rPr>
          <w:rFonts w:ascii="Arial" w:cs="Arial" w:eastAsia="Arial" w:hAnsi="Arial"/>
          <w:sz w:val="18"/>
          <w:szCs w:val="18"/>
          <w:color w:val="auto"/>
          <w:vertAlign w:val="superscript"/>
        </w:rPr>
        <w:t>(2)</w:t>
      </w:r>
      <w:r>
        <w:rPr>
          <w:rFonts w:ascii="Arial" w:cs="Arial" w:eastAsia="Arial" w:hAnsi="Arial"/>
          <w:sz w:val="14"/>
          <w:szCs w:val="14"/>
          <w:color w:val="auto"/>
        </w:rPr>
        <w:t xml:space="preserve"> of $25.5 million and Adjusted Earnings per share</w:t>
      </w:r>
      <w:r>
        <w:rPr>
          <w:rFonts w:ascii="Arial" w:cs="Arial" w:eastAsia="Arial" w:hAnsi="Arial"/>
          <w:sz w:val="18"/>
          <w:szCs w:val="18"/>
          <w:color w:val="auto"/>
          <w:vertAlign w:val="superscript"/>
        </w:rPr>
        <w:t>(2)</w:t>
      </w:r>
      <w:r>
        <w:rPr>
          <w:rFonts w:ascii="Arial" w:cs="Arial" w:eastAsia="Arial" w:hAnsi="Arial"/>
          <w:sz w:val="14"/>
          <w:szCs w:val="14"/>
          <w:color w:val="auto"/>
        </w:rPr>
        <w:t xml:space="preserve"> of $0.01</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for the three-month period ended September 30, 2019 ($114.1 million, $114.2 million, $32.3 million and $0.11, respectively, for the three-month period ended September 30, 2018).</w:t>
      </w:r>
    </w:p>
    <w:p>
      <w:pPr>
        <w:ind w:left="420" w:hanging="412"/>
        <w:spacing w:after="0"/>
        <w:tabs>
          <w:tab w:leader="none" w:pos="420" w:val="left"/>
        </w:tabs>
        <w:numPr>
          <w:ilvl w:val="0"/>
          <w:numId w:val="1"/>
        </w:numPr>
        <w:rPr>
          <w:rFonts w:ascii="Arial" w:cs="Arial" w:eastAsia="Arial" w:hAnsi="Arial"/>
          <w:sz w:val="16"/>
          <w:szCs w:val="16"/>
          <w:color w:val="auto"/>
        </w:rPr>
      </w:pPr>
      <w:r>
        <w:rPr>
          <w:rFonts w:ascii="Arial" w:cs="Arial" w:eastAsia="Arial" w:hAnsi="Arial"/>
          <w:sz w:val="16"/>
          <w:szCs w:val="16"/>
          <w:color w:val="auto"/>
        </w:rPr>
        <w:t>Quarterly dividend of $0.15 per common share payable on November 21, 2019.</w:t>
      </w:r>
    </w:p>
    <w:p>
      <w:pPr>
        <w:spacing w:after="0" w:line="200" w:lineRule="exact"/>
        <w:rPr>
          <w:sz w:val="20"/>
          <w:szCs w:val="20"/>
          <w:color w:val="auto"/>
        </w:rPr>
      </w:pPr>
    </w:p>
    <w:p>
      <w:pPr>
        <w:spacing w:after="0" w:line="211" w:lineRule="exact"/>
        <w:rPr>
          <w:sz w:val="20"/>
          <w:szCs w:val="20"/>
          <w:color w:val="auto"/>
        </w:rPr>
      </w:pPr>
    </w:p>
    <w:p>
      <w:pPr>
        <w:ind w:left="140" w:right="100" w:hanging="132"/>
        <w:spacing w:after="0" w:line="222" w:lineRule="auto"/>
        <w:tabs>
          <w:tab w:leader="none" w:pos="153" w:val="left"/>
        </w:tabs>
        <w:numPr>
          <w:ilvl w:val="0"/>
          <w:numId w:val="2"/>
        </w:numPr>
        <w:rPr>
          <w:rFonts w:ascii="Arial" w:cs="Arial" w:eastAsia="Arial" w:hAnsi="Arial"/>
          <w:sz w:val="17"/>
          <w:szCs w:val="17"/>
          <w:color w:val="auto"/>
          <w:vertAlign w:val="superscript"/>
        </w:rPr>
      </w:pPr>
      <w:r>
        <w:rPr>
          <w:rFonts w:ascii="Arial" w:cs="Arial" w:eastAsia="Arial" w:hAnsi="Arial"/>
          <w:sz w:val="14"/>
          <w:szCs w:val="14"/>
          <w:color w:val="auto"/>
        </w:rPr>
        <w:t>Earnings/(loss) per share (“EPS”) and Adjusted EPS is net of the profit attributable to non-controlling interests of $22.4 million and the dividend on preferred stock of $2.5 million for the quarter ended September 30, 2019 ($21.0 million and $2.5 million, respectively, for the quarter ended September 30, 2018).</w:t>
      </w:r>
    </w:p>
    <w:p>
      <w:pPr>
        <w:spacing w:after="0" w:line="115" w:lineRule="exact"/>
        <w:rPr>
          <w:rFonts w:ascii="Arial" w:cs="Arial" w:eastAsia="Arial" w:hAnsi="Arial"/>
          <w:sz w:val="17"/>
          <w:szCs w:val="17"/>
          <w:color w:val="auto"/>
          <w:vertAlign w:val="superscript"/>
        </w:rPr>
      </w:pPr>
    </w:p>
    <w:p>
      <w:pPr>
        <w:jc w:val="both"/>
        <w:ind w:left="140" w:hanging="132"/>
        <w:spacing w:after="0" w:line="222" w:lineRule="auto"/>
        <w:tabs>
          <w:tab w:leader="none" w:pos="153" w:val="left"/>
        </w:tabs>
        <w:numPr>
          <w:ilvl w:val="0"/>
          <w:numId w:val="2"/>
        </w:numPr>
        <w:rPr>
          <w:rFonts w:ascii="Arial" w:cs="Arial" w:eastAsia="Arial" w:hAnsi="Arial"/>
          <w:sz w:val="17"/>
          <w:szCs w:val="17"/>
          <w:color w:val="auto"/>
          <w:vertAlign w:val="superscript"/>
        </w:rPr>
      </w:pPr>
      <w:r>
        <w:rPr>
          <w:rFonts w:ascii="Arial" w:cs="Arial" w:eastAsia="Arial" w:hAnsi="Arial"/>
          <w:sz w:val="14"/>
          <w:szCs w:val="14"/>
          <w:color w:val="auto"/>
        </w:rPr>
        <w:t>EBITDA, Adjusted EBITDA, Adjusted Profit and Adjusted EPS are non-GAAP financial measures and should not be used in isolation or as a substitute for GasLog’s financial results presented in accordance with International Financial Reporting Standards (“IFRS”). For the definitions and reconciliations of these measures to the most directly comparable financial measures calculated and presented in accordance with IFRS, please refer to Exhibit II at the end of this press release.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CEO Statement</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Paul Wogan, Chief Executive Officer, stated: “A recovery in the LNG shipping spot market during the third quarter of 2019, as well as the continued contribution of our newbuild vessels with long-term contracts, allowed GasLog to generate solid year-on-year growth in Revenues and EBITDA for 2019 year-to-date. Our two ships on charter to Gunvor Group Ltd. (“Gunvor”) have delivered strong performances under their market-linked charters, underpinned by their 100% utilization. Based on the tightening spot LNG shipping market since the end of the third quarter and the accompanying rise in freight rates, we expect to deliver a further uplift in our financial performance during the fourth quarter. Elsewhere, we are making good progress towards the financing of our newbuild programme.</w:t>
      </w:r>
    </w:p>
    <w:p>
      <w:pPr>
        <w:spacing w:after="0" w:line="177" w:lineRule="exact"/>
        <w:rPr>
          <w:sz w:val="20"/>
          <w:szCs w:val="20"/>
          <w:color w:val="auto"/>
        </w:rPr>
      </w:pPr>
    </w:p>
    <w:p>
      <w:pPr>
        <w:ind w:right="240"/>
        <w:spacing w:after="0" w:line="273" w:lineRule="auto"/>
        <w:rPr>
          <w:sz w:val="20"/>
          <w:szCs w:val="20"/>
          <w:color w:val="auto"/>
        </w:rPr>
      </w:pPr>
      <w:r>
        <w:rPr>
          <w:rFonts w:ascii="Arial" w:cs="Arial" w:eastAsia="Arial" w:hAnsi="Arial"/>
          <w:sz w:val="16"/>
          <w:szCs w:val="16"/>
          <w:color w:val="auto"/>
        </w:rPr>
        <w:t xml:space="preserve">A key focus for GasLog is to enhance the earnings and cash flow visibility of our tri-fuel diesel electric (“TFDE”) and steam turbine propulsion (“Steam”) vessels. I am therefore pleased to report that we signed a ten-year charter during the quarter for one of our TFDEs to act as an FSU for a power project being developed in Panama. In tandem with these commercial successes, we continue to focus on our market-leading operations and safety record, and I am very proud that the crew of the </w:t>
      </w:r>
      <w:r>
        <w:rPr>
          <w:rFonts w:ascii="Arial" w:cs="Arial" w:eastAsia="Arial" w:hAnsi="Arial"/>
          <w:sz w:val="16"/>
          <w:szCs w:val="16"/>
          <w:i w:val="1"/>
          <w:iCs w:val="1"/>
          <w:color w:val="auto"/>
        </w:rPr>
        <w:t>Methane Alison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Victoria </w:t>
      </w:r>
      <w:r>
        <w:rPr>
          <w:rFonts w:ascii="Arial" w:cs="Arial" w:eastAsia="Arial" w:hAnsi="Arial"/>
          <w:sz w:val="16"/>
          <w:szCs w:val="16"/>
          <w:color w:val="auto"/>
        </w:rPr>
        <w:t>was recently selected as “Crew of the Year” at the prestigious IHS Safety at Sea 2019 awards.</w:t>
      </w:r>
    </w:p>
    <w:p>
      <w:pPr>
        <w:spacing w:after="0" w:line="176" w:lineRule="exact"/>
        <w:rPr>
          <w:sz w:val="20"/>
          <w:szCs w:val="20"/>
          <w:color w:val="auto"/>
        </w:rPr>
      </w:pPr>
    </w:p>
    <w:p>
      <w:pPr>
        <w:ind w:right="80"/>
        <w:spacing w:after="0" w:line="273" w:lineRule="auto"/>
        <w:rPr>
          <w:sz w:val="20"/>
          <w:szCs w:val="20"/>
          <w:color w:val="auto"/>
        </w:rPr>
      </w:pPr>
      <w:r>
        <w:rPr>
          <w:rFonts w:ascii="Arial" w:cs="Arial" w:eastAsia="Arial" w:hAnsi="Arial"/>
          <w:sz w:val="16"/>
          <w:szCs w:val="16"/>
          <w:color w:val="auto"/>
        </w:rPr>
        <w:t>We have been predicting a tighter LNG shipping market, as increasing United States (“U.S.”) LNG output combines with a seasonal uptick in demand for gas, resulting in rising demand for shipping and higher utilization of the global fleet. These underlying trends in the LNG commodity and shipping markets point towards a structurally tighter market through 2020 and into 2021. We believe this will positively impact our efforts to secure term business for several of our on-the-water vessels. As we benefit from these positive trends we will continue to look for opportunities to reward our shareholders.”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LNG Market Update and Outlook</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5"/>
          <w:szCs w:val="15"/>
          <w:color w:val="auto"/>
        </w:rPr>
        <w:t>According to Wood Mackenzie, global LNG supply totaled 90 million tonnes (“mt”) in the third quarter of 2019, a 2% increase from the second quarter and 11% growth year-on-year. During the third quarter, growth from new U.S. projects (Cameron, Corpus Christi Train 2 and Freeport) and the ramp-up of the Prelude project in Australia offset continued underperformance from plants in Indonesia and Malaysia and maintenance activities at PNG LNG, Sakhalin-2, Peru LNG and Sabine Pass. Compared to the third quarter, supply is expected to grow by 6%, to 95 mt, in the fourth quarter of 2019, principally reflecting a full quarter of production from the U.S. projects mentioned above, as well as initial production from the Elba Island facility. For 2019, Wood Mackenzie estimates annual LNG supply at 364 mt, which represents 12% growth over 2018. Supply is expected to grow by a further 7% in 2020 with the addition of further trains at the Cameron, Freeport and Yamal LNG (Russia) projects.</w:t>
      </w:r>
    </w:p>
    <w:p>
      <w:pPr>
        <w:spacing w:after="0" w:line="163"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During the third quarter, the Calcasieu Pass project (10 million tonnes per annum, or “mtpa”) in the U.S. and Arctic LNG-2 reached a Final Investment Decision (“FID”). Arctic LNG-2, at 19.8 mtpa of nameplate capacity, is the single largest project sanction in the history of the LNG industry. Combined with projects approved earlier in the year, 2019 has set a record for LNG FIDs, totaling 63 mtpa year-to-date and surpassing the 2005 record of 46 mtpa. In addition, the 2.1 mtpa Woodfibre LNG project in Canada is expected to reach FID by the end of 2019, while ExxonMobil recently awarded engineering contracts for the 15.2 mtpa Rovuma LNG project ahead of an expected FID in 2020. In total, Wood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t>Mackenzie expects 115 mtpa of new capacity to commence production between 2020 and 2024.</w:t>
      </w:r>
    </w:p>
    <w:p>
      <w:pPr>
        <w:spacing w:after="0" w:line="221" w:lineRule="exact"/>
        <w:rPr>
          <w:sz w:val="20"/>
          <w:szCs w:val="20"/>
          <w:color w:val="auto"/>
        </w:rPr>
      </w:pPr>
    </w:p>
    <w:p>
      <w:pPr>
        <w:ind w:right="20"/>
        <w:spacing w:after="0" w:line="297" w:lineRule="auto"/>
        <w:rPr>
          <w:sz w:val="20"/>
          <w:szCs w:val="20"/>
          <w:color w:val="auto"/>
        </w:rPr>
      </w:pPr>
      <w:r>
        <w:rPr>
          <w:rFonts w:ascii="Arial" w:cs="Arial" w:eastAsia="Arial" w:hAnsi="Arial"/>
          <w:sz w:val="15"/>
          <w:szCs w:val="15"/>
          <w:color w:val="auto"/>
        </w:rPr>
        <w:t>Global LNG demand was 87 mt in the third quarter of 2019, compared with 78 mt in the third quarter of 2018, an increase of 10%, according to Poten. European imports accounted for much of the growth, rising 8 mt year-over-year (or approximately 100%), while demand from Northeast Asia (Japan, China, South Korea and Taiwan) was approximately flat. For the twelve months ending September 30, 2019, LNG demand was 351 mt, compared with 308 mt for the twelve months ending September 30, 2018, an increase of 14%. Demand from Europe was particularly strong, growing by 36 mt, or 105%, while China’s demand growth was also noteworthy, rising 11 mt, or 22%.</w:t>
      </w:r>
    </w:p>
    <w:p>
      <w:pPr>
        <w:spacing w:after="0" w:line="159" w:lineRule="exact"/>
        <w:rPr>
          <w:sz w:val="20"/>
          <w:szCs w:val="20"/>
          <w:color w:val="auto"/>
        </w:rPr>
      </w:pPr>
    </w:p>
    <w:p>
      <w:pPr>
        <w:ind w:right="80"/>
        <w:spacing w:after="0" w:line="288" w:lineRule="auto"/>
        <w:rPr>
          <w:sz w:val="20"/>
          <w:szCs w:val="20"/>
          <w:color w:val="auto"/>
        </w:rPr>
      </w:pPr>
      <w:r>
        <w:rPr>
          <w:rFonts w:ascii="Arial" w:cs="Arial" w:eastAsia="Arial" w:hAnsi="Arial"/>
          <w:sz w:val="15"/>
          <w:szCs w:val="15"/>
          <w:color w:val="auto"/>
        </w:rPr>
        <w:t>The global gas market remains well-supplied, given the combination of ample inventories following higher-than-average temperatures in the 2018/19 winter and LNG supply growth so far this year. This has resulted in further inventory builds, notably in Europe where storage is currently at 98% of capacity, according to Gas Infrastructure Europe, and sustained pressure on gas pricing, with European and U.K. gas prices recently touching their lowest levels since 2009. Similarly, Asian LNG prices are currently c.40% below 2018 levels. However, the combination of low gas prices and rising carbon prices have improved the competitiveness of gas as a fuel for power generation compared to coal, particularly in Europe. During the third quarter of 2019, gas-fired power generation in Europe increased 31% year-on-year, accounting for 21% of total power generation compared to 16% a year earlier, according to Bloomberg. Notably, Spain’s gas demand for power in September was up 128% year-on-year, as gas accounted for 27% of the power mix, with coal at just 2%, according to Spain’s national grid operator Enagás. A similar trend in the Netherlands has prompted German utility company RWE AG to re-commission a 1.1 gigawatt (“GW”) gas-fired power plant by 2020.</w:t>
      </w:r>
    </w:p>
    <w:p>
      <w:pPr>
        <w:spacing w:after="0" w:line="167"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A deteriorating macroeconomic outlook, particularly in China, could present a near-term headwind for LNG demand by reducing natural gas consumption growth. However, the long-term fundamentals for gas and LNG demand growth remain very attractive, underpinned by continued energy demand growth and the significantly better emissions profile of gas versus coal. The most recent example of this was a proposal by the South Korean government to address air pollution by significantly reducing coal-fired power generation from December 2019 to March 2020. In addition, Wood Mackenzie recently forecast that Europe’s gas import dependency and call on LNG imports will continue to grow, due to falling domestic production in many countries and declining pipeline flows from North Africa and Central Asia, as well as potential limits on Russia’s share of European gas imports.</w:t>
      </w:r>
    </w:p>
    <w:p>
      <w:pPr>
        <w:spacing w:after="0" w:line="176" w:lineRule="exact"/>
        <w:rPr>
          <w:sz w:val="20"/>
          <w:szCs w:val="20"/>
          <w:color w:val="auto"/>
        </w:rPr>
      </w:pPr>
    </w:p>
    <w:p>
      <w:pPr>
        <w:ind w:right="100"/>
        <w:spacing w:after="0" w:line="289" w:lineRule="auto"/>
        <w:rPr>
          <w:sz w:val="20"/>
          <w:szCs w:val="20"/>
          <w:color w:val="auto"/>
        </w:rPr>
      </w:pPr>
      <w:r>
        <w:rPr>
          <w:rFonts w:ascii="Arial" w:cs="Arial" w:eastAsia="Arial" w:hAnsi="Arial"/>
          <w:sz w:val="15"/>
          <w:szCs w:val="15"/>
          <w:color w:val="auto"/>
        </w:rPr>
        <w:t>Headline spot rates for TFDE LNG carriers (“LNGCs”), as reported by Clarksons, averaged approximately $64,000 per day in the third quarter of 2019, a 31% increase over the second quarter of 2019 but below the $82,000 per day in the third quarter of 2018. Low gas pricing during the quarter kept the arbitrage window between the Atlantic and Pacific basins closed, resulting in reduced demand for spot fixtures and lower average voyage distances. According to Poten, there were 75 spot (single voyage and multi-month) fixtures in the third quarter of 2019, compared to 84 and 81 in the second quarter of 2019 and the third quarter of 2018, respectively. However, longer-term (over 181 days according to Poten) fixture activity remained healthy in the third quarter, totaling 24 fixtures compared to 19 and 12 fixtures in the second quarter of 2019 and the third quarter of 2018, respectively. Furthermore, according to Poten data, there have been at least 178 spot fixtures (defined as up to six months in duration) for Steam vessels since the beginning of 2017, implying continuing demand for Steam vessels in the short-term charter market.</w:t>
      </w:r>
    </w:p>
    <w:p>
      <w:pPr>
        <w:spacing w:after="0" w:line="167" w:lineRule="exact"/>
        <w:rPr>
          <w:sz w:val="20"/>
          <w:szCs w:val="20"/>
          <w:color w:val="auto"/>
        </w:rPr>
      </w:pPr>
    </w:p>
    <w:p>
      <w:pPr>
        <w:ind w:right="80"/>
        <w:spacing w:after="0" w:line="318" w:lineRule="auto"/>
        <w:rPr>
          <w:sz w:val="20"/>
          <w:szCs w:val="20"/>
          <w:color w:val="auto"/>
        </w:rPr>
      </w:pPr>
      <w:r>
        <w:rPr>
          <w:rFonts w:ascii="Arial" w:cs="Arial" w:eastAsia="Arial" w:hAnsi="Arial"/>
          <w:sz w:val="14"/>
          <w:szCs w:val="14"/>
          <w:color w:val="auto"/>
        </w:rPr>
        <w:t>Clarksons currently assesses headline spot rates for TFDE and Steam LNG carriers at $140,000 per day and $100,000 per day, respectively. These figures represent significant increases of 128% and 138%, respectively, since mid-September, with prompt vessel availability falling as new supply projects such as Cameron and Freeport ramp up and as the market anticipates a seasonal increase in LNG commodity and vessel demand ahead of the Northern Hemisphere winter. As a result, prompt vessel availability, as reported by Poten, has declined in recent weeks to fewer than three vessels across all basins, the lowest levels since December 2018. With high gas inventories in Europe and Asia, charterers are either slow-steaming vessels and/or utilizing LNG carriers as floating storage until regasification capacity and winter demand and price signals emerge.</w:t>
      </w:r>
    </w:p>
    <w:p>
      <w:pPr>
        <w:spacing w:after="0" w:line="149" w:lineRule="exact"/>
        <w:rPr>
          <w:sz w:val="20"/>
          <w:szCs w:val="20"/>
          <w:color w:val="auto"/>
        </w:rPr>
      </w:pPr>
    </w:p>
    <w:p>
      <w:pPr>
        <w:ind w:right="160"/>
        <w:spacing w:after="0" w:line="273" w:lineRule="auto"/>
        <w:rPr>
          <w:sz w:val="20"/>
          <w:szCs w:val="20"/>
          <w:color w:val="auto"/>
        </w:rPr>
      </w:pPr>
      <w:r>
        <w:rPr>
          <w:rFonts w:ascii="Arial" w:cs="Arial" w:eastAsia="Arial" w:hAnsi="Arial"/>
          <w:sz w:val="16"/>
          <w:szCs w:val="16"/>
          <w:color w:val="auto"/>
        </w:rPr>
        <w:t>Poten currently estimates the one-year time charter rate for TFDE and Steam LNG carriers at $84,000 per day and $50,000 per day, respectively, although the current term charter market for on-the-water ships, and Steams in particular, has limited liquidity for charters greater than one year. We continue to anticipate that the ongoing LNG shipping market tightening should persist through at least early 2021, which may result in further term charter opportunities for on-the-water vessels as their existing charters expire.</w:t>
      </w:r>
    </w:p>
    <w:p>
      <w:pPr>
        <w:spacing w:after="0" w:line="176" w:lineRule="exact"/>
        <w:rPr>
          <w:sz w:val="20"/>
          <w:szCs w:val="20"/>
          <w:color w:val="auto"/>
        </w:rPr>
      </w:pPr>
    </w:p>
    <w:p>
      <w:pPr>
        <w:ind w:right="80"/>
        <w:spacing w:after="0" w:line="273" w:lineRule="auto"/>
        <w:rPr>
          <w:sz w:val="20"/>
          <w:szCs w:val="20"/>
          <w:color w:val="auto"/>
        </w:rPr>
      </w:pPr>
      <w:r>
        <w:rPr>
          <w:rFonts w:ascii="Arial" w:cs="Arial" w:eastAsia="Arial" w:hAnsi="Arial"/>
          <w:sz w:val="16"/>
          <w:szCs w:val="16"/>
          <w:color w:val="auto"/>
        </w:rPr>
        <w:t>As of October 28, 2019, the LNG fleet and orderbook (excluding floating storage and regasification units (“FSRUs”)) and vessels with capacity below 100,000 cbm) stood at 507 and 110 vessels, respectively, as estimated by Poten, with the orderbook representing 22% of the on-the-water fleet, unchanged from the beginning of 2019. Out of the LNGCs in the current orderbook, 68, or 62%, are chartered on multi-year contracts. There have been 37 vessels ordered thus far in 2019, including 13 during the third quarter, compared to a total of 63 in 2018, suggesting that the pace of newbuild ordering continues to moderate.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FSU Panama Power Project</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On August 27, 2019, GasLog signed a 10-year time charter with Sinolam LNG Terminal, S.A. (“Sinolam LNG”) for the provision of an LNG FSU to a gas-fired power project being developed in Panama.</w:t>
      </w:r>
    </w:p>
    <w:p>
      <w:pPr>
        <w:spacing w:after="0" w:line="159"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 xml:space="preserve">The time charter is expected to be fulfilled through the conversion of the </w:t>
      </w:r>
      <w:r>
        <w:rPr>
          <w:rFonts w:ascii="Arial" w:cs="Arial" w:eastAsia="Arial" w:hAnsi="Arial"/>
          <w:sz w:val="16"/>
          <w:szCs w:val="16"/>
          <w:i w:val="1"/>
          <w:iCs w:val="1"/>
          <w:color w:val="auto"/>
        </w:rPr>
        <w:t>GasLog Singapore</w:t>
      </w:r>
      <w:r>
        <w:rPr>
          <w:rFonts w:ascii="Arial" w:cs="Arial" w:eastAsia="Arial" w:hAnsi="Arial"/>
          <w:sz w:val="16"/>
          <w:szCs w:val="16"/>
          <w:color w:val="auto"/>
        </w:rPr>
        <w:t>, a 155,000 cbm TFDE LNG carrier built in 2010. The required modifications are such that, as well as being FSU ready, the vessel will still be able to trade as an LNG carrier following the conversion work. The conversion will take place in conjunction with the vessel’s scheduled 5-year dry-docking and special survey in the third quarter of 2020, enabling both time and cost synergies. The charter commences on delivery of the FSU in Panama, which is scheduled for late 2020.</w:t>
      </w:r>
    </w:p>
    <w:p>
      <w:pPr>
        <w:spacing w:after="0" w:line="176"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 xml:space="preserve">Since September 2016, the </w:t>
      </w:r>
      <w:r>
        <w:rPr>
          <w:rFonts w:ascii="Arial" w:cs="Arial" w:eastAsia="Arial" w:hAnsi="Arial"/>
          <w:sz w:val="16"/>
          <w:szCs w:val="16"/>
          <w:i w:val="1"/>
          <w:iCs w:val="1"/>
          <w:color w:val="auto"/>
        </w:rPr>
        <w:t>GasLog Singapore</w:t>
      </w:r>
      <w:r>
        <w:rPr>
          <w:rFonts w:ascii="Arial" w:cs="Arial" w:eastAsia="Arial" w:hAnsi="Arial"/>
          <w:sz w:val="16"/>
          <w:szCs w:val="16"/>
          <w:color w:val="auto"/>
        </w:rPr>
        <w:t xml:space="preserve"> has been trading in the LNG carrier spot market. The FSU contract is for a fixed period, thereby delivering 100% utilization for the duration of the charter. The FSU will also incur lower operating expenses than if the vessel was trading as an LNG carrier, with GasLog estimating that the charter will generate approximately $20 million of EBITDA per annum over its 10-year life.</w:t>
      </w:r>
    </w:p>
    <w:p>
      <w:pPr>
        <w:spacing w:after="0" w:line="171"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The FSU will receive, store and send out LNG to a gas-fired power plant currently being developed near Colón, Panama, by Sinolam Smarter Energy LNG Power Company, a subsidiary of private Chinese investment group Shanghai Gorgeous Investment Development Company. The power project has signed long-term power purchase agreements with leading Panamanian utility companies as well as a 15-year LNG sale and</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6" w:right="25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t>purchase agreement with Royal Dutch Shell plc (“Shell”).</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 xml:space="preserve">Delivery of the </w:t>
      </w:r>
      <w:r>
        <w:rPr>
          <w:rFonts w:ascii="Arial" w:cs="Arial" w:eastAsia="Arial" w:hAnsi="Arial"/>
          <w:sz w:val="16"/>
          <w:szCs w:val="16"/>
          <w:b w:val="1"/>
          <w:bCs w:val="1"/>
          <w:i w:val="1"/>
          <w:iCs w:val="1"/>
          <w:u w:val="single" w:color="auto"/>
          <w:color w:val="auto"/>
        </w:rPr>
        <w:t>GasLog Warsaw</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On July 31, 2019, GasLog took delivery of the </w:t>
      </w:r>
      <w:r>
        <w:rPr>
          <w:rFonts w:ascii="Arial" w:cs="Arial" w:eastAsia="Arial" w:hAnsi="Arial"/>
          <w:sz w:val="16"/>
          <w:szCs w:val="16"/>
          <w:i w:val="1"/>
          <w:iCs w:val="1"/>
          <w:color w:val="auto"/>
        </w:rPr>
        <w:t>GasLog Warsaw</w:t>
      </w:r>
      <w:r>
        <w:rPr>
          <w:rFonts w:ascii="Arial" w:cs="Arial" w:eastAsia="Arial" w:hAnsi="Arial"/>
          <w:sz w:val="16"/>
          <w:szCs w:val="16"/>
          <w:color w:val="auto"/>
        </w:rPr>
        <w:t>. Upon delivery, the vessel immediately commenced a time charter with Cheniere until May 2021, when the vessel is contracted to commence an eight-year time charter with Endesa.</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Cool Pool Exit</w:t>
      </w:r>
    </w:p>
    <w:p>
      <w:pPr>
        <w:spacing w:after="0" w:line="225" w:lineRule="exact"/>
        <w:rPr>
          <w:sz w:val="20"/>
          <w:szCs w:val="20"/>
          <w:color w:val="auto"/>
        </w:rPr>
      </w:pPr>
    </w:p>
    <w:p>
      <w:pPr>
        <w:ind w:right="240"/>
        <w:spacing w:after="0" w:line="278" w:lineRule="auto"/>
        <w:rPr>
          <w:sz w:val="20"/>
          <w:szCs w:val="20"/>
          <w:color w:val="auto"/>
        </w:rPr>
      </w:pPr>
      <w:r>
        <w:rPr>
          <w:rFonts w:ascii="Arial" w:cs="Arial" w:eastAsia="Arial" w:hAnsi="Arial"/>
          <w:sz w:val="16"/>
          <w:szCs w:val="16"/>
          <w:color w:val="auto"/>
        </w:rPr>
        <w:t>On June 6, 2019, GasLog entered into a termination agreement with the Cool Pool and Golar LNG Ltd. (“Golar”), whereby GasLog assumed commercial control of its six vessels operating in the LNG carrier spot market through the Cool Pool at that time. Following expiry of their commitments, GasLog vessels were withdrawn from the Cool Pool in June and July 2019.</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Retirement of Director</w:t>
      </w:r>
    </w:p>
    <w:p>
      <w:pPr>
        <w:spacing w:after="0" w:line="225" w:lineRule="exact"/>
        <w:rPr>
          <w:sz w:val="20"/>
          <w:szCs w:val="20"/>
          <w:color w:val="auto"/>
        </w:rPr>
      </w:pPr>
    </w:p>
    <w:p>
      <w:pPr>
        <w:ind w:right="740"/>
        <w:spacing w:after="0" w:line="293" w:lineRule="auto"/>
        <w:rPr>
          <w:sz w:val="20"/>
          <w:szCs w:val="20"/>
          <w:color w:val="auto"/>
        </w:rPr>
      </w:pPr>
      <w:r>
        <w:rPr>
          <w:rFonts w:ascii="Arial" w:cs="Arial" w:eastAsia="Arial" w:hAnsi="Arial"/>
          <w:sz w:val="16"/>
          <w:szCs w:val="16"/>
          <w:color w:val="auto"/>
        </w:rPr>
        <w:t>Mr. William Friedrich retired from the board of GasLog, effective November 5, 2019. Mr. Friedrich has been a director since October 2011 and was Chairman of the Company’s HSSE Committee from 2016 until his retirement.</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Dividend Declaration</w:t>
      </w:r>
    </w:p>
    <w:p>
      <w:pPr>
        <w:spacing w:after="0" w:line="225" w:lineRule="exact"/>
        <w:rPr>
          <w:sz w:val="20"/>
          <w:szCs w:val="20"/>
          <w:color w:val="auto"/>
        </w:rPr>
      </w:pPr>
    </w:p>
    <w:p>
      <w:pPr>
        <w:ind w:right="420"/>
        <w:spacing w:after="0" w:line="329" w:lineRule="auto"/>
        <w:rPr>
          <w:sz w:val="20"/>
          <w:szCs w:val="20"/>
          <w:color w:val="auto"/>
        </w:rPr>
      </w:pPr>
      <w:r>
        <w:rPr>
          <w:rFonts w:ascii="Arial" w:cs="Arial" w:eastAsia="Arial" w:hAnsi="Arial"/>
          <w:sz w:val="15"/>
          <w:szCs w:val="15"/>
          <w:color w:val="auto"/>
        </w:rPr>
        <w:t>On September 17, 2019, the board of directors declared a dividend on the Series A Preference Shares of $0.546875 per share, or $2.5 million in the aggregate, payable on October 1, 2019 to holders of record as of September 30, 2019. GasLog paid the declared dividend to the transfer agent on October 1, 2019.</w:t>
      </w:r>
    </w:p>
    <w:p>
      <w:pPr>
        <w:spacing w:after="0" w:line="13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On November 5, 2019, the board of directors declared a quarterly cash dividend of $0.15 per common share, or $12.1 million in the aggregate, payable on November 21, 2019 to shareholders of record as of November 15, 2019.</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20" w:type="dxa"/>
            <w:vAlign w:val="bottom"/>
            <w:gridSpan w:val="2"/>
          </w:tcPr>
          <w:p>
            <w:pPr>
              <w:spacing w:after="0"/>
              <w:rPr>
                <w:sz w:val="20"/>
                <w:szCs w:val="20"/>
                <w:color w:val="auto"/>
              </w:rPr>
            </w:pPr>
            <w:r>
              <w:rPr>
                <w:rFonts w:ascii="Arial" w:cs="Arial" w:eastAsia="Arial" w:hAnsi="Arial"/>
                <w:sz w:val="16"/>
                <w:szCs w:val="16"/>
                <w:b w:val="1"/>
                <w:bCs w:val="1"/>
                <w:color w:val="auto"/>
              </w:rPr>
              <w:t>Financial Summary</w:t>
            </w:r>
          </w:p>
        </w:tc>
        <w:tc>
          <w:tcPr>
            <w:tcW w:w="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80" w:type="dxa"/>
            <w:vAlign w:val="bottom"/>
            <w:shd w:val="clear" w:color="auto" w:fill="000000"/>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40" w:type="dxa"/>
            <w:vAlign w:val="bottom"/>
            <w:gridSpan w:val="3"/>
            <w:vMerge w:val="restart"/>
          </w:tcPr>
          <w:p>
            <w:pPr>
              <w:jc w:val="right"/>
              <w:ind w:right="199"/>
              <w:spacing w:after="0"/>
              <w:rPr>
                <w:sz w:val="20"/>
                <w:szCs w:val="20"/>
                <w:color w:val="auto"/>
              </w:rPr>
            </w:pPr>
            <w:r>
              <w:rPr>
                <w:rFonts w:ascii="Arial" w:cs="Arial" w:eastAsia="Arial" w:hAnsi="Arial"/>
                <w:sz w:val="16"/>
                <w:szCs w:val="16"/>
                <w:b w:val="1"/>
                <w:bCs w:val="1"/>
                <w:color w:val="auto"/>
              </w:rPr>
              <w:t>For the three months ended</w:t>
            </w: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2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In thousands of U.S. dollars except per share data</w:t>
            </w:r>
          </w:p>
        </w:tc>
        <w:tc>
          <w:tcPr>
            <w:tcW w:w="540" w:type="dxa"/>
            <w:vAlign w:val="bottom"/>
          </w:tcPr>
          <w:p>
            <w:pPr>
              <w:spacing w:after="0"/>
              <w:rPr>
                <w:sz w:val="24"/>
                <w:szCs w:val="24"/>
                <w:color w:val="auto"/>
              </w:rPr>
            </w:pPr>
          </w:p>
        </w:tc>
        <w:tc>
          <w:tcPr>
            <w:tcW w:w="2540" w:type="dxa"/>
            <w:vAlign w:val="bottom"/>
            <w:gridSpan w:val="3"/>
            <w:vMerge w:val="continue"/>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2000" w:type="dxa"/>
            <w:vAlign w:val="bottom"/>
            <w:gridSpan w:val="3"/>
          </w:tcPr>
          <w:p>
            <w:pPr>
              <w:jc w:val="right"/>
              <w:ind w:right="660"/>
              <w:spacing w:after="0"/>
              <w:rPr>
                <w:sz w:val="20"/>
                <w:szCs w:val="20"/>
                <w:color w:val="auto"/>
              </w:rPr>
            </w:pPr>
            <w:r>
              <w:rPr>
                <w:rFonts w:ascii="Arial" w:cs="Arial" w:eastAsia="Arial" w:hAnsi="Arial"/>
                <w:sz w:val="16"/>
                <w:szCs w:val="16"/>
                <w:b w:val="1"/>
                <w:bCs w:val="1"/>
                <w:color w:val="auto"/>
              </w:rPr>
              <w:t>September 30,</w:t>
            </w:r>
          </w:p>
        </w:tc>
        <w:tc>
          <w:tcPr>
            <w:tcW w:w="1800" w:type="dxa"/>
            <w:vAlign w:val="bottom"/>
            <w:gridSpan w:val="3"/>
          </w:tcPr>
          <w:p>
            <w:pPr>
              <w:jc w:val="right"/>
              <w:ind w:right="46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0"/>
        </w:trPr>
        <w:tc>
          <w:tcPr>
            <w:tcW w:w="1380" w:type="dxa"/>
            <w:vAlign w:val="bottom"/>
            <w:tcBorders>
              <w:bottom w:val="single" w:sz="8" w:color="E5FFFF"/>
            </w:tcBorders>
          </w:tcPr>
          <w:p>
            <w:pPr>
              <w:spacing w:after="0"/>
              <w:rPr>
                <w:sz w:val="18"/>
                <w:szCs w:val="18"/>
                <w:color w:val="auto"/>
              </w:rPr>
            </w:pPr>
          </w:p>
        </w:tc>
        <w:tc>
          <w:tcPr>
            <w:tcW w:w="6240" w:type="dxa"/>
            <w:vAlign w:val="bottom"/>
            <w:tcBorders>
              <w:bottom w:val="single" w:sz="8" w:color="E5FF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300" w:type="dxa"/>
            <w:vAlign w:val="bottom"/>
            <w:tcBorders>
              <w:bottom w:val="single" w:sz="8" w:color="E5FF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62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Revenues</w:t>
            </w:r>
          </w:p>
        </w:tc>
        <w:tc>
          <w:tcPr>
            <w:tcW w:w="540" w:type="dxa"/>
            <w:vAlign w:val="bottom"/>
            <w:shd w:val="clear" w:color="auto" w:fill="E5FFFF"/>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158,398</w:t>
            </w: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619"/>
              <w:spacing w:after="0"/>
              <w:rPr>
                <w:sz w:val="20"/>
                <w:szCs w:val="20"/>
                <w:color w:val="auto"/>
              </w:rPr>
            </w:pPr>
            <w:r>
              <w:rPr>
                <w:rFonts w:ascii="Arial" w:cs="Arial" w:eastAsia="Arial" w:hAnsi="Arial"/>
                <w:sz w:val="16"/>
                <w:szCs w:val="16"/>
                <w:color w:val="auto"/>
              </w:rPr>
              <w:t>$</w:t>
            </w:r>
          </w:p>
        </w:tc>
        <w:tc>
          <w:tcPr>
            <w:tcW w:w="6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165,586</w:t>
            </w: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20" w:type="dxa"/>
            <w:vAlign w:val="bottom"/>
            <w:gridSpan w:val="2"/>
          </w:tcPr>
          <w:p>
            <w:pPr>
              <w:spacing w:after="0"/>
              <w:rPr>
                <w:sz w:val="20"/>
                <w:szCs w:val="20"/>
                <w:color w:val="auto"/>
              </w:rPr>
            </w:pPr>
            <w:r>
              <w:rPr>
                <w:rFonts w:ascii="Arial" w:cs="Arial" w:eastAsia="Arial" w:hAnsi="Arial"/>
                <w:sz w:val="16"/>
                <w:szCs w:val="16"/>
                <w:color w:val="auto"/>
              </w:rPr>
              <w:t>Profit for the period</w:t>
            </w:r>
          </w:p>
        </w:tc>
        <w:tc>
          <w:tcPr>
            <w:tcW w:w="5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39,261</w:t>
            </w:r>
          </w:p>
        </w:tc>
        <w:tc>
          <w:tcPr>
            <w:tcW w:w="300" w:type="dxa"/>
            <w:vAlign w:val="bottom"/>
          </w:tcPr>
          <w:p>
            <w:pPr>
              <w:spacing w:after="0"/>
              <w:rPr>
                <w:sz w:val="17"/>
                <w:szCs w:val="17"/>
                <w:color w:val="auto"/>
              </w:rPr>
            </w:pPr>
          </w:p>
        </w:tc>
        <w:tc>
          <w:tcPr>
            <w:tcW w:w="108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8,889</w:t>
            </w:r>
          </w:p>
        </w:tc>
        <w:tc>
          <w:tcPr>
            <w:tcW w:w="0" w:type="dxa"/>
            <w:vAlign w:val="bottom"/>
          </w:tcPr>
          <w:p>
            <w:pPr>
              <w:spacing w:after="0"/>
              <w:rPr>
                <w:sz w:val="1"/>
                <w:szCs w:val="1"/>
                <w:color w:val="auto"/>
              </w:rPr>
            </w:pPr>
          </w:p>
        </w:tc>
      </w:tr>
      <w:tr>
        <w:trPr>
          <w:trHeight w:val="203"/>
        </w:trPr>
        <w:tc>
          <w:tcPr>
            <w:tcW w:w="7620" w:type="dxa"/>
            <w:vAlign w:val="bottom"/>
            <w:gridSpan w:val="2"/>
            <w:shd w:val="clear" w:color="auto" w:fill="E5FFFF"/>
          </w:tcPr>
          <w:p>
            <w:pPr>
              <w:spacing w:after="0" w:line="203" w:lineRule="exact"/>
              <w:rPr>
                <w:sz w:val="20"/>
                <w:szCs w:val="20"/>
                <w:color w:val="auto"/>
              </w:rPr>
            </w:pPr>
            <w:r>
              <w:rPr>
                <w:rFonts w:ascii="Arial" w:cs="Arial" w:eastAsia="Arial" w:hAnsi="Arial"/>
                <w:sz w:val="16"/>
                <w:szCs w:val="16"/>
                <w:color w:val="auto"/>
              </w:rPr>
              <w:t>Adjusted Profit</w:t>
            </w:r>
            <w:r>
              <w:rPr>
                <w:rFonts w:ascii="Arial" w:cs="Arial" w:eastAsia="Arial" w:hAnsi="Arial"/>
                <w:sz w:val="21"/>
                <w:szCs w:val="21"/>
                <w:color w:val="auto"/>
                <w:vertAlign w:val="superscript"/>
              </w:rPr>
              <w:t>(1)</w:t>
            </w:r>
          </w:p>
        </w:tc>
        <w:tc>
          <w:tcPr>
            <w:tcW w:w="540" w:type="dxa"/>
            <w:vAlign w:val="bottom"/>
            <w:shd w:val="clear" w:color="auto" w:fill="E5FFFF"/>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32,251</w:t>
            </w: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619"/>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25,528</w:t>
            </w:r>
          </w:p>
        </w:tc>
        <w:tc>
          <w:tcPr>
            <w:tcW w:w="0" w:type="dxa"/>
            <w:vAlign w:val="bottom"/>
          </w:tcPr>
          <w:p>
            <w:pPr>
              <w:spacing w:after="0"/>
              <w:rPr>
                <w:sz w:val="1"/>
                <w:szCs w:val="1"/>
                <w:color w:val="auto"/>
              </w:rPr>
            </w:pPr>
          </w:p>
        </w:tc>
      </w:tr>
      <w:tr>
        <w:trPr>
          <w:trHeight w:val="203"/>
        </w:trPr>
        <w:tc>
          <w:tcPr>
            <w:tcW w:w="7620" w:type="dxa"/>
            <w:vAlign w:val="bottom"/>
            <w:gridSpan w:val="2"/>
          </w:tcPr>
          <w:p>
            <w:pPr>
              <w:spacing w:after="0" w:line="203" w:lineRule="exact"/>
              <w:rPr>
                <w:sz w:val="20"/>
                <w:szCs w:val="20"/>
                <w:color w:val="auto"/>
              </w:rPr>
            </w:pPr>
            <w:r>
              <w:rPr>
                <w:rFonts w:ascii="Arial" w:cs="Arial" w:eastAsia="Arial" w:hAnsi="Arial"/>
                <w:sz w:val="16"/>
                <w:szCs w:val="16"/>
                <w:color w:val="auto"/>
              </w:rPr>
              <w:t>EBITDA</w:t>
            </w:r>
            <w:r>
              <w:rPr>
                <w:rFonts w:ascii="Arial" w:cs="Arial" w:eastAsia="Arial" w:hAnsi="Arial"/>
                <w:sz w:val="21"/>
                <w:szCs w:val="21"/>
                <w:color w:val="auto"/>
                <w:vertAlign w:val="superscript"/>
              </w:rPr>
              <w:t>(1)</w:t>
            </w:r>
          </w:p>
        </w:tc>
        <w:tc>
          <w:tcPr>
            <w:tcW w:w="5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300"/>
              <w:spacing w:after="0"/>
              <w:rPr>
                <w:sz w:val="20"/>
                <w:szCs w:val="20"/>
                <w:color w:val="auto"/>
              </w:rPr>
            </w:pPr>
            <w:r>
              <w:rPr>
                <w:rFonts w:ascii="Arial" w:cs="Arial" w:eastAsia="Arial" w:hAnsi="Arial"/>
                <w:sz w:val="16"/>
                <w:szCs w:val="16"/>
                <w:color w:val="auto"/>
              </w:rPr>
              <w:t>114,085</w:t>
            </w:r>
          </w:p>
        </w:tc>
        <w:tc>
          <w:tcPr>
            <w:tcW w:w="108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114,156</w:t>
            </w:r>
          </w:p>
        </w:tc>
        <w:tc>
          <w:tcPr>
            <w:tcW w:w="0" w:type="dxa"/>
            <w:vAlign w:val="bottom"/>
          </w:tcPr>
          <w:p>
            <w:pPr>
              <w:spacing w:after="0"/>
              <w:rPr>
                <w:sz w:val="1"/>
                <w:szCs w:val="1"/>
                <w:color w:val="auto"/>
              </w:rPr>
            </w:pPr>
          </w:p>
        </w:tc>
      </w:tr>
      <w:tr>
        <w:trPr>
          <w:trHeight w:val="203"/>
        </w:trPr>
        <w:tc>
          <w:tcPr>
            <w:tcW w:w="7620" w:type="dxa"/>
            <w:vAlign w:val="bottom"/>
            <w:gridSpan w:val="2"/>
            <w:shd w:val="clear" w:color="auto" w:fill="E5FFFF"/>
          </w:tcPr>
          <w:p>
            <w:pPr>
              <w:spacing w:after="0" w:line="203" w:lineRule="exact"/>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(1)</w:t>
            </w:r>
          </w:p>
        </w:tc>
        <w:tc>
          <w:tcPr>
            <w:tcW w:w="540" w:type="dxa"/>
            <w:vAlign w:val="bottom"/>
            <w:shd w:val="clear" w:color="auto" w:fill="E5FFFF"/>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E5FFFF"/>
          </w:tcPr>
          <w:p>
            <w:pPr>
              <w:jc w:val="right"/>
              <w:ind w:right="300"/>
              <w:spacing w:after="0"/>
              <w:rPr>
                <w:sz w:val="20"/>
                <w:szCs w:val="20"/>
                <w:color w:val="auto"/>
              </w:rPr>
            </w:pPr>
            <w:r>
              <w:rPr>
                <w:rFonts w:ascii="Arial" w:cs="Arial" w:eastAsia="Arial" w:hAnsi="Arial"/>
                <w:sz w:val="16"/>
                <w:szCs w:val="16"/>
                <w:color w:val="auto"/>
              </w:rPr>
              <w:t>114,248</w:t>
            </w:r>
          </w:p>
        </w:tc>
        <w:tc>
          <w:tcPr>
            <w:tcW w:w="1080" w:type="dxa"/>
            <w:vAlign w:val="bottom"/>
            <w:shd w:val="clear" w:color="auto" w:fill="E5FFFF"/>
          </w:tcPr>
          <w:p>
            <w:pPr>
              <w:jc w:val="right"/>
              <w:ind w:right="619"/>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115,034</w:t>
            </w:r>
          </w:p>
        </w:tc>
        <w:tc>
          <w:tcPr>
            <w:tcW w:w="0" w:type="dxa"/>
            <w:vAlign w:val="bottom"/>
          </w:tcPr>
          <w:p>
            <w:pPr>
              <w:spacing w:after="0"/>
              <w:rPr>
                <w:sz w:val="1"/>
                <w:szCs w:val="1"/>
                <w:color w:val="auto"/>
              </w:rPr>
            </w:pPr>
          </w:p>
        </w:tc>
      </w:tr>
      <w:tr>
        <w:trPr>
          <w:trHeight w:val="203"/>
        </w:trPr>
        <w:tc>
          <w:tcPr>
            <w:tcW w:w="7620" w:type="dxa"/>
            <w:vAlign w:val="bottom"/>
            <w:gridSpan w:val="2"/>
          </w:tcPr>
          <w:p>
            <w:pPr>
              <w:spacing w:after="0"/>
              <w:rPr>
                <w:sz w:val="20"/>
                <w:szCs w:val="20"/>
                <w:color w:val="auto"/>
              </w:rPr>
            </w:pPr>
            <w:r>
              <w:rPr>
                <w:rFonts w:ascii="Arial" w:cs="Arial" w:eastAsia="Arial" w:hAnsi="Arial"/>
                <w:sz w:val="16"/>
                <w:szCs w:val="16"/>
                <w:color w:val="auto"/>
              </w:rPr>
              <w:t>Profit/(loss) attributable to the owners of GasLog</w:t>
            </w:r>
          </w:p>
        </w:tc>
        <w:tc>
          <w:tcPr>
            <w:tcW w:w="5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18,214</w:t>
            </w:r>
          </w:p>
        </w:tc>
        <w:tc>
          <w:tcPr>
            <w:tcW w:w="300" w:type="dxa"/>
            <w:vAlign w:val="bottom"/>
          </w:tcPr>
          <w:p>
            <w:pPr>
              <w:spacing w:after="0"/>
              <w:rPr>
                <w:sz w:val="17"/>
                <w:szCs w:val="17"/>
                <w:color w:val="auto"/>
              </w:rPr>
            </w:pPr>
          </w:p>
        </w:tc>
        <w:tc>
          <w:tcPr>
            <w:tcW w:w="108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(13,545)</w:t>
            </w:r>
          </w:p>
        </w:tc>
        <w:tc>
          <w:tcPr>
            <w:tcW w:w="0" w:type="dxa"/>
            <w:vAlign w:val="bottom"/>
          </w:tcPr>
          <w:p>
            <w:pPr>
              <w:spacing w:after="0"/>
              <w:rPr>
                <w:sz w:val="1"/>
                <w:szCs w:val="1"/>
                <w:color w:val="auto"/>
              </w:rPr>
            </w:pPr>
          </w:p>
        </w:tc>
      </w:tr>
      <w:tr>
        <w:trPr>
          <w:trHeight w:val="203"/>
        </w:trPr>
        <w:tc>
          <w:tcPr>
            <w:tcW w:w="762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EPS, basic</w:t>
            </w:r>
          </w:p>
        </w:tc>
        <w:tc>
          <w:tcPr>
            <w:tcW w:w="540" w:type="dxa"/>
            <w:vAlign w:val="bottom"/>
            <w:shd w:val="clear" w:color="auto" w:fill="E5FFFF"/>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0.19</w:t>
            </w: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619"/>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(0.20)</w:t>
            </w:r>
          </w:p>
        </w:tc>
        <w:tc>
          <w:tcPr>
            <w:tcW w:w="0" w:type="dxa"/>
            <w:vAlign w:val="bottom"/>
          </w:tcPr>
          <w:p>
            <w:pPr>
              <w:spacing w:after="0"/>
              <w:rPr>
                <w:sz w:val="1"/>
                <w:szCs w:val="1"/>
                <w:color w:val="auto"/>
              </w:rPr>
            </w:pPr>
          </w:p>
        </w:tc>
      </w:tr>
      <w:tr>
        <w:trPr>
          <w:trHeight w:val="281"/>
        </w:trPr>
        <w:tc>
          <w:tcPr>
            <w:tcW w:w="7620" w:type="dxa"/>
            <w:vAlign w:val="bottom"/>
            <w:gridSpan w:val="2"/>
          </w:tcPr>
          <w:p>
            <w:pPr>
              <w:spacing w:after="0"/>
              <w:rPr>
                <w:sz w:val="20"/>
                <w:szCs w:val="20"/>
                <w:color w:val="auto"/>
              </w:rPr>
            </w:pPr>
            <w:r>
              <w:rPr>
                <w:rFonts w:ascii="Arial" w:cs="Arial" w:eastAsia="Arial" w:hAnsi="Arial"/>
                <w:sz w:val="16"/>
                <w:szCs w:val="16"/>
                <w:color w:val="auto"/>
              </w:rPr>
              <w:t>Adjusted EPS</w:t>
            </w:r>
            <w:r>
              <w:rPr>
                <w:rFonts w:ascii="Arial" w:cs="Arial" w:eastAsia="Arial" w:hAnsi="Arial"/>
                <w:sz w:val="21"/>
                <w:szCs w:val="21"/>
                <w:color w:val="auto"/>
                <w:vertAlign w:val="superscript"/>
              </w:rPr>
              <w:t>(1)</w:t>
            </w:r>
          </w:p>
        </w:tc>
        <w:tc>
          <w:tcPr>
            <w:tcW w:w="5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300"/>
              <w:spacing w:after="0"/>
              <w:rPr>
                <w:sz w:val="20"/>
                <w:szCs w:val="20"/>
                <w:color w:val="auto"/>
              </w:rPr>
            </w:pPr>
            <w:r>
              <w:rPr>
                <w:rFonts w:ascii="Arial" w:cs="Arial" w:eastAsia="Arial" w:hAnsi="Arial"/>
                <w:sz w:val="16"/>
                <w:szCs w:val="16"/>
                <w:color w:val="auto"/>
              </w:rPr>
              <w:t>0.11</w:t>
            </w:r>
          </w:p>
        </w:tc>
        <w:tc>
          <w:tcPr>
            <w:tcW w:w="108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bl>
    <w:p>
      <w:pPr>
        <w:spacing w:after="0" w:line="106" w:lineRule="exact"/>
        <w:rPr>
          <w:sz w:val="20"/>
          <w:szCs w:val="20"/>
          <w:color w:val="auto"/>
        </w:rPr>
      </w:pPr>
    </w:p>
    <w:p>
      <w:pPr>
        <w:jc w:val="both"/>
        <w:ind w:left="140" w:right="120" w:hanging="132"/>
        <w:spacing w:after="0" w:line="222" w:lineRule="auto"/>
        <w:tabs>
          <w:tab w:leader="none" w:pos="174" w:val="left"/>
        </w:tabs>
        <w:numPr>
          <w:ilvl w:val="0"/>
          <w:numId w:val="3"/>
        </w:numPr>
        <w:rPr>
          <w:rFonts w:ascii="Arial" w:cs="Arial" w:eastAsia="Arial" w:hAnsi="Arial"/>
          <w:sz w:val="19"/>
          <w:szCs w:val="19"/>
          <w:color w:val="auto"/>
          <w:vertAlign w:val="superscript"/>
        </w:rPr>
      </w:pPr>
      <w:r>
        <w:rPr>
          <w:rFonts w:ascii="Arial" w:cs="Arial" w:eastAsia="Arial" w:hAnsi="Arial"/>
          <w:sz w:val="13"/>
          <w:szCs w:val="13"/>
          <w:color w:val="auto"/>
        </w:rPr>
        <w:t>EBITDA, Adjusted EBITDA, Adjusted Profit and Adjusted EPS are non-GAAP financial measures, and should not be used in isolation or as a substitute for GasLog’s financial results presented in accordance with IFRS. For definitions and reconciliations of these measurements to the most directly comparable financial measures calculated and presented in accordance with IFRS, please refer to Exhibit II at the end of this press release.</w:t>
      </w:r>
    </w:p>
    <w:p>
      <w:pPr>
        <w:spacing w:after="0" w:line="178" w:lineRule="exact"/>
        <w:rPr>
          <w:sz w:val="20"/>
          <w:szCs w:val="20"/>
          <w:color w:val="auto"/>
        </w:rPr>
      </w:pPr>
    </w:p>
    <w:p>
      <w:pPr>
        <w:ind w:right="140"/>
        <w:spacing w:after="0" w:line="273" w:lineRule="auto"/>
        <w:rPr>
          <w:sz w:val="20"/>
          <w:szCs w:val="20"/>
          <w:color w:val="auto"/>
        </w:rPr>
      </w:pPr>
      <w:r>
        <w:rPr>
          <w:rFonts w:ascii="Arial" w:cs="Arial" w:eastAsia="Arial" w:hAnsi="Arial"/>
          <w:sz w:val="16"/>
          <w:szCs w:val="16"/>
          <w:color w:val="auto"/>
        </w:rPr>
        <w:t xml:space="preserve">There were 2,296 revenue operating days (including 10 days in the Cool Pool) for the quarter ended September 30, 2019, as compared to 2,302 revenue operating days (including 545 days in the Cool Pool) for the quarter ended September 30, 2018. The decrease in revenue operating days resulted from the unscheduled dry-dockings on three vessels and the increased unchartered days from the vessels operating in the spot market, partially offset by the increased revenue operating days from the delivery of the </w:t>
      </w:r>
      <w:r>
        <w:rPr>
          <w:rFonts w:ascii="Arial" w:cs="Arial" w:eastAsia="Arial" w:hAnsi="Arial"/>
          <w:sz w:val="16"/>
          <w:szCs w:val="16"/>
          <w:i w:val="1"/>
          <w:iCs w:val="1"/>
          <w:color w:val="auto"/>
        </w:rPr>
        <w:t xml:space="preserve">GasLog Gladstone </w:t>
      </w:r>
      <w:r>
        <w:rPr>
          <w:rFonts w:ascii="Arial" w:cs="Arial" w:eastAsia="Arial" w:hAnsi="Arial"/>
          <w:sz w:val="16"/>
          <w:szCs w:val="16"/>
          <w:color w:val="auto"/>
        </w:rPr>
        <w:t>on March 15, 2019 and the delivery of the</w:t>
      </w:r>
      <w:r>
        <w:rPr>
          <w:rFonts w:ascii="Arial" w:cs="Arial" w:eastAsia="Arial" w:hAnsi="Arial"/>
          <w:sz w:val="16"/>
          <w:szCs w:val="16"/>
          <w:i w:val="1"/>
          <w:iCs w:val="1"/>
          <w:color w:val="auto"/>
        </w:rPr>
        <w:t xml:space="preserve"> GasLog Warsaw </w:t>
      </w:r>
      <w:r>
        <w:rPr>
          <w:rFonts w:ascii="Arial" w:cs="Arial" w:eastAsia="Arial" w:hAnsi="Arial"/>
          <w:sz w:val="16"/>
          <w:szCs w:val="16"/>
          <w:color w:val="auto"/>
        </w:rPr>
        <w:t>on July 31, 2019.</w:t>
      </w:r>
    </w:p>
    <w:p>
      <w:pPr>
        <w:spacing w:after="0" w:line="176" w:lineRule="exact"/>
        <w:rPr>
          <w:sz w:val="20"/>
          <w:szCs w:val="20"/>
          <w:color w:val="auto"/>
        </w:rPr>
      </w:pPr>
    </w:p>
    <w:p>
      <w:pPr>
        <w:ind w:right="160"/>
        <w:spacing w:after="0" w:line="273" w:lineRule="auto"/>
        <w:rPr>
          <w:sz w:val="20"/>
          <w:szCs w:val="20"/>
          <w:color w:val="auto"/>
        </w:rPr>
      </w:pPr>
      <w:r>
        <w:rPr>
          <w:rFonts w:ascii="Arial" w:cs="Arial" w:eastAsia="Arial" w:hAnsi="Arial"/>
          <w:sz w:val="16"/>
          <w:szCs w:val="16"/>
          <w:color w:val="auto"/>
        </w:rPr>
        <w:t xml:space="preserve">Following the exit from the Cool Pool, management allocates vessel revenues to two categories: (a) variable rate charters (“VR Revenues”) and (b) fixed rate charters (“FR Revenues”). The variable rate charter category contains vessels operating in the LNG carrier spot and short-term market or those which have a variable rate of hire across the charter period. The vessels currently in this category are the </w:t>
      </w:r>
      <w:r>
        <w:rPr>
          <w:rFonts w:ascii="Arial" w:cs="Arial" w:eastAsia="Arial" w:hAnsi="Arial"/>
          <w:sz w:val="16"/>
          <w:szCs w:val="16"/>
          <w:i w:val="1"/>
          <w:iCs w:val="1"/>
          <w:color w:val="auto"/>
        </w:rPr>
        <w:t>GasLog Savannah</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Singapore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Skagen</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Saratoga,</w:t>
      </w:r>
      <w:r>
        <w:rPr>
          <w:rFonts w:ascii="Arial" w:cs="Arial" w:eastAsia="Arial" w:hAnsi="Arial"/>
          <w:sz w:val="16"/>
          <w:szCs w:val="16"/>
          <w:color w:val="auto"/>
        </w:rPr>
        <w:t xml:space="preserve"> the </w:t>
      </w:r>
      <w:r>
        <w:rPr>
          <w:rFonts w:ascii="Arial" w:cs="Arial" w:eastAsia="Arial" w:hAnsi="Arial"/>
          <w:sz w:val="16"/>
          <w:szCs w:val="16"/>
          <w:i w:val="1"/>
          <w:iCs w:val="1"/>
          <w:color w:val="auto"/>
        </w:rPr>
        <w:t xml:space="preserve">GasLog Salem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Chelsea</w:t>
      </w:r>
      <w:r>
        <w:rPr>
          <w:rFonts w:ascii="Arial" w:cs="Arial" w:eastAsia="Arial" w:hAnsi="Arial"/>
          <w:sz w:val="16"/>
          <w:szCs w:val="16"/>
          <w:color w:val="auto"/>
        </w:rPr>
        <w:t>.</w:t>
      </w:r>
    </w:p>
    <w:p>
      <w:pPr>
        <w:spacing w:after="0" w:line="176"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 xml:space="preserve">Revenues were $165.6 million for the quarter ended September 30, 2019 ($158.4 million for the quarter ended September 30, 2018). The increase was mainly driven by the delivery of the </w:t>
      </w:r>
      <w:r>
        <w:rPr>
          <w:rFonts w:ascii="Arial" w:cs="Arial" w:eastAsia="Arial" w:hAnsi="Arial"/>
          <w:sz w:val="16"/>
          <w:szCs w:val="16"/>
          <w:i w:val="1"/>
          <w:iCs w:val="1"/>
          <w:color w:val="auto"/>
        </w:rPr>
        <w:t>GasLog Gladstone</w:t>
      </w:r>
      <w:r>
        <w:rPr>
          <w:rFonts w:ascii="Arial" w:cs="Arial" w:eastAsia="Arial" w:hAnsi="Arial"/>
          <w:sz w:val="16"/>
          <w:szCs w:val="16"/>
          <w:color w:val="auto"/>
        </w:rPr>
        <w:t xml:space="preserve"> on March 15, 2019 and the delivery of the </w:t>
      </w:r>
      <w:r>
        <w:rPr>
          <w:rFonts w:ascii="Arial" w:cs="Arial" w:eastAsia="Arial" w:hAnsi="Arial"/>
          <w:sz w:val="16"/>
          <w:szCs w:val="16"/>
          <w:i w:val="1"/>
          <w:iCs w:val="1"/>
          <w:color w:val="auto"/>
        </w:rPr>
        <w:t>GasLog Warsaw</w:t>
      </w:r>
      <w:r>
        <w:rPr>
          <w:rFonts w:ascii="Arial" w:cs="Arial" w:eastAsia="Arial" w:hAnsi="Arial"/>
          <w:sz w:val="16"/>
          <w:szCs w:val="16"/>
          <w:color w:val="auto"/>
        </w:rPr>
        <w:t xml:space="preserve"> on July 31, 2019, partially offset by a decrease mainly from our vessels operating in the spot and short-term market including the impact of the unscheduled drydockings of the </w:t>
      </w:r>
      <w:r>
        <w:rPr>
          <w:rFonts w:ascii="Arial" w:cs="Arial" w:eastAsia="Arial" w:hAnsi="Arial"/>
          <w:sz w:val="16"/>
          <w:szCs w:val="16"/>
          <w:i w:val="1"/>
          <w:iCs w:val="1"/>
          <w:color w:val="auto"/>
        </w:rPr>
        <w:t>GasLog Savannah</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Singapore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Chelsea</w:t>
      </w:r>
      <w:r>
        <w:rPr>
          <w:rFonts w:ascii="Arial" w:cs="Arial" w:eastAsia="Arial" w:hAnsi="Arial"/>
          <w:sz w:val="16"/>
          <w:szCs w:val="16"/>
          <w:color w:val="auto"/>
        </w:rPr>
        <w:t xml:space="preserve"> and from the expiration of the initial time charters of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Sydney</w:t>
      </w:r>
      <w:r>
        <w:rPr>
          <w:rFonts w:ascii="Arial" w:cs="Arial" w:eastAsia="Arial" w:hAnsi="Arial"/>
          <w:sz w:val="16"/>
          <w:szCs w:val="16"/>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For the quarter ended September 30, 2019, an analysis of revenue operating days, revenues and voyage expenses and commissions per category of charter is presented below:</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3"/>
        </w:trPr>
        <w:tc>
          <w:tcPr>
            <w:tcW w:w="7320" w:type="dxa"/>
            <w:vAlign w:val="bottom"/>
          </w:tcPr>
          <w:p>
            <w:pPr>
              <w:spacing w:after="0"/>
              <w:rPr>
                <w:sz w:val="17"/>
                <w:szCs w:val="17"/>
                <w:color w:val="auto"/>
              </w:rPr>
            </w:pPr>
          </w:p>
        </w:tc>
        <w:tc>
          <w:tcPr>
            <w:tcW w:w="410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0"/>
              </w:rPr>
              <w:t>For the three months ended</w:t>
            </w:r>
          </w:p>
        </w:tc>
      </w:tr>
      <w:tr>
        <w:trPr>
          <w:trHeight w:val="203"/>
        </w:trPr>
        <w:tc>
          <w:tcPr>
            <w:tcW w:w="7320" w:type="dxa"/>
            <w:vAlign w:val="bottom"/>
          </w:tcPr>
          <w:p>
            <w:pPr>
              <w:spacing w:after="0"/>
              <w:rPr>
                <w:sz w:val="17"/>
                <w:szCs w:val="17"/>
                <w:color w:val="auto"/>
              </w:rPr>
            </w:pPr>
          </w:p>
        </w:tc>
        <w:tc>
          <w:tcPr>
            <w:tcW w:w="410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89"/>
              </w:rPr>
              <w:t>September 30, 2019</w:t>
            </w:r>
          </w:p>
        </w:tc>
      </w:tr>
      <w:tr>
        <w:trPr>
          <w:trHeight w:val="210"/>
        </w:trPr>
        <w:tc>
          <w:tcPr>
            <w:tcW w:w="7320" w:type="dxa"/>
            <w:vAlign w:val="bottom"/>
          </w:tcPr>
          <w:p>
            <w:pPr>
              <w:spacing w:after="0"/>
              <w:rPr>
                <w:sz w:val="20"/>
                <w:szCs w:val="20"/>
                <w:color w:val="auto"/>
              </w:rPr>
            </w:pPr>
            <w:r>
              <w:rPr>
                <w:rFonts w:ascii="Arial" w:cs="Arial" w:eastAsia="Arial" w:hAnsi="Arial"/>
                <w:sz w:val="16"/>
                <w:szCs w:val="16"/>
                <w:b w:val="1"/>
                <w:bCs w:val="1"/>
                <w:i w:val="1"/>
                <w:iCs w:val="1"/>
                <w:color w:val="auto"/>
              </w:rPr>
              <w:t>Amounts in thousands of U.S. Dollars</w:t>
            </w:r>
          </w:p>
        </w:tc>
        <w:tc>
          <w:tcPr>
            <w:tcW w:w="230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Variable rate charters</w:t>
            </w:r>
          </w:p>
        </w:tc>
        <w:tc>
          <w:tcPr>
            <w:tcW w:w="1800" w:type="dxa"/>
            <w:vAlign w:val="bottom"/>
            <w:gridSpan w:val="2"/>
          </w:tcPr>
          <w:p>
            <w:pPr>
              <w:ind w:left="180"/>
              <w:spacing w:after="0"/>
              <w:rPr>
                <w:sz w:val="20"/>
                <w:szCs w:val="20"/>
                <w:color w:val="auto"/>
              </w:rPr>
            </w:pPr>
            <w:r>
              <w:rPr>
                <w:rFonts w:ascii="Arial" w:cs="Arial" w:eastAsia="Arial" w:hAnsi="Arial"/>
                <w:sz w:val="16"/>
                <w:szCs w:val="16"/>
                <w:b w:val="1"/>
                <w:bCs w:val="1"/>
                <w:color w:val="auto"/>
              </w:rPr>
              <w:t>Fixed rate charters</w:t>
            </w:r>
          </w:p>
        </w:tc>
      </w:tr>
      <w:tr>
        <w:trPr>
          <w:trHeight w:val="202"/>
        </w:trPr>
        <w:tc>
          <w:tcPr>
            <w:tcW w:w="7320" w:type="dxa"/>
            <w:vAlign w:val="bottom"/>
            <w:tcBorders>
              <w:top w:val="single" w:sz="8" w:color="E5FFFF"/>
            </w:tcBorders>
            <w:shd w:val="clear" w:color="auto" w:fill="E5FFFF"/>
          </w:tcPr>
          <w:p>
            <w:pPr>
              <w:spacing w:after="0" w:line="202" w:lineRule="exact"/>
              <w:rPr>
                <w:sz w:val="20"/>
                <w:szCs w:val="20"/>
                <w:color w:val="auto"/>
              </w:rPr>
            </w:pPr>
            <w:r>
              <w:rPr>
                <w:rFonts w:ascii="Arial" w:cs="Arial" w:eastAsia="Arial" w:hAnsi="Arial"/>
                <w:sz w:val="16"/>
                <w:szCs w:val="16"/>
                <w:color w:val="auto"/>
              </w:rPr>
              <w:t xml:space="preserve">Available days </w:t>
            </w:r>
            <w:r>
              <w:rPr>
                <w:rFonts w:ascii="Arial" w:cs="Arial" w:eastAsia="Arial" w:hAnsi="Arial"/>
                <w:sz w:val="21"/>
                <w:szCs w:val="21"/>
                <w:color w:val="auto"/>
                <w:vertAlign w:val="superscript"/>
              </w:rPr>
              <w:t>(*)</w:t>
            </w:r>
          </w:p>
        </w:tc>
        <w:tc>
          <w:tcPr>
            <w:tcW w:w="20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495</w:t>
            </w:r>
          </w:p>
        </w:tc>
        <w:tc>
          <w:tcPr>
            <w:tcW w:w="300" w:type="dxa"/>
            <w:vAlign w:val="bottom"/>
            <w:tcBorders>
              <w:top w:val="single" w:sz="8" w:color="E5FFFF"/>
            </w:tcBorders>
            <w:shd w:val="clear" w:color="auto" w:fill="E5FFFF"/>
          </w:tcPr>
          <w:p>
            <w:pPr>
              <w:spacing w:after="0"/>
              <w:rPr>
                <w:sz w:val="17"/>
                <w:szCs w:val="17"/>
                <w:color w:val="auto"/>
              </w:rPr>
            </w:pPr>
          </w:p>
        </w:tc>
        <w:tc>
          <w:tcPr>
            <w:tcW w:w="17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1,926</w:t>
            </w:r>
          </w:p>
        </w:tc>
        <w:tc>
          <w:tcPr>
            <w:tcW w:w="100" w:type="dxa"/>
            <w:vAlign w:val="bottom"/>
            <w:tcBorders>
              <w:top w:val="single" w:sz="8" w:color="E5FFFF"/>
            </w:tcBorders>
            <w:shd w:val="clear" w:color="auto" w:fill="E5FFFF"/>
          </w:tcPr>
          <w:p>
            <w:pPr>
              <w:spacing w:after="0"/>
              <w:rPr>
                <w:sz w:val="17"/>
                <w:szCs w:val="17"/>
                <w:color w:val="auto"/>
              </w:rPr>
            </w:pPr>
          </w:p>
        </w:tc>
      </w:tr>
      <w:tr>
        <w:trPr>
          <w:trHeight w:val="203"/>
        </w:trPr>
        <w:tc>
          <w:tcPr>
            <w:tcW w:w="7320" w:type="dxa"/>
            <w:vAlign w:val="bottom"/>
          </w:tcPr>
          <w:p>
            <w:pPr>
              <w:spacing w:after="0" w:line="203" w:lineRule="exact"/>
              <w:rPr>
                <w:sz w:val="20"/>
                <w:szCs w:val="20"/>
                <w:color w:val="auto"/>
              </w:rPr>
            </w:pPr>
            <w:r>
              <w:rPr>
                <w:rFonts w:ascii="Arial" w:cs="Arial" w:eastAsia="Arial" w:hAnsi="Arial"/>
                <w:sz w:val="16"/>
                <w:szCs w:val="16"/>
                <w:color w:val="auto"/>
              </w:rPr>
              <w:t>Revenue operating days</w:t>
            </w:r>
            <w:r>
              <w:rPr>
                <w:rFonts w:ascii="Arial" w:cs="Arial" w:eastAsia="Arial" w:hAnsi="Arial"/>
                <w:sz w:val="21"/>
                <w:szCs w:val="21"/>
                <w:color w:val="auto"/>
                <w:vertAlign w:val="superscript"/>
              </w:rPr>
              <w:t>(**)</w:t>
            </w:r>
          </w:p>
        </w:tc>
        <w:tc>
          <w:tcPr>
            <w:tcW w:w="2000" w:type="dxa"/>
            <w:vAlign w:val="bottom"/>
          </w:tcPr>
          <w:p>
            <w:pPr>
              <w:jc w:val="right"/>
              <w:spacing w:after="0"/>
              <w:rPr>
                <w:sz w:val="20"/>
                <w:szCs w:val="20"/>
                <w:color w:val="auto"/>
              </w:rPr>
            </w:pPr>
            <w:r>
              <w:rPr>
                <w:rFonts w:ascii="Arial" w:cs="Arial" w:eastAsia="Arial" w:hAnsi="Arial"/>
                <w:sz w:val="16"/>
                <w:szCs w:val="16"/>
                <w:color w:val="auto"/>
              </w:rPr>
              <w:t>360</w:t>
            </w:r>
          </w:p>
        </w:tc>
        <w:tc>
          <w:tcPr>
            <w:tcW w:w="300" w:type="dxa"/>
            <w:vAlign w:val="bottom"/>
          </w:tcPr>
          <w:p>
            <w:pPr>
              <w:spacing w:after="0"/>
              <w:rPr>
                <w:sz w:val="17"/>
                <w:szCs w:val="17"/>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6"/>
                <w:szCs w:val="16"/>
                <w:color w:val="auto"/>
              </w:rPr>
              <w:t>1,926</w:t>
            </w:r>
          </w:p>
        </w:tc>
      </w:tr>
      <w:tr>
        <w:trPr>
          <w:trHeight w:val="203"/>
        </w:trPr>
        <w:tc>
          <w:tcPr>
            <w:tcW w:w="7320" w:type="dxa"/>
            <w:vAlign w:val="bottom"/>
            <w:shd w:val="clear" w:color="auto" w:fill="E5FFFF"/>
          </w:tcPr>
          <w:p>
            <w:pPr>
              <w:spacing w:after="0"/>
              <w:rPr>
                <w:sz w:val="20"/>
                <w:szCs w:val="20"/>
                <w:color w:val="auto"/>
              </w:rPr>
            </w:pPr>
            <w:r>
              <w:rPr>
                <w:rFonts w:ascii="Arial" w:cs="Arial" w:eastAsia="Arial" w:hAnsi="Arial"/>
                <w:sz w:val="16"/>
                <w:szCs w:val="16"/>
                <w:color w:val="auto"/>
              </w:rPr>
              <w:t>Revenues</w:t>
            </w:r>
          </w:p>
        </w:tc>
        <w:tc>
          <w:tcPr>
            <w:tcW w:w="20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$21,056</w:t>
            </w:r>
          </w:p>
        </w:tc>
        <w:tc>
          <w:tcPr>
            <w:tcW w:w="300" w:type="dxa"/>
            <w:vAlign w:val="bottom"/>
            <w:shd w:val="clear" w:color="auto" w:fill="E5FFFF"/>
          </w:tcPr>
          <w:p>
            <w:pPr>
              <w:spacing w:after="0"/>
              <w:rPr>
                <w:sz w:val="17"/>
                <w:szCs w:val="17"/>
                <w:color w:val="auto"/>
              </w:rPr>
            </w:pPr>
          </w:p>
        </w:tc>
        <w:tc>
          <w:tcPr>
            <w:tcW w:w="180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$144,002</w:t>
            </w:r>
          </w:p>
        </w:tc>
      </w:tr>
      <w:tr>
        <w:trPr>
          <w:trHeight w:val="206"/>
        </w:trPr>
        <w:tc>
          <w:tcPr>
            <w:tcW w:w="7320" w:type="dxa"/>
            <w:vAlign w:val="bottom"/>
          </w:tcPr>
          <w:p>
            <w:pPr>
              <w:spacing w:after="0"/>
              <w:rPr>
                <w:sz w:val="20"/>
                <w:szCs w:val="20"/>
                <w:color w:val="auto"/>
              </w:rPr>
            </w:pPr>
            <w:r>
              <w:rPr>
                <w:rFonts w:ascii="Arial" w:cs="Arial" w:eastAsia="Arial" w:hAnsi="Arial"/>
                <w:sz w:val="16"/>
                <w:szCs w:val="16"/>
                <w:color w:val="auto"/>
              </w:rPr>
              <w:t>Voyage expenses and commissions</w:t>
            </w:r>
          </w:p>
        </w:tc>
        <w:tc>
          <w:tcPr>
            <w:tcW w:w="2300" w:type="dxa"/>
            <w:vAlign w:val="bottom"/>
            <w:gridSpan w:val="2"/>
          </w:tcPr>
          <w:p>
            <w:pPr>
              <w:jc w:val="right"/>
              <w:ind w:right="240"/>
              <w:spacing w:after="0"/>
              <w:rPr>
                <w:sz w:val="20"/>
                <w:szCs w:val="20"/>
                <w:color w:val="auto"/>
              </w:rPr>
            </w:pPr>
            <w:r>
              <w:rPr>
                <w:rFonts w:ascii="Arial" w:cs="Arial" w:eastAsia="Arial" w:hAnsi="Arial"/>
                <w:sz w:val="16"/>
                <w:szCs w:val="16"/>
                <w:color w:val="auto"/>
              </w:rPr>
              <w:t>$(3,216)</w:t>
            </w:r>
          </w:p>
        </w:tc>
        <w:tc>
          <w:tcPr>
            <w:tcW w:w="1800" w:type="dxa"/>
            <w:vAlign w:val="bottom"/>
            <w:gridSpan w:val="2"/>
          </w:tcPr>
          <w:p>
            <w:pPr>
              <w:jc w:val="right"/>
              <w:ind w:right="100"/>
              <w:spacing w:after="0"/>
              <w:rPr>
                <w:sz w:val="20"/>
                <w:szCs w:val="20"/>
                <w:color w:val="auto"/>
              </w:rPr>
            </w:pPr>
            <w:r>
              <w:rPr>
                <w:rFonts w:ascii="Arial" w:cs="Arial" w:eastAsia="Arial" w:hAnsi="Arial"/>
                <w:sz w:val="16"/>
                <w:szCs w:val="16"/>
                <w:color w:val="auto"/>
              </w:rPr>
              <w:t>$(3,386)</w:t>
            </w:r>
          </w:p>
        </w:tc>
      </w:tr>
    </w:tbl>
    <w:p>
      <w:pPr>
        <w:spacing w:after="0" w:line="202" w:lineRule="exact"/>
        <w:rPr>
          <w:sz w:val="20"/>
          <w:szCs w:val="20"/>
          <w:color w:val="auto"/>
        </w:rPr>
      </w:pPr>
    </w:p>
    <w:p>
      <w:pPr>
        <w:ind w:right="80" w:firstLine="8"/>
        <w:spacing w:after="0" w:line="237" w:lineRule="auto"/>
        <w:tabs>
          <w:tab w:leader="none" w:pos="158" w:val="left"/>
        </w:tabs>
        <w:numPr>
          <w:ilvl w:val="0"/>
          <w:numId w:val="4"/>
        </w:numPr>
        <w:rPr>
          <w:rFonts w:ascii="Arial" w:cs="Arial" w:eastAsia="Arial" w:hAnsi="Arial"/>
          <w:sz w:val="21"/>
          <w:szCs w:val="21"/>
          <w:color w:val="auto"/>
          <w:vertAlign w:val="superscript"/>
        </w:rPr>
      </w:pPr>
      <w:r>
        <w:rPr>
          <w:rFonts w:ascii="Arial" w:cs="Arial" w:eastAsia="Arial" w:hAnsi="Arial"/>
          <w:sz w:val="15"/>
          <w:szCs w:val="15"/>
          <w:color w:val="auto"/>
        </w:rPr>
        <w:t>Available days represent total calendar days in the period after deducting off-hire days where vessels are undergoing dry-dockings and unavailable days, i.e. days before and after a dry-docking where the vessel has limited ability for chartering opportunities.</w:t>
      </w:r>
    </w:p>
    <w:p>
      <w:pPr>
        <w:spacing w:after="0"/>
        <w:rPr>
          <w:rFonts w:ascii="Arial" w:cs="Arial" w:eastAsia="Arial" w:hAnsi="Arial"/>
          <w:sz w:val="21"/>
          <w:szCs w:val="21"/>
          <w:color w:val="auto"/>
          <w:vertAlign w:val="superscript"/>
        </w:rPr>
      </w:pPr>
      <w:r>
        <w:rPr>
          <w:rFonts w:ascii="Arial" w:cs="Arial" w:eastAsia="Arial" w:hAnsi="Arial"/>
          <w:sz w:val="21"/>
          <w:szCs w:val="21"/>
          <w:color w:val="auto"/>
          <w:vertAlign w:val="superscript"/>
        </w:rPr>
        <w:t>(**)</w:t>
      </w:r>
      <w:r>
        <w:rPr>
          <w:rFonts w:ascii="Arial" w:cs="Arial" w:eastAsia="Arial" w:hAnsi="Arial"/>
          <w:sz w:val="16"/>
          <w:szCs w:val="16"/>
          <w:color w:val="auto"/>
        </w:rPr>
        <w:t xml:space="preserve"> Revenue operating days represent total available days after deducting unchartered days.</w:t>
      </w:r>
    </w:p>
    <w:p>
      <w:pPr>
        <w:spacing w:after="0" w:line="173" w:lineRule="exact"/>
        <w:rPr>
          <w:sz w:val="20"/>
          <w:szCs w:val="20"/>
          <w:color w:val="auto"/>
        </w:rPr>
      </w:pPr>
    </w:p>
    <w:p>
      <w:pPr>
        <w:jc w:val="both"/>
        <w:ind w:right="120"/>
        <w:spacing w:after="0" w:line="278" w:lineRule="auto"/>
        <w:rPr>
          <w:sz w:val="20"/>
          <w:szCs w:val="20"/>
          <w:color w:val="auto"/>
        </w:rPr>
      </w:pPr>
      <w:r>
        <w:rPr>
          <w:rFonts w:ascii="Arial" w:cs="Arial" w:eastAsia="Arial" w:hAnsi="Arial"/>
          <w:sz w:val="16"/>
          <w:szCs w:val="16"/>
          <w:color w:val="auto"/>
        </w:rPr>
        <w:t>In addition, GasLog recognized gross revenues and gross voyage expenses and commissions of $0.3 million and $0.1 million, respectively, from the operation of its vessels in the Cool Pool during the quarter ended September 30, 2019 (September 30, 2018: $25.9 million and $2.1 million, respectively). Net pool performance decreased due to all of GasLog’s vessels exiting the Cool Pool by July 8, 2019.</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Voyage expenses and commissions were $6.7 million for the quarter ended September 30, 2019 ($6.8 million for the quarter ended September 30, 2018).</w:t>
      </w:r>
    </w:p>
    <w:p>
      <w:pPr>
        <w:spacing w:after="0" w:line="235" w:lineRule="exact"/>
        <w:rPr>
          <w:sz w:val="20"/>
          <w:szCs w:val="20"/>
          <w:color w:val="auto"/>
        </w:rPr>
      </w:pPr>
    </w:p>
    <w:p>
      <w:pPr>
        <w:ind w:right="40"/>
        <w:spacing w:after="0" w:line="313" w:lineRule="auto"/>
        <w:rPr>
          <w:sz w:val="20"/>
          <w:szCs w:val="20"/>
          <w:color w:val="auto"/>
        </w:rPr>
      </w:pPr>
      <w:r>
        <w:rPr>
          <w:rFonts w:ascii="Arial" w:cs="Arial" w:eastAsia="Arial" w:hAnsi="Arial"/>
          <w:sz w:val="14"/>
          <w:szCs w:val="14"/>
          <w:color w:val="auto"/>
        </w:rPr>
        <w:t xml:space="preserve">Vessel operating and supervision costs were $33.8 million for the quarter ended September 30, 2019 ($31.9 million for the quarter ended September 30, 2018). The increase in vessel operating and supervision costs is mainly attributable to an increase of $1.5 million from the deliveries of the </w:t>
      </w:r>
      <w:r>
        <w:rPr>
          <w:rFonts w:ascii="Arial" w:cs="Arial" w:eastAsia="Arial" w:hAnsi="Arial"/>
          <w:sz w:val="14"/>
          <w:szCs w:val="14"/>
          <w:i w:val="1"/>
          <w:iCs w:val="1"/>
          <w:color w:val="auto"/>
        </w:rPr>
        <w:t>GasLog Gladstone</w:t>
      </w:r>
      <w:r>
        <w:rPr>
          <w:rFonts w:ascii="Arial" w:cs="Arial" w:eastAsia="Arial" w:hAnsi="Arial"/>
          <w:sz w:val="14"/>
          <w:szCs w:val="14"/>
          <w:color w:val="auto"/>
        </w:rPr>
        <w:t xml:space="preserve"> on March 15, 2019 and the </w:t>
      </w:r>
      <w:r>
        <w:rPr>
          <w:rFonts w:ascii="Arial" w:cs="Arial" w:eastAsia="Arial" w:hAnsi="Arial"/>
          <w:sz w:val="14"/>
          <w:szCs w:val="14"/>
          <w:i w:val="1"/>
          <w:iCs w:val="1"/>
          <w:color w:val="auto"/>
        </w:rPr>
        <w:t>GasLog</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Warsaw </w:t>
      </w:r>
      <w:r>
        <w:rPr>
          <w:rFonts w:ascii="Arial" w:cs="Arial" w:eastAsia="Arial" w:hAnsi="Arial"/>
          <w:sz w:val="14"/>
          <w:szCs w:val="14"/>
          <w:color w:val="auto"/>
        </w:rPr>
        <w:t>on July 31, 2019, and an increase of $1.7 million in scheduled technical maintenance costs related to engine maintenance and costs related to dry-dockings in the three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months ended September 30, 2019, partially offset by a decrease of $0.5 million in vessel taxes and $0.9 million from the favorable movement of the EUR/USD exchange rate, which decreased by an average of 5.0% in the three months ended September 30, 2019, as compared to the same period in 2018. Daily operating costs per vessel decreased from $13,890 per ownership day (excluding the </w:t>
      </w:r>
      <w:r>
        <w:rPr>
          <w:rFonts w:ascii="Arial" w:cs="Arial" w:eastAsia="Arial" w:hAnsi="Arial"/>
          <w:sz w:val="14"/>
          <w:szCs w:val="14"/>
          <w:i w:val="1"/>
          <w:iCs w:val="1"/>
          <w:color w:val="auto"/>
        </w:rPr>
        <w:t>Solaris</w:t>
      </w:r>
      <w:r>
        <w:rPr>
          <w:rFonts w:ascii="Arial" w:cs="Arial" w:eastAsia="Arial" w:hAnsi="Arial"/>
          <w:sz w:val="14"/>
          <w:szCs w:val="14"/>
          <w:color w:val="auto"/>
        </w:rPr>
        <w:t xml:space="preserve"> managed by Shell) for the three-month period ended September 30, 2018 to $13,777 per ownership day (excluding the </w:t>
      </w:r>
      <w:r>
        <w:rPr>
          <w:rFonts w:ascii="Arial" w:cs="Arial" w:eastAsia="Arial" w:hAnsi="Arial"/>
          <w:sz w:val="14"/>
          <w:szCs w:val="14"/>
          <w:i w:val="1"/>
          <w:iCs w:val="1"/>
          <w:color w:val="auto"/>
        </w:rPr>
        <w:t xml:space="preserve">Solaris </w:t>
      </w:r>
      <w:r>
        <w:rPr>
          <w:rFonts w:ascii="Arial" w:cs="Arial" w:eastAsia="Arial" w:hAnsi="Arial"/>
          <w:sz w:val="14"/>
          <w:szCs w:val="14"/>
          <w:color w:val="auto"/>
        </w:rPr>
        <w:t>managed by Shell) for the three-month period ended September 30, 2019. Ownership days represent total calendar days for our owned and bareboat fleet.</w:t>
      </w:r>
    </w:p>
    <w:p>
      <w:pPr>
        <w:spacing w:after="0" w:line="164" w:lineRule="exact"/>
        <w:rPr>
          <w:sz w:val="20"/>
          <w:szCs w:val="20"/>
          <w:color w:val="auto"/>
        </w:rPr>
      </w:pPr>
    </w:p>
    <w:p>
      <w:pPr>
        <w:ind w:right="240"/>
        <w:spacing w:after="0" w:line="273" w:lineRule="auto"/>
        <w:rPr>
          <w:sz w:val="20"/>
          <w:szCs w:val="20"/>
          <w:color w:val="auto"/>
        </w:rPr>
      </w:pPr>
      <w:r>
        <w:rPr>
          <w:rFonts w:ascii="Arial" w:cs="Arial" w:eastAsia="Arial" w:hAnsi="Arial"/>
          <w:sz w:val="16"/>
          <w:szCs w:val="16"/>
          <w:color w:val="auto"/>
        </w:rPr>
        <w:t>General and administrative expenses were $11.3 million for the quarter ended September 30, 2019 ($9.9 million for the quarter ended September 30, 2018). The increase is mainly attributable to an increase of $1.2 million in employee costs offset by a $0.5 million favorable movement of the EUR/USD exchange rate and an increase of $0.3 million in legal and professional expenses. Daily general and administrative expenses per vessel increased from $4,146 per ownership day (as defined above) for the quarter ended September 30, 2018 to $4,449 per ownership day for the quarter ended September 30, 2019.</w:t>
      </w:r>
    </w:p>
    <w:p>
      <w:pPr>
        <w:spacing w:after="0" w:line="189" w:lineRule="exact"/>
        <w:rPr>
          <w:sz w:val="20"/>
          <w:szCs w:val="20"/>
          <w:color w:val="auto"/>
        </w:rPr>
      </w:pPr>
    </w:p>
    <w:p>
      <w:pPr>
        <w:jc w:val="both"/>
        <w:ind w:right="340"/>
        <w:spacing w:after="0" w:line="278" w:lineRule="auto"/>
        <w:rPr>
          <w:sz w:val="20"/>
          <w:szCs w:val="20"/>
          <w:color w:val="auto"/>
        </w:rPr>
      </w:pPr>
      <w:r>
        <w:rPr>
          <w:rFonts w:ascii="Arial" w:cs="Arial" w:eastAsia="Arial" w:hAnsi="Arial"/>
          <w:sz w:val="16"/>
          <w:szCs w:val="16"/>
          <w:color w:val="auto"/>
        </w:rPr>
        <w:t xml:space="preserve">Depreciation was $43.2 million for the quarter ended September 30, 2019 ($39.3 million for the quarter ended September 30, 2018). The increase resulted mainly from an increase of $2.5 million from the delivery of the </w:t>
      </w:r>
      <w:r>
        <w:rPr>
          <w:rFonts w:ascii="Arial" w:cs="Arial" w:eastAsia="Arial" w:hAnsi="Arial"/>
          <w:sz w:val="16"/>
          <w:szCs w:val="16"/>
          <w:i w:val="1"/>
          <w:iCs w:val="1"/>
          <w:color w:val="auto"/>
        </w:rPr>
        <w:t>GasLog Gladstone</w:t>
      </w:r>
      <w:r>
        <w:rPr>
          <w:rFonts w:ascii="Arial" w:cs="Arial" w:eastAsia="Arial" w:hAnsi="Arial"/>
          <w:sz w:val="16"/>
          <w:szCs w:val="16"/>
          <w:color w:val="auto"/>
        </w:rPr>
        <w:t xml:space="preserve"> on March 15, 2019 and the </w:t>
      </w:r>
      <w:r>
        <w:rPr>
          <w:rFonts w:ascii="Arial" w:cs="Arial" w:eastAsia="Arial" w:hAnsi="Arial"/>
          <w:sz w:val="16"/>
          <w:szCs w:val="16"/>
          <w:i w:val="1"/>
          <w:iCs w:val="1"/>
          <w:color w:val="auto"/>
        </w:rPr>
        <w:t>GasLog Warsaw</w:t>
      </w:r>
      <w:r>
        <w:rPr>
          <w:rFonts w:ascii="Arial" w:cs="Arial" w:eastAsia="Arial" w:hAnsi="Arial"/>
          <w:sz w:val="16"/>
          <w:szCs w:val="16"/>
          <w:color w:val="auto"/>
        </w:rPr>
        <w:t xml:space="preserve"> on July 31, 2019, and an increase of $0.7 million from the depreciation of the right-of-use assets deriving from the implementation of IFRS 16 </w:t>
      </w:r>
      <w:r>
        <w:rPr>
          <w:rFonts w:ascii="Arial" w:cs="Arial" w:eastAsia="Arial" w:hAnsi="Arial"/>
          <w:sz w:val="16"/>
          <w:szCs w:val="16"/>
          <w:i w:val="1"/>
          <w:iCs w:val="1"/>
          <w:color w:val="auto"/>
        </w:rPr>
        <w:t>Leases</w:t>
      </w:r>
      <w:r>
        <w:rPr>
          <w:rFonts w:ascii="Arial" w:cs="Arial" w:eastAsia="Arial" w:hAnsi="Arial"/>
          <w:sz w:val="16"/>
          <w:szCs w:val="16"/>
          <w:color w:val="auto"/>
        </w:rPr>
        <w:t>.</w:t>
      </w:r>
    </w:p>
    <w:p>
      <w:pPr>
        <w:spacing w:after="0" w:line="184"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Financial costs were $46.5 million for the quarter ended September 30, 2019 ($43.9 million for the quarter ended September 30, 2018). The increase was mainly attributable to an increase of $2.4 million in interest expense on loans, bonds and cash flow hedges, due to the increased weighted average outstanding indebtedness. An analysis of the financial costs is presented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All amounts expressed in thousands of U.S. dollars</w:t>
            </w: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3700" w:type="dxa"/>
            <w:vAlign w:val="bottom"/>
            <w:gridSpan w:val="5"/>
          </w:tcPr>
          <w:p>
            <w:pPr>
              <w:jc w:val="right"/>
              <w:ind w:right="999"/>
              <w:spacing w:after="0"/>
              <w:rPr>
                <w:sz w:val="20"/>
                <w:szCs w:val="20"/>
                <w:color w:val="auto"/>
              </w:rPr>
            </w:pPr>
            <w:r>
              <w:rPr>
                <w:rFonts w:ascii="Arial" w:cs="Arial" w:eastAsia="Arial" w:hAnsi="Arial"/>
                <w:sz w:val="16"/>
                <w:szCs w:val="16"/>
                <w:b w:val="1"/>
                <w:bCs w:val="1"/>
                <w:color w:val="auto"/>
              </w:rPr>
              <w:t>For the three months ended</w:t>
            </w:r>
          </w:p>
        </w:tc>
      </w:tr>
      <w:tr>
        <w:trPr>
          <w:trHeight w:val="210"/>
        </w:trPr>
        <w:tc>
          <w:tcPr>
            <w:tcW w:w="7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459"/>
              <w:spacing w:after="0"/>
              <w:rPr>
                <w:sz w:val="20"/>
                <w:szCs w:val="20"/>
                <w:color w:val="auto"/>
              </w:rPr>
            </w:pPr>
            <w:r>
              <w:rPr>
                <w:rFonts w:ascii="Arial" w:cs="Arial" w:eastAsia="Arial" w:hAnsi="Arial"/>
                <w:sz w:val="16"/>
                <w:szCs w:val="16"/>
                <w:b w:val="1"/>
                <w:bCs w:val="1"/>
                <w:color w:val="auto"/>
                <w:w w:val="93"/>
              </w:rPr>
              <w:t>September 30, 2018</w:t>
            </w:r>
          </w:p>
        </w:tc>
        <w:tc>
          <w:tcPr>
            <w:tcW w:w="120" w:type="dxa"/>
            <w:vAlign w:val="bottom"/>
          </w:tcPr>
          <w:p>
            <w:pPr>
              <w:spacing w:after="0"/>
              <w:rPr>
                <w:sz w:val="18"/>
                <w:szCs w:val="18"/>
                <w:color w:val="auto"/>
              </w:rPr>
            </w:pPr>
          </w:p>
        </w:tc>
        <w:tc>
          <w:tcPr>
            <w:tcW w:w="162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w w:val="90"/>
              </w:rPr>
              <w:t>September 30, 2019</w:t>
            </w:r>
          </w:p>
        </w:tc>
      </w:tr>
      <w:tr>
        <w:trPr>
          <w:trHeight w:val="189"/>
        </w:trPr>
        <w:tc>
          <w:tcPr>
            <w:tcW w:w="75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Financial costs</w:t>
            </w:r>
          </w:p>
        </w:tc>
        <w:tc>
          <w:tcPr>
            <w:tcW w:w="180" w:type="dxa"/>
            <w:vAlign w:val="bottom"/>
            <w:tcBorders>
              <w:top w:val="single" w:sz="8" w:color="auto"/>
            </w:tcBorders>
            <w:shd w:val="clear" w:color="auto" w:fill="E5FFFF"/>
          </w:tcPr>
          <w:p>
            <w:pPr>
              <w:spacing w:after="0"/>
              <w:rPr>
                <w:sz w:val="16"/>
                <w:szCs w:val="16"/>
                <w:color w:val="auto"/>
              </w:rPr>
            </w:pPr>
          </w:p>
        </w:tc>
        <w:tc>
          <w:tcPr>
            <w:tcW w:w="1640" w:type="dxa"/>
            <w:vAlign w:val="bottom"/>
            <w:tcBorders>
              <w:top w:val="single" w:sz="8" w:color="auto"/>
            </w:tcBorders>
            <w:shd w:val="clear" w:color="auto" w:fill="E5FFFF"/>
          </w:tcPr>
          <w:p>
            <w:pPr>
              <w:spacing w:after="0"/>
              <w:rPr>
                <w:sz w:val="16"/>
                <w:szCs w:val="16"/>
                <w:color w:val="auto"/>
              </w:rPr>
            </w:pPr>
          </w:p>
        </w:tc>
        <w:tc>
          <w:tcPr>
            <w:tcW w:w="320" w:type="dxa"/>
            <w:vAlign w:val="bottom"/>
            <w:tcBorders>
              <w:top w:val="single" w:sz="8" w:color="E5FFFF"/>
            </w:tcBorders>
            <w:shd w:val="clear" w:color="auto" w:fill="E5FFFF"/>
          </w:tcPr>
          <w:p>
            <w:pPr>
              <w:spacing w:after="0"/>
              <w:rPr>
                <w:sz w:val="16"/>
                <w:szCs w:val="16"/>
                <w:color w:val="auto"/>
              </w:rPr>
            </w:pPr>
          </w:p>
        </w:tc>
        <w:tc>
          <w:tcPr>
            <w:tcW w:w="120" w:type="dxa"/>
            <w:vAlign w:val="bottom"/>
            <w:tcBorders>
              <w:top w:val="single" w:sz="8" w:color="auto"/>
            </w:tcBorders>
            <w:shd w:val="clear" w:color="auto" w:fill="E5FFFF"/>
          </w:tcPr>
          <w:p>
            <w:pPr>
              <w:spacing w:after="0"/>
              <w:rPr>
                <w:sz w:val="16"/>
                <w:szCs w:val="16"/>
                <w:color w:val="auto"/>
              </w:rPr>
            </w:pPr>
          </w:p>
        </w:tc>
        <w:tc>
          <w:tcPr>
            <w:tcW w:w="1520" w:type="dxa"/>
            <w:vAlign w:val="bottom"/>
            <w:tcBorders>
              <w:top w:val="single" w:sz="8" w:color="auto"/>
            </w:tcBorders>
            <w:shd w:val="clear" w:color="auto" w:fill="E5FFFF"/>
          </w:tcPr>
          <w:p>
            <w:pPr>
              <w:spacing w:after="0"/>
              <w:rPr>
                <w:sz w:val="16"/>
                <w:szCs w:val="16"/>
                <w:color w:val="auto"/>
              </w:rPr>
            </w:pPr>
          </w:p>
        </w:tc>
        <w:tc>
          <w:tcPr>
            <w:tcW w:w="100" w:type="dxa"/>
            <w:vAlign w:val="bottom"/>
            <w:tcBorders>
              <w:top w:val="single" w:sz="8" w:color="E5FFFF"/>
            </w:tcBorders>
            <w:shd w:val="clear" w:color="auto" w:fill="E5FFFF"/>
          </w:tcPr>
          <w:p>
            <w:pPr>
              <w:spacing w:after="0"/>
              <w:rPr>
                <w:sz w:val="16"/>
                <w:szCs w:val="16"/>
                <w:color w:val="auto"/>
              </w:rPr>
            </w:pPr>
          </w:p>
        </w:tc>
      </w:tr>
      <w:tr>
        <w:trPr>
          <w:trHeight w:val="203"/>
        </w:trPr>
        <w:tc>
          <w:tcPr>
            <w:tcW w:w="7540" w:type="dxa"/>
            <w:vAlign w:val="bottom"/>
          </w:tcPr>
          <w:p>
            <w:pPr>
              <w:spacing w:after="0"/>
              <w:rPr>
                <w:sz w:val="20"/>
                <w:szCs w:val="20"/>
                <w:color w:val="auto"/>
              </w:rPr>
            </w:pPr>
            <w:r>
              <w:rPr>
                <w:rFonts w:ascii="Arial" w:cs="Arial" w:eastAsia="Arial" w:hAnsi="Arial"/>
                <w:sz w:val="16"/>
                <w:szCs w:val="16"/>
                <w:color w:val="auto"/>
              </w:rPr>
              <w:t>Amortization and write-off of deferred loan/bond issuance costs/premium</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960" w:type="dxa"/>
            <w:vAlign w:val="bottom"/>
            <w:gridSpan w:val="2"/>
          </w:tcPr>
          <w:p>
            <w:pPr>
              <w:jc w:val="right"/>
              <w:ind w:right="179"/>
              <w:spacing w:after="0"/>
              <w:rPr>
                <w:sz w:val="20"/>
                <w:szCs w:val="20"/>
                <w:color w:val="auto"/>
              </w:rPr>
            </w:pPr>
            <w:r>
              <w:rPr>
                <w:rFonts w:ascii="Arial" w:cs="Arial" w:eastAsia="Arial" w:hAnsi="Arial"/>
                <w:sz w:val="16"/>
                <w:szCs w:val="16"/>
                <w:color w:val="auto"/>
              </w:rPr>
              <w:t>(3,239)</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gridSpan w:val="2"/>
          </w:tcPr>
          <w:p>
            <w:pPr>
              <w:jc w:val="right"/>
              <w:ind w:right="19"/>
              <w:spacing w:after="0"/>
              <w:rPr>
                <w:sz w:val="20"/>
                <w:szCs w:val="20"/>
                <w:color w:val="auto"/>
              </w:rPr>
            </w:pPr>
            <w:r>
              <w:rPr>
                <w:rFonts w:ascii="Arial" w:cs="Arial" w:eastAsia="Arial" w:hAnsi="Arial"/>
                <w:sz w:val="16"/>
                <w:szCs w:val="16"/>
                <w:color w:val="auto"/>
              </w:rPr>
              <w:t>(3,265)</w:t>
            </w:r>
          </w:p>
        </w:tc>
      </w:tr>
      <w:tr>
        <w:trPr>
          <w:trHeight w:val="203"/>
        </w:trPr>
        <w:tc>
          <w:tcPr>
            <w:tcW w:w="7540" w:type="dxa"/>
            <w:vAlign w:val="bottom"/>
            <w:shd w:val="clear" w:color="auto" w:fill="E5FFFF"/>
          </w:tcPr>
          <w:p>
            <w:pPr>
              <w:spacing w:after="0"/>
              <w:rPr>
                <w:sz w:val="20"/>
                <w:szCs w:val="20"/>
                <w:color w:val="auto"/>
              </w:rPr>
            </w:pPr>
            <w:r>
              <w:rPr>
                <w:rFonts w:ascii="Arial" w:cs="Arial" w:eastAsia="Arial" w:hAnsi="Arial"/>
                <w:sz w:val="16"/>
                <w:szCs w:val="16"/>
                <w:color w:val="auto"/>
              </w:rPr>
              <w:t>Interest expense on loans</w:t>
            </w:r>
          </w:p>
        </w:tc>
        <w:tc>
          <w:tcPr>
            <w:tcW w:w="180" w:type="dxa"/>
            <w:vAlign w:val="bottom"/>
            <w:shd w:val="clear" w:color="auto" w:fill="E5FFFF"/>
          </w:tcPr>
          <w:p>
            <w:pPr>
              <w:spacing w:after="0"/>
              <w:rPr>
                <w:sz w:val="17"/>
                <w:szCs w:val="17"/>
                <w:color w:val="auto"/>
              </w:rPr>
            </w:pPr>
          </w:p>
        </w:tc>
        <w:tc>
          <w:tcPr>
            <w:tcW w:w="1960" w:type="dxa"/>
            <w:vAlign w:val="bottom"/>
            <w:gridSpan w:val="2"/>
            <w:shd w:val="clear" w:color="auto" w:fill="E5FFFF"/>
          </w:tcPr>
          <w:p>
            <w:pPr>
              <w:jc w:val="right"/>
              <w:ind w:right="179"/>
              <w:spacing w:after="0"/>
              <w:rPr>
                <w:sz w:val="20"/>
                <w:szCs w:val="20"/>
                <w:color w:val="auto"/>
              </w:rPr>
            </w:pPr>
            <w:r>
              <w:rPr>
                <w:rFonts w:ascii="Arial" w:cs="Arial" w:eastAsia="Arial" w:hAnsi="Arial"/>
                <w:sz w:val="16"/>
                <w:szCs w:val="16"/>
                <w:color w:val="auto"/>
              </w:rPr>
              <w:t>(30,068)</w:t>
            </w:r>
          </w:p>
        </w:tc>
        <w:tc>
          <w:tcPr>
            <w:tcW w:w="120" w:type="dxa"/>
            <w:vAlign w:val="bottom"/>
            <w:shd w:val="clear" w:color="auto" w:fill="E5FFFF"/>
          </w:tcPr>
          <w:p>
            <w:pPr>
              <w:spacing w:after="0"/>
              <w:rPr>
                <w:sz w:val="17"/>
                <w:szCs w:val="17"/>
                <w:color w:val="auto"/>
              </w:rPr>
            </w:pPr>
          </w:p>
        </w:tc>
        <w:tc>
          <w:tcPr>
            <w:tcW w:w="1620" w:type="dxa"/>
            <w:vAlign w:val="bottom"/>
            <w:gridSpan w:val="2"/>
            <w:shd w:val="clear" w:color="auto" w:fill="E5FFFF"/>
          </w:tcPr>
          <w:p>
            <w:pPr>
              <w:jc w:val="right"/>
              <w:ind w:right="19"/>
              <w:spacing w:after="0"/>
              <w:rPr>
                <w:sz w:val="20"/>
                <w:szCs w:val="20"/>
                <w:color w:val="auto"/>
              </w:rPr>
            </w:pPr>
            <w:r>
              <w:rPr>
                <w:rFonts w:ascii="Arial" w:cs="Arial" w:eastAsia="Arial" w:hAnsi="Arial"/>
                <w:sz w:val="16"/>
                <w:szCs w:val="16"/>
                <w:color w:val="auto"/>
              </w:rPr>
              <w:t>(30,833)</w:t>
            </w:r>
          </w:p>
        </w:tc>
      </w:tr>
      <w:tr>
        <w:trPr>
          <w:trHeight w:val="203"/>
        </w:trPr>
        <w:tc>
          <w:tcPr>
            <w:tcW w:w="7540" w:type="dxa"/>
            <w:vAlign w:val="bottom"/>
          </w:tcPr>
          <w:p>
            <w:pPr>
              <w:spacing w:after="0"/>
              <w:rPr>
                <w:sz w:val="20"/>
                <w:szCs w:val="20"/>
                <w:color w:val="auto"/>
              </w:rPr>
            </w:pPr>
            <w:r>
              <w:rPr>
                <w:rFonts w:ascii="Arial" w:cs="Arial" w:eastAsia="Arial" w:hAnsi="Arial"/>
                <w:sz w:val="16"/>
                <w:szCs w:val="16"/>
                <w:color w:val="auto"/>
              </w:rPr>
              <w:t>Interest expense on bonds and realized loss on cross-currency swaps</w:t>
            </w:r>
          </w:p>
        </w:tc>
        <w:tc>
          <w:tcPr>
            <w:tcW w:w="180" w:type="dxa"/>
            <w:vAlign w:val="bottom"/>
          </w:tcPr>
          <w:p>
            <w:pPr>
              <w:spacing w:after="0"/>
              <w:rPr>
                <w:sz w:val="17"/>
                <w:szCs w:val="17"/>
                <w:color w:val="auto"/>
              </w:rPr>
            </w:pPr>
          </w:p>
        </w:tc>
        <w:tc>
          <w:tcPr>
            <w:tcW w:w="1960" w:type="dxa"/>
            <w:vAlign w:val="bottom"/>
            <w:gridSpan w:val="2"/>
          </w:tcPr>
          <w:p>
            <w:pPr>
              <w:jc w:val="right"/>
              <w:ind w:right="179"/>
              <w:spacing w:after="0"/>
              <w:rPr>
                <w:sz w:val="20"/>
                <w:szCs w:val="20"/>
                <w:color w:val="auto"/>
              </w:rPr>
            </w:pPr>
            <w:r>
              <w:rPr>
                <w:rFonts w:ascii="Arial" w:cs="Arial" w:eastAsia="Arial" w:hAnsi="Arial"/>
                <w:sz w:val="16"/>
                <w:szCs w:val="16"/>
                <w:color w:val="auto"/>
              </w:rPr>
              <w:t>(7,526)</w:t>
            </w:r>
          </w:p>
        </w:tc>
        <w:tc>
          <w:tcPr>
            <w:tcW w:w="120" w:type="dxa"/>
            <w:vAlign w:val="bottom"/>
          </w:tcPr>
          <w:p>
            <w:pPr>
              <w:spacing w:after="0"/>
              <w:rPr>
                <w:sz w:val="17"/>
                <w:szCs w:val="17"/>
                <w:color w:val="auto"/>
              </w:rPr>
            </w:pPr>
          </w:p>
        </w:tc>
        <w:tc>
          <w:tcPr>
            <w:tcW w:w="1620" w:type="dxa"/>
            <w:vAlign w:val="bottom"/>
            <w:gridSpan w:val="2"/>
          </w:tcPr>
          <w:p>
            <w:pPr>
              <w:jc w:val="right"/>
              <w:ind w:right="19"/>
              <w:spacing w:after="0"/>
              <w:rPr>
                <w:sz w:val="20"/>
                <w:szCs w:val="20"/>
                <w:color w:val="auto"/>
              </w:rPr>
            </w:pPr>
            <w:r>
              <w:rPr>
                <w:rFonts w:ascii="Arial" w:cs="Arial" w:eastAsia="Arial" w:hAnsi="Arial"/>
                <w:sz w:val="16"/>
                <w:szCs w:val="16"/>
                <w:color w:val="auto"/>
              </w:rPr>
              <w:t>(9,190)</w:t>
            </w:r>
          </w:p>
        </w:tc>
      </w:tr>
      <w:tr>
        <w:trPr>
          <w:trHeight w:val="203"/>
        </w:trPr>
        <w:tc>
          <w:tcPr>
            <w:tcW w:w="7540" w:type="dxa"/>
            <w:vAlign w:val="bottom"/>
            <w:shd w:val="clear" w:color="auto" w:fill="E5FFFF"/>
          </w:tcPr>
          <w:p>
            <w:pPr>
              <w:spacing w:after="0"/>
              <w:rPr>
                <w:sz w:val="20"/>
                <w:szCs w:val="20"/>
                <w:color w:val="auto"/>
              </w:rPr>
            </w:pPr>
            <w:r>
              <w:rPr>
                <w:rFonts w:ascii="Arial" w:cs="Arial" w:eastAsia="Arial" w:hAnsi="Arial"/>
                <w:sz w:val="16"/>
                <w:szCs w:val="16"/>
                <w:color w:val="auto"/>
              </w:rPr>
              <w:t>Lease charge</w:t>
            </w:r>
          </w:p>
        </w:tc>
        <w:tc>
          <w:tcPr>
            <w:tcW w:w="180" w:type="dxa"/>
            <w:vAlign w:val="bottom"/>
            <w:shd w:val="clear" w:color="auto" w:fill="E5FFFF"/>
          </w:tcPr>
          <w:p>
            <w:pPr>
              <w:spacing w:after="0"/>
              <w:rPr>
                <w:sz w:val="17"/>
                <w:szCs w:val="17"/>
                <w:color w:val="auto"/>
              </w:rPr>
            </w:pPr>
          </w:p>
        </w:tc>
        <w:tc>
          <w:tcPr>
            <w:tcW w:w="1960" w:type="dxa"/>
            <w:vAlign w:val="bottom"/>
            <w:gridSpan w:val="2"/>
            <w:shd w:val="clear" w:color="auto" w:fill="E5FFFF"/>
          </w:tcPr>
          <w:p>
            <w:pPr>
              <w:jc w:val="right"/>
              <w:ind w:right="179"/>
              <w:spacing w:after="0"/>
              <w:rPr>
                <w:sz w:val="20"/>
                <w:szCs w:val="20"/>
                <w:color w:val="auto"/>
              </w:rPr>
            </w:pPr>
            <w:r>
              <w:rPr>
                <w:rFonts w:ascii="Arial" w:cs="Arial" w:eastAsia="Arial" w:hAnsi="Arial"/>
                <w:sz w:val="16"/>
                <w:szCs w:val="16"/>
                <w:color w:val="auto"/>
              </w:rPr>
              <w:t>(2,641)</w:t>
            </w:r>
          </w:p>
        </w:tc>
        <w:tc>
          <w:tcPr>
            <w:tcW w:w="120" w:type="dxa"/>
            <w:vAlign w:val="bottom"/>
            <w:shd w:val="clear" w:color="auto" w:fill="E5FFFF"/>
          </w:tcPr>
          <w:p>
            <w:pPr>
              <w:spacing w:after="0"/>
              <w:rPr>
                <w:sz w:val="17"/>
                <w:szCs w:val="17"/>
                <w:color w:val="auto"/>
              </w:rPr>
            </w:pPr>
          </w:p>
        </w:tc>
        <w:tc>
          <w:tcPr>
            <w:tcW w:w="1620" w:type="dxa"/>
            <w:vAlign w:val="bottom"/>
            <w:gridSpan w:val="2"/>
            <w:shd w:val="clear" w:color="auto" w:fill="E5FFFF"/>
          </w:tcPr>
          <w:p>
            <w:pPr>
              <w:jc w:val="right"/>
              <w:ind w:right="19"/>
              <w:spacing w:after="0"/>
              <w:rPr>
                <w:sz w:val="20"/>
                <w:szCs w:val="20"/>
                <w:color w:val="auto"/>
              </w:rPr>
            </w:pPr>
            <w:r>
              <w:rPr>
                <w:rFonts w:ascii="Arial" w:cs="Arial" w:eastAsia="Arial" w:hAnsi="Arial"/>
                <w:sz w:val="16"/>
                <w:szCs w:val="16"/>
                <w:color w:val="auto"/>
              </w:rPr>
              <w:t>(2,636)</w:t>
            </w:r>
          </w:p>
        </w:tc>
      </w:tr>
      <w:tr>
        <w:trPr>
          <w:trHeight w:val="203"/>
        </w:trPr>
        <w:tc>
          <w:tcPr>
            <w:tcW w:w="7540" w:type="dxa"/>
            <w:vAlign w:val="bottom"/>
          </w:tcPr>
          <w:p>
            <w:pPr>
              <w:spacing w:after="0"/>
              <w:rPr>
                <w:sz w:val="20"/>
                <w:szCs w:val="20"/>
                <w:color w:val="auto"/>
              </w:rPr>
            </w:pPr>
            <w:r>
              <w:rPr>
                <w:rFonts w:ascii="Arial" w:cs="Arial" w:eastAsia="Arial" w:hAnsi="Arial"/>
                <w:sz w:val="16"/>
                <w:szCs w:val="16"/>
                <w:color w:val="auto"/>
              </w:rPr>
              <w:t>Other financial costs</w:t>
            </w:r>
          </w:p>
        </w:tc>
        <w:tc>
          <w:tcPr>
            <w:tcW w:w="180" w:type="dxa"/>
            <w:vAlign w:val="bottom"/>
          </w:tcPr>
          <w:p>
            <w:pPr>
              <w:spacing w:after="0"/>
              <w:rPr>
                <w:sz w:val="17"/>
                <w:szCs w:val="17"/>
                <w:color w:val="auto"/>
              </w:rPr>
            </w:pPr>
          </w:p>
        </w:tc>
        <w:tc>
          <w:tcPr>
            <w:tcW w:w="1960" w:type="dxa"/>
            <w:vAlign w:val="bottom"/>
            <w:gridSpan w:val="2"/>
          </w:tcPr>
          <w:p>
            <w:pPr>
              <w:jc w:val="right"/>
              <w:ind w:right="179"/>
              <w:spacing w:after="0"/>
              <w:rPr>
                <w:sz w:val="20"/>
                <w:szCs w:val="20"/>
                <w:color w:val="auto"/>
              </w:rPr>
            </w:pPr>
            <w:r>
              <w:rPr>
                <w:rFonts w:ascii="Arial" w:cs="Arial" w:eastAsia="Arial" w:hAnsi="Arial"/>
                <w:sz w:val="16"/>
                <w:szCs w:val="16"/>
                <w:color w:val="auto"/>
              </w:rPr>
              <w:t>(434)</w:t>
            </w:r>
          </w:p>
        </w:tc>
        <w:tc>
          <w:tcPr>
            <w:tcW w:w="120" w:type="dxa"/>
            <w:vAlign w:val="bottom"/>
          </w:tcPr>
          <w:p>
            <w:pPr>
              <w:spacing w:after="0"/>
              <w:rPr>
                <w:sz w:val="17"/>
                <w:szCs w:val="17"/>
                <w:color w:val="auto"/>
              </w:rPr>
            </w:pPr>
          </w:p>
        </w:tc>
        <w:tc>
          <w:tcPr>
            <w:tcW w:w="1620" w:type="dxa"/>
            <w:vAlign w:val="bottom"/>
            <w:gridSpan w:val="2"/>
          </w:tcPr>
          <w:p>
            <w:pPr>
              <w:jc w:val="right"/>
              <w:ind w:right="19"/>
              <w:spacing w:after="0"/>
              <w:rPr>
                <w:sz w:val="20"/>
                <w:szCs w:val="20"/>
                <w:color w:val="auto"/>
              </w:rPr>
            </w:pPr>
            <w:r>
              <w:rPr>
                <w:rFonts w:ascii="Arial" w:cs="Arial" w:eastAsia="Arial" w:hAnsi="Arial"/>
                <w:sz w:val="16"/>
                <w:szCs w:val="16"/>
                <w:color w:val="auto"/>
              </w:rPr>
              <w:t>(537)</w:t>
            </w:r>
          </w:p>
        </w:tc>
      </w:tr>
      <w:tr>
        <w:trPr>
          <w:trHeight w:val="207"/>
        </w:trPr>
        <w:tc>
          <w:tcPr>
            <w:tcW w:w="754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(43,908</w:t>
            </w:r>
          </w:p>
        </w:tc>
        <w:tc>
          <w:tcPr>
            <w:tcW w:w="320" w:type="dxa"/>
            <w:vAlign w:val="bottom"/>
            <w:tcBorders>
              <w:top w:val="single" w:sz="8" w:color="E5FFFF"/>
              <w:bottom w:val="single" w:sz="8" w:color="E5FFFF"/>
            </w:tcBorders>
            <w:shd w:val="clear" w:color="auto" w:fill="E5FFFF"/>
          </w:tcPr>
          <w:p>
            <w:pPr>
              <w:jc w:val="right"/>
              <w:ind w:right="179"/>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w:t>
            </w:r>
          </w:p>
        </w:tc>
        <w:tc>
          <w:tcPr>
            <w:tcW w:w="15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(46,461</w:t>
            </w:r>
          </w:p>
        </w:tc>
        <w:tc>
          <w:tcPr>
            <w:tcW w:w="100" w:type="dxa"/>
            <w:vAlign w:val="bottom"/>
            <w:tcBorders>
              <w:top w:val="single" w:sz="8" w:color="E5FFFF"/>
              <w:bottom w:val="single" w:sz="8" w:color="E5FFFF"/>
            </w:tcBorders>
            <w:shd w:val="clear" w:color="auto" w:fill="E5FFFF"/>
          </w:tcPr>
          <w:p>
            <w:pPr>
              <w:jc w:val="right"/>
              <w:ind w:right="19"/>
              <w:spacing w:after="0"/>
              <w:rPr>
                <w:sz w:val="20"/>
                <w:szCs w:val="20"/>
                <w:color w:val="auto"/>
              </w:rPr>
            </w:pPr>
            <w:r>
              <w:rPr>
                <w:rFonts w:ascii="Arial" w:cs="Arial" w:eastAsia="Arial" w:hAnsi="Arial"/>
                <w:sz w:val="8"/>
                <w:szCs w:val="8"/>
                <w:b w:val="1"/>
                <w:bCs w:val="1"/>
                <w:color w:val="auto"/>
                <w:w w:val="73"/>
              </w:rPr>
              <w:t>)</w:t>
            </w:r>
          </w:p>
        </w:tc>
      </w:tr>
      <w:tr>
        <w:trPr>
          <w:trHeight w:val="20"/>
        </w:trPr>
        <w:tc>
          <w:tcPr>
            <w:tcW w:w="7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6" w:lineRule="exact"/>
        <w:rPr>
          <w:sz w:val="20"/>
          <w:szCs w:val="20"/>
          <w:color w:val="auto"/>
        </w:rPr>
      </w:pPr>
    </w:p>
    <w:p>
      <w:pPr>
        <w:ind w:right="160"/>
        <w:spacing w:after="0" w:line="273" w:lineRule="auto"/>
        <w:rPr>
          <w:sz w:val="20"/>
          <w:szCs w:val="20"/>
          <w:color w:val="auto"/>
        </w:rPr>
      </w:pPr>
      <w:r>
        <w:rPr>
          <w:rFonts w:ascii="Arial" w:cs="Arial" w:eastAsia="Arial" w:hAnsi="Arial"/>
          <w:sz w:val="16"/>
          <w:szCs w:val="16"/>
          <w:color w:val="auto"/>
        </w:rPr>
        <w:t>Loss on derivatives was $16.8 million for the quarter ended September 30, 2019 ($7.4 million gain for the quarter ended September 30, 2018). The loss on derivatives in the third quarter of 2019, as compared to the gain in the third quarter of 2018, is mainly attributable to a decrease of $22.9 million in gain from mark-to-market valuation of our derivative financial instruments carried at fair value through profit or loss, derived mainly from changes in the London Interbank Offered Rate (“LIBOR”) curve. An analysis of gain/(loss) on derivatives is presented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All amounts expressed in thousands of U.S. dollars</w:t>
            </w: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3700" w:type="dxa"/>
            <w:vAlign w:val="bottom"/>
            <w:gridSpan w:val="6"/>
          </w:tcPr>
          <w:p>
            <w:pPr>
              <w:jc w:val="right"/>
              <w:ind w:right="1040"/>
              <w:spacing w:after="0"/>
              <w:rPr>
                <w:sz w:val="20"/>
                <w:szCs w:val="20"/>
                <w:color w:val="auto"/>
              </w:rPr>
            </w:pPr>
            <w:r>
              <w:rPr>
                <w:rFonts w:ascii="Arial" w:cs="Arial" w:eastAsia="Arial" w:hAnsi="Arial"/>
                <w:sz w:val="16"/>
                <w:szCs w:val="16"/>
                <w:b w:val="1"/>
                <w:bCs w:val="1"/>
                <w:color w:val="auto"/>
              </w:rPr>
              <w:t>For the three months ended</w:t>
            </w:r>
          </w:p>
        </w:tc>
      </w:tr>
      <w:tr>
        <w:trPr>
          <w:trHeight w:val="210"/>
        </w:trPr>
        <w:tc>
          <w:tcPr>
            <w:tcW w:w="7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w w:val="93"/>
              </w:rPr>
              <w:t>September 30, 2018</w:t>
            </w:r>
          </w:p>
        </w:tc>
        <w:tc>
          <w:tcPr>
            <w:tcW w:w="120" w:type="dxa"/>
            <w:vAlign w:val="bottom"/>
          </w:tcPr>
          <w:p>
            <w:pPr>
              <w:spacing w:after="0"/>
              <w:rPr>
                <w:sz w:val="18"/>
                <w:szCs w:val="18"/>
                <w:color w:val="auto"/>
              </w:rPr>
            </w:pPr>
          </w:p>
        </w:tc>
        <w:tc>
          <w:tcPr>
            <w:tcW w:w="162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w w:val="90"/>
              </w:rPr>
              <w:t>September 30, 2019</w:t>
            </w:r>
          </w:p>
        </w:tc>
      </w:tr>
      <w:tr>
        <w:trPr>
          <w:trHeight w:val="189"/>
        </w:trPr>
        <w:tc>
          <w:tcPr>
            <w:tcW w:w="75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Gain/(loss) on derivatives</w:t>
            </w:r>
          </w:p>
        </w:tc>
        <w:tc>
          <w:tcPr>
            <w:tcW w:w="180" w:type="dxa"/>
            <w:vAlign w:val="bottom"/>
            <w:tcBorders>
              <w:top w:val="single" w:sz="8" w:color="auto"/>
            </w:tcBorders>
            <w:shd w:val="clear" w:color="auto" w:fill="E5FFFF"/>
          </w:tcPr>
          <w:p>
            <w:pPr>
              <w:spacing w:after="0"/>
              <w:rPr>
                <w:sz w:val="16"/>
                <w:szCs w:val="16"/>
                <w:color w:val="auto"/>
              </w:rPr>
            </w:pPr>
          </w:p>
        </w:tc>
        <w:tc>
          <w:tcPr>
            <w:tcW w:w="1640" w:type="dxa"/>
            <w:vAlign w:val="bottom"/>
            <w:tcBorders>
              <w:top w:val="single" w:sz="8" w:color="auto"/>
            </w:tcBorders>
            <w:shd w:val="clear" w:color="auto" w:fill="E5FFFF"/>
          </w:tcPr>
          <w:p>
            <w:pPr>
              <w:spacing w:after="0"/>
              <w:rPr>
                <w:sz w:val="16"/>
                <w:szCs w:val="16"/>
                <w:color w:val="auto"/>
              </w:rPr>
            </w:pPr>
          </w:p>
        </w:tc>
        <w:tc>
          <w:tcPr>
            <w:tcW w:w="320" w:type="dxa"/>
            <w:vAlign w:val="bottom"/>
            <w:tcBorders>
              <w:top w:val="single" w:sz="8" w:color="E5FFFF"/>
            </w:tcBorders>
            <w:shd w:val="clear" w:color="auto" w:fill="E5FFFF"/>
          </w:tcPr>
          <w:p>
            <w:pPr>
              <w:spacing w:after="0"/>
              <w:rPr>
                <w:sz w:val="16"/>
                <w:szCs w:val="16"/>
                <w:color w:val="auto"/>
              </w:rPr>
            </w:pPr>
          </w:p>
        </w:tc>
        <w:tc>
          <w:tcPr>
            <w:tcW w:w="120" w:type="dxa"/>
            <w:vAlign w:val="bottom"/>
            <w:tcBorders>
              <w:top w:val="single" w:sz="8" w:color="auto"/>
            </w:tcBorders>
            <w:shd w:val="clear" w:color="auto" w:fill="E5FFFF"/>
          </w:tcPr>
          <w:p>
            <w:pPr>
              <w:spacing w:after="0"/>
              <w:rPr>
                <w:sz w:val="16"/>
                <w:szCs w:val="16"/>
                <w:color w:val="auto"/>
              </w:rPr>
            </w:pPr>
          </w:p>
        </w:tc>
        <w:tc>
          <w:tcPr>
            <w:tcW w:w="1520" w:type="dxa"/>
            <w:vAlign w:val="bottom"/>
            <w:tcBorders>
              <w:top w:val="single" w:sz="8" w:color="auto"/>
            </w:tcBorders>
            <w:shd w:val="clear" w:color="auto" w:fill="E5FFFF"/>
          </w:tcPr>
          <w:p>
            <w:pPr>
              <w:spacing w:after="0"/>
              <w:rPr>
                <w:sz w:val="16"/>
                <w:szCs w:val="16"/>
                <w:color w:val="auto"/>
              </w:rPr>
            </w:pPr>
          </w:p>
        </w:tc>
        <w:tc>
          <w:tcPr>
            <w:tcW w:w="20" w:type="dxa"/>
            <w:vAlign w:val="bottom"/>
            <w:tcBorders>
              <w:top w:val="single" w:sz="8" w:color="E5FFFF"/>
            </w:tcBorders>
            <w:shd w:val="clear" w:color="auto" w:fill="E5FFFF"/>
          </w:tcPr>
          <w:p>
            <w:pPr>
              <w:spacing w:after="0"/>
              <w:rPr>
                <w:sz w:val="16"/>
                <w:szCs w:val="16"/>
                <w:color w:val="auto"/>
              </w:rPr>
            </w:pPr>
          </w:p>
        </w:tc>
        <w:tc>
          <w:tcPr>
            <w:tcW w:w="80" w:type="dxa"/>
            <w:vAlign w:val="bottom"/>
            <w:tcBorders>
              <w:top w:val="single" w:sz="8" w:color="E5FFFF"/>
            </w:tcBorders>
            <w:shd w:val="clear" w:color="auto" w:fill="E5FFFF"/>
          </w:tcPr>
          <w:p>
            <w:pPr>
              <w:spacing w:after="0"/>
              <w:rPr>
                <w:sz w:val="16"/>
                <w:szCs w:val="16"/>
                <w:color w:val="auto"/>
              </w:rPr>
            </w:pPr>
          </w:p>
        </w:tc>
      </w:tr>
      <w:tr>
        <w:trPr>
          <w:trHeight w:val="203"/>
        </w:trPr>
        <w:tc>
          <w:tcPr>
            <w:tcW w:w="7540" w:type="dxa"/>
            <w:vAlign w:val="bottom"/>
          </w:tcPr>
          <w:p>
            <w:pPr>
              <w:spacing w:after="0"/>
              <w:rPr>
                <w:sz w:val="20"/>
                <w:szCs w:val="20"/>
                <w:color w:val="auto"/>
              </w:rPr>
            </w:pPr>
            <w:r>
              <w:rPr>
                <w:rFonts w:ascii="Arial" w:cs="Arial" w:eastAsia="Arial" w:hAnsi="Arial"/>
                <w:sz w:val="16"/>
                <w:szCs w:val="16"/>
                <w:color w:val="auto"/>
              </w:rPr>
              <w:t>Realized gain on derivatives held for trading</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960" w:type="dxa"/>
            <w:vAlign w:val="bottom"/>
            <w:gridSpan w:val="2"/>
          </w:tcPr>
          <w:p>
            <w:pPr>
              <w:jc w:val="right"/>
              <w:ind w:right="320"/>
              <w:spacing w:after="0"/>
              <w:rPr>
                <w:sz w:val="20"/>
                <w:szCs w:val="20"/>
                <w:color w:val="auto"/>
              </w:rPr>
            </w:pPr>
            <w:r>
              <w:rPr>
                <w:rFonts w:ascii="Arial" w:cs="Arial" w:eastAsia="Arial" w:hAnsi="Arial"/>
                <w:sz w:val="16"/>
                <w:szCs w:val="16"/>
                <w:color w:val="auto"/>
              </w:rPr>
              <w:t>675</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446</w:t>
            </w:r>
          </w:p>
        </w:tc>
        <w:tc>
          <w:tcPr>
            <w:tcW w:w="80" w:type="dxa"/>
            <w:vAlign w:val="bottom"/>
          </w:tcPr>
          <w:p>
            <w:pPr>
              <w:spacing w:after="0"/>
              <w:rPr>
                <w:sz w:val="17"/>
                <w:szCs w:val="17"/>
                <w:color w:val="auto"/>
              </w:rPr>
            </w:pPr>
          </w:p>
        </w:tc>
      </w:tr>
      <w:tr>
        <w:trPr>
          <w:trHeight w:val="203"/>
        </w:trPr>
        <w:tc>
          <w:tcPr>
            <w:tcW w:w="7540" w:type="dxa"/>
            <w:vAlign w:val="bottom"/>
            <w:shd w:val="clear" w:color="auto" w:fill="E5FFFF"/>
          </w:tcPr>
          <w:p>
            <w:pPr>
              <w:spacing w:after="0"/>
              <w:rPr>
                <w:sz w:val="20"/>
                <w:szCs w:val="20"/>
                <w:color w:val="auto"/>
              </w:rPr>
            </w:pPr>
            <w:r>
              <w:rPr>
                <w:rFonts w:ascii="Arial" w:cs="Arial" w:eastAsia="Arial" w:hAnsi="Arial"/>
                <w:sz w:val="16"/>
                <w:szCs w:val="16"/>
                <w:color w:val="auto"/>
              </w:rPr>
              <w:t>Realized loss on forward foreign exchange contracts held for trading</w:t>
            </w:r>
          </w:p>
        </w:tc>
        <w:tc>
          <w:tcPr>
            <w:tcW w:w="180" w:type="dxa"/>
            <w:vAlign w:val="bottom"/>
            <w:shd w:val="clear" w:color="auto" w:fill="E5FFFF"/>
          </w:tcPr>
          <w:p>
            <w:pPr>
              <w:spacing w:after="0"/>
              <w:rPr>
                <w:sz w:val="17"/>
                <w:szCs w:val="17"/>
                <w:color w:val="auto"/>
              </w:rPr>
            </w:pPr>
          </w:p>
        </w:tc>
        <w:tc>
          <w:tcPr>
            <w:tcW w:w="1960" w:type="dxa"/>
            <w:vAlign w:val="bottom"/>
            <w:gridSpan w:val="2"/>
            <w:shd w:val="clear" w:color="auto" w:fill="E5FFFF"/>
          </w:tcPr>
          <w:p>
            <w:pPr>
              <w:jc w:val="right"/>
              <w:ind w:right="260"/>
              <w:spacing w:after="0"/>
              <w:rPr>
                <w:sz w:val="20"/>
                <w:szCs w:val="20"/>
                <w:color w:val="auto"/>
              </w:rPr>
            </w:pPr>
            <w:r>
              <w:rPr>
                <w:rFonts w:ascii="Arial" w:cs="Arial" w:eastAsia="Arial" w:hAnsi="Arial"/>
                <w:sz w:val="16"/>
                <w:szCs w:val="16"/>
                <w:color w:val="auto"/>
              </w:rPr>
              <w:t>(480)</w:t>
            </w:r>
          </w:p>
        </w:tc>
        <w:tc>
          <w:tcPr>
            <w:tcW w:w="120" w:type="dxa"/>
            <w:vAlign w:val="bottom"/>
            <w:shd w:val="clear" w:color="auto" w:fill="E5FFFF"/>
          </w:tcPr>
          <w:p>
            <w:pPr>
              <w:spacing w:after="0"/>
              <w:rPr>
                <w:sz w:val="17"/>
                <w:szCs w:val="17"/>
                <w:color w:val="auto"/>
              </w:rPr>
            </w:pPr>
          </w:p>
        </w:tc>
        <w:tc>
          <w:tcPr>
            <w:tcW w:w="1620" w:type="dxa"/>
            <w:vAlign w:val="bottom"/>
            <w:gridSpan w:val="3"/>
            <w:shd w:val="clear" w:color="auto" w:fill="E5FFFF"/>
          </w:tcPr>
          <w:p>
            <w:pPr>
              <w:jc w:val="right"/>
              <w:ind w:right="60"/>
              <w:spacing w:after="0"/>
              <w:rPr>
                <w:sz w:val="20"/>
                <w:szCs w:val="20"/>
                <w:color w:val="auto"/>
              </w:rPr>
            </w:pPr>
            <w:r>
              <w:rPr>
                <w:rFonts w:ascii="Arial" w:cs="Arial" w:eastAsia="Arial" w:hAnsi="Arial"/>
                <w:sz w:val="16"/>
                <w:szCs w:val="16"/>
                <w:color w:val="auto"/>
              </w:rPr>
              <w:t>(1,443)</w:t>
            </w:r>
          </w:p>
        </w:tc>
      </w:tr>
      <w:tr>
        <w:trPr>
          <w:trHeight w:val="203"/>
        </w:trPr>
        <w:tc>
          <w:tcPr>
            <w:tcW w:w="7540" w:type="dxa"/>
            <w:vAlign w:val="bottom"/>
          </w:tcPr>
          <w:p>
            <w:pPr>
              <w:spacing w:after="0"/>
              <w:rPr>
                <w:sz w:val="20"/>
                <w:szCs w:val="20"/>
                <w:color w:val="auto"/>
              </w:rPr>
            </w:pPr>
            <w:r>
              <w:rPr>
                <w:rFonts w:ascii="Arial" w:cs="Arial" w:eastAsia="Arial" w:hAnsi="Arial"/>
                <w:sz w:val="16"/>
                <w:szCs w:val="16"/>
                <w:color w:val="auto"/>
              </w:rPr>
              <w:t>Unrealized gain/(loss) on derivative financial instruments held for trading</w:t>
            </w:r>
          </w:p>
        </w:tc>
        <w:tc>
          <w:tcPr>
            <w:tcW w:w="180" w:type="dxa"/>
            <w:vAlign w:val="bottom"/>
          </w:tcPr>
          <w:p>
            <w:pPr>
              <w:spacing w:after="0"/>
              <w:rPr>
                <w:sz w:val="17"/>
                <w:szCs w:val="17"/>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6"/>
                <w:szCs w:val="16"/>
                <w:color w:val="auto"/>
              </w:rPr>
              <w:t>6,975</w:t>
            </w:r>
          </w:p>
        </w:tc>
        <w:tc>
          <w:tcPr>
            <w:tcW w:w="120" w:type="dxa"/>
            <w:vAlign w:val="bottom"/>
          </w:tcPr>
          <w:p>
            <w:pPr>
              <w:spacing w:after="0"/>
              <w:rPr>
                <w:sz w:val="17"/>
                <w:szCs w:val="17"/>
                <w:color w:val="auto"/>
              </w:rPr>
            </w:pPr>
          </w:p>
        </w:tc>
        <w:tc>
          <w:tcPr>
            <w:tcW w:w="1620" w:type="dxa"/>
            <w:vAlign w:val="bottom"/>
            <w:gridSpan w:val="3"/>
          </w:tcPr>
          <w:p>
            <w:pPr>
              <w:jc w:val="right"/>
              <w:ind w:right="60"/>
              <w:spacing w:after="0"/>
              <w:rPr>
                <w:sz w:val="20"/>
                <w:szCs w:val="20"/>
                <w:color w:val="auto"/>
              </w:rPr>
            </w:pPr>
            <w:r>
              <w:rPr>
                <w:rFonts w:ascii="Arial" w:cs="Arial" w:eastAsia="Arial" w:hAnsi="Arial"/>
                <w:sz w:val="16"/>
                <w:szCs w:val="16"/>
                <w:color w:val="auto"/>
              </w:rPr>
              <w:t>(15,897)</w:t>
            </w:r>
          </w:p>
        </w:tc>
      </w:tr>
      <w:tr>
        <w:trPr>
          <w:trHeight w:val="203"/>
        </w:trPr>
        <w:tc>
          <w:tcPr>
            <w:tcW w:w="7540" w:type="dxa"/>
            <w:vAlign w:val="bottom"/>
            <w:shd w:val="clear" w:color="auto" w:fill="E5FFFF"/>
          </w:tcPr>
          <w:p>
            <w:pPr>
              <w:spacing w:after="0"/>
              <w:rPr>
                <w:sz w:val="20"/>
                <w:szCs w:val="20"/>
                <w:color w:val="auto"/>
              </w:rPr>
            </w:pPr>
            <w:r>
              <w:rPr>
                <w:rFonts w:ascii="Arial" w:cs="Arial" w:eastAsia="Arial" w:hAnsi="Arial"/>
                <w:sz w:val="16"/>
                <w:szCs w:val="16"/>
                <w:color w:val="auto"/>
              </w:rPr>
              <w:t>Ineffective portion of cash flow hedges</w:t>
            </w:r>
          </w:p>
        </w:tc>
        <w:tc>
          <w:tcPr>
            <w:tcW w:w="180" w:type="dxa"/>
            <w:vAlign w:val="bottom"/>
            <w:shd w:val="clear" w:color="auto" w:fill="E5FFFF"/>
          </w:tcPr>
          <w:p>
            <w:pPr>
              <w:spacing w:after="0"/>
              <w:rPr>
                <w:sz w:val="17"/>
                <w:szCs w:val="17"/>
                <w:color w:val="auto"/>
              </w:rPr>
            </w:pPr>
          </w:p>
        </w:tc>
        <w:tc>
          <w:tcPr>
            <w:tcW w:w="1960" w:type="dxa"/>
            <w:vAlign w:val="bottom"/>
            <w:gridSpan w:val="2"/>
            <w:shd w:val="clear" w:color="auto" w:fill="E5FFFF"/>
          </w:tcPr>
          <w:p>
            <w:pPr>
              <w:jc w:val="right"/>
              <w:ind w:right="320"/>
              <w:spacing w:after="0"/>
              <w:rPr>
                <w:sz w:val="20"/>
                <w:szCs w:val="20"/>
                <w:color w:val="auto"/>
              </w:rPr>
            </w:pPr>
            <w:r>
              <w:rPr>
                <w:rFonts w:ascii="Arial" w:cs="Arial" w:eastAsia="Arial" w:hAnsi="Arial"/>
                <w:sz w:val="16"/>
                <w:szCs w:val="16"/>
                <w:color w:val="auto"/>
              </w:rPr>
              <w:t>198</w:t>
            </w:r>
          </w:p>
        </w:tc>
        <w:tc>
          <w:tcPr>
            <w:tcW w:w="120" w:type="dxa"/>
            <w:vAlign w:val="bottom"/>
            <w:shd w:val="clear" w:color="auto" w:fill="E5FFFF"/>
          </w:tcPr>
          <w:p>
            <w:pPr>
              <w:spacing w:after="0"/>
              <w:rPr>
                <w:sz w:val="17"/>
                <w:szCs w:val="17"/>
                <w:color w:val="auto"/>
              </w:rPr>
            </w:pPr>
          </w:p>
        </w:tc>
        <w:tc>
          <w:tcPr>
            <w:tcW w:w="154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136</w:t>
            </w:r>
          </w:p>
        </w:tc>
        <w:tc>
          <w:tcPr>
            <w:tcW w:w="80" w:type="dxa"/>
            <w:vAlign w:val="bottom"/>
            <w:shd w:val="clear" w:color="auto" w:fill="E5FFFF"/>
          </w:tcPr>
          <w:p>
            <w:pPr>
              <w:spacing w:after="0"/>
              <w:rPr>
                <w:sz w:val="17"/>
                <w:szCs w:val="17"/>
                <w:color w:val="auto"/>
              </w:rPr>
            </w:pPr>
          </w:p>
        </w:tc>
      </w:tr>
      <w:tr>
        <w:trPr>
          <w:trHeight w:val="207"/>
        </w:trPr>
        <w:tc>
          <w:tcPr>
            <w:tcW w:w="754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7,368</w:t>
            </w:r>
          </w:p>
        </w:tc>
        <w:tc>
          <w:tcPr>
            <w:tcW w:w="3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(16,758</w:t>
            </w:r>
          </w:p>
        </w:tc>
        <w:tc>
          <w:tcPr>
            <w:tcW w:w="100" w:type="dxa"/>
            <w:vAlign w:val="bottom"/>
            <w:gridSpan w:val="2"/>
          </w:tcPr>
          <w:p>
            <w:pPr>
              <w:jc w:val="right"/>
              <w:ind w:right="60"/>
              <w:spacing w:after="0"/>
              <w:rPr>
                <w:sz w:val="20"/>
                <w:szCs w:val="20"/>
                <w:color w:val="auto"/>
              </w:rPr>
            </w:pPr>
            <w:r>
              <w:rPr>
                <w:rFonts w:ascii="Arial" w:cs="Arial" w:eastAsia="Arial" w:hAnsi="Arial"/>
                <w:sz w:val="8"/>
                <w:szCs w:val="8"/>
                <w:b w:val="1"/>
                <w:bCs w:val="1"/>
                <w:color w:val="auto"/>
                <w:w w:val="73"/>
              </w:rPr>
              <w:t>)</w:t>
            </w:r>
          </w:p>
        </w:tc>
      </w:tr>
      <w:tr>
        <w:trPr>
          <w:trHeight w:val="20"/>
        </w:trPr>
        <w:tc>
          <w:tcPr>
            <w:tcW w:w="7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6" w:lineRule="exact"/>
        <w:rPr>
          <w:sz w:val="20"/>
          <w:szCs w:val="20"/>
          <w:color w:val="auto"/>
        </w:rPr>
      </w:pPr>
    </w:p>
    <w:p>
      <w:pPr>
        <w:ind w:right="260"/>
        <w:spacing w:after="0" w:line="278" w:lineRule="auto"/>
        <w:rPr>
          <w:sz w:val="20"/>
          <w:szCs w:val="20"/>
          <w:color w:val="auto"/>
        </w:rPr>
      </w:pPr>
      <w:r>
        <w:rPr>
          <w:rFonts w:ascii="Arial" w:cs="Arial" w:eastAsia="Arial" w:hAnsi="Arial"/>
          <w:sz w:val="16"/>
          <w:szCs w:val="16"/>
          <w:color w:val="auto"/>
        </w:rPr>
        <w:t>Profit was $8.9 million for the quarter ended September 30, 2019 (profit of $39.3 million for the quarter ended September 30, 2018). This decrease in profit is mainly attributable to the unfavorable movement in mark-to-market valuations of our derivative financial instruments in the third quarter of 2019 and an increase in financial costs, combined with decreased profit from operations, due to the factors mentioned above.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7" w:name="page8"/>
    <w:bookmarkEnd w:id="7"/>
    <w:p>
      <w:pPr>
        <w:ind w:right="40"/>
        <w:spacing w:after="0" w:line="230" w:lineRule="auto"/>
        <w:rPr>
          <w:sz w:val="20"/>
          <w:szCs w:val="20"/>
          <w:color w:val="auto"/>
        </w:rPr>
      </w:pPr>
      <w:r>
        <w:rPr>
          <w:rFonts w:ascii="Arial" w:cs="Arial" w:eastAsia="Arial" w:hAnsi="Arial"/>
          <w:sz w:val="16"/>
          <w:szCs w:val="16"/>
          <w:color w:val="auto"/>
        </w:rPr>
        <w:t>Adjusted Profit</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was $25.5 million for the quarter ended September 30, 2019 ($32.3 million for the quarter ended September 30, 2018) adjusted for the effects of the non-cash loss/gain on derivatives and the net foreign exchange losses.</w:t>
      </w:r>
    </w:p>
    <w:p>
      <w:pPr>
        <w:spacing w:after="0" w:line="214"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Loss attributable to the owners of GasLog was $13.5 million for the quarter ended September 30, 2019 ($18.2 million profit for the quarter ended September 30, 2018). The decrease in profit attributable to the owners of GasLog resulted mainly from the respective movements in profit mentioned above.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was $114.2 million for the quarter ended September 30, 2019 ($114.1 million for the quarter ended September 30, 2018).</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was $115.0 million for the quarter ended September 30, 2019 ($114.2 million for the quarter ended September 30, 2018).</w:t>
      </w:r>
    </w:p>
    <w:p>
      <w:pPr>
        <w:spacing w:after="0" w:line="17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EPS was a loss of $0.20 for the quarter ended September 30, 2019 (earnings of $0.19 for the quarter ended September 30, 2018). The decrease in earnings per share is mainly attributable to the respective movements in profit attributable to the owners of GasLog discussed above.</w:t>
      </w:r>
    </w:p>
    <w:p>
      <w:pPr>
        <w:spacing w:after="0" w:line="172" w:lineRule="exact"/>
        <w:rPr>
          <w:sz w:val="20"/>
          <w:szCs w:val="20"/>
          <w:color w:val="auto"/>
        </w:rPr>
      </w:pPr>
    </w:p>
    <w:p>
      <w:pPr>
        <w:spacing w:after="0" w:line="230" w:lineRule="auto"/>
        <w:rPr>
          <w:sz w:val="20"/>
          <w:szCs w:val="20"/>
          <w:color w:val="auto"/>
        </w:rPr>
      </w:pPr>
      <w:r>
        <w:rPr>
          <w:rFonts w:ascii="Arial" w:cs="Arial" w:eastAsia="Arial" w:hAnsi="Arial"/>
          <w:sz w:val="16"/>
          <w:szCs w:val="16"/>
          <w:color w:val="auto"/>
        </w:rPr>
        <w:t>Adjusted EPS</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was $0.01 for the quarter ended September 30, 2019 (earnings of $0.11 for the quarter ended September 30, 2018), adjusted for the effects of the non-cash loss/gain on derivatives and the net foreign exchange losses.</w:t>
      </w:r>
    </w:p>
    <w:p>
      <w:pPr>
        <w:spacing w:after="0" w:line="205" w:lineRule="exact"/>
        <w:rPr>
          <w:sz w:val="20"/>
          <w:szCs w:val="20"/>
          <w:color w:val="auto"/>
        </w:rPr>
      </w:pPr>
    </w:p>
    <w:p>
      <w:pPr>
        <w:ind w:left="140" w:right="20" w:hanging="132"/>
        <w:spacing w:after="0" w:line="222" w:lineRule="auto"/>
        <w:tabs>
          <w:tab w:leader="none" w:pos="166" w:val="left"/>
        </w:tabs>
        <w:numPr>
          <w:ilvl w:val="0"/>
          <w:numId w:val="5"/>
        </w:numPr>
        <w:rPr>
          <w:rFonts w:ascii="Arial" w:cs="Arial" w:eastAsia="Arial" w:hAnsi="Arial"/>
          <w:sz w:val="19"/>
          <w:szCs w:val="19"/>
          <w:color w:val="auto"/>
          <w:vertAlign w:val="superscript"/>
        </w:rPr>
      </w:pPr>
      <w:r>
        <w:rPr>
          <w:rFonts w:ascii="Arial" w:cs="Arial" w:eastAsia="Arial" w:hAnsi="Arial"/>
          <w:sz w:val="13"/>
          <w:szCs w:val="13"/>
          <w:color w:val="auto"/>
        </w:rPr>
        <w:t>Adjusted Profit, EBITDA, Adjusted EBITDA and Adjusted EPS are non-GAAP financial measures and should not be used in isolation or as a substitute for GasLog’s financial results presented in accordance with IFRS. For definitions and reconciliations of these measurements to the most directly comparable financial measures calculated and presented in accordance with IFRS, please refer to Exhibit II at the end of this press release.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Contracted Charter Revenues</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As of September 30, 2019, the total future firm minimum contracted revenue stood at $4.1 billion</w:t>
      </w:r>
      <w:r>
        <w:rPr>
          <w:rFonts w:ascii="Arial" w:cs="Arial" w:eastAsia="Arial" w:hAnsi="Arial"/>
          <w:sz w:val="20"/>
          <w:szCs w:val="20"/>
          <w:color w:val="auto"/>
          <w:vertAlign w:val="superscript"/>
        </w:rPr>
        <w:t>(1)</w:t>
      </w:r>
      <w:r>
        <w:rPr>
          <w:rFonts w:ascii="Arial" w:cs="Arial" w:eastAsia="Arial" w:hAnsi="Arial"/>
          <w:sz w:val="15"/>
          <w:szCs w:val="15"/>
          <w:color w:val="auto"/>
        </w:rPr>
        <w:t>, including the 15 vessels currently owned by GasLog Partners.</w:t>
      </w:r>
    </w:p>
    <w:p>
      <w:pPr>
        <w:spacing w:after="0" w:line="180" w:lineRule="exact"/>
        <w:rPr>
          <w:sz w:val="20"/>
          <w:szCs w:val="20"/>
          <w:color w:val="auto"/>
        </w:rPr>
      </w:pPr>
    </w:p>
    <w:p>
      <w:pPr>
        <w:ind w:right="180" w:firstLine="8"/>
        <w:spacing w:after="0" w:line="579" w:lineRule="auto"/>
        <w:tabs>
          <w:tab w:leader="none" w:pos="127" w:val="left"/>
        </w:tabs>
        <w:numPr>
          <w:ilvl w:val="0"/>
          <w:numId w:val="6"/>
        </w:numPr>
        <w:rPr>
          <w:rFonts w:ascii="Arial" w:cs="Arial" w:eastAsia="Arial" w:hAnsi="Arial"/>
          <w:sz w:val="13"/>
          <w:szCs w:val="13"/>
          <w:color w:val="auto"/>
          <w:vertAlign w:val="superscript"/>
        </w:rPr>
      </w:pPr>
      <w:r>
        <w:rPr>
          <w:rFonts w:ascii="Arial" w:cs="Arial" w:eastAsia="Arial" w:hAnsi="Arial"/>
          <w:sz w:val="11"/>
          <w:szCs w:val="11"/>
          <w:color w:val="auto"/>
        </w:rPr>
        <w:t>Contracted revenue calculations assume: (a) 365 revenue days per annum, with 30 off-hire days when the ship undergoes scheduled dry-docking; (b) all LNG carriers on order are delivered on schedule; (c) no exercise of any option to extend the terms of charters; and (d) where charters are based on a variable rate of hire within an agreed range during the charter period, the lower end of the range.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Liquidity and Capital Resources</w:t>
      </w:r>
    </w:p>
    <w:p>
      <w:pPr>
        <w:spacing w:after="0" w:line="239" w:lineRule="exact"/>
        <w:rPr>
          <w:sz w:val="20"/>
          <w:szCs w:val="20"/>
          <w:color w:val="auto"/>
        </w:rPr>
      </w:pPr>
    </w:p>
    <w:p>
      <w:pPr>
        <w:ind w:right="240"/>
        <w:spacing w:after="0" w:line="278" w:lineRule="auto"/>
        <w:rPr>
          <w:sz w:val="20"/>
          <w:szCs w:val="20"/>
          <w:color w:val="auto"/>
        </w:rPr>
      </w:pPr>
      <w:r>
        <w:rPr>
          <w:rFonts w:ascii="Arial" w:cs="Arial" w:eastAsia="Arial" w:hAnsi="Arial"/>
          <w:sz w:val="16"/>
          <w:szCs w:val="16"/>
          <w:color w:val="auto"/>
        </w:rPr>
        <w:t>As of September 30, 2019, GasLog had $183.6 million of cash and cash equivalents, of which $112.8 million was held in time deposits and the remaining balance in current accounts. In addition, as of September 30, 2019, GasLog had $24.0 million held in time deposits with an initial duration of more than three months but less than a year that have been classified as short-term investments.</w:t>
      </w:r>
    </w:p>
    <w:p>
      <w:pPr>
        <w:spacing w:after="0" w:line="184" w:lineRule="exact"/>
        <w:rPr>
          <w:sz w:val="20"/>
          <w:szCs w:val="20"/>
          <w:color w:val="auto"/>
        </w:rPr>
      </w:pPr>
    </w:p>
    <w:p>
      <w:pPr>
        <w:ind w:right="100"/>
        <w:spacing w:after="0" w:line="297" w:lineRule="auto"/>
        <w:rPr>
          <w:sz w:val="20"/>
          <w:szCs w:val="20"/>
          <w:color w:val="auto"/>
        </w:rPr>
      </w:pPr>
      <w:r>
        <w:rPr>
          <w:rFonts w:ascii="Arial" w:cs="Arial" w:eastAsia="Arial" w:hAnsi="Arial"/>
          <w:sz w:val="15"/>
          <w:szCs w:val="15"/>
          <w:color w:val="auto"/>
        </w:rPr>
        <w:t xml:space="preserve">On March 6, 2019, the respective subsidiaries of GasLog Partners drew down $360.0 million under a new five-year amortizing revolving credit facility entered into on February 20, 2019 (the “2019 Partnership Facility”) and prepaid in full their aggregate outstanding debt of $354.4 million, which would have been due in November 2019. On April 1, 2019, the Partnership drew down an additional $75.0 million under the 2019 Partnership Facility. In addition, in March 2019 and July 2019, GasLog drew down $165.8 million and $129.5 million to partially finance the deliveries of the </w:t>
      </w:r>
      <w:r>
        <w:rPr>
          <w:rFonts w:ascii="Arial" w:cs="Arial" w:eastAsia="Arial" w:hAnsi="Arial"/>
          <w:sz w:val="15"/>
          <w:szCs w:val="15"/>
          <w:i w:val="1"/>
          <w:iCs w:val="1"/>
          <w:color w:val="auto"/>
        </w:rPr>
        <w:t>GasLog Gladstone</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GasLog Warsaw</w:t>
      </w:r>
      <w:r>
        <w:rPr>
          <w:rFonts w:ascii="Arial" w:cs="Arial" w:eastAsia="Arial" w:hAnsi="Arial"/>
          <w:sz w:val="15"/>
          <w:szCs w:val="15"/>
          <w:color w:val="auto"/>
        </w:rPr>
        <w:t>, respectively.</w:t>
      </w:r>
    </w:p>
    <w:p>
      <w:pPr>
        <w:spacing w:after="0" w:line="173"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On May 16, 2019, GasLog closed a follow-on issue of the 8.875% senior unsecured notes due 2022 (the “8.875% Senior Notes”) with net proceeds of $75.4 million. GasLog plans to use these proceeds to partially fund its committed newbuild program and for general corporate purposes, including working capital.</w:t>
      </w:r>
    </w:p>
    <w:p>
      <w:pPr>
        <w:spacing w:after="0" w:line="172"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As of September 30, 2019, GasLog had an aggregate of $3.1 billion of indebtedness outstanding under its credit facilities and bond agreements, of which $207.6 million was repayable within one year, and $207.5 million of lease liabilities</w:t>
      </w:r>
      <w:r>
        <w:rPr>
          <w:rFonts w:ascii="Arial" w:cs="Arial" w:eastAsia="Arial" w:hAnsi="Arial"/>
          <w:sz w:val="16"/>
          <w:szCs w:val="16"/>
          <w:i w:val="1"/>
          <w:iCs w:val="1"/>
          <w:color w:val="auto"/>
        </w:rPr>
        <w:t>,</w:t>
      </w:r>
      <w:r>
        <w:rPr>
          <w:rFonts w:ascii="Arial" w:cs="Arial" w:eastAsia="Arial" w:hAnsi="Arial"/>
          <w:sz w:val="16"/>
          <w:szCs w:val="16"/>
          <w:color w:val="auto"/>
        </w:rPr>
        <w:t xml:space="preserve"> of which $9.3 million was payable within one year.</w:t>
      </w:r>
    </w:p>
    <w:p>
      <w:pPr>
        <w:spacing w:after="0" w:line="172"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As of September 30, 2019, there was undrawn available capacity of $100.0 million under the revolving credit facility of the credit agreement of up to $1.1 billion entered into on July 19, 2016 (the “Legacy Facility Refinancing”). In addition, there was unused availability of $2.0 million under the 2019 Partnership Facility.</w:t>
      </w:r>
    </w:p>
    <w:p>
      <w:pPr>
        <w:spacing w:after="0" w:line="17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As of September 30, 2019, the total remaining balance of the contract prices of the seven LNG carriers on order was $1,131.6 million, which GasLog expects to be funded with cash balances, cash from operations and borrowings under new debt agreements.</w:t>
      </w:r>
    </w:p>
    <w:p>
      <w:pPr>
        <w:spacing w:after="0" w:line="172"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As of September 30, 2019, GasLog’s current assets totaled $247.1 million, while current liabilities totaled $309.2 million, resulting in a negative working capital position of $62.1 million.</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GasLog has hedged 44.4% of its expected floating interest rate exposure on its outstanding debt (excluding the lease liability) as of September 30, 2019.</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Future Deliveries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As of November 6, 2019, GasLog has seven newbuildings on order at Samsung which are on schedule and within budget:</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3"/>
        </w:trPr>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Cargo</w:t>
            </w: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Capacity</w:t>
            </w: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Estimated Charter</w:t>
            </w:r>
          </w:p>
        </w:tc>
      </w:tr>
      <w:tr>
        <w:trPr>
          <w:trHeight w:val="216"/>
        </w:trPr>
        <w:tc>
          <w:tcPr>
            <w:tcW w:w="168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LNG Carrier</w:t>
            </w:r>
          </w:p>
        </w:tc>
        <w:tc>
          <w:tcPr>
            <w:tcW w:w="16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Expected Delivery</w:t>
            </w:r>
          </w:p>
        </w:tc>
        <w:tc>
          <w:tcPr>
            <w:tcW w:w="1640" w:type="dxa"/>
            <w:vAlign w:val="bottom"/>
            <w:gridSpan w:val="2"/>
          </w:tcPr>
          <w:p>
            <w:pPr>
              <w:ind w:left="360"/>
              <w:spacing w:after="0"/>
              <w:rPr>
                <w:sz w:val="20"/>
                <w:szCs w:val="20"/>
                <w:color w:val="auto"/>
              </w:rPr>
            </w:pPr>
            <w:r>
              <w:rPr>
                <w:rFonts w:ascii="Arial" w:cs="Arial" w:eastAsia="Arial" w:hAnsi="Arial"/>
                <w:sz w:val="16"/>
                <w:szCs w:val="16"/>
                <w:b w:val="1"/>
                <w:bCs w:val="1"/>
                <w:color w:val="auto"/>
              </w:rPr>
              <w:t>Shipyard</w:t>
            </w:r>
          </w:p>
        </w:tc>
        <w:tc>
          <w:tcPr>
            <w:tcW w:w="16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(cbm)</w:t>
            </w:r>
          </w:p>
        </w:tc>
        <w:tc>
          <w:tcPr>
            <w:tcW w:w="16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7"/>
              </w:rPr>
              <w:t>Charterer</w:t>
            </w: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Propulsion</w:t>
            </w:r>
          </w:p>
        </w:tc>
        <w:tc>
          <w:tcPr>
            <w:tcW w:w="1480" w:type="dxa"/>
            <w:vAlign w:val="bottom"/>
            <w:gridSpan w:val="2"/>
          </w:tcPr>
          <w:p>
            <w:pPr>
              <w:jc w:val="center"/>
              <w:ind w:right="100"/>
              <w:spacing w:after="0" w:line="217" w:lineRule="exact"/>
              <w:rPr>
                <w:sz w:val="20"/>
                <w:szCs w:val="20"/>
                <w:color w:val="auto"/>
              </w:rPr>
            </w:pPr>
            <w:r>
              <w:rPr>
                <w:rFonts w:ascii="Arial" w:cs="Arial" w:eastAsia="Arial" w:hAnsi="Arial"/>
                <w:sz w:val="16"/>
                <w:szCs w:val="16"/>
                <w:b w:val="1"/>
                <w:bCs w:val="1"/>
                <w:color w:val="auto"/>
                <w:w w:val="90"/>
              </w:rPr>
              <w:t>Expiration</w:t>
            </w:r>
            <w:r>
              <w:rPr>
                <w:rFonts w:ascii="Arial" w:cs="Arial" w:eastAsia="Arial" w:hAnsi="Arial"/>
                <w:sz w:val="21"/>
                <w:szCs w:val="21"/>
                <w:b w:val="1"/>
                <w:bCs w:val="1"/>
                <w:color w:val="auto"/>
                <w:w w:val="90"/>
                <w:vertAlign w:val="superscript"/>
              </w:rPr>
              <w:t>(1)</w:t>
            </w:r>
          </w:p>
        </w:tc>
      </w:tr>
      <w:tr>
        <w:trPr>
          <w:trHeight w:val="196"/>
        </w:trPr>
        <w:tc>
          <w:tcPr>
            <w:tcW w:w="138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color w:val="auto"/>
              </w:rPr>
              <w:t>Hull No. 2213</w:t>
            </w:r>
          </w:p>
        </w:tc>
        <w:tc>
          <w:tcPr>
            <w:tcW w:w="30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1"/>
              </w:rPr>
              <w:t>Q2 2020</w:t>
            </w:r>
          </w:p>
        </w:tc>
        <w:tc>
          <w:tcPr>
            <w:tcW w:w="30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ind w:left="380"/>
              <w:spacing w:after="0"/>
              <w:rPr>
                <w:sz w:val="20"/>
                <w:szCs w:val="20"/>
                <w:color w:val="auto"/>
              </w:rPr>
            </w:pPr>
            <w:r>
              <w:rPr>
                <w:rFonts w:ascii="Arial" w:cs="Arial" w:eastAsia="Arial" w:hAnsi="Arial"/>
                <w:sz w:val="16"/>
                <w:szCs w:val="16"/>
                <w:color w:val="auto"/>
              </w:rPr>
              <w:t>Samsung</w:t>
            </w:r>
          </w:p>
        </w:tc>
        <w:tc>
          <w:tcPr>
            <w:tcW w:w="28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3"/>
              </w:rPr>
              <w:t>180,000</w:t>
            </w:r>
          </w:p>
        </w:tc>
        <w:tc>
          <w:tcPr>
            <w:tcW w:w="30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center"/>
              <w:spacing w:after="0" w:line="196" w:lineRule="exact"/>
              <w:rPr>
                <w:sz w:val="20"/>
                <w:szCs w:val="20"/>
                <w:color w:val="auto"/>
              </w:rPr>
            </w:pPr>
            <w:r>
              <w:rPr>
                <w:rFonts w:ascii="Arial" w:cs="Arial" w:eastAsia="Arial" w:hAnsi="Arial"/>
                <w:sz w:val="16"/>
                <w:szCs w:val="16"/>
                <w:color w:val="auto"/>
                <w:w w:val="88"/>
              </w:rPr>
              <w:t>Centrica</w:t>
            </w:r>
            <w:r>
              <w:rPr>
                <w:rFonts w:ascii="Arial" w:cs="Arial" w:eastAsia="Arial" w:hAnsi="Arial"/>
                <w:sz w:val="21"/>
                <w:szCs w:val="21"/>
                <w:color w:val="auto"/>
                <w:w w:val="88"/>
                <w:vertAlign w:val="superscript"/>
              </w:rPr>
              <w:t>(2)</w:t>
            </w:r>
          </w:p>
        </w:tc>
        <w:tc>
          <w:tcPr>
            <w:tcW w:w="28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rPr>
              <w:t>X-DF</w:t>
            </w:r>
          </w:p>
        </w:tc>
        <w:tc>
          <w:tcPr>
            <w:tcW w:w="28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5"/>
              </w:rPr>
              <w:t>2027</w:t>
            </w:r>
          </w:p>
        </w:tc>
        <w:tc>
          <w:tcPr>
            <w:tcW w:w="100" w:type="dxa"/>
            <w:vAlign w:val="bottom"/>
            <w:tcBorders>
              <w:top w:val="single" w:sz="8" w:color="E5FFFF"/>
            </w:tcBorders>
            <w:shd w:val="clear" w:color="auto" w:fill="E5FFFF"/>
          </w:tcPr>
          <w:p>
            <w:pPr>
              <w:spacing w:after="0"/>
              <w:rPr>
                <w:sz w:val="17"/>
                <w:szCs w:val="17"/>
                <w:color w:val="auto"/>
              </w:rPr>
            </w:pPr>
          </w:p>
        </w:tc>
      </w:tr>
      <w:tr>
        <w:trPr>
          <w:trHeight w:val="203"/>
        </w:trPr>
        <w:tc>
          <w:tcPr>
            <w:tcW w:w="1680" w:type="dxa"/>
            <w:vAlign w:val="bottom"/>
            <w:gridSpan w:val="2"/>
          </w:tcPr>
          <w:p>
            <w:pPr>
              <w:spacing w:after="0"/>
              <w:rPr>
                <w:sz w:val="20"/>
                <w:szCs w:val="20"/>
                <w:color w:val="auto"/>
              </w:rPr>
            </w:pPr>
            <w:r>
              <w:rPr>
                <w:rFonts w:ascii="Arial" w:cs="Arial" w:eastAsia="Arial" w:hAnsi="Arial"/>
                <w:sz w:val="16"/>
                <w:szCs w:val="16"/>
                <w:color w:val="auto"/>
              </w:rPr>
              <w:t>Hull No. 2274</w:t>
            </w:r>
          </w:p>
        </w:tc>
        <w:tc>
          <w:tcPr>
            <w:tcW w:w="1680" w:type="dxa"/>
            <w:vAlign w:val="bottom"/>
            <w:gridSpan w:val="2"/>
          </w:tcPr>
          <w:p>
            <w:pPr>
              <w:jc w:val="center"/>
              <w:ind w:right="280"/>
              <w:spacing w:after="0"/>
              <w:rPr>
                <w:sz w:val="20"/>
                <w:szCs w:val="20"/>
                <w:color w:val="auto"/>
              </w:rPr>
            </w:pPr>
            <w:r>
              <w:rPr>
                <w:rFonts w:ascii="Arial" w:cs="Arial" w:eastAsia="Arial" w:hAnsi="Arial"/>
                <w:sz w:val="16"/>
                <w:szCs w:val="16"/>
                <w:color w:val="auto"/>
                <w:w w:val="91"/>
              </w:rPr>
              <w:t>Q2 2020</w:t>
            </w:r>
          </w:p>
        </w:tc>
        <w:tc>
          <w:tcPr>
            <w:tcW w:w="1640" w:type="dxa"/>
            <w:vAlign w:val="bottom"/>
            <w:gridSpan w:val="2"/>
          </w:tcPr>
          <w:p>
            <w:pPr>
              <w:ind w:left="380"/>
              <w:spacing w:after="0"/>
              <w:rPr>
                <w:sz w:val="20"/>
                <w:szCs w:val="20"/>
                <w:color w:val="auto"/>
              </w:rPr>
            </w:pPr>
            <w:r>
              <w:rPr>
                <w:rFonts w:ascii="Arial" w:cs="Arial" w:eastAsia="Arial" w:hAnsi="Arial"/>
                <w:sz w:val="16"/>
                <w:szCs w:val="16"/>
                <w:color w:val="auto"/>
              </w:rPr>
              <w:t>Samsung</w:t>
            </w:r>
          </w:p>
        </w:tc>
        <w:tc>
          <w:tcPr>
            <w:tcW w:w="1360" w:type="dxa"/>
            <w:vAlign w:val="bottom"/>
          </w:tcPr>
          <w:p>
            <w:pPr>
              <w:jc w:val="center"/>
              <w:spacing w:after="0"/>
              <w:rPr>
                <w:sz w:val="20"/>
                <w:szCs w:val="20"/>
                <w:color w:val="auto"/>
              </w:rPr>
            </w:pPr>
            <w:r>
              <w:rPr>
                <w:rFonts w:ascii="Arial" w:cs="Arial" w:eastAsia="Arial" w:hAnsi="Arial"/>
                <w:sz w:val="16"/>
                <w:szCs w:val="16"/>
                <w:color w:val="auto"/>
                <w:w w:val="93"/>
              </w:rPr>
              <w:t>180,000</w:t>
            </w:r>
          </w:p>
        </w:tc>
        <w:tc>
          <w:tcPr>
            <w:tcW w:w="300" w:type="dxa"/>
            <w:vAlign w:val="bottom"/>
          </w:tcPr>
          <w:p>
            <w:pPr>
              <w:spacing w:after="0"/>
              <w:rPr>
                <w:sz w:val="17"/>
                <w:szCs w:val="17"/>
                <w:color w:val="auto"/>
              </w:rPr>
            </w:pPr>
          </w:p>
        </w:tc>
        <w:tc>
          <w:tcPr>
            <w:tcW w:w="1640" w:type="dxa"/>
            <w:vAlign w:val="bottom"/>
            <w:gridSpan w:val="2"/>
          </w:tcPr>
          <w:p>
            <w:pPr>
              <w:jc w:val="center"/>
              <w:ind w:right="280"/>
              <w:spacing w:after="0" w:line="203" w:lineRule="exact"/>
              <w:rPr>
                <w:sz w:val="20"/>
                <w:szCs w:val="20"/>
                <w:color w:val="auto"/>
              </w:rPr>
            </w:pPr>
            <w:r>
              <w:rPr>
                <w:rFonts w:ascii="Arial" w:cs="Arial" w:eastAsia="Arial" w:hAnsi="Arial"/>
                <w:sz w:val="16"/>
                <w:szCs w:val="16"/>
                <w:color w:val="auto"/>
                <w:w w:val="89"/>
              </w:rPr>
              <w:t>JERA</w:t>
            </w:r>
            <w:r>
              <w:rPr>
                <w:rFonts w:ascii="Arial" w:cs="Arial" w:eastAsia="Arial" w:hAnsi="Arial"/>
                <w:sz w:val="21"/>
                <w:szCs w:val="21"/>
                <w:color w:val="auto"/>
                <w:w w:val="89"/>
                <w:vertAlign w:val="superscript"/>
              </w:rPr>
              <w:t>(3)</w:t>
            </w: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color w:val="auto"/>
              </w:rPr>
              <w:t>X-DF</w:t>
            </w:r>
          </w:p>
        </w:tc>
        <w:tc>
          <w:tcPr>
            <w:tcW w:w="1380" w:type="dxa"/>
            <w:vAlign w:val="bottom"/>
          </w:tcPr>
          <w:p>
            <w:pPr>
              <w:jc w:val="center"/>
              <w:spacing w:after="0"/>
              <w:rPr>
                <w:sz w:val="20"/>
                <w:szCs w:val="20"/>
                <w:color w:val="auto"/>
              </w:rPr>
            </w:pPr>
            <w:r>
              <w:rPr>
                <w:rFonts w:ascii="Arial" w:cs="Arial" w:eastAsia="Arial" w:hAnsi="Arial"/>
                <w:sz w:val="16"/>
                <w:szCs w:val="16"/>
                <w:color w:val="auto"/>
                <w:w w:val="95"/>
              </w:rPr>
              <w:t>2032</w:t>
            </w:r>
          </w:p>
        </w:tc>
        <w:tc>
          <w:tcPr>
            <w:tcW w:w="100" w:type="dxa"/>
            <w:vAlign w:val="bottom"/>
          </w:tcPr>
          <w:p>
            <w:pPr>
              <w:spacing w:after="0"/>
              <w:rPr>
                <w:sz w:val="17"/>
                <w:szCs w:val="17"/>
                <w:color w:val="auto"/>
              </w:rPr>
            </w:pPr>
          </w:p>
        </w:tc>
      </w:tr>
      <w:tr>
        <w:trPr>
          <w:trHeight w:val="203"/>
        </w:trPr>
        <w:tc>
          <w:tcPr>
            <w:tcW w:w="16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Hull No. 2262</w:t>
            </w:r>
          </w:p>
        </w:tc>
        <w:tc>
          <w:tcPr>
            <w:tcW w:w="1680" w:type="dxa"/>
            <w:vAlign w:val="bottom"/>
            <w:gridSpan w:val="2"/>
            <w:shd w:val="clear" w:color="auto" w:fill="E5FFFF"/>
          </w:tcPr>
          <w:p>
            <w:pPr>
              <w:jc w:val="center"/>
              <w:ind w:right="280"/>
              <w:spacing w:after="0"/>
              <w:rPr>
                <w:sz w:val="20"/>
                <w:szCs w:val="20"/>
                <w:color w:val="auto"/>
              </w:rPr>
            </w:pPr>
            <w:r>
              <w:rPr>
                <w:rFonts w:ascii="Arial" w:cs="Arial" w:eastAsia="Arial" w:hAnsi="Arial"/>
                <w:sz w:val="16"/>
                <w:szCs w:val="16"/>
                <w:color w:val="auto"/>
                <w:w w:val="91"/>
              </w:rPr>
              <w:t>Q3 2020</w:t>
            </w:r>
          </w:p>
        </w:tc>
        <w:tc>
          <w:tcPr>
            <w:tcW w:w="1640" w:type="dxa"/>
            <w:vAlign w:val="bottom"/>
            <w:gridSpan w:val="2"/>
            <w:shd w:val="clear" w:color="auto" w:fill="E5FFFF"/>
          </w:tcPr>
          <w:p>
            <w:pPr>
              <w:ind w:left="380"/>
              <w:spacing w:after="0"/>
              <w:rPr>
                <w:sz w:val="20"/>
                <w:szCs w:val="20"/>
                <w:color w:val="auto"/>
              </w:rPr>
            </w:pPr>
            <w:r>
              <w:rPr>
                <w:rFonts w:ascii="Arial" w:cs="Arial" w:eastAsia="Arial" w:hAnsi="Arial"/>
                <w:sz w:val="16"/>
                <w:szCs w:val="16"/>
                <w:color w:val="auto"/>
              </w:rPr>
              <w:t>Samsung</w:t>
            </w:r>
          </w:p>
        </w:tc>
        <w:tc>
          <w:tcPr>
            <w:tcW w:w="13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3"/>
              </w:rPr>
              <w:t>180,000</w:t>
            </w:r>
          </w:p>
        </w:tc>
        <w:tc>
          <w:tcPr>
            <w:tcW w:w="300" w:type="dxa"/>
            <w:vAlign w:val="bottom"/>
            <w:shd w:val="clear" w:color="auto" w:fill="E5FFFF"/>
          </w:tcPr>
          <w:p>
            <w:pPr>
              <w:spacing w:after="0"/>
              <w:rPr>
                <w:sz w:val="17"/>
                <w:szCs w:val="17"/>
                <w:color w:val="auto"/>
              </w:rPr>
            </w:pPr>
          </w:p>
        </w:tc>
        <w:tc>
          <w:tcPr>
            <w:tcW w:w="1640" w:type="dxa"/>
            <w:vAlign w:val="bottom"/>
            <w:gridSpan w:val="2"/>
            <w:shd w:val="clear" w:color="auto" w:fill="E5FFFF"/>
          </w:tcPr>
          <w:p>
            <w:pPr>
              <w:jc w:val="center"/>
              <w:ind w:right="280"/>
              <w:spacing w:after="0" w:line="203" w:lineRule="exact"/>
              <w:rPr>
                <w:sz w:val="20"/>
                <w:szCs w:val="20"/>
                <w:color w:val="auto"/>
              </w:rPr>
            </w:pPr>
            <w:r>
              <w:rPr>
                <w:rFonts w:ascii="Arial" w:cs="Arial" w:eastAsia="Arial" w:hAnsi="Arial"/>
                <w:sz w:val="16"/>
                <w:szCs w:val="16"/>
                <w:color w:val="auto"/>
                <w:w w:val="88"/>
              </w:rPr>
              <w:t>Centrica</w:t>
            </w:r>
            <w:r>
              <w:rPr>
                <w:rFonts w:ascii="Arial" w:cs="Arial" w:eastAsia="Arial" w:hAnsi="Arial"/>
                <w:sz w:val="21"/>
                <w:szCs w:val="21"/>
                <w:color w:val="auto"/>
                <w:w w:val="88"/>
                <w:vertAlign w:val="superscript"/>
              </w:rPr>
              <w:t>(2)</w:t>
            </w:r>
          </w:p>
        </w:tc>
        <w:tc>
          <w:tcPr>
            <w:tcW w:w="1640" w:type="dxa"/>
            <w:vAlign w:val="bottom"/>
            <w:gridSpan w:val="2"/>
            <w:shd w:val="clear" w:color="auto" w:fill="E5FFFF"/>
          </w:tcPr>
          <w:p>
            <w:pPr>
              <w:jc w:val="center"/>
              <w:ind w:right="260"/>
              <w:spacing w:after="0"/>
              <w:rPr>
                <w:sz w:val="20"/>
                <w:szCs w:val="20"/>
                <w:color w:val="auto"/>
              </w:rPr>
            </w:pPr>
            <w:r>
              <w:rPr>
                <w:rFonts w:ascii="Arial" w:cs="Arial" w:eastAsia="Arial" w:hAnsi="Arial"/>
                <w:sz w:val="16"/>
                <w:szCs w:val="16"/>
                <w:color w:val="auto"/>
              </w:rPr>
              <w:t>X-DF</w:t>
            </w:r>
          </w:p>
        </w:tc>
        <w:tc>
          <w:tcPr>
            <w:tcW w:w="13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5"/>
              </w:rPr>
              <w:t>2027</w:t>
            </w:r>
          </w:p>
        </w:tc>
        <w:tc>
          <w:tcPr>
            <w:tcW w:w="100" w:type="dxa"/>
            <w:vAlign w:val="bottom"/>
            <w:shd w:val="clear" w:color="auto" w:fill="E5FFFF"/>
          </w:tcPr>
          <w:p>
            <w:pPr>
              <w:spacing w:after="0"/>
              <w:rPr>
                <w:sz w:val="17"/>
                <w:szCs w:val="17"/>
                <w:color w:val="auto"/>
              </w:rPr>
            </w:pPr>
          </w:p>
        </w:tc>
      </w:tr>
      <w:tr>
        <w:trPr>
          <w:trHeight w:val="203"/>
        </w:trPr>
        <w:tc>
          <w:tcPr>
            <w:tcW w:w="1680" w:type="dxa"/>
            <w:vAlign w:val="bottom"/>
            <w:gridSpan w:val="2"/>
          </w:tcPr>
          <w:p>
            <w:pPr>
              <w:spacing w:after="0"/>
              <w:rPr>
                <w:sz w:val="20"/>
                <w:szCs w:val="20"/>
                <w:color w:val="auto"/>
              </w:rPr>
            </w:pPr>
            <w:r>
              <w:rPr>
                <w:rFonts w:ascii="Arial" w:cs="Arial" w:eastAsia="Arial" w:hAnsi="Arial"/>
                <w:sz w:val="16"/>
                <w:szCs w:val="16"/>
                <w:color w:val="auto"/>
              </w:rPr>
              <w:t>Hull No. 2300</w:t>
            </w:r>
          </w:p>
        </w:tc>
        <w:tc>
          <w:tcPr>
            <w:tcW w:w="1680" w:type="dxa"/>
            <w:vAlign w:val="bottom"/>
            <w:gridSpan w:val="2"/>
          </w:tcPr>
          <w:p>
            <w:pPr>
              <w:jc w:val="center"/>
              <w:ind w:right="280"/>
              <w:spacing w:after="0"/>
              <w:rPr>
                <w:sz w:val="20"/>
                <w:szCs w:val="20"/>
                <w:color w:val="auto"/>
              </w:rPr>
            </w:pPr>
            <w:r>
              <w:rPr>
                <w:rFonts w:ascii="Arial" w:cs="Arial" w:eastAsia="Arial" w:hAnsi="Arial"/>
                <w:sz w:val="16"/>
                <w:szCs w:val="16"/>
                <w:color w:val="auto"/>
                <w:w w:val="91"/>
              </w:rPr>
              <w:t>Q4 2020</w:t>
            </w:r>
          </w:p>
        </w:tc>
        <w:tc>
          <w:tcPr>
            <w:tcW w:w="1640" w:type="dxa"/>
            <w:vAlign w:val="bottom"/>
            <w:gridSpan w:val="2"/>
          </w:tcPr>
          <w:p>
            <w:pPr>
              <w:ind w:left="380"/>
              <w:spacing w:after="0"/>
              <w:rPr>
                <w:sz w:val="20"/>
                <w:szCs w:val="20"/>
                <w:color w:val="auto"/>
              </w:rPr>
            </w:pPr>
            <w:r>
              <w:rPr>
                <w:rFonts w:ascii="Arial" w:cs="Arial" w:eastAsia="Arial" w:hAnsi="Arial"/>
                <w:sz w:val="16"/>
                <w:szCs w:val="16"/>
                <w:color w:val="auto"/>
              </w:rPr>
              <w:t>Samsung</w:t>
            </w:r>
          </w:p>
        </w:tc>
        <w:tc>
          <w:tcPr>
            <w:tcW w:w="1360" w:type="dxa"/>
            <w:vAlign w:val="bottom"/>
          </w:tcPr>
          <w:p>
            <w:pPr>
              <w:jc w:val="center"/>
              <w:spacing w:after="0"/>
              <w:rPr>
                <w:sz w:val="20"/>
                <w:szCs w:val="20"/>
                <w:color w:val="auto"/>
              </w:rPr>
            </w:pPr>
            <w:r>
              <w:rPr>
                <w:rFonts w:ascii="Arial" w:cs="Arial" w:eastAsia="Arial" w:hAnsi="Arial"/>
                <w:sz w:val="16"/>
                <w:szCs w:val="16"/>
                <w:color w:val="auto"/>
                <w:w w:val="93"/>
              </w:rPr>
              <w:t>174,000</w:t>
            </w:r>
          </w:p>
        </w:tc>
        <w:tc>
          <w:tcPr>
            <w:tcW w:w="300" w:type="dxa"/>
            <w:vAlign w:val="bottom"/>
          </w:tcPr>
          <w:p>
            <w:pPr>
              <w:spacing w:after="0"/>
              <w:rPr>
                <w:sz w:val="17"/>
                <w:szCs w:val="17"/>
                <w:color w:val="auto"/>
              </w:rPr>
            </w:pPr>
          </w:p>
        </w:tc>
        <w:tc>
          <w:tcPr>
            <w:tcW w:w="1640" w:type="dxa"/>
            <w:vAlign w:val="bottom"/>
            <w:gridSpan w:val="2"/>
          </w:tcPr>
          <w:p>
            <w:pPr>
              <w:jc w:val="center"/>
              <w:ind w:right="280"/>
              <w:spacing w:after="0" w:line="203" w:lineRule="exact"/>
              <w:rPr>
                <w:sz w:val="20"/>
                <w:szCs w:val="20"/>
                <w:color w:val="auto"/>
              </w:rPr>
            </w:pPr>
            <w:r>
              <w:rPr>
                <w:rFonts w:ascii="Arial" w:cs="Arial" w:eastAsia="Arial" w:hAnsi="Arial"/>
                <w:sz w:val="16"/>
                <w:szCs w:val="16"/>
                <w:color w:val="auto"/>
                <w:w w:val="87"/>
              </w:rPr>
              <w:t>Cheniere</w:t>
            </w:r>
            <w:r>
              <w:rPr>
                <w:rFonts w:ascii="Arial" w:cs="Arial" w:eastAsia="Arial" w:hAnsi="Arial"/>
                <w:sz w:val="21"/>
                <w:szCs w:val="21"/>
                <w:color w:val="auto"/>
                <w:w w:val="87"/>
                <w:vertAlign w:val="superscript"/>
              </w:rPr>
              <w:t>(4)</w:t>
            </w: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color w:val="auto"/>
              </w:rPr>
              <w:t>X-DF</w:t>
            </w:r>
          </w:p>
        </w:tc>
        <w:tc>
          <w:tcPr>
            <w:tcW w:w="1380" w:type="dxa"/>
            <w:vAlign w:val="bottom"/>
          </w:tcPr>
          <w:p>
            <w:pPr>
              <w:jc w:val="center"/>
              <w:spacing w:after="0"/>
              <w:rPr>
                <w:sz w:val="20"/>
                <w:szCs w:val="20"/>
                <w:color w:val="auto"/>
              </w:rPr>
            </w:pPr>
            <w:r>
              <w:rPr>
                <w:rFonts w:ascii="Arial" w:cs="Arial" w:eastAsia="Arial" w:hAnsi="Arial"/>
                <w:sz w:val="16"/>
                <w:szCs w:val="16"/>
                <w:color w:val="auto"/>
                <w:w w:val="95"/>
              </w:rPr>
              <w:t>2027</w:t>
            </w:r>
          </w:p>
        </w:tc>
        <w:tc>
          <w:tcPr>
            <w:tcW w:w="100" w:type="dxa"/>
            <w:vAlign w:val="bottom"/>
          </w:tcPr>
          <w:p>
            <w:pPr>
              <w:spacing w:after="0"/>
              <w:rPr>
                <w:sz w:val="17"/>
                <w:szCs w:val="17"/>
                <w:color w:val="auto"/>
              </w:rPr>
            </w:pPr>
          </w:p>
        </w:tc>
      </w:tr>
      <w:tr>
        <w:trPr>
          <w:trHeight w:val="203"/>
        </w:trPr>
        <w:tc>
          <w:tcPr>
            <w:tcW w:w="16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Hull No. 2301</w:t>
            </w:r>
          </w:p>
        </w:tc>
        <w:tc>
          <w:tcPr>
            <w:tcW w:w="1680" w:type="dxa"/>
            <w:vAlign w:val="bottom"/>
            <w:gridSpan w:val="2"/>
            <w:shd w:val="clear" w:color="auto" w:fill="E5FFFF"/>
          </w:tcPr>
          <w:p>
            <w:pPr>
              <w:jc w:val="center"/>
              <w:ind w:right="280"/>
              <w:spacing w:after="0"/>
              <w:rPr>
                <w:sz w:val="20"/>
                <w:szCs w:val="20"/>
                <w:color w:val="auto"/>
              </w:rPr>
            </w:pPr>
            <w:r>
              <w:rPr>
                <w:rFonts w:ascii="Arial" w:cs="Arial" w:eastAsia="Arial" w:hAnsi="Arial"/>
                <w:sz w:val="16"/>
                <w:szCs w:val="16"/>
                <w:color w:val="auto"/>
                <w:w w:val="91"/>
              </w:rPr>
              <w:t>Q4 2020</w:t>
            </w:r>
          </w:p>
        </w:tc>
        <w:tc>
          <w:tcPr>
            <w:tcW w:w="1640" w:type="dxa"/>
            <w:vAlign w:val="bottom"/>
            <w:gridSpan w:val="2"/>
            <w:shd w:val="clear" w:color="auto" w:fill="E5FFFF"/>
          </w:tcPr>
          <w:p>
            <w:pPr>
              <w:ind w:left="380"/>
              <w:spacing w:after="0"/>
              <w:rPr>
                <w:sz w:val="20"/>
                <w:szCs w:val="20"/>
                <w:color w:val="auto"/>
              </w:rPr>
            </w:pPr>
            <w:r>
              <w:rPr>
                <w:rFonts w:ascii="Arial" w:cs="Arial" w:eastAsia="Arial" w:hAnsi="Arial"/>
                <w:sz w:val="16"/>
                <w:szCs w:val="16"/>
                <w:color w:val="auto"/>
              </w:rPr>
              <w:t>Samsung</w:t>
            </w:r>
          </w:p>
        </w:tc>
        <w:tc>
          <w:tcPr>
            <w:tcW w:w="13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3"/>
              </w:rPr>
              <w:t>174,000</w:t>
            </w:r>
          </w:p>
        </w:tc>
        <w:tc>
          <w:tcPr>
            <w:tcW w:w="300" w:type="dxa"/>
            <w:vAlign w:val="bottom"/>
            <w:shd w:val="clear" w:color="auto" w:fill="E5FFFF"/>
          </w:tcPr>
          <w:p>
            <w:pPr>
              <w:spacing w:after="0"/>
              <w:rPr>
                <w:sz w:val="17"/>
                <w:szCs w:val="17"/>
                <w:color w:val="auto"/>
              </w:rPr>
            </w:pPr>
          </w:p>
        </w:tc>
        <w:tc>
          <w:tcPr>
            <w:tcW w:w="1640" w:type="dxa"/>
            <w:vAlign w:val="bottom"/>
            <w:gridSpan w:val="2"/>
            <w:shd w:val="clear" w:color="auto" w:fill="E5FFFF"/>
          </w:tcPr>
          <w:p>
            <w:pPr>
              <w:jc w:val="center"/>
              <w:ind w:right="280"/>
              <w:spacing w:after="0" w:line="203" w:lineRule="exact"/>
              <w:rPr>
                <w:sz w:val="20"/>
                <w:szCs w:val="20"/>
                <w:color w:val="auto"/>
              </w:rPr>
            </w:pPr>
            <w:r>
              <w:rPr>
                <w:rFonts w:ascii="Arial" w:cs="Arial" w:eastAsia="Arial" w:hAnsi="Arial"/>
                <w:sz w:val="16"/>
                <w:szCs w:val="16"/>
                <w:color w:val="auto"/>
                <w:w w:val="87"/>
              </w:rPr>
              <w:t>Cheniere</w:t>
            </w:r>
            <w:r>
              <w:rPr>
                <w:rFonts w:ascii="Arial" w:cs="Arial" w:eastAsia="Arial" w:hAnsi="Arial"/>
                <w:sz w:val="21"/>
                <w:szCs w:val="21"/>
                <w:color w:val="auto"/>
                <w:w w:val="87"/>
                <w:vertAlign w:val="superscript"/>
              </w:rPr>
              <w:t>(4)</w:t>
            </w:r>
          </w:p>
        </w:tc>
        <w:tc>
          <w:tcPr>
            <w:tcW w:w="1640" w:type="dxa"/>
            <w:vAlign w:val="bottom"/>
            <w:gridSpan w:val="2"/>
            <w:shd w:val="clear" w:color="auto" w:fill="E5FFFF"/>
          </w:tcPr>
          <w:p>
            <w:pPr>
              <w:jc w:val="center"/>
              <w:ind w:right="260"/>
              <w:spacing w:after="0"/>
              <w:rPr>
                <w:sz w:val="20"/>
                <w:szCs w:val="20"/>
                <w:color w:val="auto"/>
              </w:rPr>
            </w:pPr>
            <w:r>
              <w:rPr>
                <w:rFonts w:ascii="Arial" w:cs="Arial" w:eastAsia="Arial" w:hAnsi="Arial"/>
                <w:sz w:val="16"/>
                <w:szCs w:val="16"/>
                <w:color w:val="auto"/>
              </w:rPr>
              <w:t>X-DF</w:t>
            </w:r>
          </w:p>
        </w:tc>
        <w:tc>
          <w:tcPr>
            <w:tcW w:w="13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5"/>
              </w:rPr>
              <w:t>2027</w:t>
            </w:r>
          </w:p>
        </w:tc>
        <w:tc>
          <w:tcPr>
            <w:tcW w:w="100" w:type="dxa"/>
            <w:vAlign w:val="bottom"/>
            <w:shd w:val="clear" w:color="auto" w:fill="E5FFFF"/>
          </w:tcPr>
          <w:p>
            <w:pPr>
              <w:spacing w:after="0"/>
              <w:rPr>
                <w:sz w:val="17"/>
                <w:szCs w:val="17"/>
                <w:color w:val="auto"/>
              </w:rPr>
            </w:pPr>
          </w:p>
        </w:tc>
      </w:tr>
      <w:tr>
        <w:trPr>
          <w:trHeight w:val="203"/>
        </w:trPr>
        <w:tc>
          <w:tcPr>
            <w:tcW w:w="1680" w:type="dxa"/>
            <w:vAlign w:val="bottom"/>
            <w:gridSpan w:val="2"/>
          </w:tcPr>
          <w:p>
            <w:pPr>
              <w:spacing w:after="0"/>
              <w:rPr>
                <w:sz w:val="20"/>
                <w:szCs w:val="20"/>
                <w:color w:val="auto"/>
              </w:rPr>
            </w:pPr>
            <w:r>
              <w:rPr>
                <w:rFonts w:ascii="Arial" w:cs="Arial" w:eastAsia="Arial" w:hAnsi="Arial"/>
                <w:sz w:val="16"/>
                <w:szCs w:val="16"/>
                <w:color w:val="auto"/>
              </w:rPr>
              <w:t>Hull No. 2311</w:t>
            </w:r>
          </w:p>
        </w:tc>
        <w:tc>
          <w:tcPr>
            <w:tcW w:w="1680" w:type="dxa"/>
            <w:vAlign w:val="bottom"/>
            <w:gridSpan w:val="2"/>
          </w:tcPr>
          <w:p>
            <w:pPr>
              <w:jc w:val="center"/>
              <w:ind w:right="280"/>
              <w:spacing w:after="0"/>
              <w:rPr>
                <w:sz w:val="20"/>
                <w:szCs w:val="20"/>
                <w:color w:val="auto"/>
              </w:rPr>
            </w:pPr>
            <w:r>
              <w:rPr>
                <w:rFonts w:ascii="Arial" w:cs="Arial" w:eastAsia="Arial" w:hAnsi="Arial"/>
                <w:sz w:val="16"/>
                <w:szCs w:val="16"/>
                <w:color w:val="auto"/>
                <w:w w:val="91"/>
              </w:rPr>
              <w:t>Q2 2021</w:t>
            </w:r>
          </w:p>
        </w:tc>
        <w:tc>
          <w:tcPr>
            <w:tcW w:w="1640" w:type="dxa"/>
            <w:vAlign w:val="bottom"/>
            <w:gridSpan w:val="2"/>
          </w:tcPr>
          <w:p>
            <w:pPr>
              <w:ind w:left="380"/>
              <w:spacing w:after="0"/>
              <w:rPr>
                <w:sz w:val="20"/>
                <w:szCs w:val="20"/>
                <w:color w:val="auto"/>
              </w:rPr>
            </w:pPr>
            <w:r>
              <w:rPr>
                <w:rFonts w:ascii="Arial" w:cs="Arial" w:eastAsia="Arial" w:hAnsi="Arial"/>
                <w:sz w:val="16"/>
                <w:szCs w:val="16"/>
                <w:color w:val="auto"/>
              </w:rPr>
              <w:t>Samsung</w:t>
            </w:r>
          </w:p>
        </w:tc>
        <w:tc>
          <w:tcPr>
            <w:tcW w:w="1360" w:type="dxa"/>
            <w:vAlign w:val="bottom"/>
          </w:tcPr>
          <w:p>
            <w:pPr>
              <w:jc w:val="center"/>
              <w:spacing w:after="0"/>
              <w:rPr>
                <w:sz w:val="20"/>
                <w:szCs w:val="20"/>
                <w:color w:val="auto"/>
              </w:rPr>
            </w:pPr>
            <w:r>
              <w:rPr>
                <w:rFonts w:ascii="Arial" w:cs="Arial" w:eastAsia="Arial" w:hAnsi="Arial"/>
                <w:sz w:val="16"/>
                <w:szCs w:val="16"/>
                <w:color w:val="auto"/>
                <w:w w:val="93"/>
              </w:rPr>
              <w:t>180,000</w:t>
            </w:r>
          </w:p>
        </w:tc>
        <w:tc>
          <w:tcPr>
            <w:tcW w:w="300" w:type="dxa"/>
            <w:vAlign w:val="bottom"/>
          </w:tcPr>
          <w:p>
            <w:pPr>
              <w:spacing w:after="0"/>
              <w:rPr>
                <w:sz w:val="17"/>
                <w:szCs w:val="17"/>
                <w:color w:val="auto"/>
              </w:rPr>
            </w:pPr>
          </w:p>
        </w:tc>
        <w:tc>
          <w:tcPr>
            <w:tcW w:w="1640" w:type="dxa"/>
            <w:vAlign w:val="bottom"/>
            <w:gridSpan w:val="2"/>
          </w:tcPr>
          <w:p>
            <w:pPr>
              <w:jc w:val="center"/>
              <w:ind w:right="280"/>
              <w:spacing w:after="0" w:line="203" w:lineRule="exact"/>
              <w:rPr>
                <w:sz w:val="20"/>
                <w:szCs w:val="20"/>
                <w:color w:val="auto"/>
              </w:rPr>
            </w:pPr>
            <w:r>
              <w:rPr>
                <w:rFonts w:ascii="Arial" w:cs="Arial" w:eastAsia="Arial" w:hAnsi="Arial"/>
                <w:sz w:val="16"/>
                <w:szCs w:val="16"/>
                <w:color w:val="auto"/>
                <w:w w:val="87"/>
              </w:rPr>
              <w:t>Cheniere</w:t>
            </w:r>
            <w:r>
              <w:rPr>
                <w:rFonts w:ascii="Arial" w:cs="Arial" w:eastAsia="Arial" w:hAnsi="Arial"/>
                <w:sz w:val="21"/>
                <w:szCs w:val="21"/>
                <w:color w:val="auto"/>
                <w:w w:val="87"/>
                <w:vertAlign w:val="superscript"/>
              </w:rPr>
              <w:t>(4)</w:t>
            </w: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color w:val="auto"/>
              </w:rPr>
              <w:t>X-DF</w:t>
            </w:r>
          </w:p>
        </w:tc>
        <w:tc>
          <w:tcPr>
            <w:tcW w:w="1380" w:type="dxa"/>
            <w:vAlign w:val="bottom"/>
          </w:tcPr>
          <w:p>
            <w:pPr>
              <w:jc w:val="center"/>
              <w:spacing w:after="0"/>
              <w:rPr>
                <w:sz w:val="20"/>
                <w:szCs w:val="20"/>
                <w:color w:val="auto"/>
              </w:rPr>
            </w:pPr>
            <w:r>
              <w:rPr>
                <w:rFonts w:ascii="Arial" w:cs="Arial" w:eastAsia="Arial" w:hAnsi="Arial"/>
                <w:sz w:val="16"/>
                <w:szCs w:val="16"/>
                <w:color w:val="auto"/>
                <w:w w:val="95"/>
              </w:rPr>
              <w:t>2028</w:t>
            </w:r>
          </w:p>
        </w:tc>
        <w:tc>
          <w:tcPr>
            <w:tcW w:w="100" w:type="dxa"/>
            <w:vAlign w:val="bottom"/>
          </w:tcPr>
          <w:p>
            <w:pPr>
              <w:spacing w:after="0"/>
              <w:rPr>
                <w:sz w:val="17"/>
                <w:szCs w:val="17"/>
                <w:color w:val="auto"/>
              </w:rPr>
            </w:pPr>
          </w:p>
        </w:tc>
      </w:tr>
      <w:tr>
        <w:trPr>
          <w:trHeight w:val="203"/>
        </w:trPr>
        <w:tc>
          <w:tcPr>
            <w:tcW w:w="16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Hull No. 2312</w:t>
            </w:r>
          </w:p>
        </w:tc>
        <w:tc>
          <w:tcPr>
            <w:tcW w:w="1680" w:type="dxa"/>
            <w:vAlign w:val="bottom"/>
            <w:gridSpan w:val="2"/>
            <w:shd w:val="clear" w:color="auto" w:fill="E5FFFF"/>
          </w:tcPr>
          <w:p>
            <w:pPr>
              <w:jc w:val="center"/>
              <w:ind w:right="280"/>
              <w:spacing w:after="0"/>
              <w:rPr>
                <w:sz w:val="20"/>
                <w:szCs w:val="20"/>
                <w:color w:val="auto"/>
              </w:rPr>
            </w:pPr>
            <w:r>
              <w:rPr>
                <w:rFonts w:ascii="Arial" w:cs="Arial" w:eastAsia="Arial" w:hAnsi="Arial"/>
                <w:sz w:val="16"/>
                <w:szCs w:val="16"/>
                <w:color w:val="auto"/>
                <w:w w:val="91"/>
              </w:rPr>
              <w:t>Q3 2021</w:t>
            </w:r>
          </w:p>
        </w:tc>
        <w:tc>
          <w:tcPr>
            <w:tcW w:w="1640" w:type="dxa"/>
            <w:vAlign w:val="bottom"/>
            <w:gridSpan w:val="2"/>
            <w:shd w:val="clear" w:color="auto" w:fill="E5FFFF"/>
          </w:tcPr>
          <w:p>
            <w:pPr>
              <w:ind w:left="380"/>
              <w:spacing w:after="0"/>
              <w:rPr>
                <w:sz w:val="20"/>
                <w:szCs w:val="20"/>
                <w:color w:val="auto"/>
              </w:rPr>
            </w:pPr>
            <w:r>
              <w:rPr>
                <w:rFonts w:ascii="Arial" w:cs="Arial" w:eastAsia="Arial" w:hAnsi="Arial"/>
                <w:sz w:val="16"/>
                <w:szCs w:val="16"/>
                <w:color w:val="auto"/>
              </w:rPr>
              <w:t>Samsung</w:t>
            </w:r>
          </w:p>
        </w:tc>
        <w:tc>
          <w:tcPr>
            <w:tcW w:w="13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3"/>
              </w:rPr>
              <w:t>180,000</w:t>
            </w:r>
          </w:p>
        </w:tc>
        <w:tc>
          <w:tcPr>
            <w:tcW w:w="300" w:type="dxa"/>
            <w:vAlign w:val="bottom"/>
            <w:shd w:val="clear" w:color="auto" w:fill="E5FFFF"/>
          </w:tcPr>
          <w:p>
            <w:pPr>
              <w:spacing w:after="0"/>
              <w:rPr>
                <w:sz w:val="17"/>
                <w:szCs w:val="17"/>
                <w:color w:val="auto"/>
              </w:rPr>
            </w:pPr>
          </w:p>
        </w:tc>
        <w:tc>
          <w:tcPr>
            <w:tcW w:w="1640" w:type="dxa"/>
            <w:vAlign w:val="bottom"/>
            <w:gridSpan w:val="2"/>
            <w:shd w:val="clear" w:color="auto" w:fill="E5FFFF"/>
          </w:tcPr>
          <w:p>
            <w:pPr>
              <w:jc w:val="center"/>
              <w:ind w:right="280"/>
              <w:spacing w:after="0" w:line="203" w:lineRule="exact"/>
              <w:rPr>
                <w:sz w:val="20"/>
                <w:szCs w:val="20"/>
                <w:color w:val="auto"/>
              </w:rPr>
            </w:pPr>
            <w:r>
              <w:rPr>
                <w:rFonts w:ascii="Arial" w:cs="Arial" w:eastAsia="Arial" w:hAnsi="Arial"/>
                <w:sz w:val="16"/>
                <w:szCs w:val="16"/>
                <w:color w:val="auto"/>
                <w:w w:val="87"/>
              </w:rPr>
              <w:t>Cheniere</w:t>
            </w:r>
            <w:r>
              <w:rPr>
                <w:rFonts w:ascii="Arial" w:cs="Arial" w:eastAsia="Arial" w:hAnsi="Arial"/>
                <w:sz w:val="21"/>
                <w:szCs w:val="21"/>
                <w:color w:val="auto"/>
                <w:w w:val="87"/>
                <w:vertAlign w:val="superscript"/>
              </w:rPr>
              <w:t>(4)</w:t>
            </w:r>
          </w:p>
        </w:tc>
        <w:tc>
          <w:tcPr>
            <w:tcW w:w="1640" w:type="dxa"/>
            <w:vAlign w:val="bottom"/>
            <w:gridSpan w:val="2"/>
            <w:shd w:val="clear" w:color="auto" w:fill="E5FFFF"/>
          </w:tcPr>
          <w:p>
            <w:pPr>
              <w:jc w:val="center"/>
              <w:ind w:right="260"/>
              <w:spacing w:after="0"/>
              <w:rPr>
                <w:sz w:val="20"/>
                <w:szCs w:val="20"/>
                <w:color w:val="auto"/>
              </w:rPr>
            </w:pPr>
            <w:r>
              <w:rPr>
                <w:rFonts w:ascii="Arial" w:cs="Arial" w:eastAsia="Arial" w:hAnsi="Arial"/>
                <w:sz w:val="16"/>
                <w:szCs w:val="16"/>
                <w:color w:val="auto"/>
              </w:rPr>
              <w:t>X-DF</w:t>
            </w:r>
          </w:p>
        </w:tc>
        <w:tc>
          <w:tcPr>
            <w:tcW w:w="13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5"/>
              </w:rPr>
              <w:t>2028</w:t>
            </w:r>
          </w:p>
        </w:tc>
        <w:tc>
          <w:tcPr>
            <w:tcW w:w="100" w:type="dxa"/>
            <w:vAlign w:val="bottom"/>
            <w:shd w:val="clear" w:color="auto" w:fill="E5FFFF"/>
          </w:tcPr>
          <w:p>
            <w:pPr>
              <w:spacing w:after="0"/>
              <w:rPr>
                <w:sz w:val="17"/>
                <w:szCs w:val="17"/>
                <w:color w:val="auto"/>
              </w:rPr>
            </w:pPr>
          </w:p>
        </w:tc>
      </w:tr>
      <w:tr>
        <w:trPr>
          <w:trHeight w:val="230"/>
        </w:trPr>
        <w:tc>
          <w:tcPr>
            <w:tcW w:w="1380" w:type="dxa"/>
            <w:vAlign w:val="bottom"/>
          </w:tcPr>
          <w:p>
            <w:pPr>
              <w:spacing w:after="0" w:line="230" w:lineRule="exact"/>
              <w:rPr>
                <w:sz w:val="20"/>
                <w:szCs w:val="20"/>
                <w:color w:val="auto"/>
              </w:rPr>
            </w:pPr>
            <w:r>
              <w:rPr>
                <w:rFonts w:ascii="Arial" w:cs="Arial" w:eastAsia="Arial" w:hAnsi="Arial"/>
                <w:sz w:val="22"/>
                <w:szCs w:val="22"/>
                <w:color w:val="auto"/>
                <w:w w:val="92"/>
              </w:rPr>
              <w:t>____________</w:t>
            </w: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ind w:left="260" w:hanging="252"/>
        <w:spacing w:after="0" w:line="189" w:lineRule="auto"/>
        <w:tabs>
          <w:tab w:leader="none" w:pos="260" w:val="left"/>
        </w:tabs>
        <w:numPr>
          <w:ilvl w:val="0"/>
          <w:numId w:val="7"/>
        </w:numPr>
        <w:rPr>
          <w:rFonts w:ascii="Arial" w:cs="Arial" w:eastAsia="Arial" w:hAnsi="Arial"/>
          <w:sz w:val="17"/>
          <w:szCs w:val="17"/>
          <w:color w:val="auto"/>
          <w:vertAlign w:val="superscript"/>
        </w:rPr>
      </w:pPr>
      <w:r>
        <w:rPr>
          <w:rFonts w:ascii="Arial" w:cs="Arial" w:eastAsia="Arial" w:hAnsi="Arial"/>
          <w:sz w:val="14"/>
          <w:szCs w:val="14"/>
          <w:color w:val="auto"/>
        </w:rPr>
        <w:t>Charter expiration to be determined based upon actual date of delivery.</w:t>
      </w:r>
    </w:p>
    <w:p>
      <w:pPr>
        <w:ind w:left="260" w:hanging="252"/>
        <w:spacing w:after="0" w:line="182" w:lineRule="auto"/>
        <w:tabs>
          <w:tab w:leader="none" w:pos="260" w:val="left"/>
        </w:tabs>
        <w:numPr>
          <w:ilvl w:val="0"/>
          <w:numId w:val="7"/>
        </w:numPr>
        <w:rPr>
          <w:rFonts w:ascii="Arial" w:cs="Arial" w:eastAsia="Arial" w:hAnsi="Arial"/>
          <w:sz w:val="17"/>
          <w:szCs w:val="17"/>
          <w:color w:val="auto"/>
          <w:vertAlign w:val="superscript"/>
        </w:rPr>
      </w:pPr>
      <w:r>
        <w:rPr>
          <w:rFonts w:ascii="Arial" w:cs="Arial" w:eastAsia="Arial" w:hAnsi="Arial"/>
          <w:sz w:val="14"/>
          <w:szCs w:val="14"/>
          <w:color w:val="auto"/>
        </w:rPr>
        <w:t>The vessel is chartered to Pioneer Shipping Limited, a wholly owned subsidiary of Centrica.</w:t>
      </w:r>
    </w:p>
    <w:p>
      <w:pPr>
        <w:ind w:left="260" w:hanging="252"/>
        <w:spacing w:after="0" w:line="182" w:lineRule="auto"/>
        <w:tabs>
          <w:tab w:leader="none" w:pos="260" w:val="left"/>
        </w:tabs>
        <w:numPr>
          <w:ilvl w:val="0"/>
          <w:numId w:val="7"/>
        </w:numPr>
        <w:rPr>
          <w:rFonts w:ascii="Arial" w:cs="Arial" w:eastAsia="Arial" w:hAnsi="Arial"/>
          <w:sz w:val="17"/>
          <w:szCs w:val="17"/>
          <w:color w:val="auto"/>
          <w:vertAlign w:val="superscript"/>
        </w:rPr>
      </w:pPr>
      <w:r>
        <w:rPr>
          <w:rFonts w:ascii="Arial" w:cs="Arial" w:eastAsia="Arial" w:hAnsi="Arial"/>
          <w:sz w:val="14"/>
          <w:szCs w:val="14"/>
          <w:color w:val="auto"/>
        </w:rPr>
        <w:t>The vessel is chartered to the principal LNG shipping entity of JERA Co., Inc (“JERA”).</w:t>
      </w:r>
    </w:p>
    <w:p>
      <w:pPr>
        <w:ind w:left="260" w:hanging="252"/>
        <w:spacing w:after="0" w:line="197" w:lineRule="auto"/>
        <w:tabs>
          <w:tab w:leader="none" w:pos="2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The vessel is chartered to a wholly owned subsidiary of Cheniere.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Conference Call</w:t>
      </w:r>
    </w:p>
    <w:p>
      <w:pPr>
        <w:spacing w:after="0" w:line="239" w:lineRule="exact"/>
        <w:rPr>
          <w:sz w:val="20"/>
          <w:szCs w:val="20"/>
          <w:color w:val="auto"/>
        </w:rPr>
      </w:pPr>
    </w:p>
    <w:p>
      <w:pPr>
        <w:jc w:val="both"/>
        <w:ind w:right="60"/>
        <w:spacing w:after="0" w:line="278" w:lineRule="auto"/>
        <w:rPr>
          <w:sz w:val="20"/>
          <w:szCs w:val="20"/>
          <w:color w:val="auto"/>
        </w:rPr>
      </w:pPr>
      <w:r>
        <w:rPr>
          <w:rFonts w:ascii="Arial" w:cs="Arial" w:eastAsia="Arial" w:hAnsi="Arial"/>
          <w:sz w:val="16"/>
          <w:szCs w:val="16"/>
          <w:color w:val="auto"/>
        </w:rPr>
        <w:t>GasLog will host a conference call to discuss its results for the third quarter of 2019 at 8:30 a.m. EDT (1:30 p.m. GMT) on Wednesday, November 6, 2019. Paul Wogan, Chief Executive Officer, and Alastair Maxwell, Chief Financial Officer, will review the Company’s operational and financial performance for the period. Management’s presentation will be followed by a Q&amp;A session.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dial-in numbers for the conference call are as follows: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+1 855 253 8928 (USA)</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+44 20 3107 0289 (United Kingdom)</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+33 1 70 80 71 53 (France)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+852 5819 4851 (Hong Kong)</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Conference ID: 2776772</w:t>
      </w: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A live webcast of the conference call will also be available on the Investor Relations page of the Company’s website at </w:t>
      </w:r>
      <w:r>
        <w:rPr>
          <w:rFonts w:ascii="Arial" w:cs="Arial" w:eastAsia="Arial" w:hAnsi="Arial"/>
          <w:sz w:val="15"/>
          <w:szCs w:val="15"/>
          <w:u w:val="single" w:color="auto"/>
          <w:color w:val="0000FF"/>
        </w:rPr>
        <w:t>http://www.gaslogltd.com/investor-relations</w:t>
      </w:r>
      <w:r>
        <w:rPr>
          <w:rFonts w:ascii="Arial" w:cs="Arial" w:eastAsia="Arial" w:hAnsi="Arial"/>
          <w:sz w:val="15"/>
          <w:szCs w:val="15"/>
          <w:color w:val="auto"/>
        </w:rPr>
        <w:t>.</w:t>
      </w:r>
    </w:p>
    <w:p>
      <w:pPr>
        <w:spacing w:after="0" w:line="246" w:lineRule="exact"/>
        <w:rPr>
          <w:sz w:val="20"/>
          <w:szCs w:val="20"/>
          <w:color w:val="auto"/>
        </w:rPr>
      </w:pPr>
    </w:p>
    <w:p>
      <w:pPr>
        <w:ind w:right="1420"/>
        <w:spacing w:after="0" w:line="293" w:lineRule="auto"/>
        <w:rPr>
          <w:sz w:val="20"/>
          <w:szCs w:val="20"/>
          <w:color w:val="auto"/>
        </w:rPr>
      </w:pPr>
      <w:r>
        <w:rPr>
          <w:rFonts w:ascii="Arial" w:cs="Arial" w:eastAsia="Arial" w:hAnsi="Arial"/>
          <w:sz w:val="16"/>
          <w:szCs w:val="16"/>
          <w:color w:val="auto"/>
        </w:rPr>
        <w:t xml:space="preserve">For those unable to participate in the conference call, a replay of the webcast will be available on the Investor Relations page of the Company’s website at </w:t>
      </w:r>
      <w:r>
        <w:rPr>
          <w:rFonts w:ascii="Arial" w:cs="Arial" w:eastAsia="Arial" w:hAnsi="Arial"/>
          <w:sz w:val="16"/>
          <w:szCs w:val="16"/>
          <w:u w:val="single" w:color="auto"/>
          <w:color w:val="0000FF"/>
        </w:rPr>
        <w:t>http://www.gaslogltd.com/investor-relations</w:t>
      </w:r>
      <w:r>
        <w:rPr>
          <w:rFonts w:ascii="Arial" w:cs="Arial" w:eastAsia="Arial" w:hAnsi="Arial"/>
          <w:sz w:val="16"/>
          <w:szCs w:val="16"/>
          <w:color w:val="000000"/>
        </w:rPr>
        <w: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About GasLog</w:t>
      </w:r>
    </w:p>
    <w:p>
      <w:pPr>
        <w:spacing w:after="0" w:line="239" w:lineRule="exact"/>
        <w:rPr>
          <w:sz w:val="20"/>
          <w:szCs w:val="20"/>
          <w:color w:val="auto"/>
        </w:rPr>
      </w:pPr>
    </w:p>
    <w:p>
      <w:pPr>
        <w:ind w:right="160"/>
        <w:spacing w:after="0" w:line="324" w:lineRule="auto"/>
        <w:rPr>
          <w:sz w:val="20"/>
          <w:szCs w:val="20"/>
          <w:color w:val="auto"/>
        </w:rPr>
      </w:pPr>
      <w:r>
        <w:rPr>
          <w:rFonts w:ascii="Arial" w:cs="Arial" w:eastAsia="Arial" w:hAnsi="Arial"/>
          <w:sz w:val="14"/>
          <w:szCs w:val="14"/>
          <w:color w:val="auto"/>
        </w:rPr>
        <w:t xml:space="preserve">GasLog is an international owner, operator and manager of LNG carriers providing support to international energy companies as part of their LNG logistics chain. GasLog’s consolidated fleet consists of 35 LNG carriers. Of these vessels, 19 (12 on the water and seven on order) are owned by GasLog, one has been sold to a subsidiary of Mitsui &amp; Co., Ltd. and leased back to GasLog under a long-term bareboat charter and the remaining 15 LNG carriers are owned by the Company’s subsidiary, GasLog Partners. GasLog’s principal executive offices are at Gildo Pastor Center, 7 Rue du Gabian, MC 98000, Monaco. Visit GasLog’s website at </w:t>
      </w:r>
      <w:r>
        <w:rPr>
          <w:rFonts w:ascii="Arial" w:cs="Arial" w:eastAsia="Arial" w:hAnsi="Arial"/>
          <w:sz w:val="14"/>
          <w:szCs w:val="14"/>
          <w:u w:val="single" w:color="auto"/>
          <w:color w:val="0000FF"/>
        </w:rPr>
        <w:t>http://www.gaslogltd.com</w:t>
      </w:r>
      <w:r>
        <w:rPr>
          <w:rFonts w:ascii="Arial" w:cs="Arial" w:eastAsia="Arial" w:hAnsi="Arial"/>
          <w:sz w:val="12"/>
          <w:szCs w:val="12"/>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Forward Looking Statements</w:t>
      </w:r>
    </w:p>
    <w:p>
      <w:pPr>
        <w:spacing w:after="0" w:line="239" w:lineRule="exact"/>
        <w:rPr>
          <w:sz w:val="20"/>
          <w:szCs w:val="20"/>
          <w:color w:val="auto"/>
        </w:rPr>
      </w:pPr>
    </w:p>
    <w:p>
      <w:pPr>
        <w:ind w:right="80"/>
        <w:spacing w:after="0" w:line="289" w:lineRule="auto"/>
        <w:rPr>
          <w:sz w:val="20"/>
          <w:szCs w:val="20"/>
          <w:color w:val="auto"/>
        </w:rPr>
      </w:pPr>
      <w:r>
        <w:rPr>
          <w:rFonts w:ascii="Arial" w:cs="Arial" w:eastAsia="Arial" w:hAnsi="Arial"/>
          <w:sz w:val="15"/>
          <w:szCs w:val="15"/>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Factors that might cause future results and outcomes to differ include, but are not limited to, the following:</w:t>
      </w:r>
    </w:p>
    <w:p>
      <w:pPr>
        <w:spacing w:after="0" w:line="235" w:lineRule="exact"/>
        <w:rPr>
          <w:sz w:val="20"/>
          <w:szCs w:val="20"/>
          <w:color w:val="auto"/>
        </w:rPr>
      </w:pPr>
    </w:p>
    <w:p>
      <w:pPr>
        <w:ind w:left="520" w:right="320" w:hanging="188"/>
        <w:spacing w:after="0" w:line="273" w:lineRule="auto"/>
        <w:tabs>
          <w:tab w:leader="none" w:pos="475" w:val="left"/>
        </w:tabs>
        <w:numPr>
          <w:ilvl w:val="0"/>
          <w:numId w:val="8"/>
        </w:numPr>
        <w:rPr>
          <w:rFonts w:ascii="Arial" w:cs="Arial" w:eastAsia="Arial" w:hAnsi="Arial"/>
          <w:sz w:val="16"/>
          <w:szCs w:val="16"/>
          <w:color w:val="auto"/>
        </w:rPr>
      </w:pPr>
      <w:r>
        <w:rPr>
          <w:rFonts w:ascii="Arial" w:cs="Arial" w:eastAsia="Arial" w:hAnsi="Arial"/>
          <w:sz w:val="16"/>
          <w:szCs w:val="16"/>
          <w:color w:val="auto"/>
        </w:rPr>
        <w:t>general LNG shipping market conditions and trends, including spot and multi-year charter rates, ship values, factors affecting supply and demand of LNG and LNG shipping, technological advancements and opportunities for the profitable operations of LNG carriers;</w:t>
      </w:r>
    </w:p>
    <w:p>
      <w:pPr>
        <w:ind w:left="460" w:hanging="128"/>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fluctuations in spot and multi-year charter hire rates and vessel values;</w:t>
      </w:r>
    </w:p>
    <w:p>
      <w:pPr>
        <w:spacing w:after="0" w:line="32" w:lineRule="exact"/>
        <w:rPr>
          <w:rFonts w:ascii="Arial" w:cs="Arial" w:eastAsia="Arial" w:hAnsi="Arial"/>
          <w:sz w:val="16"/>
          <w:szCs w:val="16"/>
          <w:color w:val="auto"/>
        </w:rPr>
      </w:pPr>
    </w:p>
    <w:p>
      <w:pPr>
        <w:ind w:left="460" w:hanging="128"/>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increased exposure to the spot market and fluctuations in spot charter rates;</w:t>
      </w:r>
    </w:p>
    <w:p>
      <w:pPr>
        <w:spacing w:after="0" w:line="32" w:lineRule="exact"/>
        <w:rPr>
          <w:rFonts w:ascii="Arial" w:cs="Arial" w:eastAsia="Arial" w:hAnsi="Arial"/>
          <w:sz w:val="16"/>
          <w:szCs w:val="16"/>
          <w:color w:val="auto"/>
        </w:rPr>
      </w:pPr>
    </w:p>
    <w:p>
      <w:pPr>
        <w:ind w:left="520" w:right="380" w:hanging="196"/>
        <w:spacing w:after="0" w:line="291" w:lineRule="auto"/>
        <w:tabs>
          <w:tab w:leader="none" w:pos="474" w:val="left"/>
        </w:tabs>
        <w:numPr>
          <w:ilvl w:val="0"/>
          <w:numId w:val="8"/>
        </w:numPr>
        <w:rPr>
          <w:rFonts w:ascii="Arial" w:cs="Arial" w:eastAsia="Arial" w:hAnsi="Arial"/>
          <w:sz w:val="15"/>
          <w:szCs w:val="15"/>
          <w:color w:val="auto"/>
        </w:rPr>
      </w:pPr>
      <w:r>
        <w:rPr>
          <w:rFonts w:ascii="Arial" w:cs="Arial" w:eastAsia="Arial" w:hAnsi="Arial"/>
          <w:sz w:val="15"/>
          <w:szCs w:val="15"/>
          <w:color w:val="auto"/>
        </w:rPr>
        <w:t>our ability to maximize the use of our vessels, including the re-deployment or disposition of vessels which are not under multi-year charters, including the risk that certain of our vessels may no longer have the latest technology at such time which may impact the rate at which we can charter such vessels;</w:t>
      </w:r>
    </w:p>
    <w:p>
      <w:pPr>
        <w:ind w:left="480" w:hanging="156"/>
        <w:spacing w:after="0"/>
        <w:tabs>
          <w:tab w:leader="none" w:pos="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changes in our operating expenses, including crew wages, maintenance, dry-docking and insurance costs and bunker prices;</w:t>
      </w:r>
    </w:p>
    <w:p>
      <w:pPr>
        <w:spacing w:after="0" w:line="32" w:lineRule="exact"/>
        <w:rPr>
          <w:rFonts w:ascii="Arial" w:cs="Arial" w:eastAsia="Arial" w:hAnsi="Arial"/>
          <w:sz w:val="16"/>
          <w:szCs w:val="16"/>
          <w:color w:val="auto"/>
        </w:rPr>
      </w:pPr>
    </w:p>
    <w:p>
      <w:pPr>
        <w:ind w:left="480" w:hanging="156"/>
        <w:spacing w:after="0"/>
        <w:tabs>
          <w:tab w:leader="none" w:pos="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number of off-hire days and dry-docking requirements including our ability to complete scheduled dry-dockings on time and within budget;</w:t>
      </w:r>
    </w:p>
    <w:p>
      <w:pPr>
        <w:spacing w:after="0" w:line="32" w:lineRule="exact"/>
        <w:rPr>
          <w:rFonts w:ascii="Arial" w:cs="Arial" w:eastAsia="Arial" w:hAnsi="Arial"/>
          <w:sz w:val="16"/>
          <w:szCs w:val="16"/>
          <w:color w:val="auto"/>
        </w:rPr>
      </w:pPr>
    </w:p>
    <w:p>
      <w:pPr>
        <w:ind w:left="480" w:hanging="156"/>
        <w:spacing w:after="0"/>
        <w:tabs>
          <w:tab w:leader="none" w:pos="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planned capital expenditures and availability of capital resources to fund capital expenditures;</w:t>
      </w:r>
    </w:p>
    <w:p>
      <w:pPr>
        <w:spacing w:after="0" w:line="32" w:lineRule="exact"/>
        <w:rPr>
          <w:rFonts w:ascii="Arial" w:cs="Arial" w:eastAsia="Arial" w:hAnsi="Arial"/>
          <w:sz w:val="16"/>
          <w:szCs w:val="16"/>
          <w:color w:val="auto"/>
        </w:rPr>
      </w:pPr>
    </w:p>
    <w:p>
      <w:pPr>
        <w:ind w:left="480" w:hanging="156"/>
        <w:spacing w:after="0"/>
        <w:tabs>
          <w:tab w:leader="none" w:pos="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maintain long-term relationships and enter into time charters with new and existing customers;</w:t>
      </w:r>
    </w:p>
    <w:p>
      <w:pPr>
        <w:spacing w:after="0" w:line="32" w:lineRule="exact"/>
        <w:rPr>
          <w:rFonts w:ascii="Arial" w:cs="Arial" w:eastAsia="Arial" w:hAnsi="Arial"/>
          <w:sz w:val="16"/>
          <w:szCs w:val="16"/>
          <w:color w:val="auto"/>
        </w:rPr>
      </w:pPr>
    </w:p>
    <w:p>
      <w:pPr>
        <w:ind w:left="460" w:hanging="128"/>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fluctuations in prices for crude oil, petroleum products and natural gas, including LNG;</w:t>
      </w:r>
    </w:p>
    <w:p>
      <w:pPr>
        <w:spacing w:after="0" w:line="32" w:lineRule="exact"/>
        <w:rPr>
          <w:rFonts w:ascii="Arial" w:cs="Arial" w:eastAsia="Arial" w:hAnsi="Arial"/>
          <w:sz w:val="16"/>
          <w:szCs w:val="16"/>
          <w:color w:val="auto"/>
        </w:rPr>
      </w:pPr>
    </w:p>
    <w:p>
      <w:pPr>
        <w:ind w:left="460" w:hanging="128"/>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changes in the ownership of our charterers;</w:t>
      </w:r>
    </w:p>
    <w:p>
      <w:pPr>
        <w:spacing w:after="0" w:line="32" w:lineRule="exact"/>
        <w:rPr>
          <w:rFonts w:ascii="Arial" w:cs="Arial" w:eastAsia="Arial" w:hAnsi="Arial"/>
          <w:sz w:val="16"/>
          <w:szCs w:val="16"/>
          <w:color w:val="auto"/>
        </w:rPr>
      </w:pPr>
    </w:p>
    <w:p>
      <w:pPr>
        <w:ind w:left="460" w:hanging="128"/>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customers’ performance of their obligations under our time charters and other contracts;</w:t>
      </w:r>
    </w:p>
    <w:p>
      <w:pPr>
        <w:spacing w:after="0" w:line="32" w:lineRule="exact"/>
        <w:rPr>
          <w:rFonts w:ascii="Arial" w:cs="Arial" w:eastAsia="Arial" w:hAnsi="Arial"/>
          <w:sz w:val="16"/>
          <w:szCs w:val="16"/>
          <w:color w:val="auto"/>
        </w:rPr>
      </w:pPr>
    </w:p>
    <w:p>
      <w:pPr>
        <w:ind w:left="460" w:hanging="128"/>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future operating performance and expenses, financial condition, liquidity and cash available for dividends and distributions;</w:t>
      </w:r>
    </w:p>
    <w:p>
      <w:pPr>
        <w:spacing w:after="0" w:line="32" w:lineRule="exact"/>
        <w:rPr>
          <w:rFonts w:ascii="Arial" w:cs="Arial" w:eastAsia="Arial" w:hAnsi="Arial"/>
          <w:sz w:val="16"/>
          <w:szCs w:val="16"/>
          <w:color w:val="auto"/>
        </w:rPr>
      </w:pPr>
    </w:p>
    <w:p>
      <w:pPr>
        <w:ind w:left="520" w:right="120" w:hanging="188"/>
        <w:spacing w:after="0" w:line="293" w:lineRule="auto"/>
        <w:tabs>
          <w:tab w:leader="none" w:pos="475"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obtain financing to fund capital expenditures, acquisitions and other corporate activities, funding by banks of their financial commitments, and our ability to meet our restrictive covenants and other obligations under our credit facilities;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001" w:gutter="0" w:footer="0" w:header="0"/>
        </w:sectPr>
      </w:pPr>
    </w:p>
    <w:bookmarkStart w:id="9" w:name="page10"/>
    <w:bookmarkEnd w:id="9"/>
    <w:p>
      <w:pPr>
        <w:ind w:left="460" w:hanging="128"/>
        <w:spacing w:after="0"/>
        <w:tabs>
          <w:tab w:leader="none" w:pos="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future, pending or recent acquisitions of or orders for ships or other assets, business strategy, areas of possible expansion and expected capital spending;</w:t>
      </w:r>
    </w:p>
    <w:p>
      <w:pPr>
        <w:spacing w:after="0" w:line="33" w:lineRule="exact"/>
        <w:rPr>
          <w:rFonts w:ascii="Arial" w:cs="Arial" w:eastAsia="Arial" w:hAnsi="Arial"/>
          <w:sz w:val="15"/>
          <w:szCs w:val="15"/>
          <w:color w:val="auto"/>
        </w:rPr>
      </w:pPr>
    </w:p>
    <w:p>
      <w:pPr>
        <w:ind w:left="460" w:hanging="128"/>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time that it may take to construct and deliver newbuildings and the useful lives of our ships;</w:t>
      </w:r>
    </w:p>
    <w:p>
      <w:pPr>
        <w:spacing w:after="0" w:line="18" w:lineRule="exact"/>
        <w:rPr>
          <w:rFonts w:ascii="Arial" w:cs="Arial" w:eastAsia="Arial" w:hAnsi="Arial"/>
          <w:sz w:val="16"/>
          <w:szCs w:val="16"/>
          <w:color w:val="auto"/>
        </w:rPr>
      </w:pPr>
    </w:p>
    <w:p>
      <w:pPr>
        <w:ind w:left="480" w:hanging="156"/>
        <w:spacing w:after="0"/>
        <w:tabs>
          <w:tab w:leader="none" w:pos="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fluctuations in currencies and interest rates;</w:t>
      </w:r>
    </w:p>
    <w:p>
      <w:pPr>
        <w:spacing w:after="0" w:line="18" w:lineRule="exact"/>
        <w:rPr>
          <w:rFonts w:ascii="Arial" w:cs="Arial" w:eastAsia="Arial" w:hAnsi="Arial"/>
          <w:sz w:val="16"/>
          <w:szCs w:val="16"/>
          <w:color w:val="auto"/>
        </w:rPr>
      </w:pPr>
    </w:p>
    <w:p>
      <w:pPr>
        <w:ind w:left="520" w:right="60" w:hanging="188"/>
        <w:spacing w:after="0" w:line="264" w:lineRule="auto"/>
        <w:tabs>
          <w:tab w:leader="none" w:pos="475"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ind w:left="460" w:hanging="128"/>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risks inherent in ship operation, including the discharge of pollutants;</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ability to retain key employees and the availability of skilled labour, ship crews and management;</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potential disruption of shipping routes due to accidents, political events, piracy or acts by terrorists;</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potential liability from future litigation;</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any malfunction or disruption of information technology systems and networks that our operations rely on or any impact of a possible cybersecurity event; and</w:t>
      </w:r>
    </w:p>
    <w:p>
      <w:pPr>
        <w:spacing w:after="0" w:line="30" w:lineRule="exact"/>
        <w:rPr>
          <w:rFonts w:ascii="Arial" w:cs="Arial" w:eastAsia="Arial" w:hAnsi="Arial"/>
          <w:sz w:val="15"/>
          <w:szCs w:val="15"/>
          <w:color w:val="auto"/>
        </w:rPr>
      </w:pPr>
    </w:p>
    <w:p>
      <w:pPr>
        <w:ind w:left="460" w:hanging="128"/>
        <w:spacing w:after="0"/>
        <w:tabs>
          <w:tab w:leader="none" w:pos="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 xml:space="preserve">other risks and uncertainties described in the Company’s Annual Report on Form 20-F filed with the SEC on March 5, 2019 and available at </w:t>
      </w:r>
      <w:r>
        <w:rPr>
          <w:rFonts w:ascii="Arial" w:cs="Arial" w:eastAsia="Arial" w:hAnsi="Arial"/>
          <w:sz w:val="15"/>
          <w:szCs w:val="15"/>
          <w:u w:val="single" w:color="auto"/>
          <w:color w:val="0000FF"/>
        </w:rPr>
        <w:t>http://www.sec.gov</w:t>
      </w:r>
      <w:r>
        <w:rPr>
          <w:rFonts w:ascii="Arial" w:cs="Arial" w:eastAsia="Arial" w:hAnsi="Arial"/>
          <w:sz w:val="15"/>
          <w:szCs w:val="15"/>
          <w:color w:val="auto"/>
        </w:rPr>
        <w:t>.</w:t>
      </w:r>
    </w:p>
    <w:p>
      <w:pPr>
        <w:spacing w:after="0" w:line="242"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89" w:lineRule="exact"/>
        <w:rPr>
          <w:sz w:val="20"/>
          <w:szCs w:val="20"/>
          <w:color w:val="auto"/>
        </w:rPr>
      </w:pPr>
    </w:p>
    <w:p>
      <w:pPr>
        <w:ind w:right="100"/>
        <w:spacing w:after="0" w:line="329" w:lineRule="auto"/>
        <w:rPr>
          <w:sz w:val="20"/>
          <w:szCs w:val="20"/>
          <w:color w:val="auto"/>
        </w:rPr>
      </w:pPr>
      <w:r>
        <w:rPr>
          <w:rFonts w:ascii="Arial" w:cs="Arial" w:eastAsia="Arial" w:hAnsi="Arial"/>
          <w:sz w:val="15"/>
          <w:szCs w:val="15"/>
          <w:color w:val="auto"/>
        </w:rPr>
        <w:t>The declaration and payment of dividends are at all times subject to the discretion of our board of directors and will depend on, amongst other things, risks and uncertainties described above, restrictions in our credit facilities, the provisions of Bermuda law and such other factors as our board of directors may deem relevant.</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Contacts: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Alastair Maxwell</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Phone: +44-203-388-3100</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Phil Corbett</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Head of Investor Relations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Phone: +44-203-388-3116</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Joseph Nelson</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Deputy Head of Investor Relations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Phone: +1-212-223-0643</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Email: </w:t>
      </w:r>
      <w:r>
        <w:rPr>
          <w:rFonts w:ascii="Arial" w:cs="Arial" w:eastAsia="Arial" w:hAnsi="Arial"/>
          <w:sz w:val="16"/>
          <w:szCs w:val="16"/>
          <w:u w:val="single" w:color="auto"/>
          <w:color w:val="0000FF"/>
        </w:rPr>
        <w:t>ir@gaslogltd.com</w:t>
      </w:r>
    </w:p>
    <w:p>
      <w:pPr>
        <w:spacing w:after="0" w:line="226"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332" w:right="37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0"/>
        </w:trPr>
        <w:tc>
          <w:tcPr>
            <w:tcW w:w="5120" w:type="dxa"/>
            <w:vAlign w:val="bottom"/>
          </w:tcPr>
          <w:p>
            <w:pPr>
              <w:spacing w:after="0"/>
              <w:rPr>
                <w:sz w:val="20"/>
                <w:szCs w:val="20"/>
                <w:color w:val="auto"/>
              </w:rPr>
            </w:pPr>
            <w:r>
              <w:rPr>
                <w:rFonts w:ascii="Arial" w:cs="Arial" w:eastAsia="Arial" w:hAnsi="Arial"/>
                <w:sz w:val="16"/>
                <w:szCs w:val="16"/>
                <w:b w:val="1"/>
                <w:bCs w:val="1"/>
                <w:color w:val="auto"/>
              </w:rPr>
              <w:t>EXHIBIT I - Unaudited Interim Financial Information</w:t>
            </w:r>
          </w:p>
        </w:tc>
        <w:tc>
          <w:tcPr>
            <w:tcW w:w="2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7"/>
        </w:trPr>
        <w:tc>
          <w:tcPr>
            <w:tcW w:w="5120" w:type="dxa"/>
            <w:vAlign w:val="bottom"/>
          </w:tcPr>
          <w:p>
            <w:pPr>
              <w:spacing w:after="0"/>
              <w:rPr>
                <w:sz w:val="20"/>
                <w:szCs w:val="20"/>
                <w:color w:val="auto"/>
              </w:rPr>
            </w:pPr>
            <w:r>
              <w:rPr>
                <w:rFonts w:ascii="Arial" w:cs="Arial" w:eastAsia="Arial" w:hAnsi="Arial"/>
                <w:sz w:val="16"/>
                <w:szCs w:val="16"/>
                <w:b w:val="1"/>
                <w:bCs w:val="1"/>
                <w:color w:val="auto"/>
                <w:w w:val="99"/>
              </w:rPr>
              <w:t>Unaudited condensed consolidated statements of financial position</w:t>
            </w:r>
          </w:p>
        </w:tc>
        <w:tc>
          <w:tcPr>
            <w:tcW w:w="2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b w:val="1"/>
                <w:bCs w:val="1"/>
                <w:color w:val="auto"/>
              </w:rPr>
              <w:t>As of December 31, 2018 and September 30, 2019</w:t>
            </w:r>
          </w:p>
        </w:tc>
        <w:tc>
          <w:tcPr>
            <w:tcW w:w="22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20" w:type="dxa"/>
            <w:vAlign w:val="bottom"/>
          </w:tcPr>
          <w:p>
            <w:pPr>
              <w:spacing w:after="0"/>
              <w:rPr>
                <w:sz w:val="20"/>
                <w:szCs w:val="20"/>
                <w:color w:val="auto"/>
              </w:rPr>
            </w:pPr>
            <w:r>
              <w:rPr>
                <w:rFonts w:ascii="Arial" w:cs="Arial" w:eastAsia="Arial" w:hAnsi="Arial"/>
                <w:sz w:val="16"/>
                <w:szCs w:val="16"/>
                <w:b w:val="1"/>
                <w:bCs w:val="1"/>
                <w:color w:val="auto"/>
              </w:rPr>
              <w:t>(Amounts expressed in thousands of U.S. Dollars)</w:t>
            </w:r>
          </w:p>
        </w:tc>
        <w:tc>
          <w:tcPr>
            <w:tcW w:w="2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5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10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December 31, 2018</w:t>
            </w:r>
          </w:p>
        </w:tc>
        <w:tc>
          <w:tcPr>
            <w:tcW w:w="19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September 30, 2019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1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Assets</w:t>
            </w:r>
          </w:p>
        </w:tc>
        <w:tc>
          <w:tcPr>
            <w:tcW w:w="2260" w:type="dxa"/>
            <w:vAlign w:val="bottom"/>
            <w:tcBorders>
              <w:top w:val="single" w:sz="8" w:color="E5FFFF"/>
            </w:tcBorders>
            <w:shd w:val="clear" w:color="auto" w:fill="E5FFFF"/>
          </w:tcPr>
          <w:p>
            <w:pPr>
              <w:spacing w:after="0"/>
              <w:rPr>
                <w:sz w:val="16"/>
                <w:szCs w:val="16"/>
                <w:color w:val="auto"/>
              </w:rPr>
            </w:pPr>
          </w:p>
        </w:tc>
        <w:tc>
          <w:tcPr>
            <w:tcW w:w="1820" w:type="dxa"/>
            <w:vAlign w:val="bottom"/>
            <w:tcBorders>
              <w:top w:val="single" w:sz="8" w:color="auto"/>
            </w:tcBorders>
            <w:shd w:val="clear" w:color="auto" w:fill="E5FFFF"/>
          </w:tcPr>
          <w:p>
            <w:pPr>
              <w:spacing w:after="0"/>
              <w:rPr>
                <w:sz w:val="16"/>
                <w:szCs w:val="16"/>
                <w:color w:val="auto"/>
              </w:rPr>
            </w:pPr>
          </w:p>
        </w:tc>
        <w:tc>
          <w:tcPr>
            <w:tcW w:w="280" w:type="dxa"/>
            <w:vAlign w:val="bottom"/>
            <w:tcBorders>
              <w:top w:val="single" w:sz="8" w:color="E5FFFF"/>
            </w:tcBorders>
            <w:shd w:val="clear" w:color="auto" w:fill="E5FFFF"/>
          </w:tcPr>
          <w:p>
            <w:pPr>
              <w:spacing w:after="0"/>
              <w:rPr>
                <w:sz w:val="16"/>
                <w:szCs w:val="16"/>
                <w:color w:val="auto"/>
              </w:rPr>
            </w:pPr>
          </w:p>
        </w:tc>
        <w:tc>
          <w:tcPr>
            <w:tcW w:w="1840" w:type="dxa"/>
            <w:vAlign w:val="bottom"/>
            <w:tcBorders>
              <w:top w:val="single" w:sz="8" w:color="auto"/>
            </w:tcBorders>
            <w:shd w:val="clear" w:color="auto" w:fill="E5FFFF"/>
          </w:tcPr>
          <w:p>
            <w:pPr>
              <w:spacing w:after="0"/>
              <w:rPr>
                <w:sz w:val="16"/>
                <w:szCs w:val="16"/>
                <w:color w:val="auto"/>
              </w:rPr>
            </w:pPr>
          </w:p>
        </w:tc>
        <w:tc>
          <w:tcPr>
            <w:tcW w:w="100" w:type="dxa"/>
            <w:vAlign w:val="bottom"/>
            <w:tcBorders>
              <w:top w:val="single" w:sz="8" w:color="E5FFFF"/>
            </w:tcBorders>
            <w:shd w:val="clear" w:color="auto" w:fill="E5FF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22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E5FFFF"/>
          </w:tcPr>
          <w:p>
            <w:pPr>
              <w:spacing w:after="0"/>
              <w:rPr>
                <w:sz w:val="20"/>
                <w:szCs w:val="20"/>
                <w:color w:val="auto"/>
              </w:rPr>
            </w:pPr>
            <w:r>
              <w:rPr>
                <w:rFonts w:ascii="Arial" w:cs="Arial" w:eastAsia="Arial" w:hAnsi="Arial"/>
                <w:sz w:val="16"/>
                <w:szCs w:val="16"/>
                <w:color w:val="auto"/>
              </w:rPr>
              <w:t>Goodwill</w:t>
            </w:r>
          </w:p>
        </w:tc>
        <w:tc>
          <w:tcPr>
            <w:tcW w:w="4360" w:type="dxa"/>
            <w:vAlign w:val="bottom"/>
            <w:gridSpan w:val="3"/>
            <w:shd w:val="clear" w:color="auto" w:fill="E5FFFF"/>
          </w:tcPr>
          <w:p>
            <w:pPr>
              <w:jc w:val="right"/>
              <w:ind w:right="280"/>
              <w:spacing w:after="0"/>
              <w:rPr>
                <w:sz w:val="20"/>
                <w:szCs w:val="20"/>
                <w:color w:val="auto"/>
              </w:rPr>
            </w:pPr>
            <w:r>
              <w:rPr>
                <w:rFonts w:ascii="Arial" w:cs="Arial" w:eastAsia="Arial" w:hAnsi="Arial"/>
                <w:sz w:val="16"/>
                <w:szCs w:val="16"/>
                <w:color w:val="auto"/>
              </w:rPr>
              <w:t>9,511</w:t>
            </w:r>
          </w:p>
        </w:tc>
        <w:tc>
          <w:tcPr>
            <w:tcW w:w="19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9,511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Investment in associates</w:t>
            </w:r>
          </w:p>
        </w:tc>
        <w:tc>
          <w:tcPr>
            <w:tcW w:w="4360" w:type="dxa"/>
            <w:vAlign w:val="bottom"/>
            <w:gridSpan w:val="3"/>
          </w:tcPr>
          <w:p>
            <w:pPr>
              <w:jc w:val="right"/>
              <w:ind w:right="280"/>
              <w:spacing w:after="0"/>
              <w:rPr>
                <w:sz w:val="20"/>
                <w:szCs w:val="20"/>
                <w:color w:val="auto"/>
              </w:rPr>
            </w:pPr>
            <w:r>
              <w:rPr>
                <w:rFonts w:ascii="Arial" w:cs="Arial" w:eastAsia="Arial" w:hAnsi="Arial"/>
                <w:sz w:val="16"/>
                <w:szCs w:val="16"/>
                <w:color w:val="auto"/>
              </w:rPr>
              <w:t>20,713</w:t>
            </w:r>
          </w:p>
        </w:tc>
        <w:tc>
          <w:tcPr>
            <w:tcW w:w="1940" w:type="dxa"/>
            <w:vAlign w:val="bottom"/>
            <w:gridSpan w:val="2"/>
          </w:tcPr>
          <w:p>
            <w:pPr>
              <w:jc w:val="right"/>
              <w:ind w:right="100"/>
              <w:spacing w:after="0"/>
              <w:rPr>
                <w:sz w:val="20"/>
                <w:szCs w:val="20"/>
                <w:color w:val="auto"/>
              </w:rPr>
            </w:pPr>
            <w:r>
              <w:rPr>
                <w:rFonts w:ascii="Arial" w:cs="Arial" w:eastAsia="Arial" w:hAnsi="Arial"/>
                <w:sz w:val="16"/>
                <w:szCs w:val="16"/>
                <w:color w:val="auto"/>
              </w:rPr>
              <w:t>21,531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E5FFFF"/>
          </w:tcPr>
          <w:p>
            <w:pPr>
              <w:spacing w:after="0"/>
              <w:rPr>
                <w:sz w:val="20"/>
                <w:szCs w:val="20"/>
                <w:color w:val="auto"/>
              </w:rPr>
            </w:pPr>
            <w:r>
              <w:rPr>
                <w:rFonts w:ascii="Arial" w:cs="Arial" w:eastAsia="Arial" w:hAnsi="Arial"/>
                <w:sz w:val="16"/>
                <w:szCs w:val="16"/>
                <w:color w:val="auto"/>
              </w:rPr>
              <w:t>Deferred financing costs</w:t>
            </w:r>
          </w:p>
        </w:tc>
        <w:tc>
          <w:tcPr>
            <w:tcW w:w="4360" w:type="dxa"/>
            <w:vAlign w:val="bottom"/>
            <w:gridSpan w:val="3"/>
            <w:shd w:val="clear" w:color="auto" w:fill="E5FFFF"/>
          </w:tcPr>
          <w:p>
            <w:pPr>
              <w:jc w:val="right"/>
              <w:ind w:right="280"/>
              <w:spacing w:after="0"/>
              <w:rPr>
                <w:sz w:val="20"/>
                <w:szCs w:val="20"/>
                <w:color w:val="auto"/>
              </w:rPr>
            </w:pPr>
            <w:r>
              <w:rPr>
                <w:rFonts w:ascii="Arial" w:cs="Arial" w:eastAsia="Arial" w:hAnsi="Arial"/>
                <w:sz w:val="16"/>
                <w:szCs w:val="16"/>
                <w:color w:val="auto"/>
              </w:rPr>
              <w:t>4,576</w:t>
            </w:r>
          </w:p>
        </w:tc>
        <w:tc>
          <w:tcPr>
            <w:tcW w:w="19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26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4360" w:type="dxa"/>
            <w:vAlign w:val="bottom"/>
            <w:gridSpan w:val="3"/>
          </w:tcPr>
          <w:p>
            <w:pPr>
              <w:jc w:val="right"/>
              <w:ind w:right="280"/>
              <w:spacing w:after="0"/>
              <w:rPr>
                <w:sz w:val="20"/>
                <w:szCs w:val="20"/>
                <w:color w:val="auto"/>
              </w:rPr>
            </w:pPr>
            <w:r>
              <w:rPr>
                <w:rFonts w:ascii="Arial" w:cs="Arial" w:eastAsia="Arial" w:hAnsi="Arial"/>
                <w:sz w:val="16"/>
                <w:szCs w:val="16"/>
                <w:color w:val="auto"/>
              </w:rPr>
              <w:t>2,543</w:t>
            </w:r>
          </w:p>
        </w:tc>
        <w:tc>
          <w:tcPr>
            <w:tcW w:w="1940" w:type="dxa"/>
            <w:vAlign w:val="bottom"/>
            <w:gridSpan w:val="2"/>
          </w:tcPr>
          <w:p>
            <w:pPr>
              <w:jc w:val="right"/>
              <w:ind w:right="100"/>
              <w:spacing w:after="0"/>
              <w:rPr>
                <w:sz w:val="20"/>
                <w:szCs w:val="20"/>
                <w:color w:val="auto"/>
              </w:rPr>
            </w:pPr>
            <w:r>
              <w:rPr>
                <w:rFonts w:ascii="Arial" w:cs="Arial" w:eastAsia="Arial" w:hAnsi="Arial"/>
                <w:sz w:val="16"/>
                <w:szCs w:val="16"/>
                <w:color w:val="auto"/>
              </w:rPr>
              <w:t>35,137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w:t>
            </w:r>
          </w:p>
        </w:tc>
        <w:tc>
          <w:tcPr>
            <w:tcW w:w="4360" w:type="dxa"/>
            <w:vAlign w:val="bottom"/>
            <w:gridSpan w:val="3"/>
            <w:shd w:val="clear" w:color="auto" w:fill="E5FFFF"/>
          </w:tcPr>
          <w:p>
            <w:pPr>
              <w:jc w:val="right"/>
              <w:ind w:right="280"/>
              <w:spacing w:after="0"/>
              <w:rPr>
                <w:sz w:val="20"/>
                <w:szCs w:val="20"/>
                <w:color w:val="auto"/>
              </w:rPr>
            </w:pPr>
            <w:r>
              <w:rPr>
                <w:rFonts w:ascii="Arial" w:cs="Arial" w:eastAsia="Arial" w:hAnsi="Arial"/>
                <w:sz w:val="16"/>
                <w:szCs w:val="16"/>
                <w:color w:val="auto"/>
              </w:rPr>
              <w:t>8,966</w:t>
            </w:r>
          </w:p>
        </w:tc>
        <w:tc>
          <w:tcPr>
            <w:tcW w:w="19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Tangible fixed assets</w:t>
            </w:r>
          </w:p>
        </w:tc>
        <w:tc>
          <w:tcPr>
            <w:tcW w:w="4360" w:type="dxa"/>
            <w:vAlign w:val="bottom"/>
            <w:gridSpan w:val="3"/>
          </w:tcPr>
          <w:p>
            <w:pPr>
              <w:jc w:val="right"/>
              <w:ind w:right="280"/>
              <w:spacing w:after="0"/>
              <w:rPr>
                <w:sz w:val="20"/>
                <w:szCs w:val="20"/>
                <w:color w:val="auto"/>
              </w:rPr>
            </w:pPr>
            <w:r>
              <w:rPr>
                <w:rFonts w:ascii="Arial" w:cs="Arial" w:eastAsia="Arial" w:hAnsi="Arial"/>
                <w:sz w:val="16"/>
                <w:szCs w:val="16"/>
                <w:color w:val="auto"/>
              </w:rPr>
              <w:t>4,323,582</w:t>
            </w:r>
          </w:p>
        </w:tc>
        <w:tc>
          <w:tcPr>
            <w:tcW w:w="1940" w:type="dxa"/>
            <w:vAlign w:val="bottom"/>
            <w:gridSpan w:val="2"/>
          </w:tcPr>
          <w:p>
            <w:pPr>
              <w:jc w:val="right"/>
              <w:ind w:right="100"/>
              <w:spacing w:after="0"/>
              <w:rPr>
                <w:sz w:val="20"/>
                <w:szCs w:val="20"/>
                <w:color w:val="auto"/>
              </w:rPr>
            </w:pPr>
            <w:r>
              <w:rPr>
                <w:rFonts w:ascii="Arial" w:cs="Arial" w:eastAsia="Arial" w:hAnsi="Arial"/>
                <w:sz w:val="16"/>
                <w:szCs w:val="16"/>
                <w:color w:val="auto"/>
              </w:rPr>
              <w:t>4,614,804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E5FFFF"/>
          </w:tcPr>
          <w:p>
            <w:pPr>
              <w:spacing w:after="0"/>
              <w:rPr>
                <w:sz w:val="20"/>
                <w:szCs w:val="20"/>
                <w:color w:val="auto"/>
              </w:rPr>
            </w:pPr>
            <w:r>
              <w:rPr>
                <w:rFonts w:ascii="Arial" w:cs="Arial" w:eastAsia="Arial" w:hAnsi="Arial"/>
                <w:sz w:val="16"/>
                <w:szCs w:val="16"/>
                <w:color w:val="auto"/>
              </w:rPr>
              <w:t>Vessels under construction</w:t>
            </w:r>
          </w:p>
        </w:tc>
        <w:tc>
          <w:tcPr>
            <w:tcW w:w="4360" w:type="dxa"/>
            <w:vAlign w:val="bottom"/>
            <w:gridSpan w:val="3"/>
            <w:shd w:val="clear" w:color="auto" w:fill="E5FFFF"/>
          </w:tcPr>
          <w:p>
            <w:pPr>
              <w:jc w:val="right"/>
              <w:ind w:right="280"/>
              <w:spacing w:after="0"/>
              <w:rPr>
                <w:sz w:val="20"/>
                <w:szCs w:val="20"/>
                <w:color w:val="auto"/>
              </w:rPr>
            </w:pPr>
            <w:r>
              <w:rPr>
                <w:rFonts w:ascii="Arial" w:cs="Arial" w:eastAsia="Arial" w:hAnsi="Arial"/>
                <w:sz w:val="16"/>
                <w:szCs w:val="16"/>
                <w:color w:val="auto"/>
              </w:rPr>
              <w:t>159,275</w:t>
            </w:r>
          </w:p>
        </w:tc>
        <w:tc>
          <w:tcPr>
            <w:tcW w:w="19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182,594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Right-of-use assets</w:t>
            </w:r>
          </w:p>
        </w:tc>
        <w:tc>
          <w:tcPr>
            <w:tcW w:w="4360" w:type="dxa"/>
            <w:vAlign w:val="bottom"/>
            <w:gridSpan w:val="3"/>
          </w:tcPr>
          <w:p>
            <w:pPr>
              <w:jc w:val="right"/>
              <w:ind w:right="280"/>
              <w:spacing w:after="0"/>
              <w:rPr>
                <w:sz w:val="20"/>
                <w:szCs w:val="20"/>
                <w:color w:val="auto"/>
              </w:rPr>
            </w:pPr>
            <w:r>
              <w:rPr>
                <w:rFonts w:ascii="Arial" w:cs="Arial" w:eastAsia="Arial" w:hAnsi="Arial"/>
                <w:sz w:val="16"/>
                <w:szCs w:val="16"/>
                <w:color w:val="auto"/>
              </w:rPr>
              <w:t>206,753</w:t>
            </w:r>
          </w:p>
        </w:tc>
        <w:tc>
          <w:tcPr>
            <w:tcW w:w="1940" w:type="dxa"/>
            <w:vAlign w:val="bottom"/>
            <w:gridSpan w:val="2"/>
          </w:tcPr>
          <w:p>
            <w:pPr>
              <w:jc w:val="right"/>
              <w:ind w:right="100"/>
              <w:spacing w:after="0"/>
              <w:rPr>
                <w:sz w:val="20"/>
                <w:szCs w:val="20"/>
                <w:color w:val="auto"/>
              </w:rPr>
            </w:pPr>
            <w:r>
              <w:rPr>
                <w:rFonts w:ascii="Arial" w:cs="Arial" w:eastAsia="Arial" w:hAnsi="Arial"/>
                <w:sz w:val="16"/>
                <w:szCs w:val="16"/>
                <w:color w:val="auto"/>
              </w:rPr>
              <w:t>208,645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non-current assets</w:t>
            </w:r>
          </w:p>
        </w:tc>
        <w:tc>
          <w:tcPr>
            <w:tcW w:w="2260" w:type="dxa"/>
            <w:vAlign w:val="bottom"/>
            <w:tcBorders>
              <w:top w:val="single" w:sz="8" w:color="E5FFFF"/>
            </w:tcBorders>
            <w:shd w:val="clear" w:color="auto" w:fill="E5FFFF"/>
          </w:tcPr>
          <w:p>
            <w:pPr>
              <w:spacing w:after="0"/>
              <w:rPr>
                <w:sz w:val="17"/>
                <w:szCs w:val="17"/>
                <w:color w:val="auto"/>
              </w:rPr>
            </w:pPr>
          </w:p>
        </w:tc>
        <w:tc>
          <w:tcPr>
            <w:tcW w:w="18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4,735,919</w:t>
            </w:r>
          </w:p>
        </w:tc>
        <w:tc>
          <w:tcPr>
            <w:tcW w:w="280" w:type="dxa"/>
            <w:vAlign w:val="bottom"/>
            <w:tcBorders>
              <w:top w:val="single" w:sz="8" w:color="E5FFFF"/>
            </w:tcBorders>
            <w:shd w:val="clear" w:color="auto" w:fill="E5FFFF"/>
          </w:tcPr>
          <w:p>
            <w:pPr>
              <w:spacing w:after="0"/>
              <w:rPr>
                <w:sz w:val="17"/>
                <w:szCs w:val="17"/>
                <w:color w:val="auto"/>
              </w:rPr>
            </w:pPr>
          </w:p>
        </w:tc>
        <w:tc>
          <w:tcPr>
            <w:tcW w:w="18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5,072,248</w:t>
            </w:r>
          </w:p>
        </w:tc>
        <w:tc>
          <w:tcPr>
            <w:tcW w:w="100" w:type="dxa"/>
            <w:vAlign w:val="bottom"/>
            <w:tcBorders>
              <w:top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120" w:type="dxa"/>
            <w:vAlign w:val="bottom"/>
          </w:tcPr>
          <w:p>
            <w:pPr>
              <w:spacing w:after="0" w:line="183" w:lineRule="exact"/>
              <w:rPr>
                <w:sz w:val="20"/>
                <w:szCs w:val="20"/>
                <w:color w:val="auto"/>
              </w:rPr>
            </w:pPr>
            <w:r>
              <w:rPr>
                <w:rFonts w:ascii="Arial" w:cs="Arial" w:eastAsia="Arial" w:hAnsi="Arial"/>
                <w:sz w:val="16"/>
                <w:szCs w:val="16"/>
                <w:b w:val="1"/>
                <w:bCs w:val="1"/>
                <w:color w:val="auto"/>
              </w:rPr>
              <w:t>Current assets</w:t>
            </w:r>
          </w:p>
        </w:tc>
        <w:tc>
          <w:tcPr>
            <w:tcW w:w="22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E5FFFF"/>
          </w:tcPr>
          <w:p>
            <w:pPr>
              <w:spacing w:after="0"/>
              <w:rPr>
                <w:sz w:val="20"/>
                <w:szCs w:val="20"/>
                <w:color w:val="auto"/>
              </w:rPr>
            </w:pPr>
            <w:r>
              <w:rPr>
                <w:rFonts w:ascii="Arial" w:cs="Arial" w:eastAsia="Arial" w:hAnsi="Arial"/>
                <w:sz w:val="16"/>
                <w:szCs w:val="16"/>
                <w:color w:val="auto"/>
              </w:rPr>
              <w:t>Trade and other receivables</w:t>
            </w:r>
          </w:p>
        </w:tc>
        <w:tc>
          <w:tcPr>
            <w:tcW w:w="4360" w:type="dxa"/>
            <w:vAlign w:val="bottom"/>
            <w:gridSpan w:val="3"/>
            <w:shd w:val="clear" w:color="auto" w:fill="E5FFFF"/>
          </w:tcPr>
          <w:p>
            <w:pPr>
              <w:jc w:val="right"/>
              <w:ind w:right="280"/>
              <w:spacing w:after="0"/>
              <w:rPr>
                <w:sz w:val="20"/>
                <w:szCs w:val="20"/>
                <w:color w:val="auto"/>
              </w:rPr>
            </w:pPr>
            <w:r>
              <w:rPr>
                <w:rFonts w:ascii="Arial" w:cs="Arial" w:eastAsia="Arial" w:hAnsi="Arial"/>
                <w:sz w:val="16"/>
                <w:szCs w:val="16"/>
                <w:color w:val="auto"/>
              </w:rPr>
              <w:t>20,244</w:t>
            </w:r>
          </w:p>
        </w:tc>
        <w:tc>
          <w:tcPr>
            <w:tcW w:w="19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24,476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Dividends receivable and other amounts due from related parties</w:t>
            </w:r>
          </w:p>
        </w:tc>
        <w:tc>
          <w:tcPr>
            <w:tcW w:w="4360" w:type="dxa"/>
            <w:vAlign w:val="bottom"/>
            <w:gridSpan w:val="3"/>
          </w:tcPr>
          <w:p>
            <w:pPr>
              <w:jc w:val="right"/>
              <w:ind w:right="280"/>
              <w:spacing w:after="0"/>
              <w:rPr>
                <w:sz w:val="20"/>
                <w:szCs w:val="20"/>
                <w:color w:val="auto"/>
              </w:rPr>
            </w:pPr>
            <w:r>
              <w:rPr>
                <w:rFonts w:ascii="Arial" w:cs="Arial" w:eastAsia="Arial" w:hAnsi="Arial"/>
                <w:sz w:val="16"/>
                <w:szCs w:val="16"/>
                <w:color w:val="auto"/>
              </w:rPr>
              <w:t>33,395</w:t>
            </w:r>
          </w:p>
        </w:tc>
        <w:tc>
          <w:tcPr>
            <w:tcW w:w="1940" w:type="dxa"/>
            <w:vAlign w:val="bottom"/>
            <w:gridSpan w:val="2"/>
          </w:tcPr>
          <w:p>
            <w:pPr>
              <w:jc w:val="right"/>
              <w:ind w:right="100"/>
              <w:spacing w:after="0"/>
              <w:rPr>
                <w:sz w:val="20"/>
                <w:szCs w:val="20"/>
                <w:color w:val="auto"/>
              </w:rPr>
            </w:pPr>
            <w:r>
              <w:rPr>
                <w:rFonts w:ascii="Arial" w:cs="Arial" w:eastAsia="Arial" w:hAnsi="Arial"/>
                <w:sz w:val="16"/>
                <w:szCs w:val="16"/>
                <w:color w:val="auto"/>
              </w:rPr>
              <w:t>509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w:t>
            </w:r>
          </w:p>
        </w:tc>
        <w:tc>
          <w:tcPr>
            <w:tcW w:w="4360" w:type="dxa"/>
            <w:vAlign w:val="bottom"/>
            <w:gridSpan w:val="3"/>
            <w:shd w:val="clear" w:color="auto" w:fill="E5FFFF"/>
          </w:tcPr>
          <w:p>
            <w:pPr>
              <w:jc w:val="right"/>
              <w:ind w:right="280"/>
              <w:spacing w:after="0"/>
              <w:rPr>
                <w:sz w:val="20"/>
                <w:szCs w:val="20"/>
                <w:color w:val="auto"/>
              </w:rPr>
            </w:pPr>
            <w:r>
              <w:rPr>
                <w:rFonts w:ascii="Arial" w:cs="Arial" w:eastAsia="Arial" w:hAnsi="Arial"/>
                <w:sz w:val="16"/>
                <w:szCs w:val="16"/>
                <w:color w:val="auto"/>
              </w:rPr>
              <w:t>6,222</w:t>
            </w:r>
          </w:p>
        </w:tc>
        <w:tc>
          <w:tcPr>
            <w:tcW w:w="19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108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Inventories</w:t>
            </w:r>
          </w:p>
        </w:tc>
        <w:tc>
          <w:tcPr>
            <w:tcW w:w="4360" w:type="dxa"/>
            <w:vAlign w:val="bottom"/>
            <w:gridSpan w:val="3"/>
          </w:tcPr>
          <w:p>
            <w:pPr>
              <w:jc w:val="right"/>
              <w:ind w:right="280"/>
              <w:spacing w:after="0"/>
              <w:rPr>
                <w:sz w:val="20"/>
                <w:szCs w:val="20"/>
                <w:color w:val="auto"/>
              </w:rPr>
            </w:pPr>
            <w:r>
              <w:rPr>
                <w:rFonts w:ascii="Arial" w:cs="Arial" w:eastAsia="Arial" w:hAnsi="Arial"/>
                <w:sz w:val="16"/>
                <w:szCs w:val="16"/>
                <w:color w:val="auto"/>
              </w:rPr>
              <w:t>7,753</w:t>
            </w:r>
          </w:p>
        </w:tc>
        <w:tc>
          <w:tcPr>
            <w:tcW w:w="1940" w:type="dxa"/>
            <w:vAlign w:val="bottom"/>
            <w:gridSpan w:val="2"/>
          </w:tcPr>
          <w:p>
            <w:pPr>
              <w:jc w:val="right"/>
              <w:ind w:right="100"/>
              <w:spacing w:after="0"/>
              <w:rPr>
                <w:sz w:val="20"/>
                <w:szCs w:val="20"/>
                <w:color w:val="auto"/>
              </w:rPr>
            </w:pPr>
            <w:r>
              <w:rPr>
                <w:rFonts w:ascii="Arial" w:cs="Arial" w:eastAsia="Arial" w:hAnsi="Arial"/>
                <w:sz w:val="16"/>
                <w:szCs w:val="16"/>
                <w:color w:val="auto"/>
              </w:rPr>
              <w:t>7,702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E5FFFF"/>
          </w:tcPr>
          <w:p>
            <w:pPr>
              <w:spacing w:after="0"/>
              <w:rPr>
                <w:sz w:val="20"/>
                <w:szCs w:val="20"/>
                <w:color w:val="auto"/>
              </w:rPr>
            </w:pPr>
            <w:r>
              <w:rPr>
                <w:rFonts w:ascii="Arial" w:cs="Arial" w:eastAsia="Arial" w:hAnsi="Arial"/>
                <w:sz w:val="16"/>
                <w:szCs w:val="16"/>
                <w:color w:val="auto"/>
              </w:rPr>
              <w:t>Prepayments and other current assets</w:t>
            </w:r>
          </w:p>
        </w:tc>
        <w:tc>
          <w:tcPr>
            <w:tcW w:w="4360" w:type="dxa"/>
            <w:vAlign w:val="bottom"/>
            <w:gridSpan w:val="3"/>
            <w:shd w:val="clear" w:color="auto" w:fill="E5FFFF"/>
          </w:tcPr>
          <w:p>
            <w:pPr>
              <w:jc w:val="right"/>
              <w:ind w:right="280"/>
              <w:spacing w:after="0"/>
              <w:rPr>
                <w:sz w:val="20"/>
                <w:szCs w:val="20"/>
                <w:color w:val="auto"/>
              </w:rPr>
            </w:pPr>
            <w:r>
              <w:rPr>
                <w:rFonts w:ascii="Arial" w:cs="Arial" w:eastAsia="Arial" w:hAnsi="Arial"/>
                <w:sz w:val="16"/>
                <w:szCs w:val="16"/>
                <w:color w:val="auto"/>
              </w:rPr>
              <w:t>3,680</w:t>
            </w:r>
          </w:p>
        </w:tc>
        <w:tc>
          <w:tcPr>
            <w:tcW w:w="19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6,759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Short-term investments</w:t>
            </w:r>
          </w:p>
        </w:tc>
        <w:tc>
          <w:tcPr>
            <w:tcW w:w="4360" w:type="dxa"/>
            <w:vAlign w:val="bottom"/>
            <w:gridSpan w:val="3"/>
          </w:tcPr>
          <w:p>
            <w:pPr>
              <w:jc w:val="right"/>
              <w:ind w:right="280"/>
              <w:spacing w:after="0"/>
              <w:rPr>
                <w:sz w:val="20"/>
                <w:szCs w:val="20"/>
                <w:color w:val="auto"/>
              </w:rPr>
            </w:pPr>
            <w:r>
              <w:rPr>
                <w:rFonts w:ascii="Arial" w:cs="Arial" w:eastAsia="Arial" w:hAnsi="Arial"/>
                <w:sz w:val="16"/>
                <w:szCs w:val="16"/>
                <w:color w:val="auto"/>
              </w:rPr>
              <w:t>25,000</w:t>
            </w:r>
          </w:p>
        </w:tc>
        <w:tc>
          <w:tcPr>
            <w:tcW w:w="1940" w:type="dxa"/>
            <w:vAlign w:val="bottom"/>
            <w:gridSpan w:val="2"/>
          </w:tcPr>
          <w:p>
            <w:pPr>
              <w:jc w:val="right"/>
              <w:ind w:right="100"/>
              <w:spacing w:after="0"/>
              <w:rPr>
                <w:sz w:val="20"/>
                <w:szCs w:val="20"/>
                <w:color w:val="auto"/>
              </w:rPr>
            </w:pPr>
            <w:r>
              <w:rPr>
                <w:rFonts w:ascii="Arial" w:cs="Arial" w:eastAsia="Arial" w:hAnsi="Arial"/>
                <w:sz w:val="16"/>
                <w:szCs w:val="16"/>
                <w:color w:val="auto"/>
              </w:rPr>
              <w:t>24,000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E5FFFF"/>
          </w:tcPr>
          <w:p>
            <w:pPr>
              <w:spacing w:after="0"/>
              <w:rPr>
                <w:sz w:val="20"/>
                <w:szCs w:val="20"/>
                <w:color w:val="auto"/>
              </w:rPr>
            </w:pPr>
            <w:r>
              <w:rPr>
                <w:rFonts w:ascii="Arial" w:cs="Arial" w:eastAsia="Arial" w:hAnsi="Arial"/>
                <w:sz w:val="16"/>
                <w:szCs w:val="16"/>
                <w:color w:val="auto"/>
              </w:rPr>
              <w:t>Cash and cash equivalents</w:t>
            </w:r>
          </w:p>
        </w:tc>
        <w:tc>
          <w:tcPr>
            <w:tcW w:w="4360" w:type="dxa"/>
            <w:vAlign w:val="bottom"/>
            <w:gridSpan w:val="3"/>
            <w:shd w:val="clear" w:color="auto" w:fill="E5FFFF"/>
          </w:tcPr>
          <w:p>
            <w:pPr>
              <w:jc w:val="right"/>
              <w:ind w:right="280"/>
              <w:spacing w:after="0"/>
              <w:rPr>
                <w:sz w:val="20"/>
                <w:szCs w:val="20"/>
                <w:color w:val="auto"/>
              </w:rPr>
            </w:pPr>
            <w:r>
              <w:rPr>
                <w:rFonts w:ascii="Arial" w:cs="Arial" w:eastAsia="Arial" w:hAnsi="Arial"/>
                <w:sz w:val="16"/>
                <w:szCs w:val="16"/>
                <w:color w:val="auto"/>
              </w:rPr>
              <w:t>342,594</w:t>
            </w:r>
          </w:p>
        </w:tc>
        <w:tc>
          <w:tcPr>
            <w:tcW w:w="19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183,582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current assets</w:t>
            </w:r>
          </w:p>
        </w:tc>
        <w:tc>
          <w:tcPr>
            <w:tcW w:w="2260" w:type="dxa"/>
            <w:vAlign w:val="bottom"/>
            <w:tcBorders>
              <w:bottom w:val="single" w:sz="8" w:color="E5FFFF"/>
            </w:tcBorders>
          </w:tcPr>
          <w:p>
            <w:pPr>
              <w:spacing w:after="0"/>
              <w:rPr>
                <w:sz w:val="17"/>
                <w:szCs w:val="17"/>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438,888</w:t>
            </w:r>
          </w:p>
        </w:tc>
        <w:tc>
          <w:tcPr>
            <w:tcW w:w="280" w:type="dxa"/>
            <w:vAlign w:val="bottom"/>
            <w:tcBorders>
              <w:bottom w:val="single" w:sz="8" w:color="E5FFFF"/>
            </w:tcBorders>
          </w:tcPr>
          <w:p>
            <w:pPr>
              <w:spacing w:after="0"/>
              <w:rPr>
                <w:sz w:val="17"/>
                <w:szCs w:val="17"/>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247,136</w:t>
            </w:r>
          </w:p>
        </w:tc>
        <w:tc>
          <w:tcPr>
            <w:tcW w:w="100" w:type="dxa"/>
            <w:vAlign w:val="bottom"/>
            <w:tcBorders>
              <w:bottom w:val="single" w:sz="8" w:color="E5FF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assets</w:t>
            </w:r>
          </w:p>
        </w:tc>
        <w:tc>
          <w:tcPr>
            <w:tcW w:w="2260" w:type="dxa"/>
            <w:vAlign w:val="bottom"/>
            <w:tcBorders>
              <w:bottom w:val="single" w:sz="8" w:color="E5FFFF"/>
            </w:tcBorders>
            <w:shd w:val="clear" w:color="auto" w:fill="E5FFFF"/>
          </w:tcPr>
          <w:p>
            <w:pPr>
              <w:spacing w:after="0"/>
              <w:rPr>
                <w:sz w:val="17"/>
                <w:szCs w:val="17"/>
                <w:color w:val="auto"/>
              </w:rPr>
            </w:pPr>
          </w:p>
        </w:tc>
        <w:tc>
          <w:tcPr>
            <w:tcW w:w="18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5,174,807</w:t>
            </w:r>
          </w:p>
        </w:tc>
        <w:tc>
          <w:tcPr>
            <w:tcW w:w="280" w:type="dxa"/>
            <w:vAlign w:val="bottom"/>
            <w:tcBorders>
              <w:bottom w:val="single" w:sz="8" w:color="E5FFFF"/>
            </w:tcBorders>
            <w:shd w:val="clear" w:color="auto" w:fill="E5FFFF"/>
          </w:tcPr>
          <w:p>
            <w:pPr>
              <w:spacing w:after="0"/>
              <w:rPr>
                <w:sz w:val="17"/>
                <w:szCs w:val="17"/>
                <w:color w:val="auto"/>
              </w:rPr>
            </w:pPr>
          </w:p>
        </w:tc>
        <w:tc>
          <w:tcPr>
            <w:tcW w:w="18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5,319,384</w:t>
            </w:r>
          </w:p>
        </w:tc>
        <w:tc>
          <w:tcPr>
            <w:tcW w:w="100" w:type="dxa"/>
            <w:vAlign w:val="bottom"/>
            <w:tcBorders>
              <w:bottom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6"/>
                <w:szCs w:val="16"/>
                <w:b w:val="1"/>
                <w:bCs w:val="1"/>
                <w:color w:val="auto"/>
              </w:rPr>
              <w:t>Equity and liabilities</w:t>
            </w:r>
          </w:p>
        </w:tc>
        <w:tc>
          <w:tcPr>
            <w:tcW w:w="22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20" w:type="dxa"/>
            <w:vAlign w:val="bottom"/>
            <w:vMerge w:val="continue"/>
          </w:tcPr>
          <w:p>
            <w:pPr>
              <w:spacing w:after="0"/>
              <w:rPr>
                <w:sz w:val="13"/>
                <w:szCs w:val="13"/>
                <w:color w:val="auto"/>
              </w:rPr>
            </w:pPr>
          </w:p>
        </w:tc>
        <w:tc>
          <w:tcPr>
            <w:tcW w:w="22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Equity</w:t>
            </w:r>
          </w:p>
        </w:tc>
        <w:tc>
          <w:tcPr>
            <w:tcW w:w="2260" w:type="dxa"/>
            <w:vAlign w:val="bottom"/>
            <w:shd w:val="clear" w:color="auto" w:fill="E5FFFF"/>
          </w:tcPr>
          <w:p>
            <w:pPr>
              <w:spacing w:after="0"/>
              <w:rPr>
                <w:sz w:val="17"/>
                <w:szCs w:val="17"/>
                <w:color w:val="auto"/>
              </w:rPr>
            </w:pPr>
          </w:p>
        </w:tc>
        <w:tc>
          <w:tcPr>
            <w:tcW w:w="18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8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Preference shares</w:t>
            </w:r>
          </w:p>
        </w:tc>
        <w:tc>
          <w:tcPr>
            <w:tcW w:w="4360" w:type="dxa"/>
            <w:vAlign w:val="bottom"/>
            <w:gridSpan w:val="3"/>
          </w:tcPr>
          <w:p>
            <w:pPr>
              <w:jc w:val="right"/>
              <w:ind w:right="280"/>
              <w:spacing w:after="0"/>
              <w:rPr>
                <w:sz w:val="20"/>
                <w:szCs w:val="20"/>
                <w:color w:val="auto"/>
              </w:rPr>
            </w:pPr>
            <w:r>
              <w:rPr>
                <w:rFonts w:ascii="Arial" w:cs="Arial" w:eastAsia="Arial" w:hAnsi="Arial"/>
                <w:sz w:val="16"/>
                <w:szCs w:val="16"/>
                <w:color w:val="auto"/>
              </w:rPr>
              <w:t>46</w:t>
            </w:r>
          </w:p>
        </w:tc>
        <w:tc>
          <w:tcPr>
            <w:tcW w:w="1940" w:type="dxa"/>
            <w:vAlign w:val="bottom"/>
            <w:gridSpan w:val="2"/>
          </w:tcPr>
          <w:p>
            <w:pPr>
              <w:jc w:val="right"/>
              <w:ind w:right="100"/>
              <w:spacing w:after="0"/>
              <w:rPr>
                <w:sz w:val="20"/>
                <w:szCs w:val="20"/>
                <w:color w:val="auto"/>
              </w:rPr>
            </w:pPr>
            <w:r>
              <w:rPr>
                <w:rFonts w:ascii="Arial" w:cs="Arial" w:eastAsia="Arial" w:hAnsi="Arial"/>
                <w:sz w:val="16"/>
                <w:szCs w:val="16"/>
                <w:color w:val="auto"/>
              </w:rPr>
              <w:t>46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E5FFFF"/>
          </w:tcPr>
          <w:p>
            <w:pPr>
              <w:spacing w:after="0"/>
              <w:rPr>
                <w:sz w:val="20"/>
                <w:szCs w:val="20"/>
                <w:color w:val="auto"/>
              </w:rPr>
            </w:pPr>
            <w:r>
              <w:rPr>
                <w:rFonts w:ascii="Arial" w:cs="Arial" w:eastAsia="Arial" w:hAnsi="Arial"/>
                <w:sz w:val="16"/>
                <w:szCs w:val="16"/>
                <w:color w:val="auto"/>
              </w:rPr>
              <w:t>Share capital</w:t>
            </w:r>
          </w:p>
        </w:tc>
        <w:tc>
          <w:tcPr>
            <w:tcW w:w="4360" w:type="dxa"/>
            <w:vAlign w:val="bottom"/>
            <w:gridSpan w:val="3"/>
            <w:shd w:val="clear" w:color="auto" w:fill="E5FFFF"/>
          </w:tcPr>
          <w:p>
            <w:pPr>
              <w:jc w:val="right"/>
              <w:ind w:right="280"/>
              <w:spacing w:after="0"/>
              <w:rPr>
                <w:sz w:val="20"/>
                <w:szCs w:val="20"/>
                <w:color w:val="auto"/>
              </w:rPr>
            </w:pPr>
            <w:r>
              <w:rPr>
                <w:rFonts w:ascii="Arial" w:cs="Arial" w:eastAsia="Arial" w:hAnsi="Arial"/>
                <w:sz w:val="16"/>
                <w:szCs w:val="16"/>
                <w:color w:val="auto"/>
              </w:rPr>
              <w:t>810</w:t>
            </w:r>
          </w:p>
        </w:tc>
        <w:tc>
          <w:tcPr>
            <w:tcW w:w="19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810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Contributed surplus</w:t>
            </w:r>
          </w:p>
        </w:tc>
        <w:tc>
          <w:tcPr>
            <w:tcW w:w="4360" w:type="dxa"/>
            <w:vAlign w:val="bottom"/>
            <w:gridSpan w:val="3"/>
          </w:tcPr>
          <w:p>
            <w:pPr>
              <w:jc w:val="right"/>
              <w:ind w:right="280"/>
              <w:spacing w:after="0"/>
              <w:rPr>
                <w:sz w:val="20"/>
                <w:szCs w:val="20"/>
                <w:color w:val="auto"/>
              </w:rPr>
            </w:pPr>
            <w:r>
              <w:rPr>
                <w:rFonts w:ascii="Arial" w:cs="Arial" w:eastAsia="Arial" w:hAnsi="Arial"/>
                <w:sz w:val="16"/>
                <w:szCs w:val="16"/>
                <w:color w:val="auto"/>
              </w:rPr>
              <w:t>850,576</w:t>
            </w:r>
          </w:p>
        </w:tc>
        <w:tc>
          <w:tcPr>
            <w:tcW w:w="1940" w:type="dxa"/>
            <w:vAlign w:val="bottom"/>
            <w:gridSpan w:val="2"/>
          </w:tcPr>
          <w:p>
            <w:pPr>
              <w:jc w:val="right"/>
              <w:ind w:right="100"/>
              <w:spacing w:after="0"/>
              <w:rPr>
                <w:sz w:val="20"/>
                <w:szCs w:val="20"/>
                <w:color w:val="auto"/>
              </w:rPr>
            </w:pPr>
            <w:r>
              <w:rPr>
                <w:rFonts w:ascii="Arial" w:cs="Arial" w:eastAsia="Arial" w:hAnsi="Arial"/>
                <w:sz w:val="16"/>
                <w:szCs w:val="16"/>
                <w:color w:val="auto"/>
              </w:rPr>
              <w:t>806,058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E5FFFF"/>
          </w:tcPr>
          <w:p>
            <w:pPr>
              <w:spacing w:after="0"/>
              <w:rPr>
                <w:sz w:val="20"/>
                <w:szCs w:val="20"/>
                <w:color w:val="auto"/>
              </w:rPr>
            </w:pPr>
            <w:r>
              <w:rPr>
                <w:rFonts w:ascii="Arial" w:cs="Arial" w:eastAsia="Arial" w:hAnsi="Arial"/>
                <w:sz w:val="16"/>
                <w:szCs w:val="16"/>
                <w:color w:val="auto"/>
              </w:rPr>
              <w:t>Reserves</w:t>
            </w:r>
          </w:p>
        </w:tc>
        <w:tc>
          <w:tcPr>
            <w:tcW w:w="4360" w:type="dxa"/>
            <w:vAlign w:val="bottom"/>
            <w:gridSpan w:val="3"/>
            <w:shd w:val="clear" w:color="auto" w:fill="E5FFFF"/>
          </w:tcPr>
          <w:p>
            <w:pPr>
              <w:jc w:val="right"/>
              <w:ind w:right="280"/>
              <w:spacing w:after="0"/>
              <w:rPr>
                <w:sz w:val="20"/>
                <w:szCs w:val="20"/>
                <w:color w:val="auto"/>
              </w:rPr>
            </w:pPr>
            <w:r>
              <w:rPr>
                <w:rFonts w:ascii="Arial" w:cs="Arial" w:eastAsia="Arial" w:hAnsi="Arial"/>
                <w:sz w:val="16"/>
                <w:szCs w:val="16"/>
                <w:color w:val="auto"/>
              </w:rPr>
              <w:t>18,962</w:t>
            </w:r>
          </w:p>
        </w:tc>
        <w:tc>
          <w:tcPr>
            <w:tcW w:w="19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14,369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6"/>
                <w:szCs w:val="16"/>
                <w:color w:val="auto"/>
              </w:rPr>
              <w:t>Treasury shares</w:t>
            </w:r>
          </w:p>
        </w:tc>
        <w:tc>
          <w:tcPr>
            <w:tcW w:w="4360" w:type="dxa"/>
            <w:vAlign w:val="bottom"/>
            <w:gridSpan w:val="3"/>
          </w:tcPr>
          <w:p>
            <w:pPr>
              <w:jc w:val="right"/>
              <w:ind w:right="220"/>
              <w:spacing w:after="0"/>
              <w:rPr>
                <w:sz w:val="20"/>
                <w:szCs w:val="20"/>
                <w:color w:val="auto"/>
              </w:rPr>
            </w:pPr>
            <w:r>
              <w:rPr>
                <w:rFonts w:ascii="Arial" w:cs="Arial" w:eastAsia="Arial" w:hAnsi="Arial"/>
                <w:sz w:val="16"/>
                <w:szCs w:val="16"/>
                <w:color w:val="auto"/>
              </w:rPr>
              <w:t>(3,266</w:t>
            </w:r>
            <w:r>
              <w:rPr>
                <w:rFonts w:ascii="Arial" w:cs="Arial" w:eastAsia="Arial" w:hAnsi="Arial"/>
                <w:sz w:val="18"/>
                <w:szCs w:val="18"/>
                <w:color w:val="auto"/>
              </w:rPr>
              <w:t>)</w:t>
            </w:r>
          </w:p>
        </w:tc>
        <w:tc>
          <w:tcPr>
            <w:tcW w:w="1940" w:type="dxa"/>
            <w:vAlign w:val="bottom"/>
            <w:gridSpan w:val="2"/>
          </w:tcPr>
          <w:p>
            <w:pPr>
              <w:jc w:val="right"/>
              <w:ind w:right="40"/>
              <w:spacing w:after="0"/>
              <w:rPr>
                <w:sz w:val="20"/>
                <w:szCs w:val="20"/>
                <w:color w:val="auto"/>
              </w:rPr>
            </w:pPr>
            <w:r>
              <w:rPr>
                <w:rFonts w:ascii="Arial" w:cs="Arial" w:eastAsia="Arial" w:hAnsi="Arial"/>
                <w:sz w:val="16"/>
                <w:szCs w:val="16"/>
                <w:color w:val="auto"/>
              </w:rPr>
              <w:t>(2,342</w:t>
            </w: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E5FFFF"/>
          </w:tcPr>
          <w:p>
            <w:pPr>
              <w:spacing w:after="0"/>
              <w:rPr>
                <w:sz w:val="20"/>
                <w:szCs w:val="20"/>
                <w:color w:val="auto"/>
              </w:rPr>
            </w:pPr>
            <w:r>
              <w:rPr>
                <w:rFonts w:ascii="Arial" w:cs="Arial" w:eastAsia="Arial" w:hAnsi="Arial"/>
                <w:sz w:val="16"/>
                <w:szCs w:val="16"/>
                <w:color w:val="auto"/>
              </w:rPr>
              <w:t>Retained earnings/(Accumulated deficit)</w:t>
            </w:r>
          </w:p>
        </w:tc>
        <w:tc>
          <w:tcPr>
            <w:tcW w:w="4360" w:type="dxa"/>
            <w:vAlign w:val="bottom"/>
            <w:gridSpan w:val="3"/>
            <w:shd w:val="clear" w:color="auto" w:fill="E5FFFF"/>
          </w:tcPr>
          <w:p>
            <w:pPr>
              <w:jc w:val="right"/>
              <w:ind w:right="280"/>
              <w:spacing w:after="0"/>
              <w:rPr>
                <w:sz w:val="20"/>
                <w:szCs w:val="20"/>
                <w:color w:val="auto"/>
              </w:rPr>
            </w:pPr>
            <w:r>
              <w:rPr>
                <w:rFonts w:ascii="Arial" w:cs="Arial" w:eastAsia="Arial" w:hAnsi="Arial"/>
                <w:sz w:val="16"/>
                <w:szCs w:val="16"/>
                <w:color w:val="auto"/>
              </w:rPr>
              <w:t>12,614</w:t>
            </w:r>
          </w:p>
        </w:tc>
        <w:tc>
          <w:tcPr>
            <w:tcW w:w="194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(37,661</w:t>
            </w: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120" w:type="dxa"/>
            <w:vAlign w:val="bottom"/>
          </w:tcPr>
          <w:p>
            <w:pPr>
              <w:spacing w:after="0"/>
              <w:rPr>
                <w:sz w:val="20"/>
                <w:szCs w:val="20"/>
                <w:color w:val="auto"/>
              </w:rPr>
            </w:pPr>
            <w:r>
              <w:rPr>
                <w:rFonts w:ascii="Arial" w:cs="Arial" w:eastAsia="Arial" w:hAnsi="Arial"/>
                <w:sz w:val="16"/>
                <w:szCs w:val="16"/>
                <w:b w:val="1"/>
                <w:bCs w:val="1"/>
                <w:color w:val="auto"/>
              </w:rPr>
              <w:t>Equity attributable to owners of the Group</w:t>
            </w:r>
          </w:p>
        </w:tc>
        <w:tc>
          <w:tcPr>
            <w:tcW w:w="2260" w:type="dxa"/>
            <w:vAlign w:val="bottom"/>
          </w:tcPr>
          <w:p>
            <w:pPr>
              <w:spacing w:after="0"/>
              <w:rPr>
                <w:sz w:val="17"/>
                <w:szCs w:val="17"/>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879,742</w:t>
            </w:r>
          </w:p>
        </w:tc>
        <w:tc>
          <w:tcPr>
            <w:tcW w:w="280" w:type="dxa"/>
            <w:vAlign w:val="bottom"/>
          </w:tcPr>
          <w:p>
            <w:pPr>
              <w:spacing w:after="0"/>
              <w:rPr>
                <w:sz w:val="17"/>
                <w:szCs w:val="17"/>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781,280</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E5FFFF"/>
          </w:tcPr>
          <w:p>
            <w:pPr>
              <w:spacing w:after="0"/>
              <w:rPr>
                <w:sz w:val="20"/>
                <w:szCs w:val="20"/>
                <w:color w:val="auto"/>
              </w:rPr>
            </w:pPr>
            <w:r>
              <w:rPr>
                <w:rFonts w:ascii="Arial" w:cs="Arial" w:eastAsia="Arial" w:hAnsi="Arial"/>
                <w:sz w:val="16"/>
                <w:szCs w:val="16"/>
                <w:color w:val="auto"/>
              </w:rPr>
              <w:t>Non-controlling interests</w:t>
            </w:r>
          </w:p>
        </w:tc>
        <w:tc>
          <w:tcPr>
            <w:tcW w:w="4360" w:type="dxa"/>
            <w:vAlign w:val="bottom"/>
            <w:gridSpan w:val="3"/>
            <w:shd w:val="clear" w:color="auto" w:fill="E5FFFF"/>
          </w:tcPr>
          <w:p>
            <w:pPr>
              <w:jc w:val="right"/>
              <w:ind w:right="280"/>
              <w:spacing w:after="0"/>
              <w:rPr>
                <w:sz w:val="20"/>
                <w:szCs w:val="20"/>
                <w:color w:val="auto"/>
              </w:rPr>
            </w:pPr>
            <w:r>
              <w:rPr>
                <w:rFonts w:ascii="Arial" w:cs="Arial" w:eastAsia="Arial" w:hAnsi="Arial"/>
                <w:sz w:val="16"/>
                <w:szCs w:val="16"/>
                <w:color w:val="auto"/>
              </w:rPr>
              <w:t>1,103,380</w:t>
            </w:r>
          </w:p>
        </w:tc>
        <w:tc>
          <w:tcPr>
            <w:tcW w:w="19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1,059,720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equity</w:t>
            </w:r>
          </w:p>
        </w:tc>
        <w:tc>
          <w:tcPr>
            <w:tcW w:w="2260" w:type="dxa"/>
            <w:vAlign w:val="bottom"/>
            <w:tcBorders>
              <w:bottom w:val="single" w:sz="8" w:color="E5FFFF"/>
            </w:tcBorders>
          </w:tcPr>
          <w:p>
            <w:pPr>
              <w:spacing w:after="0"/>
              <w:rPr>
                <w:sz w:val="17"/>
                <w:szCs w:val="17"/>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1,983,122</w:t>
            </w:r>
          </w:p>
        </w:tc>
        <w:tc>
          <w:tcPr>
            <w:tcW w:w="280" w:type="dxa"/>
            <w:vAlign w:val="bottom"/>
            <w:tcBorders>
              <w:bottom w:val="single" w:sz="8" w:color="E5FFFF"/>
            </w:tcBorders>
          </w:tcPr>
          <w:p>
            <w:pPr>
              <w:spacing w:after="0"/>
              <w:rPr>
                <w:sz w:val="17"/>
                <w:szCs w:val="17"/>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1,841,000</w:t>
            </w:r>
          </w:p>
        </w:tc>
        <w:tc>
          <w:tcPr>
            <w:tcW w:w="100" w:type="dxa"/>
            <w:vAlign w:val="bottom"/>
            <w:tcBorders>
              <w:bottom w:val="single" w:sz="8" w:color="E5FF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120" w:type="dxa"/>
            <w:vAlign w:val="bottom"/>
            <w:shd w:val="clear" w:color="auto" w:fill="E5FFFF"/>
          </w:tcPr>
          <w:p>
            <w:pPr>
              <w:spacing w:after="0" w:line="183" w:lineRule="exact"/>
              <w:rPr>
                <w:sz w:val="20"/>
                <w:szCs w:val="20"/>
                <w:color w:val="auto"/>
              </w:rPr>
            </w:pPr>
            <w:r>
              <w:rPr>
                <w:rFonts w:ascii="Arial" w:cs="Arial" w:eastAsia="Arial" w:hAnsi="Arial"/>
                <w:sz w:val="16"/>
                <w:szCs w:val="16"/>
                <w:b w:val="1"/>
                <w:bCs w:val="1"/>
                <w:color w:val="auto"/>
              </w:rPr>
              <w:t>Current liabilities</w:t>
            </w:r>
          </w:p>
        </w:tc>
        <w:tc>
          <w:tcPr>
            <w:tcW w:w="2260" w:type="dxa"/>
            <w:vAlign w:val="bottom"/>
            <w:shd w:val="clear" w:color="auto" w:fill="E5FFFF"/>
          </w:tcPr>
          <w:p>
            <w:pPr>
              <w:spacing w:after="0"/>
              <w:rPr>
                <w:sz w:val="15"/>
                <w:szCs w:val="15"/>
                <w:color w:val="auto"/>
              </w:rPr>
            </w:pPr>
          </w:p>
        </w:tc>
        <w:tc>
          <w:tcPr>
            <w:tcW w:w="1820" w:type="dxa"/>
            <w:vAlign w:val="bottom"/>
            <w:shd w:val="clear" w:color="auto" w:fill="E5FFFF"/>
          </w:tcPr>
          <w:p>
            <w:pPr>
              <w:spacing w:after="0"/>
              <w:rPr>
                <w:sz w:val="15"/>
                <w:szCs w:val="15"/>
                <w:color w:val="auto"/>
              </w:rPr>
            </w:pPr>
          </w:p>
        </w:tc>
        <w:tc>
          <w:tcPr>
            <w:tcW w:w="280" w:type="dxa"/>
            <w:vAlign w:val="bottom"/>
            <w:shd w:val="clear" w:color="auto" w:fill="E5FFFF"/>
          </w:tcPr>
          <w:p>
            <w:pPr>
              <w:spacing w:after="0"/>
              <w:rPr>
                <w:sz w:val="15"/>
                <w:szCs w:val="15"/>
                <w:color w:val="auto"/>
              </w:rPr>
            </w:pPr>
          </w:p>
        </w:tc>
        <w:tc>
          <w:tcPr>
            <w:tcW w:w="184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Trade accounts payable</w:t>
            </w:r>
          </w:p>
        </w:tc>
        <w:tc>
          <w:tcPr>
            <w:tcW w:w="4360" w:type="dxa"/>
            <w:vAlign w:val="bottom"/>
            <w:gridSpan w:val="3"/>
          </w:tcPr>
          <w:p>
            <w:pPr>
              <w:jc w:val="right"/>
              <w:ind w:right="280"/>
              <w:spacing w:after="0"/>
              <w:rPr>
                <w:sz w:val="20"/>
                <w:szCs w:val="20"/>
                <w:color w:val="auto"/>
              </w:rPr>
            </w:pPr>
            <w:r>
              <w:rPr>
                <w:rFonts w:ascii="Arial" w:cs="Arial" w:eastAsia="Arial" w:hAnsi="Arial"/>
                <w:sz w:val="16"/>
                <w:szCs w:val="16"/>
                <w:color w:val="auto"/>
              </w:rPr>
              <w:t>11,890</w:t>
            </w:r>
          </w:p>
        </w:tc>
        <w:tc>
          <w:tcPr>
            <w:tcW w:w="1940" w:type="dxa"/>
            <w:vAlign w:val="bottom"/>
            <w:gridSpan w:val="2"/>
          </w:tcPr>
          <w:p>
            <w:pPr>
              <w:jc w:val="right"/>
              <w:ind w:right="100"/>
              <w:spacing w:after="0"/>
              <w:rPr>
                <w:sz w:val="20"/>
                <w:szCs w:val="20"/>
                <w:color w:val="auto"/>
              </w:rPr>
            </w:pPr>
            <w:r>
              <w:rPr>
                <w:rFonts w:ascii="Arial" w:cs="Arial" w:eastAsia="Arial" w:hAnsi="Arial"/>
                <w:sz w:val="16"/>
                <w:szCs w:val="16"/>
                <w:color w:val="auto"/>
              </w:rPr>
              <w:t>22,175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E5FFFF"/>
          </w:tcPr>
          <w:p>
            <w:pPr>
              <w:spacing w:after="0"/>
              <w:rPr>
                <w:sz w:val="20"/>
                <w:szCs w:val="20"/>
                <w:color w:val="auto"/>
              </w:rPr>
            </w:pPr>
            <w:r>
              <w:rPr>
                <w:rFonts w:ascii="Arial" w:cs="Arial" w:eastAsia="Arial" w:hAnsi="Arial"/>
                <w:sz w:val="16"/>
                <w:szCs w:val="16"/>
                <w:color w:val="auto"/>
              </w:rPr>
              <w:t>Ship management creditors</w:t>
            </w:r>
          </w:p>
        </w:tc>
        <w:tc>
          <w:tcPr>
            <w:tcW w:w="4360" w:type="dxa"/>
            <w:vAlign w:val="bottom"/>
            <w:gridSpan w:val="3"/>
            <w:shd w:val="clear" w:color="auto" w:fill="E5FFFF"/>
          </w:tcPr>
          <w:p>
            <w:pPr>
              <w:jc w:val="right"/>
              <w:ind w:right="280"/>
              <w:spacing w:after="0"/>
              <w:rPr>
                <w:sz w:val="20"/>
                <w:szCs w:val="20"/>
                <w:color w:val="auto"/>
              </w:rPr>
            </w:pPr>
            <w:r>
              <w:rPr>
                <w:rFonts w:ascii="Arial" w:cs="Arial" w:eastAsia="Arial" w:hAnsi="Arial"/>
                <w:sz w:val="16"/>
                <w:szCs w:val="16"/>
                <w:color w:val="auto"/>
              </w:rPr>
              <w:t>580</w:t>
            </w:r>
          </w:p>
        </w:tc>
        <w:tc>
          <w:tcPr>
            <w:tcW w:w="19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788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Amounts due to related parties</w:t>
            </w:r>
          </w:p>
        </w:tc>
        <w:tc>
          <w:tcPr>
            <w:tcW w:w="4360" w:type="dxa"/>
            <w:vAlign w:val="bottom"/>
            <w:gridSpan w:val="3"/>
          </w:tcPr>
          <w:p>
            <w:pPr>
              <w:jc w:val="right"/>
              <w:ind w:right="280"/>
              <w:spacing w:after="0"/>
              <w:rPr>
                <w:sz w:val="20"/>
                <w:szCs w:val="20"/>
                <w:color w:val="auto"/>
              </w:rPr>
            </w:pPr>
            <w:r>
              <w:rPr>
                <w:rFonts w:ascii="Arial" w:cs="Arial" w:eastAsia="Arial" w:hAnsi="Arial"/>
                <w:sz w:val="16"/>
                <w:szCs w:val="16"/>
                <w:color w:val="auto"/>
              </w:rPr>
              <w:t>169</w:t>
            </w:r>
          </w:p>
        </w:tc>
        <w:tc>
          <w:tcPr>
            <w:tcW w:w="1940" w:type="dxa"/>
            <w:vAlign w:val="bottom"/>
            <w:gridSpan w:val="2"/>
          </w:tcPr>
          <w:p>
            <w:pPr>
              <w:jc w:val="right"/>
              <w:ind w:right="100"/>
              <w:spacing w:after="0"/>
              <w:rPr>
                <w:sz w:val="20"/>
                <w:szCs w:val="20"/>
                <w:color w:val="auto"/>
              </w:rPr>
            </w:pPr>
            <w:r>
              <w:rPr>
                <w:rFonts w:ascii="Arial" w:cs="Arial" w:eastAsia="Arial" w:hAnsi="Arial"/>
                <w:sz w:val="16"/>
                <w:szCs w:val="16"/>
                <w:color w:val="auto"/>
              </w:rPr>
              <w:t>264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w:t>
            </w:r>
          </w:p>
        </w:tc>
        <w:tc>
          <w:tcPr>
            <w:tcW w:w="4360" w:type="dxa"/>
            <w:vAlign w:val="bottom"/>
            <w:gridSpan w:val="3"/>
            <w:shd w:val="clear" w:color="auto" w:fill="E5FFFF"/>
          </w:tcPr>
          <w:p>
            <w:pPr>
              <w:jc w:val="right"/>
              <w:ind w:right="280"/>
              <w:spacing w:after="0"/>
              <w:rPr>
                <w:sz w:val="20"/>
                <w:szCs w:val="20"/>
                <w:color w:val="auto"/>
              </w:rPr>
            </w:pPr>
            <w:r>
              <w:rPr>
                <w:rFonts w:ascii="Arial" w:cs="Arial" w:eastAsia="Arial" w:hAnsi="Arial"/>
                <w:sz w:val="16"/>
                <w:szCs w:val="16"/>
                <w:color w:val="auto"/>
              </w:rPr>
              <w:t>2,091</w:t>
            </w:r>
          </w:p>
        </w:tc>
        <w:tc>
          <w:tcPr>
            <w:tcW w:w="19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7,535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Other payables and accruals</w:t>
            </w:r>
          </w:p>
        </w:tc>
        <w:tc>
          <w:tcPr>
            <w:tcW w:w="4360" w:type="dxa"/>
            <w:vAlign w:val="bottom"/>
            <w:gridSpan w:val="3"/>
          </w:tcPr>
          <w:p>
            <w:pPr>
              <w:jc w:val="right"/>
              <w:ind w:right="280"/>
              <w:spacing w:after="0"/>
              <w:rPr>
                <w:sz w:val="20"/>
                <w:szCs w:val="20"/>
                <w:color w:val="auto"/>
              </w:rPr>
            </w:pPr>
            <w:r>
              <w:rPr>
                <w:rFonts w:ascii="Arial" w:cs="Arial" w:eastAsia="Arial" w:hAnsi="Arial"/>
                <w:sz w:val="16"/>
                <w:szCs w:val="16"/>
                <w:color w:val="auto"/>
              </w:rPr>
              <w:t>127,450</w:t>
            </w:r>
          </w:p>
        </w:tc>
        <w:tc>
          <w:tcPr>
            <w:tcW w:w="1940" w:type="dxa"/>
            <w:vAlign w:val="bottom"/>
            <w:gridSpan w:val="2"/>
          </w:tcPr>
          <w:p>
            <w:pPr>
              <w:jc w:val="right"/>
              <w:ind w:right="100"/>
              <w:spacing w:after="0"/>
              <w:rPr>
                <w:sz w:val="20"/>
                <w:szCs w:val="20"/>
                <w:color w:val="auto"/>
              </w:rPr>
            </w:pPr>
            <w:r>
              <w:rPr>
                <w:rFonts w:ascii="Arial" w:cs="Arial" w:eastAsia="Arial" w:hAnsi="Arial"/>
                <w:sz w:val="16"/>
                <w:szCs w:val="16"/>
                <w:color w:val="auto"/>
              </w:rPr>
              <w:t>61,496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E5FFFF"/>
          </w:tcPr>
          <w:p>
            <w:pPr>
              <w:spacing w:after="0"/>
              <w:rPr>
                <w:sz w:val="20"/>
                <w:szCs w:val="20"/>
                <w:color w:val="auto"/>
              </w:rPr>
            </w:pPr>
            <w:r>
              <w:rPr>
                <w:rFonts w:ascii="Arial" w:cs="Arial" w:eastAsia="Arial" w:hAnsi="Arial"/>
                <w:sz w:val="16"/>
                <w:szCs w:val="16"/>
                <w:color w:val="auto"/>
              </w:rPr>
              <w:t>Borrowings, current portion</w:t>
            </w:r>
          </w:p>
        </w:tc>
        <w:tc>
          <w:tcPr>
            <w:tcW w:w="4360" w:type="dxa"/>
            <w:vAlign w:val="bottom"/>
            <w:gridSpan w:val="3"/>
            <w:shd w:val="clear" w:color="auto" w:fill="E5FFFF"/>
          </w:tcPr>
          <w:p>
            <w:pPr>
              <w:jc w:val="right"/>
              <w:ind w:right="280"/>
              <w:spacing w:after="0"/>
              <w:rPr>
                <w:sz w:val="20"/>
                <w:szCs w:val="20"/>
                <w:color w:val="auto"/>
              </w:rPr>
            </w:pPr>
            <w:r>
              <w:rPr>
                <w:rFonts w:ascii="Arial" w:cs="Arial" w:eastAsia="Arial" w:hAnsi="Arial"/>
                <w:sz w:val="16"/>
                <w:szCs w:val="16"/>
                <w:color w:val="auto"/>
              </w:rPr>
              <w:t>520,550</w:t>
            </w:r>
          </w:p>
        </w:tc>
        <w:tc>
          <w:tcPr>
            <w:tcW w:w="19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207,624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Lease liability, current portion</w:t>
            </w:r>
          </w:p>
        </w:tc>
        <w:tc>
          <w:tcPr>
            <w:tcW w:w="4360" w:type="dxa"/>
            <w:vAlign w:val="bottom"/>
            <w:gridSpan w:val="3"/>
          </w:tcPr>
          <w:p>
            <w:pPr>
              <w:jc w:val="right"/>
              <w:ind w:right="280"/>
              <w:spacing w:after="0"/>
              <w:rPr>
                <w:sz w:val="20"/>
                <w:szCs w:val="20"/>
                <w:color w:val="auto"/>
              </w:rPr>
            </w:pPr>
            <w:r>
              <w:rPr>
                <w:rFonts w:ascii="Arial" w:cs="Arial" w:eastAsia="Arial" w:hAnsi="Arial"/>
                <w:sz w:val="16"/>
                <w:szCs w:val="16"/>
                <w:color w:val="auto"/>
              </w:rPr>
              <w:t>6,675</w:t>
            </w:r>
          </w:p>
        </w:tc>
        <w:tc>
          <w:tcPr>
            <w:tcW w:w="1940" w:type="dxa"/>
            <w:vAlign w:val="bottom"/>
            <w:gridSpan w:val="2"/>
          </w:tcPr>
          <w:p>
            <w:pPr>
              <w:jc w:val="right"/>
              <w:ind w:right="100"/>
              <w:spacing w:after="0"/>
              <w:rPr>
                <w:sz w:val="20"/>
                <w:szCs w:val="20"/>
                <w:color w:val="auto"/>
              </w:rPr>
            </w:pPr>
            <w:r>
              <w:rPr>
                <w:rFonts w:ascii="Arial" w:cs="Arial" w:eastAsia="Arial" w:hAnsi="Arial"/>
                <w:sz w:val="16"/>
                <w:szCs w:val="16"/>
                <w:color w:val="auto"/>
              </w:rPr>
              <w:t>9,280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current liabilities</w:t>
            </w:r>
          </w:p>
        </w:tc>
        <w:tc>
          <w:tcPr>
            <w:tcW w:w="2260" w:type="dxa"/>
            <w:vAlign w:val="bottom"/>
            <w:tcBorders>
              <w:top w:val="single" w:sz="8" w:color="E5FFFF"/>
            </w:tcBorders>
            <w:shd w:val="clear" w:color="auto" w:fill="E5FFFF"/>
          </w:tcPr>
          <w:p>
            <w:pPr>
              <w:spacing w:after="0"/>
              <w:rPr>
                <w:sz w:val="17"/>
                <w:szCs w:val="17"/>
                <w:color w:val="auto"/>
              </w:rPr>
            </w:pPr>
          </w:p>
        </w:tc>
        <w:tc>
          <w:tcPr>
            <w:tcW w:w="18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669,405</w:t>
            </w:r>
          </w:p>
        </w:tc>
        <w:tc>
          <w:tcPr>
            <w:tcW w:w="280" w:type="dxa"/>
            <w:vAlign w:val="bottom"/>
            <w:tcBorders>
              <w:top w:val="single" w:sz="8" w:color="E5FFFF"/>
            </w:tcBorders>
            <w:shd w:val="clear" w:color="auto" w:fill="E5FFFF"/>
          </w:tcPr>
          <w:p>
            <w:pPr>
              <w:spacing w:after="0"/>
              <w:rPr>
                <w:sz w:val="17"/>
                <w:szCs w:val="17"/>
                <w:color w:val="auto"/>
              </w:rPr>
            </w:pPr>
          </w:p>
        </w:tc>
        <w:tc>
          <w:tcPr>
            <w:tcW w:w="18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309,162</w:t>
            </w:r>
          </w:p>
        </w:tc>
        <w:tc>
          <w:tcPr>
            <w:tcW w:w="100" w:type="dxa"/>
            <w:vAlign w:val="bottom"/>
            <w:tcBorders>
              <w:top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120" w:type="dxa"/>
            <w:vAlign w:val="bottom"/>
          </w:tcPr>
          <w:p>
            <w:pPr>
              <w:spacing w:after="0" w:line="183" w:lineRule="exact"/>
              <w:rPr>
                <w:sz w:val="20"/>
                <w:szCs w:val="20"/>
                <w:color w:val="auto"/>
              </w:rPr>
            </w:pPr>
            <w:r>
              <w:rPr>
                <w:rFonts w:ascii="Arial" w:cs="Arial" w:eastAsia="Arial" w:hAnsi="Arial"/>
                <w:sz w:val="16"/>
                <w:szCs w:val="16"/>
                <w:b w:val="1"/>
                <w:bCs w:val="1"/>
                <w:color w:val="auto"/>
              </w:rPr>
              <w:t>Non-current liabilities</w:t>
            </w:r>
          </w:p>
        </w:tc>
        <w:tc>
          <w:tcPr>
            <w:tcW w:w="22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w:t>
            </w:r>
          </w:p>
        </w:tc>
        <w:tc>
          <w:tcPr>
            <w:tcW w:w="4360" w:type="dxa"/>
            <w:vAlign w:val="bottom"/>
            <w:gridSpan w:val="3"/>
            <w:shd w:val="clear" w:color="auto" w:fill="E5FFFF"/>
          </w:tcPr>
          <w:p>
            <w:pPr>
              <w:jc w:val="right"/>
              <w:ind w:right="280"/>
              <w:spacing w:after="0"/>
              <w:rPr>
                <w:sz w:val="20"/>
                <w:szCs w:val="20"/>
                <w:color w:val="auto"/>
              </w:rPr>
            </w:pPr>
            <w:r>
              <w:rPr>
                <w:rFonts w:ascii="Arial" w:cs="Arial" w:eastAsia="Arial" w:hAnsi="Arial"/>
                <w:sz w:val="16"/>
                <w:szCs w:val="16"/>
                <w:color w:val="auto"/>
              </w:rPr>
              <w:t>10,001</w:t>
            </w:r>
          </w:p>
        </w:tc>
        <w:tc>
          <w:tcPr>
            <w:tcW w:w="19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64,033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Borrowings, non-current portion</w:t>
            </w:r>
          </w:p>
        </w:tc>
        <w:tc>
          <w:tcPr>
            <w:tcW w:w="4360" w:type="dxa"/>
            <w:vAlign w:val="bottom"/>
            <w:gridSpan w:val="3"/>
          </w:tcPr>
          <w:p>
            <w:pPr>
              <w:jc w:val="right"/>
              <w:ind w:right="280"/>
              <w:spacing w:after="0"/>
              <w:rPr>
                <w:sz w:val="20"/>
                <w:szCs w:val="20"/>
                <w:color w:val="auto"/>
              </w:rPr>
            </w:pPr>
            <w:r>
              <w:rPr>
                <w:rFonts w:ascii="Arial" w:cs="Arial" w:eastAsia="Arial" w:hAnsi="Arial"/>
                <w:sz w:val="16"/>
                <w:szCs w:val="16"/>
                <w:color w:val="auto"/>
              </w:rPr>
              <w:t>2,307,909</w:t>
            </w:r>
          </w:p>
        </w:tc>
        <w:tc>
          <w:tcPr>
            <w:tcW w:w="1940" w:type="dxa"/>
            <w:vAlign w:val="bottom"/>
            <w:gridSpan w:val="2"/>
          </w:tcPr>
          <w:p>
            <w:pPr>
              <w:jc w:val="right"/>
              <w:ind w:right="100"/>
              <w:spacing w:after="0"/>
              <w:rPr>
                <w:sz w:val="20"/>
                <w:szCs w:val="20"/>
                <w:color w:val="auto"/>
              </w:rPr>
            </w:pPr>
            <w:r>
              <w:rPr>
                <w:rFonts w:ascii="Arial" w:cs="Arial" w:eastAsia="Arial" w:hAnsi="Arial"/>
                <w:sz w:val="16"/>
                <w:szCs w:val="16"/>
                <w:color w:val="auto"/>
              </w:rPr>
              <w:t>2,900,165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E5FFFF"/>
          </w:tcPr>
          <w:p>
            <w:pPr>
              <w:spacing w:after="0"/>
              <w:rPr>
                <w:sz w:val="20"/>
                <w:szCs w:val="20"/>
                <w:color w:val="auto"/>
              </w:rPr>
            </w:pPr>
            <w:r>
              <w:rPr>
                <w:rFonts w:ascii="Arial" w:cs="Arial" w:eastAsia="Arial" w:hAnsi="Arial"/>
                <w:sz w:val="16"/>
                <w:szCs w:val="16"/>
                <w:color w:val="auto"/>
              </w:rPr>
              <w:t>Lease liability, non-current portion</w:t>
            </w:r>
          </w:p>
        </w:tc>
        <w:tc>
          <w:tcPr>
            <w:tcW w:w="4360" w:type="dxa"/>
            <w:vAlign w:val="bottom"/>
            <w:gridSpan w:val="3"/>
            <w:shd w:val="clear" w:color="auto" w:fill="E5FFFF"/>
          </w:tcPr>
          <w:p>
            <w:pPr>
              <w:jc w:val="right"/>
              <w:ind w:right="280"/>
              <w:spacing w:after="0"/>
              <w:rPr>
                <w:sz w:val="20"/>
                <w:szCs w:val="20"/>
                <w:color w:val="auto"/>
              </w:rPr>
            </w:pPr>
            <w:r>
              <w:rPr>
                <w:rFonts w:ascii="Arial" w:cs="Arial" w:eastAsia="Arial" w:hAnsi="Arial"/>
                <w:sz w:val="16"/>
                <w:szCs w:val="16"/>
                <w:color w:val="auto"/>
              </w:rPr>
              <w:t>199,424</w:t>
            </w:r>
          </w:p>
        </w:tc>
        <w:tc>
          <w:tcPr>
            <w:tcW w:w="19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198,194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4360" w:type="dxa"/>
            <w:vAlign w:val="bottom"/>
            <w:gridSpan w:val="3"/>
          </w:tcPr>
          <w:p>
            <w:pPr>
              <w:jc w:val="right"/>
              <w:ind w:right="280"/>
              <w:spacing w:after="0"/>
              <w:rPr>
                <w:sz w:val="20"/>
                <w:szCs w:val="20"/>
                <w:color w:val="auto"/>
              </w:rPr>
            </w:pPr>
            <w:r>
              <w:rPr>
                <w:rFonts w:ascii="Arial" w:cs="Arial" w:eastAsia="Arial" w:hAnsi="Arial"/>
                <w:sz w:val="16"/>
                <w:szCs w:val="16"/>
                <w:color w:val="auto"/>
              </w:rPr>
              <w:t>4,946</w:t>
            </w:r>
          </w:p>
        </w:tc>
        <w:tc>
          <w:tcPr>
            <w:tcW w:w="1940" w:type="dxa"/>
            <w:vAlign w:val="bottom"/>
            <w:gridSpan w:val="2"/>
          </w:tcPr>
          <w:p>
            <w:pPr>
              <w:jc w:val="right"/>
              <w:ind w:right="100"/>
              <w:spacing w:after="0"/>
              <w:rPr>
                <w:sz w:val="20"/>
                <w:szCs w:val="20"/>
                <w:color w:val="auto"/>
              </w:rPr>
            </w:pPr>
            <w:r>
              <w:rPr>
                <w:rFonts w:ascii="Arial" w:cs="Arial" w:eastAsia="Arial" w:hAnsi="Arial"/>
                <w:sz w:val="16"/>
                <w:szCs w:val="16"/>
                <w:color w:val="auto"/>
              </w:rPr>
              <w:t>6,830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non-current liabilities</w:t>
            </w:r>
          </w:p>
        </w:tc>
        <w:tc>
          <w:tcPr>
            <w:tcW w:w="2260" w:type="dxa"/>
            <w:vAlign w:val="bottom"/>
            <w:tcBorders>
              <w:top w:val="single" w:sz="8" w:color="E5FFFF"/>
            </w:tcBorders>
            <w:shd w:val="clear" w:color="auto" w:fill="E5FFFF"/>
          </w:tcPr>
          <w:p>
            <w:pPr>
              <w:spacing w:after="0"/>
              <w:rPr>
                <w:sz w:val="17"/>
                <w:szCs w:val="17"/>
                <w:color w:val="auto"/>
              </w:rPr>
            </w:pPr>
          </w:p>
        </w:tc>
        <w:tc>
          <w:tcPr>
            <w:tcW w:w="18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2,522,280</w:t>
            </w:r>
          </w:p>
        </w:tc>
        <w:tc>
          <w:tcPr>
            <w:tcW w:w="280" w:type="dxa"/>
            <w:vAlign w:val="bottom"/>
            <w:tcBorders>
              <w:top w:val="single" w:sz="8" w:color="E5FFFF"/>
            </w:tcBorders>
            <w:shd w:val="clear" w:color="auto" w:fill="E5FFFF"/>
          </w:tcPr>
          <w:p>
            <w:pPr>
              <w:spacing w:after="0"/>
              <w:rPr>
                <w:sz w:val="17"/>
                <w:szCs w:val="17"/>
                <w:color w:val="auto"/>
              </w:rPr>
            </w:pPr>
          </w:p>
        </w:tc>
        <w:tc>
          <w:tcPr>
            <w:tcW w:w="18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3,169,222</w:t>
            </w:r>
          </w:p>
        </w:tc>
        <w:tc>
          <w:tcPr>
            <w:tcW w:w="100" w:type="dxa"/>
            <w:vAlign w:val="bottom"/>
            <w:tcBorders>
              <w:top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tcPr>
          <w:p>
            <w:pPr>
              <w:spacing w:after="0"/>
              <w:rPr>
                <w:sz w:val="20"/>
                <w:szCs w:val="20"/>
                <w:color w:val="auto"/>
              </w:rPr>
            </w:pPr>
            <w:r>
              <w:rPr>
                <w:rFonts w:ascii="Arial" w:cs="Arial" w:eastAsia="Arial" w:hAnsi="Arial"/>
                <w:sz w:val="16"/>
                <w:szCs w:val="16"/>
                <w:b w:val="1"/>
                <w:bCs w:val="1"/>
                <w:color w:val="auto"/>
              </w:rPr>
              <w:t>Total equity and liabilities</w:t>
            </w:r>
          </w:p>
        </w:tc>
        <w:tc>
          <w:tcPr>
            <w:tcW w:w="2260" w:type="dxa"/>
            <w:vAlign w:val="bottom"/>
          </w:tcPr>
          <w:p>
            <w:pPr>
              <w:spacing w:after="0"/>
              <w:rPr>
                <w:sz w:val="17"/>
                <w:szCs w:val="17"/>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5,174,807</w:t>
            </w:r>
          </w:p>
        </w:tc>
        <w:tc>
          <w:tcPr>
            <w:tcW w:w="280" w:type="dxa"/>
            <w:vAlign w:val="bottom"/>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5,319,384</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260" w:type="dxa"/>
            <w:vAlign w:val="bottom"/>
            <w:vMerge w:val="restart"/>
          </w:tcPr>
          <w:p>
            <w:pPr>
              <w:jc w:val="right"/>
              <w:ind w:right="1519"/>
              <w:spacing w:after="0"/>
              <w:rPr>
                <w:sz w:val="20"/>
                <w:szCs w:val="20"/>
                <w:color w:val="auto"/>
              </w:rPr>
            </w:pPr>
            <w:r>
              <w:rPr>
                <w:rFonts w:ascii="Arial" w:cs="Arial" w:eastAsia="Arial" w:hAnsi="Arial"/>
                <w:sz w:val="14"/>
                <w:szCs w:val="14"/>
                <w:color w:val="auto"/>
              </w:rPr>
              <w:t>11</w:t>
            </w:r>
          </w:p>
        </w:tc>
        <w:tc>
          <w:tcPr>
            <w:tcW w:w="1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512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120" w:type="dxa"/>
            <w:vAlign w:val="bottom"/>
            <w:tcBorders>
              <w:bottom w:val="single" w:sz="8" w:color="808080"/>
            </w:tcBorders>
          </w:tcPr>
          <w:p>
            <w:pPr>
              <w:spacing w:after="0"/>
              <w:rPr>
                <w:sz w:val="10"/>
                <w:szCs w:val="10"/>
                <w:color w:val="auto"/>
              </w:rPr>
            </w:pPr>
          </w:p>
        </w:tc>
        <w:tc>
          <w:tcPr>
            <w:tcW w:w="2260" w:type="dxa"/>
            <w:vAlign w:val="bottom"/>
            <w:tcBorders>
              <w:bottom w:val="single" w:sz="8" w:color="808080"/>
            </w:tcBorders>
          </w:tcPr>
          <w:p>
            <w:pPr>
              <w:spacing w:after="0"/>
              <w:rPr>
                <w:sz w:val="10"/>
                <w:szCs w:val="10"/>
                <w:color w:val="auto"/>
              </w:rPr>
            </w:pPr>
          </w:p>
        </w:tc>
        <w:tc>
          <w:tcPr>
            <w:tcW w:w="18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8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2" w:right="19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Unaudited condensed consolidated statements of profit or loss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three and nine months ended September 30, 2018 and 2019</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 except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3300" w:type="dxa"/>
            <w:vAlign w:val="bottom"/>
            <w:gridSpan w:val="4"/>
          </w:tcPr>
          <w:p>
            <w:pPr>
              <w:jc w:val="right"/>
              <w:ind w:right="840"/>
              <w:spacing w:after="0"/>
              <w:rPr>
                <w:sz w:val="20"/>
                <w:szCs w:val="20"/>
                <w:color w:val="auto"/>
              </w:rPr>
            </w:pPr>
            <w:r>
              <w:rPr>
                <w:rFonts w:ascii="Arial" w:cs="Arial" w:eastAsia="Arial" w:hAnsi="Arial"/>
                <w:sz w:val="16"/>
                <w:szCs w:val="16"/>
                <w:b w:val="1"/>
                <w:bCs w:val="1"/>
                <w:color w:val="auto"/>
              </w:rPr>
              <w:t>For the three months ended</w:t>
            </w:r>
          </w:p>
        </w:tc>
        <w:tc>
          <w:tcPr>
            <w:tcW w:w="3120" w:type="dxa"/>
            <w:vAlign w:val="bottom"/>
            <w:gridSpan w:val="4"/>
          </w:tcPr>
          <w:p>
            <w:pPr>
              <w:jc w:val="right"/>
              <w:ind w:right="680"/>
              <w:spacing w:after="0"/>
              <w:rPr>
                <w:sz w:val="20"/>
                <w:szCs w:val="20"/>
                <w:color w:val="auto"/>
              </w:rPr>
            </w:pPr>
            <w:r>
              <w:rPr>
                <w:rFonts w:ascii="Arial" w:cs="Arial" w:eastAsia="Arial" w:hAnsi="Arial"/>
                <w:sz w:val="16"/>
                <w:szCs w:val="16"/>
                <w:b w:val="1"/>
                <w:bCs w:val="1"/>
                <w:color w:val="auto"/>
              </w:rPr>
              <w:t>For the nine months ended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166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September 30,</w:t>
            </w: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September 30,</w:t>
            </w:r>
          </w:p>
        </w:tc>
        <w:tc>
          <w:tcPr>
            <w:tcW w:w="14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September 30,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3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3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89"/>
              </w:rPr>
              <w:t>September 30, 2019</w:t>
            </w:r>
          </w:p>
        </w:tc>
        <w:tc>
          <w:tcPr>
            <w:tcW w:w="13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280" w:type="dxa"/>
            <w:vAlign w:val="bottom"/>
          </w:tcPr>
          <w:p>
            <w:pPr>
              <w:spacing w:after="0"/>
              <w:rPr>
                <w:sz w:val="18"/>
                <w:szCs w:val="18"/>
                <w:color w:val="auto"/>
              </w:rPr>
            </w:pPr>
          </w:p>
        </w:tc>
        <w:tc>
          <w:tcPr>
            <w:tcW w:w="13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w:t>
            </w: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158,398</w:t>
            </w:r>
          </w:p>
        </w:tc>
        <w:tc>
          <w:tcPr>
            <w:tcW w:w="30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165,586</w:t>
            </w:r>
          </w:p>
        </w:tc>
        <w:tc>
          <w:tcPr>
            <w:tcW w:w="28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429,700</w:t>
            </w:r>
          </w:p>
        </w:tc>
        <w:tc>
          <w:tcPr>
            <w:tcW w:w="28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486,384</w:t>
            </w:r>
          </w:p>
        </w:tc>
        <w:tc>
          <w:tcPr>
            <w:tcW w:w="100" w:type="dxa"/>
            <w:vAlign w:val="bottom"/>
            <w:tcBorders>
              <w:top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spacing w:after="0"/>
              <w:rPr>
                <w:sz w:val="20"/>
                <w:szCs w:val="20"/>
                <w:color w:val="auto"/>
              </w:rPr>
            </w:pPr>
            <w:r>
              <w:rPr>
                <w:rFonts w:ascii="Arial" w:cs="Arial" w:eastAsia="Arial" w:hAnsi="Arial"/>
                <w:sz w:val="16"/>
                <w:szCs w:val="16"/>
                <w:color w:val="auto"/>
              </w:rPr>
              <w:t>Net pool allocation</w:t>
            </w:r>
          </w:p>
        </w:tc>
        <w:tc>
          <w:tcPr>
            <w:tcW w:w="1360" w:type="dxa"/>
            <w:vAlign w:val="bottom"/>
          </w:tcPr>
          <w:p>
            <w:pPr>
              <w:jc w:val="right"/>
              <w:spacing w:after="0"/>
              <w:rPr>
                <w:sz w:val="20"/>
                <w:szCs w:val="20"/>
                <w:color w:val="auto"/>
              </w:rPr>
            </w:pPr>
            <w:r>
              <w:rPr>
                <w:rFonts w:ascii="Arial" w:cs="Arial" w:eastAsia="Arial" w:hAnsi="Arial"/>
                <w:sz w:val="16"/>
                <w:szCs w:val="16"/>
                <w:color w:val="auto"/>
              </w:rPr>
              <w:t>3,882</w:t>
            </w:r>
          </w:p>
        </w:tc>
        <w:tc>
          <w:tcPr>
            <w:tcW w:w="30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(184)</w:t>
            </w:r>
          </w:p>
        </w:tc>
        <w:tc>
          <w:tcPr>
            <w:tcW w:w="1360" w:type="dxa"/>
            <w:vAlign w:val="bottom"/>
          </w:tcPr>
          <w:p>
            <w:pPr>
              <w:jc w:val="right"/>
              <w:spacing w:after="0"/>
              <w:rPr>
                <w:sz w:val="20"/>
                <w:szCs w:val="20"/>
                <w:color w:val="auto"/>
              </w:rPr>
            </w:pPr>
            <w:r>
              <w:rPr>
                <w:rFonts w:ascii="Arial" w:cs="Arial" w:eastAsia="Arial" w:hAnsi="Arial"/>
                <w:sz w:val="16"/>
                <w:szCs w:val="16"/>
                <w:color w:val="auto"/>
              </w:rPr>
              <w:t>19,493</w:t>
            </w:r>
          </w:p>
        </w:tc>
        <w:tc>
          <w:tcPr>
            <w:tcW w:w="280" w:type="dxa"/>
            <w:vAlign w:val="bottom"/>
          </w:tcPr>
          <w:p>
            <w:pPr>
              <w:spacing w:after="0"/>
              <w:rPr>
                <w:sz w:val="17"/>
                <w:szCs w:val="17"/>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(4,264)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E5FFFF"/>
          </w:tcPr>
          <w:p>
            <w:pPr>
              <w:spacing w:after="0"/>
              <w:rPr>
                <w:sz w:val="20"/>
                <w:szCs w:val="20"/>
                <w:color w:val="auto"/>
              </w:rPr>
            </w:pPr>
            <w:r>
              <w:rPr>
                <w:rFonts w:ascii="Arial" w:cs="Arial" w:eastAsia="Arial" w:hAnsi="Arial"/>
                <w:sz w:val="16"/>
                <w:szCs w:val="16"/>
                <w:color w:val="auto"/>
              </w:rPr>
              <w:t>Voyage expenses and commissions</w:t>
            </w:r>
          </w:p>
        </w:tc>
        <w:tc>
          <w:tcPr>
            <w:tcW w:w="166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(6,828)</w:t>
            </w:r>
          </w:p>
        </w:tc>
        <w:tc>
          <w:tcPr>
            <w:tcW w:w="16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(6,656)</w:t>
            </w:r>
          </w:p>
        </w:tc>
        <w:tc>
          <w:tcPr>
            <w:tcW w:w="16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(16,743)</w:t>
            </w:r>
          </w:p>
        </w:tc>
        <w:tc>
          <w:tcPr>
            <w:tcW w:w="148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(19,440)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spacing w:after="0"/>
              <w:rPr>
                <w:sz w:val="20"/>
                <w:szCs w:val="20"/>
                <w:color w:val="auto"/>
              </w:rPr>
            </w:pPr>
            <w:r>
              <w:rPr>
                <w:rFonts w:ascii="Arial" w:cs="Arial" w:eastAsia="Arial" w:hAnsi="Arial"/>
                <w:sz w:val="16"/>
                <w:szCs w:val="16"/>
                <w:color w:val="auto"/>
              </w:rPr>
              <w:t>Vessel operating and supervision costs</w:t>
            </w:r>
          </w:p>
        </w:tc>
        <w:tc>
          <w:tcPr>
            <w:tcW w:w="1660" w:type="dxa"/>
            <w:vAlign w:val="bottom"/>
            <w:gridSpan w:val="2"/>
          </w:tcPr>
          <w:p>
            <w:pPr>
              <w:jc w:val="right"/>
              <w:ind w:right="240"/>
              <w:spacing w:after="0"/>
              <w:rPr>
                <w:sz w:val="20"/>
                <w:szCs w:val="20"/>
                <w:color w:val="auto"/>
              </w:rPr>
            </w:pPr>
            <w:r>
              <w:rPr>
                <w:rFonts w:ascii="Arial" w:cs="Arial" w:eastAsia="Arial" w:hAnsi="Arial"/>
                <w:sz w:val="16"/>
                <w:szCs w:val="16"/>
                <w:color w:val="auto"/>
              </w:rPr>
              <w:t>(31,948)</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(33,796)</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(98,964)</w:t>
            </w: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(100,124)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E5FFFF"/>
          </w:tcPr>
          <w:p>
            <w:pPr>
              <w:spacing w:after="0"/>
              <w:rPr>
                <w:sz w:val="20"/>
                <w:szCs w:val="20"/>
                <w:color w:val="auto"/>
              </w:rPr>
            </w:pPr>
            <w:r>
              <w:rPr>
                <w:rFonts w:ascii="Arial" w:cs="Arial" w:eastAsia="Arial" w:hAnsi="Arial"/>
                <w:sz w:val="16"/>
                <w:szCs w:val="16"/>
                <w:color w:val="auto"/>
              </w:rPr>
              <w:t>Depreciation</w:t>
            </w:r>
          </w:p>
        </w:tc>
        <w:tc>
          <w:tcPr>
            <w:tcW w:w="166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(39,341)</w:t>
            </w:r>
          </w:p>
        </w:tc>
        <w:tc>
          <w:tcPr>
            <w:tcW w:w="16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(43,237)</w:t>
            </w:r>
          </w:p>
        </w:tc>
        <w:tc>
          <w:tcPr>
            <w:tcW w:w="16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(113,683)</w:t>
            </w:r>
          </w:p>
        </w:tc>
        <w:tc>
          <w:tcPr>
            <w:tcW w:w="148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(124,186)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1660" w:type="dxa"/>
            <w:vAlign w:val="bottom"/>
            <w:gridSpan w:val="2"/>
          </w:tcPr>
          <w:p>
            <w:pPr>
              <w:jc w:val="right"/>
              <w:ind w:right="240"/>
              <w:spacing w:after="0"/>
              <w:rPr>
                <w:sz w:val="20"/>
                <w:szCs w:val="20"/>
                <w:color w:val="auto"/>
              </w:rPr>
            </w:pPr>
            <w:r>
              <w:rPr>
                <w:rFonts w:ascii="Arial" w:cs="Arial" w:eastAsia="Arial" w:hAnsi="Arial"/>
                <w:sz w:val="16"/>
                <w:szCs w:val="16"/>
                <w:color w:val="auto"/>
              </w:rPr>
              <w:t>(9,917)</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(11,324)</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(32,282)</w:t>
            </w: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(32,873)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from operations</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74,246</w:t>
            </w:r>
          </w:p>
        </w:tc>
        <w:tc>
          <w:tcPr>
            <w:tcW w:w="30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70,389</w:t>
            </w:r>
          </w:p>
        </w:tc>
        <w:tc>
          <w:tcPr>
            <w:tcW w:w="28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187,521</w:t>
            </w:r>
          </w:p>
        </w:tc>
        <w:tc>
          <w:tcPr>
            <w:tcW w:w="28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205,497</w:t>
            </w:r>
          </w:p>
        </w:tc>
        <w:tc>
          <w:tcPr>
            <w:tcW w:w="100" w:type="dxa"/>
            <w:vAlign w:val="bottom"/>
            <w:tcBorders>
              <w:top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tcPr>
          <w:p>
            <w:pPr>
              <w:spacing w:after="0"/>
              <w:rPr>
                <w:sz w:val="20"/>
                <w:szCs w:val="20"/>
                <w:color w:val="auto"/>
              </w:rPr>
            </w:pPr>
            <w:r>
              <w:rPr>
                <w:rFonts w:ascii="Arial" w:cs="Arial" w:eastAsia="Arial" w:hAnsi="Arial"/>
                <w:sz w:val="16"/>
                <w:szCs w:val="16"/>
                <w:color w:val="auto"/>
              </w:rPr>
              <w:t>Financial costs</w:t>
            </w:r>
          </w:p>
        </w:tc>
        <w:tc>
          <w:tcPr>
            <w:tcW w:w="1360" w:type="dxa"/>
            <w:vAlign w:val="bottom"/>
          </w:tcPr>
          <w:p>
            <w:pPr>
              <w:jc w:val="right"/>
              <w:spacing w:after="0"/>
              <w:rPr>
                <w:sz w:val="20"/>
                <w:szCs w:val="20"/>
                <w:color w:val="auto"/>
              </w:rPr>
            </w:pPr>
            <w:r>
              <w:rPr>
                <w:rFonts w:ascii="Arial" w:cs="Arial" w:eastAsia="Arial" w:hAnsi="Arial"/>
                <w:sz w:val="16"/>
                <w:szCs w:val="16"/>
                <w:color w:val="auto"/>
              </w:rPr>
              <w:t>(43,908)</w:t>
            </w:r>
          </w:p>
        </w:tc>
        <w:tc>
          <w:tcPr>
            <w:tcW w:w="3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(46,461)</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(122,505)</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(138,865)</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1,057</w:t>
            </w:r>
          </w:p>
        </w:tc>
        <w:tc>
          <w:tcPr>
            <w:tcW w:w="30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1,189</w:t>
            </w:r>
          </w:p>
        </w:tc>
        <w:tc>
          <w:tcPr>
            <w:tcW w:w="28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3,367</w:t>
            </w:r>
          </w:p>
        </w:tc>
        <w:tc>
          <w:tcPr>
            <w:tcW w:w="28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4,357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spacing w:after="0"/>
              <w:rPr>
                <w:sz w:val="20"/>
                <w:szCs w:val="20"/>
                <w:color w:val="auto"/>
              </w:rPr>
            </w:pPr>
            <w:r>
              <w:rPr>
                <w:rFonts w:ascii="Arial" w:cs="Arial" w:eastAsia="Arial" w:hAnsi="Arial"/>
                <w:sz w:val="16"/>
                <w:szCs w:val="16"/>
                <w:color w:val="auto"/>
              </w:rPr>
              <w:t>Gain/(loss) on derivatives</w:t>
            </w:r>
          </w:p>
        </w:tc>
        <w:tc>
          <w:tcPr>
            <w:tcW w:w="1360" w:type="dxa"/>
            <w:vAlign w:val="bottom"/>
          </w:tcPr>
          <w:p>
            <w:pPr>
              <w:jc w:val="right"/>
              <w:spacing w:after="0"/>
              <w:rPr>
                <w:sz w:val="20"/>
                <w:szCs w:val="20"/>
                <w:color w:val="auto"/>
              </w:rPr>
            </w:pPr>
            <w:r>
              <w:rPr>
                <w:rFonts w:ascii="Arial" w:cs="Arial" w:eastAsia="Arial" w:hAnsi="Arial"/>
                <w:sz w:val="16"/>
                <w:szCs w:val="16"/>
                <w:color w:val="auto"/>
              </w:rPr>
              <w:t>7,368</w:t>
            </w:r>
          </w:p>
        </w:tc>
        <w:tc>
          <w:tcPr>
            <w:tcW w:w="30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(16,758)</w:t>
            </w:r>
          </w:p>
        </w:tc>
        <w:tc>
          <w:tcPr>
            <w:tcW w:w="1360" w:type="dxa"/>
            <w:vAlign w:val="bottom"/>
          </w:tcPr>
          <w:p>
            <w:pPr>
              <w:jc w:val="right"/>
              <w:spacing w:after="0"/>
              <w:rPr>
                <w:sz w:val="20"/>
                <w:szCs w:val="20"/>
                <w:color w:val="auto"/>
              </w:rPr>
            </w:pPr>
            <w:r>
              <w:rPr>
                <w:rFonts w:ascii="Arial" w:cs="Arial" w:eastAsia="Arial" w:hAnsi="Arial"/>
                <w:sz w:val="16"/>
                <w:szCs w:val="16"/>
                <w:color w:val="auto"/>
              </w:rPr>
              <w:t>26,306</w:t>
            </w:r>
          </w:p>
        </w:tc>
        <w:tc>
          <w:tcPr>
            <w:tcW w:w="280" w:type="dxa"/>
            <w:vAlign w:val="bottom"/>
          </w:tcPr>
          <w:p>
            <w:pPr>
              <w:spacing w:after="0"/>
              <w:rPr>
                <w:sz w:val="17"/>
                <w:szCs w:val="17"/>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(67,801)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E5FFFF"/>
          </w:tcPr>
          <w:p>
            <w:pPr>
              <w:spacing w:after="0"/>
              <w:rPr>
                <w:sz w:val="20"/>
                <w:szCs w:val="20"/>
                <w:color w:val="auto"/>
              </w:rPr>
            </w:pPr>
            <w:r>
              <w:rPr>
                <w:rFonts w:ascii="Arial" w:cs="Arial" w:eastAsia="Arial" w:hAnsi="Arial"/>
                <w:sz w:val="16"/>
                <w:szCs w:val="16"/>
                <w:color w:val="auto"/>
              </w:rPr>
              <w:t>Share of profit of associates</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498</w:t>
            </w:r>
          </w:p>
        </w:tc>
        <w:tc>
          <w:tcPr>
            <w:tcW w:w="30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530</w:t>
            </w:r>
          </w:p>
        </w:tc>
        <w:tc>
          <w:tcPr>
            <w:tcW w:w="28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1,325</w:t>
            </w:r>
          </w:p>
        </w:tc>
        <w:tc>
          <w:tcPr>
            <w:tcW w:w="28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1,088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other expenses, net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(34,985)</w:t>
            </w:r>
          </w:p>
        </w:tc>
        <w:tc>
          <w:tcPr>
            <w:tcW w:w="300" w:type="dxa"/>
            <w:vAlign w:val="bottom"/>
            <w:tcBorders>
              <w:bottom w:val="single" w:sz="8" w:color="E5FFFF"/>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(61,500)</w:t>
            </w:r>
          </w:p>
        </w:tc>
        <w:tc>
          <w:tcPr>
            <w:tcW w:w="280" w:type="dxa"/>
            <w:vAlign w:val="bottom"/>
            <w:tcBorders>
              <w:bottom w:val="single" w:sz="8" w:color="E5FFFF"/>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(91,507)</w:t>
            </w:r>
          </w:p>
        </w:tc>
        <w:tc>
          <w:tcPr>
            <w:tcW w:w="280" w:type="dxa"/>
            <w:vAlign w:val="bottom"/>
            <w:tcBorders>
              <w:bottom w:val="single" w:sz="8" w:color="E5FFFF"/>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(201,221)</w:t>
            </w:r>
          </w:p>
        </w:tc>
        <w:tc>
          <w:tcPr>
            <w:tcW w:w="100" w:type="dxa"/>
            <w:vAlign w:val="bottom"/>
            <w:tcBorders>
              <w:bottom w:val="single" w:sz="8" w:color="E5FF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for the period</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39,261</w:t>
            </w:r>
          </w:p>
        </w:tc>
        <w:tc>
          <w:tcPr>
            <w:tcW w:w="300" w:type="dxa"/>
            <w:vAlign w:val="bottom"/>
            <w:tcBorders>
              <w:bottom w:val="single" w:sz="8" w:color="E5FFFF"/>
            </w:tcBorders>
            <w:shd w:val="clear" w:color="auto" w:fill="E5FFFF"/>
          </w:tcPr>
          <w:p>
            <w:pPr>
              <w:spacing w:after="0"/>
              <w:rPr>
                <w:sz w:val="17"/>
                <w:szCs w:val="17"/>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8,889</w:t>
            </w:r>
          </w:p>
        </w:tc>
        <w:tc>
          <w:tcPr>
            <w:tcW w:w="280" w:type="dxa"/>
            <w:vAlign w:val="bottom"/>
            <w:tcBorders>
              <w:bottom w:val="single" w:sz="8" w:color="E5FFFF"/>
            </w:tcBorders>
            <w:shd w:val="clear" w:color="auto" w:fill="E5FFFF"/>
          </w:tcPr>
          <w:p>
            <w:pPr>
              <w:spacing w:after="0"/>
              <w:rPr>
                <w:sz w:val="17"/>
                <w:szCs w:val="17"/>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96,014</w:t>
            </w:r>
          </w:p>
        </w:tc>
        <w:tc>
          <w:tcPr>
            <w:tcW w:w="280" w:type="dxa"/>
            <w:vAlign w:val="bottom"/>
            <w:tcBorders>
              <w:bottom w:val="single" w:sz="8" w:color="E5FFFF"/>
            </w:tcBorders>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4,276</w:t>
            </w:r>
          </w:p>
        </w:tc>
        <w:tc>
          <w:tcPr>
            <w:tcW w:w="100" w:type="dxa"/>
            <w:vAlign w:val="bottom"/>
            <w:tcBorders>
              <w:bottom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vMerge w:val="restart"/>
          </w:tcPr>
          <w:p>
            <w:pPr>
              <w:spacing w:after="0"/>
              <w:rPr>
                <w:sz w:val="20"/>
                <w:szCs w:val="20"/>
                <w:color w:val="auto"/>
              </w:rPr>
            </w:pPr>
            <w:r>
              <w:rPr>
                <w:rFonts w:ascii="Arial" w:cs="Arial" w:eastAsia="Arial" w:hAnsi="Arial"/>
                <w:sz w:val="16"/>
                <w:szCs w:val="16"/>
                <w:color w:val="auto"/>
              </w:rPr>
              <w:t>Attributable to:</w:t>
            </w: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980" w:type="dxa"/>
            <w:vAlign w:val="bottom"/>
            <w:vMerge w:val="continue"/>
          </w:tcPr>
          <w:p>
            <w:pPr>
              <w:spacing w:after="0"/>
              <w:rPr>
                <w:sz w:val="13"/>
                <w:szCs w:val="13"/>
                <w:color w:val="auto"/>
              </w:rPr>
            </w:pPr>
          </w:p>
        </w:tc>
        <w:tc>
          <w:tcPr>
            <w:tcW w:w="1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E5FFFF"/>
          </w:tcPr>
          <w:p>
            <w:pPr>
              <w:spacing w:after="0"/>
              <w:rPr>
                <w:sz w:val="20"/>
                <w:szCs w:val="20"/>
                <w:color w:val="auto"/>
              </w:rPr>
            </w:pPr>
            <w:r>
              <w:rPr>
                <w:rFonts w:ascii="Arial" w:cs="Arial" w:eastAsia="Arial" w:hAnsi="Arial"/>
                <w:sz w:val="16"/>
                <w:szCs w:val="16"/>
                <w:color w:val="auto"/>
              </w:rPr>
              <w:t>Owners of the Group</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18,214</w:t>
            </w:r>
          </w:p>
        </w:tc>
        <w:tc>
          <w:tcPr>
            <w:tcW w:w="300" w:type="dxa"/>
            <w:vAlign w:val="bottom"/>
            <w:shd w:val="clear" w:color="auto" w:fill="E5FFFF"/>
          </w:tcPr>
          <w:p>
            <w:pPr>
              <w:spacing w:after="0"/>
              <w:rPr>
                <w:sz w:val="17"/>
                <w:szCs w:val="17"/>
                <w:color w:val="auto"/>
              </w:rPr>
            </w:pPr>
          </w:p>
        </w:tc>
        <w:tc>
          <w:tcPr>
            <w:tcW w:w="16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(13,545)</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33,898</w:t>
            </w:r>
          </w:p>
        </w:tc>
        <w:tc>
          <w:tcPr>
            <w:tcW w:w="28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(50,490)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spacing w:after="0"/>
              <w:rPr>
                <w:sz w:val="20"/>
                <w:szCs w:val="20"/>
                <w:color w:val="auto"/>
              </w:rPr>
            </w:pPr>
            <w:r>
              <w:rPr>
                <w:rFonts w:ascii="Arial" w:cs="Arial" w:eastAsia="Arial" w:hAnsi="Arial"/>
                <w:sz w:val="16"/>
                <w:szCs w:val="16"/>
                <w:color w:val="auto"/>
              </w:rPr>
              <w:t>Non-controlling interests</w:t>
            </w:r>
          </w:p>
        </w:tc>
        <w:tc>
          <w:tcPr>
            <w:tcW w:w="1360" w:type="dxa"/>
            <w:vAlign w:val="bottom"/>
          </w:tcPr>
          <w:p>
            <w:pPr>
              <w:jc w:val="right"/>
              <w:spacing w:after="0"/>
              <w:rPr>
                <w:sz w:val="20"/>
                <w:szCs w:val="20"/>
                <w:color w:val="auto"/>
              </w:rPr>
            </w:pPr>
            <w:r>
              <w:rPr>
                <w:rFonts w:ascii="Arial" w:cs="Arial" w:eastAsia="Arial" w:hAnsi="Arial"/>
                <w:sz w:val="16"/>
                <w:szCs w:val="16"/>
                <w:color w:val="auto"/>
              </w:rPr>
              <w:t>21,047</w:t>
            </w:r>
          </w:p>
        </w:tc>
        <w:tc>
          <w:tcPr>
            <w:tcW w:w="3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22,434</w:t>
            </w:r>
          </w:p>
        </w:tc>
        <w:tc>
          <w:tcPr>
            <w:tcW w:w="280" w:type="dxa"/>
            <w:vAlign w:val="bottom"/>
          </w:tcPr>
          <w:p>
            <w:pPr>
              <w:spacing w:after="0"/>
              <w:rPr>
                <w:sz w:val="17"/>
                <w:szCs w:val="17"/>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62,116</w:t>
            </w: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54,766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tcBorders>
              <w:top w:val="single" w:sz="8" w:color="E5FFFF"/>
              <w:bottom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39,261</w:t>
            </w:r>
          </w:p>
        </w:tc>
        <w:tc>
          <w:tcPr>
            <w:tcW w:w="300" w:type="dxa"/>
            <w:vAlign w:val="bottom"/>
            <w:tcBorders>
              <w:top w:val="single" w:sz="8" w:color="E5FFFF"/>
              <w:bottom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8,889</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96,014</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4,276</w:t>
            </w: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8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Earnings/(loss) per share – basic</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0.19</w:t>
            </w:r>
          </w:p>
        </w:tc>
        <w:tc>
          <w:tcPr>
            <w:tcW w:w="300" w:type="dxa"/>
            <w:vAlign w:val="bottom"/>
            <w:shd w:val="clear" w:color="auto" w:fill="E5FFFF"/>
          </w:tcPr>
          <w:p>
            <w:pPr>
              <w:spacing w:after="0"/>
              <w:rPr>
                <w:sz w:val="17"/>
                <w:szCs w:val="17"/>
                <w:color w:val="auto"/>
              </w:rPr>
            </w:pPr>
          </w:p>
        </w:tc>
        <w:tc>
          <w:tcPr>
            <w:tcW w:w="16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b w:val="1"/>
                <w:bCs w:val="1"/>
                <w:color w:val="auto"/>
              </w:rPr>
              <w:t>(0.20)</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0.33</w:t>
            </w:r>
          </w:p>
        </w:tc>
        <w:tc>
          <w:tcPr>
            <w:tcW w:w="28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b w:val="1"/>
                <w:bCs w:val="1"/>
                <w:color w:val="auto"/>
              </w:rPr>
              <w:t>(0.72)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6"/>
                <w:szCs w:val="16"/>
                <w:b w:val="1"/>
                <w:bCs w:val="1"/>
                <w:color w:val="auto"/>
              </w:rPr>
              <w:t>Earnings/(loss) per share –diluted</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0.19</w:t>
            </w:r>
          </w:p>
        </w:tc>
        <w:tc>
          <w:tcPr>
            <w:tcW w:w="30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(0.20)</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0.32</w:t>
            </w:r>
          </w:p>
        </w:tc>
        <w:tc>
          <w:tcPr>
            <w:tcW w:w="28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(0.72)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360" w:type="dxa"/>
            <w:vAlign w:val="bottom"/>
          </w:tcPr>
          <w:p>
            <w:pPr>
              <w:jc w:val="right"/>
              <w:ind w:right="499"/>
              <w:spacing w:after="0"/>
              <w:rPr>
                <w:sz w:val="20"/>
                <w:szCs w:val="20"/>
                <w:color w:val="auto"/>
              </w:rPr>
            </w:pPr>
            <w:r>
              <w:rPr>
                <w:rFonts w:ascii="Arial" w:cs="Arial" w:eastAsia="Arial" w:hAnsi="Arial"/>
                <w:sz w:val="14"/>
                <w:szCs w:val="14"/>
                <w:color w:val="auto"/>
              </w:rPr>
              <w:t>12</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808080"/>
            </w:tcBorders>
          </w:tcPr>
          <w:p>
            <w:pPr>
              <w:spacing w:after="0"/>
              <w:rPr>
                <w:sz w:val="10"/>
                <w:szCs w:val="10"/>
                <w:color w:val="auto"/>
              </w:rPr>
            </w:pPr>
          </w:p>
        </w:tc>
        <w:tc>
          <w:tcPr>
            <w:tcW w:w="498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2" w:right="19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Unaudited condensed consolidated statements of cash flows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nine months ended September 30, 2018 and 2019</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00" w:type="dxa"/>
            <w:vAlign w:val="bottom"/>
          </w:tcPr>
          <w:p>
            <w:pPr>
              <w:spacing w:after="0"/>
              <w:rPr>
                <w:sz w:val="17"/>
                <w:szCs w:val="17"/>
                <w:color w:val="auto"/>
              </w:rPr>
            </w:pPr>
          </w:p>
        </w:tc>
        <w:tc>
          <w:tcPr>
            <w:tcW w:w="3120" w:type="dxa"/>
            <w:vAlign w:val="bottom"/>
            <w:gridSpan w:val="4"/>
          </w:tcPr>
          <w:p>
            <w:pPr>
              <w:jc w:val="right"/>
              <w:ind w:right="680"/>
              <w:spacing w:after="0"/>
              <w:rPr>
                <w:sz w:val="20"/>
                <w:szCs w:val="20"/>
                <w:color w:val="auto"/>
              </w:rPr>
            </w:pPr>
            <w:r>
              <w:rPr>
                <w:rFonts w:ascii="Arial" w:cs="Arial" w:eastAsia="Arial" w:hAnsi="Arial"/>
                <w:sz w:val="16"/>
                <w:szCs w:val="16"/>
                <w:b w:val="1"/>
                <w:bCs w:val="1"/>
                <w:color w:val="auto"/>
              </w:rPr>
              <w:t>For the nine months ended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tcPr>
          <w:p>
            <w:pPr>
              <w:spacing w:after="0"/>
              <w:rPr>
                <w:sz w:val="17"/>
                <w:szCs w:val="17"/>
                <w:color w:val="auto"/>
              </w:rPr>
            </w:pPr>
          </w:p>
        </w:tc>
        <w:tc>
          <w:tcPr>
            <w:tcW w:w="164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September 30,</w:t>
            </w:r>
          </w:p>
        </w:tc>
        <w:tc>
          <w:tcPr>
            <w:tcW w:w="14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September 30,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30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280" w:type="dxa"/>
            <w:vAlign w:val="bottom"/>
            <w:tcBorders>
              <w:bottom w:val="single" w:sz="8" w:color="E5FFFF"/>
            </w:tcBorders>
          </w:tcPr>
          <w:p>
            <w:pPr>
              <w:spacing w:after="0"/>
              <w:rPr>
                <w:sz w:val="18"/>
                <w:szCs w:val="18"/>
                <w:color w:val="auto"/>
              </w:rPr>
            </w:pPr>
          </w:p>
        </w:tc>
        <w:tc>
          <w:tcPr>
            <w:tcW w:w="13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E5FF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3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36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138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300" w:type="dxa"/>
            <w:vAlign w:val="bottom"/>
          </w:tcPr>
          <w:p>
            <w:pPr>
              <w:spacing w:after="0"/>
              <w:rPr>
                <w:sz w:val="20"/>
                <w:szCs w:val="20"/>
                <w:color w:val="auto"/>
              </w:rPr>
            </w:pPr>
            <w:r>
              <w:rPr>
                <w:rFonts w:ascii="Arial" w:cs="Arial" w:eastAsia="Arial" w:hAnsi="Arial"/>
                <w:sz w:val="16"/>
                <w:szCs w:val="16"/>
                <w:color w:val="auto"/>
              </w:rPr>
              <w:t>Profit for the period</w:t>
            </w:r>
          </w:p>
        </w:tc>
        <w:tc>
          <w:tcPr>
            <w:tcW w:w="1360" w:type="dxa"/>
            <w:vAlign w:val="bottom"/>
          </w:tcPr>
          <w:p>
            <w:pPr>
              <w:jc w:val="right"/>
              <w:spacing w:after="0"/>
              <w:rPr>
                <w:sz w:val="20"/>
                <w:szCs w:val="20"/>
                <w:color w:val="auto"/>
              </w:rPr>
            </w:pPr>
            <w:r>
              <w:rPr>
                <w:rFonts w:ascii="Arial" w:cs="Arial" w:eastAsia="Arial" w:hAnsi="Arial"/>
                <w:sz w:val="16"/>
                <w:szCs w:val="16"/>
                <w:color w:val="auto"/>
              </w:rPr>
              <w:t>96,014</w:t>
            </w:r>
          </w:p>
        </w:tc>
        <w:tc>
          <w:tcPr>
            <w:tcW w:w="28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4,276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shd w:val="clear" w:color="auto" w:fill="E5FFFF"/>
          </w:tcPr>
          <w:p>
            <w:pPr>
              <w:spacing w:after="0"/>
              <w:rPr>
                <w:sz w:val="20"/>
                <w:szCs w:val="20"/>
                <w:color w:val="auto"/>
              </w:rPr>
            </w:pPr>
            <w:r>
              <w:rPr>
                <w:rFonts w:ascii="Arial" w:cs="Arial" w:eastAsia="Arial" w:hAnsi="Arial"/>
                <w:sz w:val="16"/>
                <w:szCs w:val="16"/>
                <w:color w:val="auto"/>
              </w:rPr>
              <w:t>Adjustments for:</w:t>
            </w:r>
          </w:p>
        </w:tc>
        <w:tc>
          <w:tcPr>
            <w:tcW w:w="136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3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tcPr>
          <w:p>
            <w:pPr>
              <w:spacing w:after="0"/>
              <w:rPr>
                <w:sz w:val="20"/>
                <w:szCs w:val="20"/>
                <w:color w:val="auto"/>
              </w:rPr>
            </w:pPr>
            <w:r>
              <w:rPr>
                <w:rFonts w:ascii="Arial" w:cs="Arial" w:eastAsia="Arial" w:hAnsi="Arial"/>
                <w:sz w:val="16"/>
                <w:szCs w:val="16"/>
                <w:color w:val="auto"/>
              </w:rPr>
              <w:t>Depreciation</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113,683</w:t>
            </w: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124,186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shd w:val="clear" w:color="auto" w:fill="E5FFFF"/>
          </w:tcPr>
          <w:p>
            <w:pPr>
              <w:spacing w:after="0"/>
              <w:rPr>
                <w:sz w:val="20"/>
                <w:szCs w:val="20"/>
                <w:color w:val="auto"/>
              </w:rPr>
            </w:pPr>
            <w:r>
              <w:rPr>
                <w:rFonts w:ascii="Arial" w:cs="Arial" w:eastAsia="Arial" w:hAnsi="Arial"/>
                <w:sz w:val="16"/>
                <w:szCs w:val="16"/>
                <w:color w:val="auto"/>
              </w:rPr>
              <w:t>Share of profit of associates</w:t>
            </w:r>
          </w:p>
        </w:tc>
        <w:tc>
          <w:tcPr>
            <w:tcW w:w="16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(1,325)</w:t>
            </w:r>
          </w:p>
        </w:tc>
        <w:tc>
          <w:tcPr>
            <w:tcW w:w="148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(1,088)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tcPr>
          <w:p>
            <w:pPr>
              <w:spacing w:after="0"/>
              <w:rPr>
                <w:sz w:val="20"/>
                <w:szCs w:val="20"/>
                <w:color w:val="auto"/>
              </w:rPr>
            </w:pPr>
            <w:r>
              <w:rPr>
                <w:rFonts w:ascii="Arial" w:cs="Arial" w:eastAsia="Arial" w:hAnsi="Arial"/>
                <w:sz w:val="16"/>
                <w:szCs w:val="16"/>
                <w:color w:val="auto"/>
              </w:rPr>
              <w:t>Financial income</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(3,367)</w:t>
            </w: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(4,357)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122,505</w:t>
            </w:r>
          </w:p>
        </w:tc>
        <w:tc>
          <w:tcPr>
            <w:tcW w:w="28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138,865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tcPr>
          <w:p>
            <w:pPr>
              <w:spacing w:after="0"/>
              <w:rPr>
                <w:sz w:val="20"/>
                <w:szCs w:val="20"/>
                <w:color w:val="auto"/>
              </w:rPr>
            </w:pPr>
            <w:r>
              <w:rPr>
                <w:rFonts w:ascii="Arial" w:cs="Arial" w:eastAsia="Arial" w:hAnsi="Arial"/>
                <w:sz w:val="16"/>
                <w:szCs w:val="16"/>
                <w:color w:val="auto"/>
              </w:rPr>
              <w:t>Unrealized foreign exchange losses on cash and cash equivalents</w:t>
            </w:r>
          </w:p>
        </w:tc>
        <w:tc>
          <w:tcPr>
            <w:tcW w:w="1360" w:type="dxa"/>
            <w:vAlign w:val="bottom"/>
          </w:tcPr>
          <w:p>
            <w:pPr>
              <w:jc w:val="right"/>
              <w:spacing w:after="0"/>
              <w:rPr>
                <w:sz w:val="20"/>
                <w:szCs w:val="20"/>
                <w:color w:val="auto"/>
              </w:rPr>
            </w:pPr>
            <w:r>
              <w:rPr>
                <w:rFonts w:ascii="Arial" w:cs="Arial" w:eastAsia="Arial" w:hAnsi="Arial"/>
                <w:sz w:val="16"/>
                <w:szCs w:val="16"/>
                <w:color w:val="auto"/>
              </w:rPr>
              <w:t>137</w:t>
            </w:r>
          </w:p>
        </w:tc>
        <w:tc>
          <w:tcPr>
            <w:tcW w:w="28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373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shd w:val="clear" w:color="auto" w:fill="E5FFFF"/>
          </w:tcPr>
          <w:p>
            <w:pPr>
              <w:spacing w:after="0"/>
              <w:rPr>
                <w:sz w:val="20"/>
                <w:szCs w:val="20"/>
                <w:color w:val="auto"/>
              </w:rPr>
            </w:pPr>
            <w:r>
              <w:rPr>
                <w:rFonts w:ascii="Arial" w:cs="Arial" w:eastAsia="Arial" w:hAnsi="Arial"/>
                <w:sz w:val="16"/>
                <w:szCs w:val="16"/>
                <w:color w:val="auto"/>
              </w:rPr>
              <w:t>Realized foreign exchange losses</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773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300" w:type="dxa"/>
            <w:vAlign w:val="bottom"/>
          </w:tcPr>
          <w:p>
            <w:pPr>
              <w:spacing w:after="0"/>
              <w:rPr>
                <w:sz w:val="20"/>
                <w:szCs w:val="20"/>
                <w:color w:val="auto"/>
              </w:rPr>
            </w:pPr>
            <w:r>
              <w:rPr>
                <w:rFonts w:ascii="Arial" w:cs="Arial" w:eastAsia="Arial" w:hAnsi="Arial"/>
                <w:sz w:val="16"/>
                <w:szCs w:val="16"/>
                <w:color w:val="auto"/>
              </w:rPr>
              <w:t>Unrealized (gain)/loss on derivative financial instruments held for trading including ineffective portion of cash flow</w:t>
            </w: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300" w:type="dxa"/>
            <w:vAlign w:val="bottom"/>
          </w:tcPr>
          <w:p>
            <w:pPr>
              <w:ind w:left="180"/>
              <w:spacing w:after="0"/>
              <w:rPr>
                <w:sz w:val="20"/>
                <w:szCs w:val="20"/>
                <w:color w:val="auto"/>
              </w:rPr>
            </w:pPr>
            <w:r>
              <w:rPr>
                <w:rFonts w:ascii="Arial" w:cs="Arial" w:eastAsia="Arial" w:hAnsi="Arial"/>
                <w:sz w:val="16"/>
                <w:szCs w:val="16"/>
                <w:color w:val="auto"/>
              </w:rPr>
              <w:t>hedges</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(23,878)</w:t>
            </w: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67,643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300" w:type="dxa"/>
            <w:vAlign w:val="bottom"/>
            <w:shd w:val="clear" w:color="auto" w:fill="E5FFFF"/>
          </w:tcPr>
          <w:p>
            <w:pPr>
              <w:spacing w:after="0"/>
              <w:rPr>
                <w:sz w:val="20"/>
                <w:szCs w:val="20"/>
                <w:color w:val="auto"/>
              </w:rPr>
            </w:pPr>
            <w:r>
              <w:rPr>
                <w:rFonts w:ascii="Arial" w:cs="Arial" w:eastAsia="Arial" w:hAnsi="Arial"/>
                <w:sz w:val="16"/>
                <w:szCs w:val="16"/>
                <w:color w:val="auto"/>
              </w:rPr>
              <w:t>Share-based compensation</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3,865</w:t>
            </w:r>
          </w:p>
        </w:tc>
        <w:tc>
          <w:tcPr>
            <w:tcW w:w="280" w:type="dxa"/>
            <w:vAlign w:val="bottom"/>
            <w:shd w:val="clear" w:color="auto" w:fill="E5FFFF"/>
          </w:tcPr>
          <w:p>
            <w:pPr>
              <w:spacing w:after="0"/>
              <w:rPr>
                <w:sz w:val="18"/>
                <w:szCs w:val="18"/>
                <w:color w:val="auto"/>
              </w:rPr>
            </w:pPr>
          </w:p>
        </w:tc>
        <w:tc>
          <w:tcPr>
            <w:tcW w:w="14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3,728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00" w:type="dxa"/>
            <w:vAlign w:val="bottom"/>
            <w:tcBorders>
              <w:bottom w:val="single" w:sz="8" w:color="E5FFFF"/>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307,634</w:t>
            </w:r>
          </w:p>
        </w:tc>
        <w:tc>
          <w:tcPr>
            <w:tcW w:w="280" w:type="dxa"/>
            <w:vAlign w:val="bottom"/>
            <w:tcBorders>
              <w:bottom w:val="single" w:sz="8" w:color="E5FFFF"/>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334,399</w:t>
            </w:r>
          </w:p>
        </w:tc>
        <w:tc>
          <w:tcPr>
            <w:tcW w:w="100" w:type="dxa"/>
            <w:vAlign w:val="bottom"/>
            <w:tcBorders>
              <w:bottom w:val="single" w:sz="8" w:color="E5FF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300" w:type="dxa"/>
            <w:vAlign w:val="bottom"/>
            <w:shd w:val="clear" w:color="auto" w:fill="E5FFFF"/>
          </w:tcPr>
          <w:p>
            <w:pPr>
              <w:spacing w:after="0"/>
              <w:rPr>
                <w:sz w:val="20"/>
                <w:szCs w:val="20"/>
                <w:color w:val="auto"/>
              </w:rPr>
            </w:pPr>
            <w:r>
              <w:rPr>
                <w:rFonts w:ascii="Arial" w:cs="Arial" w:eastAsia="Arial" w:hAnsi="Arial"/>
                <w:sz w:val="16"/>
                <w:szCs w:val="16"/>
                <w:color w:val="auto"/>
              </w:rPr>
              <w:t>Movements in working capital</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(18,246)</w:t>
            </w:r>
          </w:p>
        </w:tc>
        <w:tc>
          <w:tcPr>
            <w:tcW w:w="280" w:type="dxa"/>
            <w:vAlign w:val="bottom"/>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(41,514)</w:t>
            </w:r>
          </w:p>
        </w:tc>
        <w:tc>
          <w:tcPr>
            <w:tcW w:w="10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30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Cash provided by operations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289,388</w:t>
            </w:r>
          </w:p>
        </w:tc>
        <w:tc>
          <w:tcPr>
            <w:tcW w:w="280" w:type="dxa"/>
            <w:vAlign w:val="bottom"/>
            <w:tcBorders>
              <w:bottom w:val="single" w:sz="8" w:color="E5FFFF"/>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292,885</w:t>
            </w:r>
          </w:p>
        </w:tc>
        <w:tc>
          <w:tcPr>
            <w:tcW w:w="100" w:type="dxa"/>
            <w:vAlign w:val="bottom"/>
            <w:tcBorders>
              <w:bottom w:val="single" w:sz="8" w:color="E5FF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300" w:type="dxa"/>
            <w:vAlign w:val="bottom"/>
            <w:shd w:val="clear" w:color="auto" w:fill="E5FFFF"/>
          </w:tcPr>
          <w:p>
            <w:pPr>
              <w:spacing w:after="0"/>
              <w:rPr>
                <w:sz w:val="20"/>
                <w:szCs w:val="20"/>
                <w:color w:val="auto"/>
              </w:rPr>
            </w:pPr>
            <w:r>
              <w:rPr>
                <w:rFonts w:ascii="Arial" w:cs="Arial" w:eastAsia="Arial" w:hAnsi="Arial"/>
                <w:sz w:val="16"/>
                <w:szCs w:val="16"/>
                <w:color w:val="auto"/>
              </w:rPr>
              <w:t>Interest paid</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(116,771)</w:t>
            </w:r>
          </w:p>
        </w:tc>
        <w:tc>
          <w:tcPr>
            <w:tcW w:w="280" w:type="dxa"/>
            <w:vAlign w:val="bottom"/>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(145,066)</w:t>
            </w:r>
          </w:p>
        </w:tc>
        <w:tc>
          <w:tcPr>
            <w:tcW w:w="10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30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172,617</w:t>
            </w:r>
          </w:p>
        </w:tc>
        <w:tc>
          <w:tcPr>
            <w:tcW w:w="280" w:type="dxa"/>
            <w:vAlign w:val="bottom"/>
            <w:tcBorders>
              <w:bottom w:val="single" w:sz="8" w:color="E5FFFF"/>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147,819</w:t>
            </w:r>
          </w:p>
        </w:tc>
        <w:tc>
          <w:tcPr>
            <w:tcW w:w="100" w:type="dxa"/>
            <w:vAlign w:val="bottom"/>
            <w:tcBorders>
              <w:bottom w:val="single" w:sz="8" w:color="E5FF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300" w:type="dxa"/>
            <w:vAlign w:val="bottom"/>
            <w:shd w:val="clear" w:color="auto" w:fill="E5FFFF"/>
          </w:tcPr>
          <w:p>
            <w:pPr>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1360" w:type="dxa"/>
            <w:vAlign w:val="bottom"/>
            <w:shd w:val="clear" w:color="auto" w:fill="E5FFFF"/>
          </w:tcPr>
          <w:p>
            <w:pPr>
              <w:spacing w:after="0"/>
              <w:rPr>
                <w:sz w:val="15"/>
                <w:szCs w:val="15"/>
                <w:color w:val="auto"/>
              </w:rPr>
            </w:pPr>
          </w:p>
        </w:tc>
        <w:tc>
          <w:tcPr>
            <w:tcW w:w="280" w:type="dxa"/>
            <w:vAlign w:val="bottom"/>
            <w:shd w:val="clear" w:color="auto" w:fill="E5FFFF"/>
          </w:tcPr>
          <w:p>
            <w:pPr>
              <w:spacing w:after="0"/>
              <w:rPr>
                <w:sz w:val="15"/>
                <w:szCs w:val="15"/>
                <w:color w:val="auto"/>
              </w:rPr>
            </w:pPr>
          </w:p>
        </w:tc>
        <w:tc>
          <w:tcPr>
            <w:tcW w:w="138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00" w:type="dxa"/>
            <w:vAlign w:val="bottom"/>
          </w:tcPr>
          <w:p>
            <w:pPr>
              <w:spacing w:after="0"/>
              <w:rPr>
                <w:sz w:val="20"/>
                <w:szCs w:val="20"/>
                <w:color w:val="auto"/>
              </w:rPr>
            </w:pPr>
            <w:r>
              <w:rPr>
                <w:rFonts w:ascii="Arial" w:cs="Arial" w:eastAsia="Arial" w:hAnsi="Arial"/>
                <w:sz w:val="16"/>
                <w:szCs w:val="16"/>
                <w:color w:val="auto"/>
              </w:rPr>
              <w:t>Payments for tangible fixed assets and vessels under construction</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(618,565)</w:t>
            </w: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(446,529)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shd w:val="clear" w:color="auto" w:fill="E5FFFF"/>
          </w:tcPr>
          <w:p>
            <w:pPr>
              <w:spacing w:after="0"/>
              <w:rPr>
                <w:sz w:val="20"/>
                <w:szCs w:val="20"/>
                <w:color w:val="auto"/>
              </w:rPr>
            </w:pPr>
            <w:r>
              <w:rPr>
                <w:rFonts w:ascii="Arial" w:cs="Arial" w:eastAsia="Arial" w:hAnsi="Arial"/>
                <w:sz w:val="16"/>
                <w:szCs w:val="16"/>
                <w:color w:val="auto"/>
              </w:rPr>
              <w:t>Return of capital expenditures</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10,451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tcPr>
          <w:p>
            <w:pPr>
              <w:spacing w:after="0"/>
              <w:rPr>
                <w:sz w:val="20"/>
                <w:szCs w:val="20"/>
                <w:color w:val="auto"/>
              </w:rPr>
            </w:pPr>
            <w:r>
              <w:rPr>
                <w:rFonts w:ascii="Arial" w:cs="Arial" w:eastAsia="Arial" w:hAnsi="Arial"/>
                <w:sz w:val="16"/>
                <w:szCs w:val="16"/>
                <w:color w:val="auto"/>
              </w:rPr>
              <w:t>Other investments</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(136)</w:t>
            </w: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(158)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shd w:val="clear" w:color="auto" w:fill="E5FFFF"/>
          </w:tcPr>
          <w:p>
            <w:pPr>
              <w:spacing w:after="0"/>
              <w:rPr>
                <w:sz w:val="20"/>
                <w:szCs w:val="20"/>
                <w:color w:val="auto"/>
              </w:rPr>
            </w:pPr>
            <w:r>
              <w:rPr>
                <w:rFonts w:ascii="Arial" w:cs="Arial" w:eastAsia="Arial" w:hAnsi="Arial"/>
                <w:sz w:val="16"/>
                <w:szCs w:val="16"/>
                <w:color w:val="auto"/>
              </w:rPr>
              <w:t>Payments for right-of-use assets</w:t>
            </w:r>
          </w:p>
        </w:tc>
        <w:tc>
          <w:tcPr>
            <w:tcW w:w="16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(36)</w:t>
            </w:r>
          </w:p>
        </w:tc>
        <w:tc>
          <w:tcPr>
            <w:tcW w:w="148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(488)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tcPr>
          <w:p>
            <w:pPr>
              <w:spacing w:after="0"/>
              <w:rPr>
                <w:sz w:val="20"/>
                <w:szCs w:val="20"/>
                <w:color w:val="auto"/>
              </w:rPr>
            </w:pPr>
            <w:r>
              <w:rPr>
                <w:rFonts w:ascii="Arial" w:cs="Arial" w:eastAsia="Arial" w:hAnsi="Arial"/>
                <w:sz w:val="16"/>
                <w:szCs w:val="16"/>
                <w:color w:val="auto"/>
              </w:rPr>
              <w:t>Dividends received from associate</w:t>
            </w:r>
          </w:p>
        </w:tc>
        <w:tc>
          <w:tcPr>
            <w:tcW w:w="1360" w:type="dxa"/>
            <w:vAlign w:val="bottom"/>
          </w:tcPr>
          <w:p>
            <w:pPr>
              <w:jc w:val="right"/>
              <w:spacing w:after="0"/>
              <w:rPr>
                <w:sz w:val="20"/>
                <w:szCs w:val="20"/>
                <w:color w:val="auto"/>
              </w:rPr>
            </w:pPr>
            <w:r>
              <w:rPr>
                <w:rFonts w:ascii="Arial" w:cs="Arial" w:eastAsia="Arial" w:hAnsi="Arial"/>
                <w:sz w:val="16"/>
                <w:szCs w:val="16"/>
                <w:color w:val="auto"/>
              </w:rPr>
              <w:t>869</w:t>
            </w:r>
          </w:p>
        </w:tc>
        <w:tc>
          <w:tcPr>
            <w:tcW w:w="28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938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shd w:val="clear" w:color="auto" w:fill="E5FFFF"/>
          </w:tcPr>
          <w:p>
            <w:pPr>
              <w:spacing w:after="0"/>
              <w:rPr>
                <w:sz w:val="20"/>
                <w:szCs w:val="20"/>
                <w:color w:val="auto"/>
              </w:rPr>
            </w:pPr>
            <w:r>
              <w:rPr>
                <w:rFonts w:ascii="Arial" w:cs="Arial" w:eastAsia="Arial" w:hAnsi="Arial"/>
                <w:sz w:val="16"/>
                <w:szCs w:val="16"/>
                <w:color w:val="auto"/>
              </w:rPr>
              <w:t>Purchase of short-term investments</w:t>
            </w:r>
          </w:p>
        </w:tc>
        <w:tc>
          <w:tcPr>
            <w:tcW w:w="16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(46,000)</w:t>
            </w:r>
          </w:p>
        </w:tc>
        <w:tc>
          <w:tcPr>
            <w:tcW w:w="148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(78,000)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tcPr>
          <w:p>
            <w:pPr>
              <w:spacing w:after="0"/>
              <w:rPr>
                <w:sz w:val="20"/>
                <w:szCs w:val="20"/>
                <w:color w:val="auto"/>
              </w:rPr>
            </w:pPr>
            <w:r>
              <w:rPr>
                <w:rFonts w:ascii="Arial" w:cs="Arial" w:eastAsia="Arial" w:hAnsi="Arial"/>
                <w:sz w:val="16"/>
                <w:szCs w:val="16"/>
                <w:color w:val="auto"/>
              </w:rPr>
              <w:t>Maturity of short-term investments</w:t>
            </w:r>
          </w:p>
        </w:tc>
        <w:tc>
          <w:tcPr>
            <w:tcW w:w="1360" w:type="dxa"/>
            <w:vAlign w:val="bottom"/>
          </w:tcPr>
          <w:p>
            <w:pPr>
              <w:jc w:val="right"/>
              <w:spacing w:after="0"/>
              <w:rPr>
                <w:sz w:val="20"/>
                <w:szCs w:val="20"/>
                <w:color w:val="auto"/>
              </w:rPr>
            </w:pPr>
            <w:r>
              <w:rPr>
                <w:rFonts w:ascii="Arial" w:cs="Arial" w:eastAsia="Arial" w:hAnsi="Arial"/>
                <w:sz w:val="16"/>
                <w:szCs w:val="16"/>
                <w:color w:val="auto"/>
              </w:rPr>
              <w:t>36,000</w:t>
            </w:r>
          </w:p>
        </w:tc>
        <w:tc>
          <w:tcPr>
            <w:tcW w:w="28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79,000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 received</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3,237</w:t>
            </w:r>
          </w:p>
        </w:tc>
        <w:tc>
          <w:tcPr>
            <w:tcW w:w="28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4,523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tcPr>
          <w:p>
            <w:pPr>
              <w:spacing w:after="0"/>
              <w:rPr>
                <w:sz w:val="20"/>
                <w:szCs w:val="20"/>
                <w:color w:val="auto"/>
              </w:rPr>
            </w:pPr>
            <w:r>
              <w:rPr>
                <w:rFonts w:ascii="Arial" w:cs="Arial" w:eastAsia="Arial" w:hAnsi="Arial"/>
                <w:sz w:val="16"/>
                <w:szCs w:val="16"/>
                <w:b w:val="1"/>
                <w:bCs w:val="1"/>
                <w:color w:val="auto"/>
              </w:rPr>
              <w:t>Net cash used in investing activities</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(624,631)</w:t>
            </w:r>
          </w:p>
        </w:tc>
        <w:tc>
          <w:tcPr>
            <w:tcW w:w="14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(430,263)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36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3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tcPr>
          <w:p>
            <w:pPr>
              <w:spacing w:after="0"/>
              <w:rPr>
                <w:sz w:val="20"/>
                <w:szCs w:val="20"/>
                <w:color w:val="auto"/>
              </w:rPr>
            </w:pPr>
            <w:r>
              <w:rPr>
                <w:rFonts w:ascii="Arial" w:cs="Arial" w:eastAsia="Arial" w:hAnsi="Arial"/>
                <w:sz w:val="16"/>
                <w:szCs w:val="16"/>
                <w:color w:val="auto"/>
              </w:rPr>
              <w:t>Proceeds from bank loans and bonds</w:t>
            </w:r>
          </w:p>
        </w:tc>
        <w:tc>
          <w:tcPr>
            <w:tcW w:w="1360" w:type="dxa"/>
            <w:vAlign w:val="bottom"/>
          </w:tcPr>
          <w:p>
            <w:pPr>
              <w:jc w:val="right"/>
              <w:spacing w:after="0"/>
              <w:rPr>
                <w:sz w:val="20"/>
                <w:szCs w:val="20"/>
                <w:color w:val="auto"/>
              </w:rPr>
            </w:pPr>
            <w:r>
              <w:rPr>
                <w:rFonts w:ascii="Arial" w:cs="Arial" w:eastAsia="Arial" w:hAnsi="Arial"/>
                <w:sz w:val="16"/>
                <w:szCs w:val="16"/>
                <w:color w:val="auto"/>
              </w:rPr>
              <w:t>498,225</w:t>
            </w:r>
          </w:p>
        </w:tc>
        <w:tc>
          <w:tcPr>
            <w:tcW w:w="28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807,180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shd w:val="clear" w:color="auto" w:fill="E5FFFF"/>
          </w:tcPr>
          <w:p>
            <w:pPr>
              <w:spacing w:after="0"/>
              <w:rPr>
                <w:sz w:val="20"/>
                <w:szCs w:val="20"/>
                <w:color w:val="auto"/>
              </w:rPr>
            </w:pPr>
            <w:r>
              <w:rPr>
                <w:rFonts w:ascii="Arial" w:cs="Arial" w:eastAsia="Arial" w:hAnsi="Arial"/>
                <w:sz w:val="16"/>
                <w:szCs w:val="16"/>
                <w:color w:val="auto"/>
              </w:rPr>
              <w:t>Bank loan repayments</w:t>
            </w:r>
          </w:p>
        </w:tc>
        <w:tc>
          <w:tcPr>
            <w:tcW w:w="16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(180,792)</w:t>
            </w:r>
          </w:p>
        </w:tc>
        <w:tc>
          <w:tcPr>
            <w:tcW w:w="148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(519,379)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tcPr>
          <w:p>
            <w:pPr>
              <w:spacing w:after="0"/>
              <w:rPr>
                <w:sz w:val="20"/>
                <w:szCs w:val="20"/>
                <w:color w:val="auto"/>
              </w:rPr>
            </w:pPr>
            <w:r>
              <w:rPr>
                <w:rFonts w:ascii="Arial" w:cs="Arial" w:eastAsia="Arial" w:hAnsi="Arial"/>
                <w:sz w:val="16"/>
                <w:szCs w:val="16"/>
                <w:color w:val="auto"/>
              </w:rPr>
              <w:t>Payment of loan issuance costs</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(7,363)</w:t>
            </w: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(11,269)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shd w:val="clear" w:color="auto" w:fill="E5FFFF"/>
          </w:tcPr>
          <w:p>
            <w:pPr>
              <w:spacing w:after="0"/>
              <w:rPr>
                <w:sz w:val="20"/>
                <w:szCs w:val="20"/>
                <w:color w:val="auto"/>
              </w:rPr>
            </w:pPr>
            <w:r>
              <w:rPr>
                <w:rFonts w:ascii="Arial" w:cs="Arial" w:eastAsia="Arial" w:hAnsi="Arial"/>
                <w:sz w:val="16"/>
                <w:szCs w:val="16"/>
                <w:color w:val="auto"/>
              </w:rPr>
              <w:t>Proceeds from GasLog Partners’ public common unit offerings (net of underwriting discounts and commissions)</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54,338</w:t>
            </w:r>
          </w:p>
        </w:tc>
        <w:tc>
          <w:tcPr>
            <w:tcW w:w="28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tcPr>
          <w:p>
            <w:pPr>
              <w:spacing w:after="0"/>
              <w:rPr>
                <w:sz w:val="20"/>
                <w:szCs w:val="20"/>
                <w:color w:val="auto"/>
              </w:rPr>
            </w:pPr>
            <w:r>
              <w:rPr>
                <w:rFonts w:ascii="Arial" w:cs="Arial" w:eastAsia="Arial" w:hAnsi="Arial"/>
                <w:sz w:val="16"/>
                <w:szCs w:val="16"/>
                <w:color w:val="auto"/>
              </w:rPr>
              <w:t>Proceeds from GasLog Partners’ preference unit offering (net of underwriting discounts and commissions)</w:t>
            </w:r>
          </w:p>
        </w:tc>
        <w:tc>
          <w:tcPr>
            <w:tcW w:w="1360" w:type="dxa"/>
            <w:vAlign w:val="bottom"/>
          </w:tcPr>
          <w:p>
            <w:pPr>
              <w:jc w:val="right"/>
              <w:spacing w:after="0"/>
              <w:rPr>
                <w:sz w:val="20"/>
                <w:szCs w:val="20"/>
                <w:color w:val="auto"/>
              </w:rPr>
            </w:pPr>
            <w:r>
              <w:rPr>
                <w:rFonts w:ascii="Arial" w:cs="Arial" w:eastAsia="Arial" w:hAnsi="Arial"/>
                <w:sz w:val="16"/>
                <w:szCs w:val="16"/>
                <w:color w:val="auto"/>
              </w:rPr>
              <w:t>111,544</w:t>
            </w:r>
          </w:p>
        </w:tc>
        <w:tc>
          <w:tcPr>
            <w:tcW w:w="28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shd w:val="clear" w:color="auto" w:fill="E5FFFF"/>
          </w:tcPr>
          <w:p>
            <w:pPr>
              <w:spacing w:after="0"/>
              <w:rPr>
                <w:sz w:val="20"/>
                <w:szCs w:val="20"/>
                <w:color w:val="auto"/>
              </w:rPr>
            </w:pPr>
            <w:r>
              <w:rPr>
                <w:rFonts w:ascii="Arial" w:cs="Arial" w:eastAsia="Arial" w:hAnsi="Arial"/>
                <w:sz w:val="16"/>
                <w:szCs w:val="16"/>
                <w:color w:val="auto"/>
              </w:rPr>
              <w:t>Payment of equity raising costs</w:t>
            </w:r>
          </w:p>
        </w:tc>
        <w:tc>
          <w:tcPr>
            <w:tcW w:w="16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(929)</w:t>
            </w:r>
          </w:p>
        </w:tc>
        <w:tc>
          <w:tcPr>
            <w:tcW w:w="148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(1,584)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tcPr>
          <w:p>
            <w:pPr>
              <w:spacing w:after="0"/>
              <w:rPr>
                <w:sz w:val="20"/>
                <w:szCs w:val="20"/>
                <w:color w:val="auto"/>
              </w:rPr>
            </w:pPr>
            <w:r>
              <w:rPr>
                <w:rFonts w:ascii="Arial" w:cs="Arial" w:eastAsia="Arial" w:hAnsi="Arial"/>
                <w:sz w:val="16"/>
                <w:szCs w:val="16"/>
                <w:color w:val="auto"/>
              </w:rPr>
              <w:t>Dividends paid</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(107,776)</w:t>
            </w: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(119,993)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shd w:val="clear" w:color="auto" w:fill="E5FFFF"/>
          </w:tcPr>
          <w:p>
            <w:pPr>
              <w:spacing w:after="0"/>
              <w:rPr>
                <w:sz w:val="20"/>
                <w:szCs w:val="20"/>
                <w:color w:val="auto"/>
              </w:rPr>
            </w:pPr>
            <w:r>
              <w:rPr>
                <w:rFonts w:ascii="Arial" w:cs="Arial" w:eastAsia="Arial" w:hAnsi="Arial"/>
                <w:sz w:val="16"/>
                <w:szCs w:val="16"/>
                <w:color w:val="auto"/>
              </w:rPr>
              <w:t>Purchase of treasury shares or GasLog Partners’ common units</w:t>
            </w:r>
          </w:p>
        </w:tc>
        <w:tc>
          <w:tcPr>
            <w:tcW w:w="16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(62)</w:t>
            </w:r>
          </w:p>
        </w:tc>
        <w:tc>
          <w:tcPr>
            <w:tcW w:w="148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(23,782)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tcPr>
          <w:p>
            <w:pPr>
              <w:spacing w:after="0"/>
              <w:rPr>
                <w:sz w:val="20"/>
                <w:szCs w:val="20"/>
                <w:color w:val="auto"/>
              </w:rPr>
            </w:pPr>
            <w:r>
              <w:rPr>
                <w:rFonts w:ascii="Arial" w:cs="Arial" w:eastAsia="Arial" w:hAnsi="Arial"/>
                <w:sz w:val="16"/>
                <w:szCs w:val="16"/>
                <w:color w:val="auto"/>
              </w:rPr>
              <w:t>Proceeds from stock options’ exercise</w:t>
            </w:r>
          </w:p>
        </w:tc>
        <w:tc>
          <w:tcPr>
            <w:tcW w:w="1360" w:type="dxa"/>
            <w:vAlign w:val="bottom"/>
          </w:tcPr>
          <w:p>
            <w:pPr>
              <w:jc w:val="right"/>
              <w:spacing w:after="0"/>
              <w:rPr>
                <w:sz w:val="20"/>
                <w:szCs w:val="20"/>
                <w:color w:val="auto"/>
              </w:rPr>
            </w:pPr>
            <w:r>
              <w:rPr>
                <w:rFonts w:ascii="Arial" w:cs="Arial" w:eastAsia="Arial" w:hAnsi="Arial"/>
                <w:sz w:val="16"/>
                <w:szCs w:val="16"/>
                <w:color w:val="auto"/>
              </w:rPr>
              <w:t>175</w:t>
            </w:r>
          </w:p>
        </w:tc>
        <w:tc>
          <w:tcPr>
            <w:tcW w:w="28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shd w:val="clear" w:color="auto" w:fill="E5FFFF"/>
          </w:tcPr>
          <w:p>
            <w:pPr>
              <w:spacing w:after="0"/>
              <w:rPr>
                <w:sz w:val="20"/>
                <w:szCs w:val="20"/>
                <w:color w:val="auto"/>
              </w:rPr>
            </w:pPr>
            <w:r>
              <w:rPr>
                <w:rFonts w:ascii="Arial" w:cs="Arial" w:eastAsia="Arial" w:hAnsi="Arial"/>
                <w:sz w:val="16"/>
                <w:szCs w:val="16"/>
                <w:color w:val="auto"/>
              </w:rPr>
              <w:t>Payments for lease liability</w:t>
            </w:r>
          </w:p>
        </w:tc>
        <w:tc>
          <w:tcPr>
            <w:tcW w:w="16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(5,447)</w:t>
            </w:r>
          </w:p>
        </w:tc>
        <w:tc>
          <w:tcPr>
            <w:tcW w:w="148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(7,368)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30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Net cash provided by financing activities</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361,913</w:t>
            </w:r>
          </w:p>
        </w:tc>
        <w:tc>
          <w:tcPr>
            <w:tcW w:w="280" w:type="dxa"/>
            <w:vAlign w:val="bottom"/>
            <w:tcBorders>
              <w:bottom w:val="single" w:sz="8" w:color="E5FFFF"/>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123,805</w:t>
            </w:r>
          </w:p>
        </w:tc>
        <w:tc>
          <w:tcPr>
            <w:tcW w:w="100" w:type="dxa"/>
            <w:vAlign w:val="bottom"/>
            <w:tcBorders>
              <w:bottom w:val="single" w:sz="8" w:color="E5FF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300" w:type="dxa"/>
            <w:vAlign w:val="bottom"/>
            <w:shd w:val="clear" w:color="auto" w:fill="E5FFFF"/>
          </w:tcPr>
          <w:p>
            <w:pPr>
              <w:spacing w:after="0"/>
              <w:rPr>
                <w:sz w:val="20"/>
                <w:szCs w:val="20"/>
                <w:color w:val="auto"/>
              </w:rPr>
            </w:pPr>
            <w:r>
              <w:rPr>
                <w:rFonts w:ascii="Arial" w:cs="Arial" w:eastAsia="Arial" w:hAnsi="Arial"/>
                <w:sz w:val="16"/>
                <w:szCs w:val="16"/>
                <w:color w:val="auto"/>
              </w:rPr>
              <w:t>Effects of exchange rate changes on cash and cash equivalents</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(137)</w:t>
            </w:r>
          </w:p>
        </w:tc>
        <w:tc>
          <w:tcPr>
            <w:tcW w:w="280" w:type="dxa"/>
            <w:vAlign w:val="bottom"/>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(373)</w:t>
            </w:r>
          </w:p>
        </w:tc>
        <w:tc>
          <w:tcPr>
            <w:tcW w:w="10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30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Decrease in cash and cash equivalents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(90,238)</w:t>
            </w:r>
          </w:p>
        </w:tc>
        <w:tc>
          <w:tcPr>
            <w:tcW w:w="280" w:type="dxa"/>
            <w:vAlign w:val="bottom"/>
            <w:tcBorders>
              <w:bottom w:val="single" w:sz="8" w:color="E5FFFF"/>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(159,012)</w:t>
            </w:r>
          </w:p>
        </w:tc>
        <w:tc>
          <w:tcPr>
            <w:tcW w:w="100" w:type="dxa"/>
            <w:vAlign w:val="bottom"/>
            <w:tcBorders>
              <w:bottom w:val="single" w:sz="8" w:color="E5FF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300" w:type="dxa"/>
            <w:vAlign w:val="bottom"/>
            <w:shd w:val="clear" w:color="auto" w:fill="E5FFFF"/>
          </w:tcPr>
          <w:p>
            <w:pPr>
              <w:spacing w:after="0"/>
              <w:rPr>
                <w:sz w:val="20"/>
                <w:szCs w:val="20"/>
                <w:color w:val="auto"/>
              </w:rPr>
            </w:pPr>
            <w:r>
              <w:rPr>
                <w:rFonts w:ascii="Arial" w:cs="Arial" w:eastAsia="Arial" w:hAnsi="Arial"/>
                <w:sz w:val="16"/>
                <w:szCs w:val="16"/>
                <w:color w:val="auto"/>
              </w:rPr>
              <w:t>Cash and cash equivalents, beginning of the period</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384,092</w:t>
            </w:r>
          </w:p>
        </w:tc>
        <w:tc>
          <w:tcPr>
            <w:tcW w:w="280" w:type="dxa"/>
            <w:vAlign w:val="bottom"/>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342,594</w:t>
            </w:r>
          </w:p>
        </w:tc>
        <w:tc>
          <w:tcPr>
            <w:tcW w:w="10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300" w:type="dxa"/>
            <w:vAlign w:val="bottom"/>
          </w:tcPr>
          <w:p>
            <w:pPr>
              <w:spacing w:after="0"/>
              <w:rPr>
                <w:sz w:val="20"/>
                <w:szCs w:val="20"/>
                <w:color w:val="auto"/>
              </w:rPr>
            </w:pPr>
            <w:r>
              <w:rPr>
                <w:rFonts w:ascii="Arial" w:cs="Arial" w:eastAsia="Arial" w:hAnsi="Arial"/>
                <w:sz w:val="16"/>
                <w:szCs w:val="16"/>
                <w:b w:val="1"/>
                <w:bCs w:val="1"/>
                <w:color w:val="auto"/>
              </w:rPr>
              <w:t>Cash and cash equivalents, end of the period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293,854</w:t>
            </w:r>
          </w:p>
        </w:tc>
        <w:tc>
          <w:tcPr>
            <w:tcW w:w="28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183,582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300" w:type="dxa"/>
            <w:vAlign w:val="bottom"/>
            <w:vMerge w:val="restart"/>
          </w:tcPr>
          <w:p>
            <w:pPr>
              <w:ind w:left="5640"/>
              <w:spacing w:after="0"/>
              <w:rPr>
                <w:sz w:val="20"/>
                <w:szCs w:val="20"/>
                <w:color w:val="auto"/>
              </w:rPr>
            </w:pPr>
            <w:r>
              <w:rPr>
                <w:rFonts w:ascii="Arial" w:cs="Arial" w:eastAsia="Arial" w:hAnsi="Arial"/>
                <w:sz w:val="14"/>
                <w:szCs w:val="14"/>
                <w:color w:val="auto"/>
              </w:rPr>
              <w:t>13</w:t>
            </w: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830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30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2" w:right="19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auto"/>
        </w:rPr>
        <w:t>EXHIBIT II</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EBITDA, Adjusted EBITDA, Adjusted Profit and Adjusted EPS</w:t>
      </w:r>
    </w:p>
    <w:p>
      <w:pPr>
        <w:spacing w:after="0" w:line="225" w:lineRule="exact"/>
        <w:rPr>
          <w:sz w:val="20"/>
          <w:szCs w:val="20"/>
          <w:color w:val="auto"/>
        </w:rPr>
      </w:pPr>
    </w:p>
    <w:p>
      <w:pPr>
        <w:ind w:right="380"/>
        <w:spacing w:after="0" w:line="303" w:lineRule="auto"/>
        <w:rPr>
          <w:sz w:val="20"/>
          <w:szCs w:val="20"/>
          <w:color w:val="auto"/>
        </w:rPr>
      </w:pPr>
      <w:r>
        <w:rPr>
          <w:rFonts w:ascii="Arial" w:cs="Arial" w:eastAsia="Arial" w:hAnsi="Arial"/>
          <w:sz w:val="14"/>
          <w:szCs w:val="14"/>
          <w:color w:val="auto"/>
        </w:rPr>
        <w:t>EBITDA is defined as earnings before depreciation, amortization, financial income and costs, gain/loss on derivatives and taxes. Adjusted EBITDA is defined as EBITDA before foreign exchange gains/losses. Adjusted Profit represents earnings before write-off and accelerated amortization of unamortized loan fees/bond fees and premium, foreign exchange gains/losses and non-cash gain/loss on derivatives that includes (if any) (a) unrealized gain/loss on derivative financial instruments held for trading,</w:t>
      </w:r>
    </w:p>
    <w:p>
      <w:pPr>
        <w:spacing w:after="0" w:line="2" w:lineRule="exact"/>
        <w:rPr>
          <w:sz w:val="20"/>
          <w:szCs w:val="20"/>
          <w:color w:val="auto"/>
        </w:rPr>
      </w:pPr>
    </w:p>
    <w:p>
      <w:pPr>
        <w:ind w:right="40" w:firstLine="8"/>
        <w:spacing w:after="0" w:line="285" w:lineRule="auto"/>
        <w:tabs>
          <w:tab w:leader="none" w:pos="230" w:val="left"/>
        </w:tabs>
        <w:numPr>
          <w:ilvl w:val="0"/>
          <w:numId w:val="10"/>
        </w:numPr>
        <w:rPr>
          <w:rFonts w:ascii="Arial" w:cs="Arial" w:eastAsia="Arial" w:hAnsi="Arial"/>
          <w:sz w:val="15"/>
          <w:szCs w:val="15"/>
          <w:color w:val="auto"/>
        </w:rPr>
      </w:pPr>
      <w:r>
        <w:rPr>
          <w:rFonts w:ascii="Arial" w:cs="Arial" w:eastAsia="Arial" w:hAnsi="Arial"/>
          <w:sz w:val="15"/>
          <w:szCs w:val="15"/>
          <w:color w:val="auto"/>
        </w:rPr>
        <w:t>recycled loss of cash flow hedges reclassified to profit or loss and (c) ineffective portion of cash flow hedges. Adjusted EPS represents earnings attributable to owners of the Group adjusted for non-cash gain/loss on derivatives as defined above, foreign exchange gains/losses and write-off and accelerated amortization of unamortized loan/bond fees and premium, all adjustments calculated at Group level without deduction for non-controlling interests, divided by the weighted average number of shares outstanding. EBITDA, Adjusted EBITDA, Adjusted Profit and Adjusted EPS are non-GAAP financial measures that are used as supplemental financial measures by management and external users of financial statements, such as investors, to assess our financial and operating performance. We believe that these non-GAAP financial measures assist our management and investors by increasing the comparability of our performance from period to period. We believe that including EBITDA, Adjusted EBITDA, Adjusted Profit and Adjusted EPS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purchase and/or to continue to hold our common shares. This is achieved by excluding the potentially disparate effects between periods of, in the case of EBITDA and Adjusted EBITDA, financial costs, gain/loss on derivatives, taxes, depreciation and amortization; in the case of Adjusted EBITDA, foreign exchange gains/losses; and in the case of Adjusted Profit and Adjusted EPS, non-cash gain/loss on derivatives, foreign exchange gains/losses and write-off and accelerated amortization of unamortized loan fees/bond fees and premium, which items are affected by various and possibly changing financing methods, financial market conditions, capital structure and historical cost basis, and which items may significantly affect results of operations between periods.</w:t>
      </w:r>
    </w:p>
    <w:p>
      <w:pPr>
        <w:spacing w:after="0" w:line="170" w:lineRule="exact"/>
        <w:rPr>
          <w:sz w:val="20"/>
          <w:szCs w:val="20"/>
          <w:color w:val="auto"/>
        </w:rPr>
      </w:pPr>
    </w:p>
    <w:p>
      <w:pPr>
        <w:ind w:right="240"/>
        <w:spacing w:after="0" w:line="268" w:lineRule="auto"/>
        <w:rPr>
          <w:sz w:val="20"/>
          <w:szCs w:val="20"/>
          <w:color w:val="auto"/>
        </w:rPr>
      </w:pPr>
      <w:r>
        <w:rPr>
          <w:rFonts w:ascii="Arial" w:cs="Arial" w:eastAsia="Arial" w:hAnsi="Arial"/>
          <w:sz w:val="16"/>
          <w:szCs w:val="16"/>
          <w:color w:val="auto"/>
        </w:rPr>
        <w:t>EBITDA, Adjusted EBITDA, Adjusted Profit and Adjusted EPS have limitations as analytical tools and should not be considered as alternatives to, or as substitutes for, or superior to, profit, profit from operations, earnings per share or any other measure of operating performance presented in accordance with IFRS. Some of these limitations include the fact that they do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have to be replaced in the future, and EBITDA and Adjusted EBITDA do not reflect any cash requirements for such replacements. EBITDA, Adjusted EBITDA, Adjusted Profit and Adjusted EPS are not adjusted for all non-cash income or expense items that are reflected in our statements of cash flows and other companies in our industry may calculate these measures differently than we do, limiting their usefulness as a comparative measure.</w:t>
      </w:r>
    </w:p>
    <w:p>
      <w:pPr>
        <w:spacing w:after="0" w:line="180" w:lineRule="exact"/>
        <w:rPr>
          <w:sz w:val="20"/>
          <w:szCs w:val="20"/>
          <w:color w:val="auto"/>
        </w:rPr>
      </w:pPr>
    </w:p>
    <w:p>
      <w:pPr>
        <w:ind w:right="240"/>
        <w:spacing w:after="0" w:line="273" w:lineRule="auto"/>
        <w:rPr>
          <w:sz w:val="20"/>
          <w:szCs w:val="20"/>
          <w:color w:val="auto"/>
        </w:rPr>
      </w:pPr>
      <w:r>
        <w:rPr>
          <w:rFonts w:ascii="Arial" w:cs="Arial" w:eastAsia="Arial" w:hAnsi="Arial"/>
          <w:sz w:val="16"/>
          <w:szCs w:val="16"/>
          <w:color w:val="auto"/>
        </w:rPr>
        <w:t>In evaluating Adjusted EBITDA, Adjusted Profit and Adjusted EPS, you should be aware that in the future we may incur expenses that are the same as or similar to some of the adjustments in this presentation. Our presentation of Adjusted EBITDA, Adjusted Profit and Adjusted EPS should not be construed as an inference that our future results will be unaffected by the excluded items. Therefore, the non-GAAP financial measures as presented below may not be comparable to similarly titled measures of other companies in the shipping or other industries.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Reconciliation of Profit to EBITDA and Adjusted EBITDA:</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60" w:type="dxa"/>
            <w:vAlign w:val="bottom"/>
          </w:tcPr>
          <w:p>
            <w:pPr>
              <w:spacing w:after="0"/>
              <w:rPr>
                <w:sz w:val="17"/>
                <w:szCs w:val="17"/>
                <w:color w:val="auto"/>
              </w:rPr>
            </w:pPr>
          </w:p>
        </w:tc>
        <w:tc>
          <w:tcPr>
            <w:tcW w:w="3080" w:type="dxa"/>
            <w:vAlign w:val="bottom"/>
            <w:gridSpan w:val="4"/>
          </w:tcPr>
          <w:p>
            <w:pPr>
              <w:ind w:left="440"/>
              <w:spacing w:after="0"/>
              <w:rPr>
                <w:sz w:val="20"/>
                <w:szCs w:val="20"/>
                <w:color w:val="auto"/>
              </w:rPr>
            </w:pPr>
            <w:r>
              <w:rPr>
                <w:rFonts w:ascii="Arial" w:cs="Arial" w:eastAsia="Arial" w:hAnsi="Arial"/>
                <w:sz w:val="16"/>
                <w:szCs w:val="16"/>
                <w:b w:val="1"/>
                <w:bCs w:val="1"/>
                <w:color w:val="auto"/>
              </w:rPr>
              <w:t>For the three months ended</w:t>
            </w:r>
          </w:p>
        </w:tc>
        <w:tc>
          <w:tcPr>
            <w:tcW w:w="2880" w:type="dxa"/>
            <w:vAlign w:val="bottom"/>
            <w:gridSpan w:val="3"/>
          </w:tcPr>
          <w:p>
            <w:pPr>
              <w:jc w:val="right"/>
              <w:ind w:right="479"/>
              <w:spacing w:after="0"/>
              <w:rPr>
                <w:sz w:val="20"/>
                <w:szCs w:val="20"/>
                <w:color w:val="auto"/>
              </w:rPr>
            </w:pPr>
            <w:r>
              <w:rPr>
                <w:rFonts w:ascii="Arial" w:cs="Arial" w:eastAsia="Arial" w:hAnsi="Arial"/>
                <w:sz w:val="16"/>
                <w:szCs w:val="16"/>
                <w:b w:val="1"/>
                <w:bCs w:val="1"/>
                <w:color w:val="auto"/>
              </w:rPr>
              <w:t>For the nine months ended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tcPr>
          <w:p>
            <w:pPr>
              <w:spacing w:after="0"/>
              <w:rPr>
                <w:sz w:val="17"/>
                <w:szCs w:val="17"/>
                <w:color w:val="auto"/>
              </w:rPr>
            </w:pPr>
          </w:p>
        </w:tc>
        <w:tc>
          <w:tcPr>
            <w:tcW w:w="154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w:t>
            </w:r>
          </w:p>
        </w:tc>
        <w:tc>
          <w:tcPr>
            <w:tcW w:w="15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September 30,</w:t>
            </w:r>
          </w:p>
        </w:tc>
        <w:tc>
          <w:tcPr>
            <w:tcW w:w="15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September 30,</w:t>
            </w:r>
          </w:p>
        </w:tc>
        <w:tc>
          <w:tcPr>
            <w:tcW w:w="1360" w:type="dxa"/>
            <w:vAlign w:val="bottom"/>
          </w:tcPr>
          <w:p>
            <w:pPr>
              <w:jc w:val="right"/>
              <w:ind w:right="159"/>
              <w:spacing w:after="0"/>
              <w:rPr>
                <w:sz w:val="20"/>
                <w:szCs w:val="20"/>
                <w:color w:val="auto"/>
              </w:rPr>
            </w:pPr>
            <w:r>
              <w:rPr>
                <w:rFonts w:ascii="Arial" w:cs="Arial" w:eastAsia="Arial" w:hAnsi="Arial"/>
                <w:sz w:val="16"/>
                <w:szCs w:val="16"/>
                <w:b w:val="1"/>
                <w:bCs w:val="1"/>
                <w:color w:val="auto"/>
              </w:rPr>
              <w:t>September 30,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6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ind w:left="460"/>
              <w:spacing w:after="0"/>
              <w:rPr>
                <w:sz w:val="20"/>
                <w:szCs w:val="20"/>
                <w:color w:val="auto"/>
              </w:rPr>
            </w:pPr>
            <w:r>
              <w:rPr>
                <w:rFonts w:ascii="Arial" w:cs="Arial" w:eastAsia="Arial" w:hAnsi="Arial"/>
                <w:sz w:val="16"/>
                <w:szCs w:val="16"/>
                <w:b w:val="1"/>
                <w:bCs w:val="1"/>
                <w:color w:val="auto"/>
              </w:rPr>
              <w:t>2018</w:t>
            </w:r>
          </w:p>
        </w:tc>
        <w:tc>
          <w:tcPr>
            <w:tcW w:w="300" w:type="dxa"/>
            <w:vAlign w:val="bottom"/>
            <w:tcBorders>
              <w:bottom w:val="single" w:sz="8" w:color="E5FFFF"/>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2019</w:t>
            </w:r>
          </w:p>
        </w:tc>
        <w:tc>
          <w:tcPr>
            <w:tcW w:w="28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28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60" w:type="dxa"/>
            <w:vAlign w:val="bottom"/>
            <w:shd w:val="clear" w:color="auto" w:fill="E5FFFF"/>
          </w:tcPr>
          <w:p>
            <w:pPr>
              <w:spacing w:after="0"/>
              <w:rPr>
                <w:sz w:val="20"/>
                <w:szCs w:val="20"/>
                <w:color w:val="auto"/>
              </w:rPr>
            </w:pPr>
            <w:r>
              <w:rPr>
                <w:rFonts w:ascii="Arial" w:cs="Arial" w:eastAsia="Arial" w:hAnsi="Arial"/>
                <w:sz w:val="16"/>
                <w:szCs w:val="16"/>
                <w:color w:val="auto"/>
              </w:rPr>
              <w:t>Profit for the period</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39,261</w:t>
            </w:r>
          </w:p>
        </w:tc>
        <w:tc>
          <w:tcPr>
            <w:tcW w:w="300" w:type="dxa"/>
            <w:vAlign w:val="bottom"/>
            <w:shd w:val="clear" w:color="auto" w:fill="E5FFFF"/>
          </w:tcPr>
          <w:p>
            <w:pPr>
              <w:spacing w:after="0"/>
              <w:rPr>
                <w:sz w:val="17"/>
                <w:szCs w:val="17"/>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8,889</w:t>
            </w:r>
          </w:p>
        </w:tc>
        <w:tc>
          <w:tcPr>
            <w:tcW w:w="280" w:type="dxa"/>
            <w:vAlign w:val="bottom"/>
            <w:shd w:val="clear" w:color="auto" w:fill="E5FFFF"/>
          </w:tcPr>
          <w:p>
            <w:pPr>
              <w:spacing w:after="0"/>
              <w:rPr>
                <w:sz w:val="17"/>
                <w:szCs w:val="17"/>
                <w:color w:val="auto"/>
              </w:rPr>
            </w:pP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96,014</w:t>
            </w:r>
          </w:p>
        </w:tc>
        <w:tc>
          <w:tcPr>
            <w:tcW w:w="280" w:type="dxa"/>
            <w:vAlign w:val="bottom"/>
            <w:shd w:val="clear" w:color="auto" w:fill="E5FFFF"/>
          </w:tcPr>
          <w:p>
            <w:pPr>
              <w:spacing w:after="0"/>
              <w:rPr>
                <w:sz w:val="17"/>
                <w:szCs w:val="17"/>
                <w:color w:val="auto"/>
              </w:rPr>
            </w:pPr>
          </w:p>
        </w:tc>
        <w:tc>
          <w:tcPr>
            <w:tcW w:w="1360" w:type="dxa"/>
            <w:vAlign w:val="bottom"/>
            <w:shd w:val="clear" w:color="auto" w:fill="E5FFFF"/>
          </w:tcPr>
          <w:p>
            <w:pPr>
              <w:jc w:val="right"/>
              <w:ind w:right="19"/>
              <w:spacing w:after="0"/>
              <w:rPr>
                <w:sz w:val="20"/>
                <w:szCs w:val="20"/>
                <w:color w:val="auto"/>
              </w:rPr>
            </w:pPr>
            <w:r>
              <w:rPr>
                <w:rFonts w:ascii="Arial" w:cs="Arial" w:eastAsia="Arial" w:hAnsi="Arial"/>
                <w:sz w:val="16"/>
                <w:szCs w:val="16"/>
                <w:color w:val="auto"/>
              </w:rPr>
              <w:t>4,276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tcPr>
          <w:p>
            <w:pPr>
              <w:spacing w:after="0"/>
              <w:rPr>
                <w:sz w:val="20"/>
                <w:szCs w:val="20"/>
                <w:color w:val="auto"/>
              </w:rPr>
            </w:pPr>
            <w:r>
              <w:rPr>
                <w:rFonts w:ascii="Arial" w:cs="Arial" w:eastAsia="Arial" w:hAnsi="Arial"/>
                <w:sz w:val="16"/>
                <w:szCs w:val="16"/>
                <w:color w:val="auto"/>
              </w:rPr>
              <w:t>Depreciation</w:t>
            </w:r>
          </w:p>
        </w:tc>
        <w:tc>
          <w:tcPr>
            <w:tcW w:w="1240" w:type="dxa"/>
            <w:vAlign w:val="bottom"/>
          </w:tcPr>
          <w:p>
            <w:pPr>
              <w:jc w:val="right"/>
              <w:spacing w:after="0"/>
              <w:rPr>
                <w:sz w:val="20"/>
                <w:szCs w:val="20"/>
                <w:color w:val="auto"/>
              </w:rPr>
            </w:pPr>
            <w:r>
              <w:rPr>
                <w:rFonts w:ascii="Arial" w:cs="Arial" w:eastAsia="Arial" w:hAnsi="Arial"/>
                <w:sz w:val="16"/>
                <w:szCs w:val="16"/>
                <w:color w:val="auto"/>
              </w:rPr>
              <w:t>39,341</w:t>
            </w:r>
          </w:p>
        </w:tc>
        <w:tc>
          <w:tcPr>
            <w:tcW w:w="300" w:type="dxa"/>
            <w:vAlign w:val="bottom"/>
          </w:tcPr>
          <w:p>
            <w:pPr>
              <w:spacing w:after="0"/>
              <w:rPr>
                <w:sz w:val="17"/>
                <w:szCs w:val="17"/>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6"/>
                <w:szCs w:val="16"/>
                <w:color w:val="auto"/>
              </w:rPr>
              <w:t>43,237</w:t>
            </w:r>
          </w:p>
        </w:tc>
        <w:tc>
          <w:tcPr>
            <w:tcW w:w="1520" w:type="dxa"/>
            <w:vAlign w:val="bottom"/>
            <w:gridSpan w:val="2"/>
          </w:tcPr>
          <w:p>
            <w:pPr>
              <w:jc w:val="right"/>
              <w:ind w:right="280"/>
              <w:spacing w:after="0"/>
              <w:rPr>
                <w:sz w:val="20"/>
                <w:szCs w:val="20"/>
                <w:color w:val="auto"/>
              </w:rPr>
            </w:pPr>
            <w:r>
              <w:rPr>
                <w:rFonts w:ascii="Arial" w:cs="Arial" w:eastAsia="Arial" w:hAnsi="Arial"/>
                <w:sz w:val="16"/>
                <w:szCs w:val="16"/>
                <w:color w:val="auto"/>
              </w:rPr>
              <w:t>113,683</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124,186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43,908</w:t>
            </w:r>
          </w:p>
        </w:tc>
        <w:tc>
          <w:tcPr>
            <w:tcW w:w="300" w:type="dxa"/>
            <w:vAlign w:val="bottom"/>
            <w:shd w:val="clear" w:color="auto" w:fill="E5FFFF"/>
          </w:tcPr>
          <w:p>
            <w:pPr>
              <w:spacing w:after="0"/>
              <w:rPr>
                <w:sz w:val="17"/>
                <w:szCs w:val="17"/>
                <w:color w:val="auto"/>
              </w:rPr>
            </w:pPr>
          </w:p>
        </w:tc>
        <w:tc>
          <w:tcPr>
            <w:tcW w:w="15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46,461</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122,505</w:t>
            </w:r>
          </w:p>
        </w:tc>
        <w:tc>
          <w:tcPr>
            <w:tcW w:w="280" w:type="dxa"/>
            <w:vAlign w:val="bottom"/>
            <w:shd w:val="clear" w:color="auto" w:fill="E5FFFF"/>
          </w:tcPr>
          <w:p>
            <w:pPr>
              <w:spacing w:after="0"/>
              <w:rPr>
                <w:sz w:val="17"/>
                <w:szCs w:val="17"/>
                <w:color w:val="auto"/>
              </w:rPr>
            </w:pPr>
          </w:p>
        </w:tc>
        <w:tc>
          <w:tcPr>
            <w:tcW w:w="1360" w:type="dxa"/>
            <w:vAlign w:val="bottom"/>
            <w:shd w:val="clear" w:color="auto" w:fill="E5FFFF"/>
          </w:tcPr>
          <w:p>
            <w:pPr>
              <w:jc w:val="right"/>
              <w:ind w:right="19"/>
              <w:spacing w:after="0"/>
              <w:rPr>
                <w:sz w:val="20"/>
                <w:szCs w:val="20"/>
                <w:color w:val="auto"/>
              </w:rPr>
            </w:pPr>
            <w:r>
              <w:rPr>
                <w:rFonts w:ascii="Arial" w:cs="Arial" w:eastAsia="Arial" w:hAnsi="Arial"/>
                <w:sz w:val="16"/>
                <w:szCs w:val="16"/>
                <w:color w:val="auto"/>
              </w:rPr>
              <w:t>138,865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tcPr>
          <w:p>
            <w:pPr>
              <w:spacing w:after="0"/>
              <w:rPr>
                <w:sz w:val="20"/>
                <w:szCs w:val="20"/>
                <w:color w:val="auto"/>
              </w:rPr>
            </w:pPr>
            <w:r>
              <w:rPr>
                <w:rFonts w:ascii="Arial" w:cs="Arial" w:eastAsia="Arial" w:hAnsi="Arial"/>
                <w:sz w:val="16"/>
                <w:szCs w:val="16"/>
                <w:color w:val="auto"/>
              </w:rPr>
              <w:t>Financial income</w:t>
            </w:r>
          </w:p>
        </w:tc>
        <w:tc>
          <w:tcPr>
            <w:tcW w:w="1540" w:type="dxa"/>
            <w:vAlign w:val="bottom"/>
            <w:gridSpan w:val="2"/>
          </w:tcPr>
          <w:p>
            <w:pPr>
              <w:jc w:val="right"/>
              <w:ind w:right="240"/>
              <w:spacing w:after="0"/>
              <w:rPr>
                <w:sz w:val="20"/>
                <w:szCs w:val="20"/>
                <w:color w:val="auto"/>
              </w:rPr>
            </w:pPr>
            <w:r>
              <w:rPr>
                <w:rFonts w:ascii="Arial" w:cs="Arial" w:eastAsia="Arial" w:hAnsi="Arial"/>
                <w:sz w:val="16"/>
                <w:szCs w:val="16"/>
                <w:color w:val="auto"/>
              </w:rPr>
              <w:t>(1,057)</w:t>
            </w: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(1,189)</w:t>
            </w: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(3,367)</w:t>
            </w:r>
          </w:p>
        </w:tc>
        <w:tc>
          <w:tcPr>
            <w:tcW w:w="1360" w:type="dxa"/>
            <w:vAlign w:val="bottom"/>
          </w:tcPr>
          <w:p>
            <w:pPr>
              <w:jc w:val="right"/>
              <w:spacing w:after="0"/>
              <w:rPr>
                <w:sz w:val="20"/>
                <w:szCs w:val="20"/>
                <w:color w:val="auto"/>
              </w:rPr>
            </w:pPr>
            <w:r>
              <w:rPr>
                <w:rFonts w:ascii="Arial" w:cs="Arial" w:eastAsia="Arial" w:hAnsi="Arial"/>
                <w:sz w:val="16"/>
                <w:szCs w:val="16"/>
                <w:color w:val="auto"/>
              </w:rPr>
              <w:t>(4,357)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E5FFFF"/>
          </w:tcPr>
          <w:p>
            <w:pPr>
              <w:spacing w:after="0"/>
              <w:rPr>
                <w:sz w:val="20"/>
                <w:szCs w:val="20"/>
                <w:color w:val="auto"/>
              </w:rPr>
            </w:pPr>
            <w:r>
              <w:rPr>
                <w:rFonts w:ascii="Arial" w:cs="Arial" w:eastAsia="Arial" w:hAnsi="Arial"/>
                <w:sz w:val="16"/>
                <w:szCs w:val="16"/>
                <w:color w:val="auto"/>
              </w:rPr>
              <w:t>(Gain)/loss on derivatives</w:t>
            </w:r>
          </w:p>
        </w:tc>
        <w:tc>
          <w:tcPr>
            <w:tcW w:w="154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(7,368)</w:t>
            </w:r>
          </w:p>
        </w:tc>
        <w:tc>
          <w:tcPr>
            <w:tcW w:w="15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16,758</w:t>
            </w:r>
          </w:p>
        </w:tc>
        <w:tc>
          <w:tcPr>
            <w:tcW w:w="15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(26,306)</w:t>
            </w:r>
          </w:p>
        </w:tc>
        <w:tc>
          <w:tcPr>
            <w:tcW w:w="1360" w:type="dxa"/>
            <w:vAlign w:val="bottom"/>
            <w:shd w:val="clear" w:color="auto" w:fill="E5FFFF"/>
          </w:tcPr>
          <w:p>
            <w:pPr>
              <w:jc w:val="right"/>
              <w:ind w:right="19"/>
              <w:spacing w:after="0"/>
              <w:rPr>
                <w:sz w:val="20"/>
                <w:szCs w:val="20"/>
                <w:color w:val="auto"/>
              </w:rPr>
            </w:pPr>
            <w:r>
              <w:rPr>
                <w:rFonts w:ascii="Arial" w:cs="Arial" w:eastAsia="Arial" w:hAnsi="Arial"/>
                <w:sz w:val="16"/>
                <w:szCs w:val="16"/>
                <w:color w:val="auto"/>
              </w:rPr>
              <w:t>67,801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EBITDA</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114,085</w:t>
            </w:r>
          </w:p>
        </w:tc>
        <w:tc>
          <w:tcPr>
            <w:tcW w:w="300" w:type="dxa"/>
            <w:vAlign w:val="bottom"/>
            <w:tcBorders>
              <w:bottom w:val="single" w:sz="8" w:color="E5FFFF"/>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114,156</w:t>
            </w:r>
          </w:p>
        </w:tc>
        <w:tc>
          <w:tcPr>
            <w:tcW w:w="280" w:type="dxa"/>
            <w:vAlign w:val="bottom"/>
            <w:tcBorders>
              <w:bottom w:val="single" w:sz="8" w:color="E5FF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302,529</w:t>
            </w:r>
          </w:p>
        </w:tc>
        <w:tc>
          <w:tcPr>
            <w:tcW w:w="280" w:type="dxa"/>
            <w:vAlign w:val="bottom"/>
            <w:tcBorders>
              <w:bottom w:val="single" w:sz="8" w:color="E5FFFF"/>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330,771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60" w:type="dxa"/>
            <w:vAlign w:val="bottom"/>
            <w:shd w:val="clear" w:color="auto" w:fill="E5FFFF"/>
          </w:tcPr>
          <w:p>
            <w:pPr>
              <w:spacing w:after="0"/>
              <w:rPr>
                <w:sz w:val="20"/>
                <w:szCs w:val="20"/>
                <w:color w:val="auto"/>
              </w:rPr>
            </w:pPr>
            <w:r>
              <w:rPr>
                <w:rFonts w:ascii="Arial" w:cs="Arial" w:eastAsia="Arial" w:hAnsi="Arial"/>
                <w:sz w:val="16"/>
                <w:szCs w:val="16"/>
                <w:color w:val="auto"/>
              </w:rPr>
              <w:t>Foreign exchange losses, net</w:t>
            </w:r>
          </w:p>
        </w:tc>
        <w:tc>
          <w:tcPr>
            <w:tcW w:w="1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163</w:t>
            </w:r>
          </w:p>
        </w:tc>
        <w:tc>
          <w:tcPr>
            <w:tcW w:w="300" w:type="dxa"/>
            <w:vAlign w:val="bottom"/>
            <w:shd w:val="clear" w:color="auto" w:fill="E5FFFF"/>
          </w:tcPr>
          <w:p>
            <w:pPr>
              <w:spacing w:after="0"/>
              <w:rPr>
                <w:sz w:val="17"/>
                <w:szCs w:val="17"/>
                <w:color w:val="auto"/>
              </w:rPr>
            </w:pP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878</w:t>
            </w:r>
          </w:p>
        </w:tc>
        <w:tc>
          <w:tcPr>
            <w:tcW w:w="280" w:type="dxa"/>
            <w:vAlign w:val="bottom"/>
            <w:shd w:val="clear" w:color="auto" w:fill="E5FFFF"/>
          </w:tcPr>
          <w:p>
            <w:pPr>
              <w:spacing w:after="0"/>
              <w:rPr>
                <w:sz w:val="17"/>
                <w:szCs w:val="17"/>
                <w:color w:val="auto"/>
              </w:rPr>
            </w:pPr>
          </w:p>
        </w:tc>
        <w:tc>
          <w:tcPr>
            <w:tcW w:w="1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192</w:t>
            </w:r>
          </w:p>
        </w:tc>
        <w:tc>
          <w:tcPr>
            <w:tcW w:w="280" w:type="dxa"/>
            <w:vAlign w:val="bottom"/>
            <w:shd w:val="clear" w:color="auto" w:fill="E5FFFF"/>
          </w:tcPr>
          <w:p>
            <w:pPr>
              <w:spacing w:after="0"/>
              <w:rPr>
                <w:sz w:val="17"/>
                <w:szCs w:val="17"/>
                <w:color w:val="auto"/>
              </w:rPr>
            </w:pPr>
          </w:p>
        </w:tc>
        <w:tc>
          <w:tcPr>
            <w:tcW w:w="1360" w:type="dxa"/>
            <w:vAlign w:val="bottom"/>
            <w:tcBorders>
              <w:bottom w:val="single" w:sz="8" w:color="auto"/>
            </w:tcBorders>
            <w:shd w:val="clear" w:color="auto" w:fill="E5FFFF"/>
          </w:tcPr>
          <w:p>
            <w:pPr>
              <w:jc w:val="right"/>
              <w:ind w:right="19"/>
              <w:spacing w:after="0"/>
              <w:rPr>
                <w:sz w:val="20"/>
                <w:szCs w:val="20"/>
                <w:color w:val="auto"/>
              </w:rPr>
            </w:pPr>
            <w:r>
              <w:rPr>
                <w:rFonts w:ascii="Arial" w:cs="Arial" w:eastAsia="Arial" w:hAnsi="Arial"/>
                <w:sz w:val="16"/>
                <w:szCs w:val="16"/>
                <w:color w:val="auto"/>
              </w:rPr>
              <w:t>1,246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60" w:type="dxa"/>
            <w:vAlign w:val="bottom"/>
          </w:tcPr>
          <w:p>
            <w:pPr>
              <w:spacing w:after="0"/>
              <w:rPr>
                <w:sz w:val="20"/>
                <w:szCs w:val="20"/>
                <w:color w:val="auto"/>
              </w:rPr>
            </w:pPr>
            <w:r>
              <w:rPr>
                <w:rFonts w:ascii="Arial" w:cs="Arial" w:eastAsia="Arial" w:hAnsi="Arial"/>
                <w:sz w:val="16"/>
                <w:szCs w:val="16"/>
                <w:b w:val="1"/>
                <w:bCs w:val="1"/>
                <w:color w:val="auto"/>
              </w:rPr>
              <w:t>Adjusted EBITDA</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114,248</w:t>
            </w:r>
          </w:p>
        </w:tc>
        <w:tc>
          <w:tcPr>
            <w:tcW w:w="30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115,034</w:t>
            </w:r>
          </w:p>
        </w:tc>
        <w:tc>
          <w:tcPr>
            <w:tcW w:w="280" w:type="dxa"/>
            <w:vAlign w:val="bottom"/>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302,721</w:t>
            </w:r>
          </w:p>
        </w:tc>
        <w:tc>
          <w:tcPr>
            <w:tcW w:w="280" w:type="dxa"/>
            <w:vAlign w:val="bottom"/>
          </w:tcPr>
          <w:p>
            <w:pPr>
              <w:spacing w:after="0"/>
              <w:rPr>
                <w:sz w:val="17"/>
                <w:szCs w:val="17"/>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332,017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6"/>
                <w:szCs w:val="16"/>
                <w:b w:val="1"/>
                <w:bCs w:val="1"/>
                <w:color w:val="auto"/>
              </w:rPr>
              <w:t>Reconciliation of Profit to Adjusted Profit:</w:t>
            </w: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46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460" w:type="dxa"/>
            <w:vAlign w:val="bottom"/>
          </w:tcPr>
          <w:p>
            <w:pPr>
              <w:spacing w:after="0"/>
              <w:rPr>
                <w:sz w:val="20"/>
                <w:szCs w:val="20"/>
                <w:color w:val="auto"/>
              </w:rPr>
            </w:pPr>
            <w:r>
              <w:rPr>
                <w:rFonts w:ascii="Arial" w:cs="Arial" w:eastAsia="Arial" w:hAnsi="Arial"/>
                <w:sz w:val="16"/>
                <w:szCs w:val="16"/>
                <w:b w:val="1"/>
                <w:bCs w:val="1"/>
                <w:color w:val="auto"/>
              </w:rPr>
              <w:t>(Amounts expressed in thousands of U.S. Dollars)</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460" w:type="dxa"/>
            <w:vAlign w:val="bottom"/>
          </w:tcPr>
          <w:p>
            <w:pPr>
              <w:spacing w:after="0"/>
              <w:rPr>
                <w:sz w:val="20"/>
                <w:szCs w:val="20"/>
                <w:color w:val="auto"/>
              </w:rPr>
            </w:pPr>
          </w:p>
        </w:tc>
        <w:tc>
          <w:tcPr>
            <w:tcW w:w="3080" w:type="dxa"/>
            <w:vAlign w:val="bottom"/>
            <w:gridSpan w:val="4"/>
          </w:tcPr>
          <w:p>
            <w:pPr>
              <w:ind w:left="440"/>
              <w:spacing w:after="0"/>
              <w:rPr>
                <w:sz w:val="20"/>
                <w:szCs w:val="20"/>
                <w:color w:val="auto"/>
              </w:rPr>
            </w:pPr>
            <w:r>
              <w:rPr>
                <w:rFonts w:ascii="Arial" w:cs="Arial" w:eastAsia="Arial" w:hAnsi="Arial"/>
                <w:sz w:val="16"/>
                <w:szCs w:val="16"/>
                <w:b w:val="1"/>
                <w:bCs w:val="1"/>
                <w:color w:val="auto"/>
              </w:rPr>
              <w:t>For the three months ended</w:t>
            </w:r>
          </w:p>
        </w:tc>
        <w:tc>
          <w:tcPr>
            <w:tcW w:w="2880" w:type="dxa"/>
            <w:vAlign w:val="bottom"/>
            <w:gridSpan w:val="3"/>
          </w:tcPr>
          <w:p>
            <w:pPr>
              <w:jc w:val="right"/>
              <w:ind w:right="479"/>
              <w:spacing w:after="0"/>
              <w:rPr>
                <w:sz w:val="20"/>
                <w:szCs w:val="20"/>
                <w:color w:val="auto"/>
              </w:rPr>
            </w:pPr>
            <w:r>
              <w:rPr>
                <w:rFonts w:ascii="Arial" w:cs="Arial" w:eastAsia="Arial" w:hAnsi="Arial"/>
                <w:sz w:val="16"/>
                <w:szCs w:val="16"/>
                <w:b w:val="1"/>
                <w:bCs w:val="1"/>
                <w:color w:val="auto"/>
              </w:rPr>
              <w:t>For the nine months ended</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460" w:type="dxa"/>
            <w:vAlign w:val="bottom"/>
          </w:tcPr>
          <w:p>
            <w:pPr>
              <w:spacing w:after="0"/>
              <w:rPr>
                <w:sz w:val="17"/>
                <w:szCs w:val="17"/>
                <w:color w:val="auto"/>
              </w:rPr>
            </w:pPr>
          </w:p>
        </w:tc>
        <w:tc>
          <w:tcPr>
            <w:tcW w:w="154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w:t>
            </w:r>
          </w:p>
        </w:tc>
        <w:tc>
          <w:tcPr>
            <w:tcW w:w="15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September 30,</w:t>
            </w:r>
          </w:p>
        </w:tc>
        <w:tc>
          <w:tcPr>
            <w:tcW w:w="15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September 30,</w:t>
            </w:r>
          </w:p>
        </w:tc>
        <w:tc>
          <w:tcPr>
            <w:tcW w:w="1360" w:type="dxa"/>
            <w:vAlign w:val="bottom"/>
          </w:tcPr>
          <w:p>
            <w:pPr>
              <w:jc w:val="right"/>
              <w:ind w:right="159"/>
              <w:spacing w:after="0"/>
              <w:rPr>
                <w:sz w:val="20"/>
                <w:szCs w:val="20"/>
                <w:color w:val="auto"/>
              </w:rPr>
            </w:pPr>
            <w:r>
              <w:rPr>
                <w:rFonts w:ascii="Arial" w:cs="Arial" w:eastAsia="Arial" w:hAnsi="Arial"/>
                <w:sz w:val="16"/>
                <w:szCs w:val="16"/>
                <w:b w:val="1"/>
                <w:bCs w:val="1"/>
                <w:color w:val="auto"/>
              </w:rPr>
              <w:t>September 30,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6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ind w:left="460"/>
              <w:spacing w:after="0"/>
              <w:rPr>
                <w:sz w:val="20"/>
                <w:szCs w:val="20"/>
                <w:color w:val="auto"/>
              </w:rPr>
            </w:pPr>
            <w:r>
              <w:rPr>
                <w:rFonts w:ascii="Arial" w:cs="Arial" w:eastAsia="Arial" w:hAnsi="Arial"/>
                <w:sz w:val="16"/>
                <w:szCs w:val="16"/>
                <w:b w:val="1"/>
                <w:bCs w:val="1"/>
                <w:color w:val="auto"/>
              </w:rPr>
              <w:t>2018</w:t>
            </w:r>
          </w:p>
        </w:tc>
        <w:tc>
          <w:tcPr>
            <w:tcW w:w="300" w:type="dxa"/>
            <w:vAlign w:val="bottom"/>
            <w:tcBorders>
              <w:bottom w:val="single" w:sz="8" w:color="E5FFFF"/>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2019</w:t>
            </w:r>
          </w:p>
        </w:tc>
        <w:tc>
          <w:tcPr>
            <w:tcW w:w="28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28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60" w:type="dxa"/>
            <w:vAlign w:val="bottom"/>
            <w:shd w:val="clear" w:color="auto" w:fill="E5FFFF"/>
          </w:tcPr>
          <w:p>
            <w:pPr>
              <w:spacing w:after="0"/>
              <w:rPr>
                <w:sz w:val="20"/>
                <w:szCs w:val="20"/>
                <w:color w:val="auto"/>
              </w:rPr>
            </w:pPr>
            <w:r>
              <w:rPr>
                <w:rFonts w:ascii="Arial" w:cs="Arial" w:eastAsia="Arial" w:hAnsi="Arial"/>
                <w:sz w:val="16"/>
                <w:szCs w:val="16"/>
                <w:color w:val="auto"/>
              </w:rPr>
              <w:t>Profit for the period</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39,261</w:t>
            </w:r>
          </w:p>
        </w:tc>
        <w:tc>
          <w:tcPr>
            <w:tcW w:w="300" w:type="dxa"/>
            <w:vAlign w:val="bottom"/>
            <w:shd w:val="clear" w:color="auto" w:fill="E5FFFF"/>
          </w:tcPr>
          <w:p>
            <w:pPr>
              <w:spacing w:after="0"/>
              <w:rPr>
                <w:sz w:val="17"/>
                <w:szCs w:val="17"/>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8,889</w:t>
            </w:r>
          </w:p>
        </w:tc>
        <w:tc>
          <w:tcPr>
            <w:tcW w:w="280" w:type="dxa"/>
            <w:vAlign w:val="bottom"/>
            <w:shd w:val="clear" w:color="auto" w:fill="E5FFFF"/>
          </w:tcPr>
          <w:p>
            <w:pPr>
              <w:spacing w:after="0"/>
              <w:rPr>
                <w:sz w:val="17"/>
                <w:szCs w:val="17"/>
                <w:color w:val="auto"/>
              </w:rPr>
            </w:pP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96,014</w:t>
            </w:r>
          </w:p>
        </w:tc>
        <w:tc>
          <w:tcPr>
            <w:tcW w:w="280" w:type="dxa"/>
            <w:vAlign w:val="bottom"/>
            <w:shd w:val="clear" w:color="auto" w:fill="E5FFFF"/>
          </w:tcPr>
          <w:p>
            <w:pPr>
              <w:spacing w:after="0"/>
              <w:rPr>
                <w:sz w:val="17"/>
                <w:szCs w:val="17"/>
                <w:color w:val="auto"/>
              </w:rPr>
            </w:pPr>
          </w:p>
        </w:tc>
        <w:tc>
          <w:tcPr>
            <w:tcW w:w="1360" w:type="dxa"/>
            <w:vAlign w:val="bottom"/>
            <w:shd w:val="clear" w:color="auto" w:fill="E5FFFF"/>
          </w:tcPr>
          <w:p>
            <w:pPr>
              <w:jc w:val="right"/>
              <w:ind w:right="19"/>
              <w:spacing w:after="0"/>
              <w:rPr>
                <w:sz w:val="20"/>
                <w:szCs w:val="20"/>
                <w:color w:val="auto"/>
              </w:rPr>
            </w:pPr>
            <w:r>
              <w:rPr>
                <w:rFonts w:ascii="Arial" w:cs="Arial" w:eastAsia="Arial" w:hAnsi="Arial"/>
                <w:sz w:val="16"/>
                <w:szCs w:val="16"/>
                <w:color w:val="auto"/>
              </w:rPr>
              <w:t>4,276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tcPr>
          <w:p>
            <w:pPr>
              <w:spacing w:after="0"/>
              <w:rPr>
                <w:sz w:val="20"/>
                <w:szCs w:val="20"/>
                <w:color w:val="auto"/>
              </w:rPr>
            </w:pPr>
            <w:r>
              <w:rPr>
                <w:rFonts w:ascii="Arial" w:cs="Arial" w:eastAsia="Arial" w:hAnsi="Arial"/>
                <w:sz w:val="16"/>
                <w:szCs w:val="16"/>
                <w:color w:val="auto"/>
              </w:rPr>
              <w:t>Non-cash (gain)/loss on derivatives</w:t>
            </w:r>
          </w:p>
        </w:tc>
        <w:tc>
          <w:tcPr>
            <w:tcW w:w="1540" w:type="dxa"/>
            <w:vAlign w:val="bottom"/>
            <w:gridSpan w:val="2"/>
          </w:tcPr>
          <w:p>
            <w:pPr>
              <w:jc w:val="right"/>
              <w:ind w:right="240"/>
              <w:spacing w:after="0"/>
              <w:rPr>
                <w:sz w:val="20"/>
                <w:szCs w:val="20"/>
                <w:color w:val="auto"/>
              </w:rPr>
            </w:pPr>
            <w:r>
              <w:rPr>
                <w:rFonts w:ascii="Arial" w:cs="Arial" w:eastAsia="Arial" w:hAnsi="Arial"/>
                <w:sz w:val="16"/>
                <w:szCs w:val="16"/>
                <w:color w:val="auto"/>
              </w:rPr>
              <w:t>(7,173)</w:t>
            </w:r>
          </w:p>
        </w:tc>
        <w:tc>
          <w:tcPr>
            <w:tcW w:w="1540" w:type="dxa"/>
            <w:vAlign w:val="bottom"/>
            <w:gridSpan w:val="2"/>
          </w:tcPr>
          <w:p>
            <w:pPr>
              <w:jc w:val="right"/>
              <w:ind w:right="280"/>
              <w:spacing w:after="0"/>
              <w:rPr>
                <w:sz w:val="20"/>
                <w:szCs w:val="20"/>
                <w:color w:val="auto"/>
              </w:rPr>
            </w:pPr>
            <w:r>
              <w:rPr>
                <w:rFonts w:ascii="Arial" w:cs="Arial" w:eastAsia="Arial" w:hAnsi="Arial"/>
                <w:sz w:val="16"/>
                <w:szCs w:val="16"/>
                <w:color w:val="auto"/>
              </w:rPr>
              <w:t>15,761</w:t>
            </w: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(23,878)</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67,643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E5FFFF"/>
          </w:tcPr>
          <w:p>
            <w:pPr>
              <w:spacing w:after="0"/>
              <w:rPr>
                <w:sz w:val="20"/>
                <w:szCs w:val="20"/>
                <w:color w:val="auto"/>
              </w:rPr>
            </w:pPr>
            <w:r>
              <w:rPr>
                <w:rFonts w:ascii="Arial" w:cs="Arial" w:eastAsia="Arial" w:hAnsi="Arial"/>
                <w:sz w:val="16"/>
                <w:szCs w:val="16"/>
                <w:color w:val="auto"/>
              </w:rPr>
              <w:t>Write-off and accelerated amortization of unamortized loan fees</w:t>
            </w:r>
          </w:p>
        </w:tc>
        <w:tc>
          <w:tcPr>
            <w:tcW w:w="1540" w:type="dxa"/>
            <w:vAlign w:val="bottom"/>
            <w:gridSpan w:val="2"/>
            <w:shd w:val="clear" w:color="auto" w:fill="E5FFFF"/>
          </w:tcPr>
          <w:p>
            <w:pPr>
              <w:jc w:val="right"/>
              <w:ind w:right="300"/>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360" w:type="dxa"/>
            <w:vAlign w:val="bottom"/>
            <w:shd w:val="clear" w:color="auto" w:fill="E5FFFF"/>
          </w:tcPr>
          <w:p>
            <w:pPr>
              <w:jc w:val="right"/>
              <w:ind w:right="19"/>
              <w:spacing w:after="0"/>
              <w:rPr>
                <w:sz w:val="20"/>
                <w:szCs w:val="20"/>
                <w:color w:val="auto"/>
              </w:rPr>
            </w:pPr>
            <w:r>
              <w:rPr>
                <w:rFonts w:ascii="Arial" w:cs="Arial" w:eastAsia="Arial" w:hAnsi="Arial"/>
                <w:sz w:val="16"/>
                <w:szCs w:val="16"/>
                <w:color w:val="auto"/>
              </w:rPr>
              <w:t>988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tcPr>
          <w:p>
            <w:pPr>
              <w:spacing w:after="0"/>
              <w:rPr>
                <w:sz w:val="20"/>
                <w:szCs w:val="20"/>
                <w:color w:val="auto"/>
              </w:rPr>
            </w:pPr>
            <w:r>
              <w:rPr>
                <w:rFonts w:ascii="Arial" w:cs="Arial" w:eastAsia="Arial" w:hAnsi="Arial"/>
                <w:sz w:val="16"/>
                <w:szCs w:val="16"/>
                <w:color w:val="auto"/>
              </w:rPr>
              <w:t>Foreign exchange losses, net</w:t>
            </w:r>
          </w:p>
        </w:tc>
        <w:tc>
          <w:tcPr>
            <w:tcW w:w="1240" w:type="dxa"/>
            <w:vAlign w:val="bottom"/>
          </w:tcPr>
          <w:p>
            <w:pPr>
              <w:jc w:val="right"/>
              <w:spacing w:after="0"/>
              <w:rPr>
                <w:sz w:val="20"/>
                <w:szCs w:val="20"/>
                <w:color w:val="auto"/>
              </w:rPr>
            </w:pPr>
            <w:r>
              <w:rPr>
                <w:rFonts w:ascii="Arial" w:cs="Arial" w:eastAsia="Arial" w:hAnsi="Arial"/>
                <w:sz w:val="16"/>
                <w:szCs w:val="16"/>
                <w:color w:val="auto"/>
              </w:rPr>
              <w:t>163</w:t>
            </w:r>
          </w:p>
        </w:tc>
        <w:tc>
          <w:tcPr>
            <w:tcW w:w="300" w:type="dxa"/>
            <w:vAlign w:val="bottom"/>
          </w:tcPr>
          <w:p>
            <w:pPr>
              <w:spacing w:after="0"/>
              <w:rPr>
                <w:sz w:val="17"/>
                <w:szCs w:val="17"/>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6"/>
                <w:szCs w:val="16"/>
                <w:color w:val="auto"/>
              </w:rPr>
              <w:t>878</w:t>
            </w:r>
          </w:p>
        </w:tc>
        <w:tc>
          <w:tcPr>
            <w:tcW w:w="1240" w:type="dxa"/>
            <w:vAlign w:val="bottom"/>
          </w:tcPr>
          <w:p>
            <w:pPr>
              <w:jc w:val="right"/>
              <w:spacing w:after="0"/>
              <w:rPr>
                <w:sz w:val="20"/>
                <w:szCs w:val="20"/>
                <w:color w:val="auto"/>
              </w:rPr>
            </w:pPr>
            <w:r>
              <w:rPr>
                <w:rFonts w:ascii="Arial" w:cs="Arial" w:eastAsia="Arial" w:hAnsi="Arial"/>
                <w:sz w:val="16"/>
                <w:szCs w:val="16"/>
                <w:color w:val="auto"/>
              </w:rPr>
              <w:t>192</w:t>
            </w:r>
          </w:p>
        </w:tc>
        <w:tc>
          <w:tcPr>
            <w:tcW w:w="280" w:type="dxa"/>
            <w:vAlign w:val="bottom"/>
          </w:tcPr>
          <w:p>
            <w:pPr>
              <w:spacing w:after="0"/>
              <w:rPr>
                <w:sz w:val="17"/>
                <w:szCs w:val="17"/>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1,246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6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Adjusted Profit</w:t>
            </w: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32,251</w:t>
            </w:r>
          </w:p>
        </w:tc>
        <w:tc>
          <w:tcPr>
            <w:tcW w:w="300" w:type="dxa"/>
            <w:vAlign w:val="bottom"/>
            <w:tcBorders>
              <w:top w:val="single" w:sz="8" w:color="E5FFFF"/>
              <w:bottom w:val="single" w:sz="8" w:color="E5FFFF"/>
            </w:tcBorders>
            <w:shd w:val="clear" w:color="auto" w:fill="E5FFFF"/>
          </w:tcPr>
          <w:p>
            <w:pPr>
              <w:spacing w:after="0"/>
              <w:rPr>
                <w:sz w:val="17"/>
                <w:szCs w:val="17"/>
                <w:color w:val="auto"/>
              </w:rPr>
            </w:pP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25,528</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72,328</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ind w:right="19"/>
              <w:spacing w:after="0"/>
              <w:rPr>
                <w:sz w:val="20"/>
                <w:szCs w:val="20"/>
                <w:color w:val="auto"/>
              </w:rPr>
            </w:pPr>
            <w:r>
              <w:rPr>
                <w:rFonts w:ascii="Arial" w:cs="Arial" w:eastAsia="Arial" w:hAnsi="Arial"/>
                <w:sz w:val="16"/>
                <w:szCs w:val="16"/>
                <w:b w:val="1"/>
                <w:bCs w:val="1"/>
                <w:color w:val="auto"/>
              </w:rPr>
              <w:t>74,153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5460" w:type="dxa"/>
            <w:vAlign w:val="bottom"/>
          </w:tcPr>
          <w:p>
            <w:pPr>
              <w:spacing w:after="0"/>
              <w:rPr>
                <w:sz w:val="24"/>
                <w:szCs w:val="24"/>
                <w:color w:val="auto"/>
              </w:rPr>
            </w:pPr>
          </w:p>
        </w:tc>
        <w:tc>
          <w:tcPr>
            <w:tcW w:w="1240" w:type="dxa"/>
            <w:vAlign w:val="bottom"/>
          </w:tcPr>
          <w:p>
            <w:pPr>
              <w:jc w:val="right"/>
              <w:ind w:right="839"/>
              <w:spacing w:after="0"/>
              <w:rPr>
                <w:sz w:val="20"/>
                <w:szCs w:val="20"/>
                <w:color w:val="auto"/>
              </w:rPr>
            </w:pPr>
            <w:r>
              <w:rPr>
                <w:rFonts w:ascii="Arial" w:cs="Arial" w:eastAsia="Arial" w:hAnsi="Arial"/>
                <w:sz w:val="14"/>
                <w:szCs w:val="14"/>
                <w:color w:val="auto"/>
              </w:rPr>
              <w:t>14</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4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2" w:right="19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color w:val="auto"/>
        </w:rPr>
        <w:t>Reconciliation of Earnings/(Loss) Per Share to Adjusted Earnings/(Loss) Per Share: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 except shares and per share data)</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60" w:type="dxa"/>
            <w:vAlign w:val="bottom"/>
          </w:tcPr>
          <w:p>
            <w:pPr>
              <w:spacing w:after="0"/>
              <w:rPr>
                <w:sz w:val="17"/>
                <w:szCs w:val="17"/>
                <w:color w:val="auto"/>
              </w:rPr>
            </w:pPr>
          </w:p>
        </w:tc>
        <w:tc>
          <w:tcPr>
            <w:tcW w:w="3080" w:type="dxa"/>
            <w:vAlign w:val="bottom"/>
            <w:gridSpan w:val="4"/>
          </w:tcPr>
          <w:p>
            <w:pPr>
              <w:jc w:val="right"/>
              <w:ind w:right="720"/>
              <w:spacing w:after="0"/>
              <w:rPr>
                <w:sz w:val="20"/>
                <w:szCs w:val="20"/>
                <w:color w:val="auto"/>
              </w:rPr>
            </w:pPr>
            <w:r>
              <w:rPr>
                <w:rFonts w:ascii="Arial" w:cs="Arial" w:eastAsia="Arial" w:hAnsi="Arial"/>
                <w:sz w:val="16"/>
                <w:szCs w:val="16"/>
                <w:b w:val="1"/>
                <w:bCs w:val="1"/>
                <w:color w:val="auto"/>
              </w:rPr>
              <w:t>For the three months ended</w:t>
            </w:r>
          </w:p>
        </w:tc>
        <w:tc>
          <w:tcPr>
            <w:tcW w:w="2880" w:type="dxa"/>
            <w:vAlign w:val="bottom"/>
            <w:gridSpan w:val="3"/>
          </w:tcPr>
          <w:p>
            <w:pPr>
              <w:jc w:val="right"/>
              <w:ind w:right="479"/>
              <w:spacing w:after="0"/>
              <w:rPr>
                <w:sz w:val="20"/>
                <w:szCs w:val="20"/>
                <w:color w:val="auto"/>
              </w:rPr>
            </w:pPr>
            <w:r>
              <w:rPr>
                <w:rFonts w:ascii="Arial" w:cs="Arial" w:eastAsia="Arial" w:hAnsi="Arial"/>
                <w:sz w:val="16"/>
                <w:szCs w:val="16"/>
                <w:b w:val="1"/>
                <w:bCs w:val="1"/>
                <w:color w:val="auto"/>
              </w:rPr>
              <w:t>For the nine months ended</w:t>
            </w:r>
          </w:p>
        </w:tc>
        <w:tc>
          <w:tcPr>
            <w:tcW w:w="40" w:type="dxa"/>
            <w:vAlign w:val="bottom"/>
          </w:tcPr>
          <w:p>
            <w:pPr>
              <w:spacing w:after="0"/>
              <w:rPr>
                <w:sz w:val="17"/>
                <w:szCs w:val="17"/>
                <w:color w:val="auto"/>
              </w:rPr>
            </w:pPr>
          </w:p>
        </w:tc>
      </w:tr>
      <w:tr>
        <w:trPr>
          <w:trHeight w:val="203"/>
        </w:trPr>
        <w:tc>
          <w:tcPr>
            <w:tcW w:w="5460" w:type="dxa"/>
            <w:vAlign w:val="bottom"/>
          </w:tcPr>
          <w:p>
            <w:pPr>
              <w:spacing w:after="0"/>
              <w:rPr>
                <w:sz w:val="17"/>
                <w:szCs w:val="17"/>
                <w:color w:val="auto"/>
              </w:rPr>
            </w:pPr>
          </w:p>
        </w:tc>
        <w:tc>
          <w:tcPr>
            <w:tcW w:w="154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September 30,</w:t>
            </w:r>
          </w:p>
        </w:tc>
        <w:tc>
          <w:tcPr>
            <w:tcW w:w="154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September 30,</w:t>
            </w:r>
          </w:p>
        </w:tc>
        <w:tc>
          <w:tcPr>
            <w:tcW w:w="152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September 30,</w:t>
            </w:r>
          </w:p>
        </w:tc>
        <w:tc>
          <w:tcPr>
            <w:tcW w:w="1360" w:type="dxa"/>
            <w:vAlign w:val="bottom"/>
          </w:tcPr>
          <w:p>
            <w:pPr>
              <w:jc w:val="right"/>
              <w:ind w:right="159"/>
              <w:spacing w:after="0"/>
              <w:rPr>
                <w:sz w:val="20"/>
                <w:szCs w:val="20"/>
                <w:color w:val="auto"/>
              </w:rPr>
            </w:pPr>
            <w:r>
              <w:rPr>
                <w:rFonts w:ascii="Arial" w:cs="Arial" w:eastAsia="Arial" w:hAnsi="Arial"/>
                <w:sz w:val="16"/>
                <w:szCs w:val="16"/>
                <w:b w:val="1"/>
                <w:bCs w:val="1"/>
                <w:color w:val="auto"/>
              </w:rPr>
              <w:t>September 30,</w:t>
            </w:r>
          </w:p>
        </w:tc>
        <w:tc>
          <w:tcPr>
            <w:tcW w:w="40" w:type="dxa"/>
            <w:vAlign w:val="bottom"/>
          </w:tcPr>
          <w:p>
            <w:pPr>
              <w:spacing w:after="0"/>
              <w:rPr>
                <w:sz w:val="17"/>
                <w:szCs w:val="17"/>
                <w:color w:val="auto"/>
              </w:rPr>
            </w:pPr>
          </w:p>
        </w:tc>
      </w:tr>
      <w:tr>
        <w:trPr>
          <w:trHeight w:val="210"/>
        </w:trPr>
        <w:tc>
          <w:tcPr>
            <w:tcW w:w="546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2018</w:t>
            </w:r>
          </w:p>
        </w:tc>
        <w:tc>
          <w:tcPr>
            <w:tcW w:w="300" w:type="dxa"/>
            <w:vAlign w:val="bottom"/>
            <w:tcBorders>
              <w:bottom w:val="single" w:sz="8" w:color="E5FFFF"/>
            </w:tcBorders>
          </w:tcPr>
          <w:p>
            <w:pPr>
              <w:spacing w:after="0"/>
              <w:rPr>
                <w:sz w:val="18"/>
                <w:szCs w:val="18"/>
                <w:color w:val="auto"/>
              </w:rPr>
            </w:pPr>
          </w:p>
        </w:tc>
        <w:tc>
          <w:tcPr>
            <w:tcW w:w="12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28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28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40" w:type="dxa"/>
            <w:vAlign w:val="bottom"/>
          </w:tcPr>
          <w:p>
            <w:pPr>
              <w:spacing w:after="0"/>
              <w:rPr>
                <w:sz w:val="18"/>
                <w:szCs w:val="18"/>
                <w:color w:val="auto"/>
              </w:rPr>
            </w:pPr>
          </w:p>
        </w:tc>
      </w:tr>
      <w:tr>
        <w:trPr>
          <w:trHeight w:val="202"/>
        </w:trPr>
        <w:tc>
          <w:tcPr>
            <w:tcW w:w="5460" w:type="dxa"/>
            <w:vAlign w:val="bottom"/>
            <w:shd w:val="clear" w:color="auto" w:fill="E5FFFF"/>
          </w:tcPr>
          <w:p>
            <w:pPr>
              <w:spacing w:after="0"/>
              <w:rPr>
                <w:sz w:val="20"/>
                <w:szCs w:val="20"/>
                <w:color w:val="auto"/>
              </w:rPr>
            </w:pPr>
            <w:r>
              <w:rPr>
                <w:rFonts w:ascii="Arial" w:cs="Arial" w:eastAsia="Arial" w:hAnsi="Arial"/>
                <w:sz w:val="16"/>
                <w:szCs w:val="16"/>
                <w:color w:val="auto"/>
              </w:rPr>
              <w:t>Profit/(loss) for the period attributable to owners of the Group</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18,214</w:t>
            </w:r>
          </w:p>
        </w:tc>
        <w:tc>
          <w:tcPr>
            <w:tcW w:w="300" w:type="dxa"/>
            <w:vAlign w:val="bottom"/>
            <w:shd w:val="clear" w:color="auto" w:fill="E5FFFF"/>
          </w:tcPr>
          <w:p>
            <w:pPr>
              <w:spacing w:after="0"/>
              <w:rPr>
                <w:sz w:val="17"/>
                <w:szCs w:val="17"/>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(13,545)</w:t>
            </w:r>
          </w:p>
        </w:tc>
        <w:tc>
          <w:tcPr>
            <w:tcW w:w="280" w:type="dxa"/>
            <w:vAlign w:val="bottom"/>
            <w:shd w:val="clear" w:color="auto" w:fill="E5FFFF"/>
          </w:tcPr>
          <w:p>
            <w:pPr>
              <w:spacing w:after="0"/>
              <w:rPr>
                <w:sz w:val="17"/>
                <w:szCs w:val="17"/>
                <w:color w:val="auto"/>
              </w:rPr>
            </w:pP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33,898</w:t>
            </w:r>
          </w:p>
        </w:tc>
        <w:tc>
          <w:tcPr>
            <w:tcW w:w="28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(50,490)</w:t>
            </w:r>
          </w:p>
        </w:tc>
        <w:tc>
          <w:tcPr>
            <w:tcW w:w="40" w:type="dxa"/>
            <w:vAlign w:val="bottom"/>
          </w:tcPr>
          <w:p>
            <w:pPr>
              <w:spacing w:after="0"/>
              <w:rPr>
                <w:sz w:val="17"/>
                <w:szCs w:val="17"/>
                <w:color w:val="auto"/>
              </w:rPr>
            </w:pPr>
          </w:p>
        </w:tc>
      </w:tr>
      <w:tr>
        <w:trPr>
          <w:trHeight w:val="203"/>
        </w:trPr>
        <w:tc>
          <w:tcPr>
            <w:tcW w:w="5460" w:type="dxa"/>
            <w:vAlign w:val="bottom"/>
          </w:tcPr>
          <w:p>
            <w:pPr>
              <w:spacing w:after="0"/>
              <w:rPr>
                <w:sz w:val="20"/>
                <w:szCs w:val="20"/>
                <w:color w:val="auto"/>
              </w:rPr>
            </w:pPr>
            <w:r>
              <w:rPr>
                <w:rFonts w:ascii="Arial" w:cs="Arial" w:eastAsia="Arial" w:hAnsi="Arial"/>
                <w:sz w:val="16"/>
                <w:szCs w:val="16"/>
                <w:color w:val="auto"/>
              </w:rPr>
              <w:t>Plus:</w:t>
            </w: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460" w:type="dxa"/>
            <w:vAlign w:val="bottom"/>
            <w:shd w:val="clear" w:color="auto" w:fill="E5FFFF"/>
          </w:tcPr>
          <w:p>
            <w:pPr>
              <w:spacing w:after="0"/>
              <w:rPr>
                <w:sz w:val="20"/>
                <w:szCs w:val="20"/>
                <w:color w:val="auto"/>
              </w:rPr>
            </w:pPr>
            <w:r>
              <w:rPr>
                <w:rFonts w:ascii="Arial" w:cs="Arial" w:eastAsia="Arial" w:hAnsi="Arial"/>
                <w:sz w:val="16"/>
                <w:szCs w:val="16"/>
                <w:color w:val="auto"/>
              </w:rPr>
              <w:t>Dividend on preference shares</w:t>
            </w:r>
          </w:p>
        </w:tc>
        <w:tc>
          <w:tcPr>
            <w:tcW w:w="154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(2,516)</w:t>
            </w:r>
          </w:p>
        </w:tc>
        <w:tc>
          <w:tcPr>
            <w:tcW w:w="15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(2,516)</w:t>
            </w:r>
          </w:p>
        </w:tc>
        <w:tc>
          <w:tcPr>
            <w:tcW w:w="15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(7,548)</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(7,547)</w:t>
            </w:r>
          </w:p>
        </w:tc>
        <w:tc>
          <w:tcPr>
            <w:tcW w:w="40" w:type="dxa"/>
            <w:vAlign w:val="bottom"/>
          </w:tcPr>
          <w:p>
            <w:pPr>
              <w:spacing w:after="0"/>
              <w:rPr>
                <w:sz w:val="17"/>
                <w:szCs w:val="17"/>
                <w:color w:val="auto"/>
              </w:rPr>
            </w:pPr>
          </w:p>
        </w:tc>
      </w:tr>
      <w:tr>
        <w:trPr>
          <w:trHeight w:val="173"/>
        </w:trPr>
        <w:tc>
          <w:tcPr>
            <w:tcW w:w="5460" w:type="dxa"/>
            <w:vAlign w:val="bottom"/>
          </w:tcPr>
          <w:p>
            <w:pPr>
              <w:spacing w:after="0" w:line="173" w:lineRule="exact"/>
              <w:rPr>
                <w:sz w:val="20"/>
                <w:szCs w:val="20"/>
                <w:color w:val="auto"/>
              </w:rPr>
            </w:pPr>
            <w:r>
              <w:rPr>
                <w:rFonts w:ascii="Arial" w:cs="Arial" w:eastAsia="Arial" w:hAnsi="Arial"/>
                <w:sz w:val="16"/>
                <w:szCs w:val="16"/>
                <w:color w:val="auto"/>
              </w:rPr>
              <w:t>Profit/(loss) for the period available to owners of the Group used in EPS</w:t>
            </w:r>
          </w:p>
        </w:tc>
        <w:tc>
          <w:tcPr>
            <w:tcW w:w="124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06"/>
        </w:trPr>
        <w:tc>
          <w:tcPr>
            <w:tcW w:w="5460" w:type="dxa"/>
            <w:vAlign w:val="bottom"/>
          </w:tcPr>
          <w:p>
            <w:pPr>
              <w:ind w:left="180"/>
              <w:spacing w:after="0"/>
              <w:rPr>
                <w:sz w:val="20"/>
                <w:szCs w:val="20"/>
                <w:color w:val="auto"/>
              </w:rPr>
            </w:pPr>
            <w:r>
              <w:rPr>
                <w:rFonts w:ascii="Arial" w:cs="Arial" w:eastAsia="Arial" w:hAnsi="Arial"/>
                <w:sz w:val="16"/>
                <w:szCs w:val="16"/>
                <w:color w:val="auto"/>
              </w:rPr>
              <w:t>calculation</w:t>
            </w:r>
          </w:p>
        </w:tc>
        <w:tc>
          <w:tcPr>
            <w:tcW w:w="1240" w:type="dxa"/>
            <w:vAlign w:val="bottom"/>
          </w:tcPr>
          <w:p>
            <w:pPr>
              <w:jc w:val="right"/>
              <w:spacing w:after="0"/>
              <w:rPr>
                <w:sz w:val="20"/>
                <w:szCs w:val="20"/>
                <w:color w:val="auto"/>
              </w:rPr>
            </w:pPr>
            <w:r>
              <w:rPr>
                <w:rFonts w:ascii="Arial" w:cs="Arial" w:eastAsia="Arial" w:hAnsi="Arial"/>
                <w:sz w:val="16"/>
                <w:szCs w:val="16"/>
                <w:color w:val="auto"/>
              </w:rPr>
              <w:t>15,698</w:t>
            </w:r>
          </w:p>
        </w:tc>
        <w:tc>
          <w:tcPr>
            <w:tcW w:w="300" w:type="dxa"/>
            <w:vAlign w:val="bottom"/>
          </w:tcPr>
          <w:p>
            <w:pPr>
              <w:spacing w:after="0"/>
              <w:rPr>
                <w:sz w:val="17"/>
                <w:szCs w:val="17"/>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(16,061)</w:t>
            </w:r>
          </w:p>
        </w:tc>
        <w:tc>
          <w:tcPr>
            <w:tcW w:w="1240" w:type="dxa"/>
            <w:vAlign w:val="bottom"/>
          </w:tcPr>
          <w:p>
            <w:pPr>
              <w:jc w:val="right"/>
              <w:spacing w:after="0"/>
              <w:rPr>
                <w:sz w:val="20"/>
                <w:szCs w:val="20"/>
                <w:color w:val="auto"/>
              </w:rPr>
            </w:pPr>
            <w:r>
              <w:rPr>
                <w:rFonts w:ascii="Arial" w:cs="Arial" w:eastAsia="Arial" w:hAnsi="Arial"/>
                <w:sz w:val="16"/>
                <w:szCs w:val="16"/>
                <w:color w:val="auto"/>
              </w:rPr>
              <w:t>26,350</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(58,037)</w:t>
            </w:r>
          </w:p>
        </w:tc>
        <w:tc>
          <w:tcPr>
            <w:tcW w:w="40" w:type="dxa"/>
            <w:vAlign w:val="bottom"/>
          </w:tcPr>
          <w:p>
            <w:pPr>
              <w:spacing w:after="0"/>
              <w:rPr>
                <w:sz w:val="17"/>
                <w:szCs w:val="17"/>
                <w:color w:val="auto"/>
              </w:rPr>
            </w:pPr>
          </w:p>
        </w:tc>
      </w:tr>
      <w:tr>
        <w:trPr>
          <w:trHeight w:val="202"/>
        </w:trPr>
        <w:tc>
          <w:tcPr>
            <w:tcW w:w="54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Weighted average number of shares outstanding, basic</w:t>
            </w: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80,814,285</w:t>
            </w:r>
          </w:p>
        </w:tc>
        <w:tc>
          <w:tcPr>
            <w:tcW w:w="300" w:type="dxa"/>
            <w:vAlign w:val="bottom"/>
            <w:tcBorders>
              <w:top w:val="single" w:sz="8" w:color="E5FFFF"/>
            </w:tcBorders>
            <w:shd w:val="clear" w:color="auto" w:fill="E5FFFF"/>
          </w:tcPr>
          <w:p>
            <w:pPr>
              <w:spacing w:after="0"/>
              <w:rPr>
                <w:sz w:val="17"/>
                <w:szCs w:val="17"/>
                <w:color w:val="auto"/>
              </w:rPr>
            </w:pP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80,861,350</w:t>
            </w:r>
          </w:p>
        </w:tc>
        <w:tc>
          <w:tcPr>
            <w:tcW w:w="28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80,777,386</w:t>
            </w:r>
          </w:p>
        </w:tc>
        <w:tc>
          <w:tcPr>
            <w:tcW w:w="28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ind w:right="19"/>
              <w:spacing w:after="0"/>
              <w:rPr>
                <w:sz w:val="20"/>
                <w:szCs w:val="20"/>
                <w:color w:val="auto"/>
              </w:rPr>
            </w:pPr>
            <w:r>
              <w:rPr>
                <w:rFonts w:ascii="Arial" w:cs="Arial" w:eastAsia="Arial" w:hAnsi="Arial"/>
                <w:sz w:val="16"/>
                <w:szCs w:val="16"/>
                <w:color w:val="auto"/>
              </w:rPr>
              <w:t>80,844,836</w:t>
            </w:r>
          </w:p>
        </w:tc>
        <w:tc>
          <w:tcPr>
            <w:tcW w:w="40" w:type="dxa"/>
            <w:vAlign w:val="bottom"/>
          </w:tcPr>
          <w:p>
            <w:pPr>
              <w:spacing w:after="0"/>
              <w:rPr>
                <w:sz w:val="17"/>
                <w:szCs w:val="17"/>
                <w:color w:val="auto"/>
              </w:rPr>
            </w:pPr>
          </w:p>
        </w:tc>
      </w:tr>
      <w:tr>
        <w:trPr>
          <w:trHeight w:val="236"/>
        </w:trPr>
        <w:tc>
          <w:tcPr>
            <w:tcW w:w="54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Earnings/(loss) per share</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0.19</w:t>
            </w:r>
          </w:p>
        </w:tc>
        <w:tc>
          <w:tcPr>
            <w:tcW w:w="300" w:type="dxa"/>
            <w:vAlign w:val="bottom"/>
            <w:tcBorders>
              <w:bottom w:val="single" w:sz="8" w:color="E5FFFF"/>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(0.20)</w:t>
            </w:r>
          </w:p>
        </w:tc>
        <w:tc>
          <w:tcPr>
            <w:tcW w:w="280" w:type="dxa"/>
            <w:vAlign w:val="bottom"/>
            <w:tcBorders>
              <w:bottom w:val="single" w:sz="8" w:color="E5FFFF"/>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0.33</w:t>
            </w:r>
          </w:p>
        </w:tc>
        <w:tc>
          <w:tcPr>
            <w:tcW w:w="280" w:type="dxa"/>
            <w:vAlign w:val="bottom"/>
            <w:tcBorders>
              <w:bottom w:val="single" w:sz="8" w:color="E5FFFF"/>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(0.72)</w:t>
            </w:r>
          </w:p>
        </w:tc>
        <w:tc>
          <w:tcPr>
            <w:tcW w:w="40" w:type="dxa"/>
            <w:vAlign w:val="bottom"/>
          </w:tcPr>
          <w:p>
            <w:pPr>
              <w:spacing w:after="0"/>
              <w:rPr>
                <w:sz w:val="20"/>
                <w:szCs w:val="20"/>
                <w:color w:val="auto"/>
              </w:rPr>
            </w:pPr>
          </w:p>
        </w:tc>
      </w:tr>
      <w:tr>
        <w:trPr>
          <w:trHeight w:val="146"/>
        </w:trPr>
        <w:tc>
          <w:tcPr>
            <w:tcW w:w="5460" w:type="dxa"/>
            <w:vAlign w:val="bottom"/>
            <w:shd w:val="clear" w:color="auto" w:fill="E5FFFF"/>
          </w:tcPr>
          <w:p>
            <w:pPr>
              <w:spacing w:after="0" w:line="146" w:lineRule="exact"/>
              <w:rPr>
                <w:sz w:val="20"/>
                <w:szCs w:val="20"/>
                <w:color w:val="auto"/>
              </w:rPr>
            </w:pPr>
            <w:r>
              <w:rPr>
                <w:rFonts w:ascii="Arial" w:cs="Arial" w:eastAsia="Arial" w:hAnsi="Arial"/>
                <w:sz w:val="16"/>
                <w:szCs w:val="16"/>
                <w:color w:val="auto"/>
              </w:rPr>
              <w:t>Profit/(loss) for the period available to owners of the Group used in EPS</w:t>
            </w:r>
          </w:p>
        </w:tc>
        <w:tc>
          <w:tcPr>
            <w:tcW w:w="1240" w:type="dxa"/>
            <w:vAlign w:val="bottom"/>
            <w:shd w:val="clear" w:color="auto" w:fill="E5FFFF"/>
          </w:tcPr>
          <w:p>
            <w:pPr>
              <w:spacing w:after="0"/>
              <w:rPr>
                <w:sz w:val="12"/>
                <w:szCs w:val="12"/>
                <w:color w:val="auto"/>
              </w:rPr>
            </w:pPr>
          </w:p>
        </w:tc>
        <w:tc>
          <w:tcPr>
            <w:tcW w:w="300" w:type="dxa"/>
            <w:vAlign w:val="bottom"/>
            <w:shd w:val="clear" w:color="auto" w:fill="E5FFFF"/>
          </w:tcPr>
          <w:p>
            <w:pPr>
              <w:spacing w:after="0"/>
              <w:rPr>
                <w:sz w:val="12"/>
                <w:szCs w:val="12"/>
                <w:color w:val="auto"/>
              </w:rPr>
            </w:pPr>
          </w:p>
        </w:tc>
        <w:tc>
          <w:tcPr>
            <w:tcW w:w="1260" w:type="dxa"/>
            <w:vAlign w:val="bottom"/>
            <w:shd w:val="clear" w:color="auto" w:fill="E5FFFF"/>
          </w:tcPr>
          <w:p>
            <w:pPr>
              <w:spacing w:after="0"/>
              <w:rPr>
                <w:sz w:val="12"/>
                <w:szCs w:val="12"/>
                <w:color w:val="auto"/>
              </w:rPr>
            </w:pPr>
          </w:p>
        </w:tc>
        <w:tc>
          <w:tcPr>
            <w:tcW w:w="280" w:type="dxa"/>
            <w:vAlign w:val="bottom"/>
            <w:shd w:val="clear" w:color="auto" w:fill="E5FFFF"/>
          </w:tcPr>
          <w:p>
            <w:pPr>
              <w:spacing w:after="0"/>
              <w:rPr>
                <w:sz w:val="12"/>
                <w:szCs w:val="12"/>
                <w:color w:val="auto"/>
              </w:rPr>
            </w:pPr>
          </w:p>
        </w:tc>
        <w:tc>
          <w:tcPr>
            <w:tcW w:w="1240" w:type="dxa"/>
            <w:vAlign w:val="bottom"/>
            <w:shd w:val="clear" w:color="auto" w:fill="E5FFFF"/>
          </w:tcPr>
          <w:p>
            <w:pPr>
              <w:spacing w:after="0"/>
              <w:rPr>
                <w:sz w:val="12"/>
                <w:szCs w:val="12"/>
                <w:color w:val="auto"/>
              </w:rPr>
            </w:pPr>
          </w:p>
        </w:tc>
        <w:tc>
          <w:tcPr>
            <w:tcW w:w="280" w:type="dxa"/>
            <w:vAlign w:val="bottom"/>
            <w:shd w:val="clear" w:color="auto" w:fill="E5FFFF"/>
          </w:tcPr>
          <w:p>
            <w:pPr>
              <w:spacing w:after="0"/>
              <w:rPr>
                <w:sz w:val="12"/>
                <w:szCs w:val="12"/>
                <w:color w:val="auto"/>
              </w:rPr>
            </w:pPr>
          </w:p>
        </w:tc>
        <w:tc>
          <w:tcPr>
            <w:tcW w:w="1360" w:type="dxa"/>
            <w:vAlign w:val="bottom"/>
            <w:shd w:val="clear" w:color="auto" w:fill="E5FFFF"/>
          </w:tcPr>
          <w:p>
            <w:pPr>
              <w:spacing w:after="0"/>
              <w:rPr>
                <w:sz w:val="12"/>
                <w:szCs w:val="12"/>
                <w:color w:val="auto"/>
              </w:rPr>
            </w:pPr>
          </w:p>
        </w:tc>
        <w:tc>
          <w:tcPr>
            <w:tcW w:w="40" w:type="dxa"/>
            <w:vAlign w:val="bottom"/>
          </w:tcPr>
          <w:p>
            <w:pPr>
              <w:spacing w:after="0"/>
              <w:rPr>
                <w:sz w:val="12"/>
                <w:szCs w:val="12"/>
                <w:color w:val="auto"/>
              </w:rPr>
            </w:pPr>
          </w:p>
        </w:tc>
      </w:tr>
      <w:tr>
        <w:trPr>
          <w:trHeight w:val="212"/>
        </w:trPr>
        <w:tc>
          <w:tcPr>
            <w:tcW w:w="5460" w:type="dxa"/>
            <w:vAlign w:val="bottom"/>
            <w:shd w:val="clear" w:color="auto" w:fill="E5FFFF"/>
          </w:tcPr>
          <w:p>
            <w:pPr>
              <w:ind w:left="180"/>
              <w:spacing w:after="0"/>
              <w:rPr>
                <w:sz w:val="20"/>
                <w:szCs w:val="20"/>
                <w:color w:val="auto"/>
              </w:rPr>
            </w:pPr>
            <w:r>
              <w:rPr>
                <w:rFonts w:ascii="Arial" w:cs="Arial" w:eastAsia="Arial" w:hAnsi="Arial"/>
                <w:sz w:val="16"/>
                <w:szCs w:val="16"/>
                <w:color w:val="auto"/>
              </w:rPr>
              <w:t>calculation</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15,698</w:t>
            </w:r>
          </w:p>
        </w:tc>
        <w:tc>
          <w:tcPr>
            <w:tcW w:w="300" w:type="dxa"/>
            <w:vAlign w:val="bottom"/>
            <w:shd w:val="clear" w:color="auto" w:fill="E5FFFF"/>
          </w:tcPr>
          <w:p>
            <w:pPr>
              <w:spacing w:after="0"/>
              <w:rPr>
                <w:sz w:val="18"/>
                <w:szCs w:val="18"/>
                <w:color w:val="auto"/>
              </w:rPr>
            </w:pPr>
          </w:p>
        </w:tc>
        <w:tc>
          <w:tcPr>
            <w:tcW w:w="15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(16,061)</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26,350</w:t>
            </w:r>
          </w:p>
        </w:tc>
        <w:tc>
          <w:tcPr>
            <w:tcW w:w="280" w:type="dxa"/>
            <w:vAlign w:val="bottom"/>
            <w:shd w:val="clear" w:color="auto" w:fill="E5FFFF"/>
          </w:tcPr>
          <w:p>
            <w:pPr>
              <w:spacing w:after="0"/>
              <w:rPr>
                <w:sz w:val="18"/>
                <w:szCs w:val="18"/>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(58,037)</w:t>
            </w:r>
          </w:p>
        </w:tc>
        <w:tc>
          <w:tcPr>
            <w:tcW w:w="40" w:type="dxa"/>
            <w:vAlign w:val="bottom"/>
          </w:tcPr>
          <w:p>
            <w:pPr>
              <w:spacing w:after="0"/>
              <w:rPr>
                <w:sz w:val="18"/>
                <w:szCs w:val="18"/>
                <w:color w:val="auto"/>
              </w:rPr>
            </w:pPr>
          </w:p>
        </w:tc>
      </w:tr>
      <w:tr>
        <w:trPr>
          <w:trHeight w:val="203"/>
        </w:trPr>
        <w:tc>
          <w:tcPr>
            <w:tcW w:w="5460" w:type="dxa"/>
            <w:vAlign w:val="bottom"/>
          </w:tcPr>
          <w:p>
            <w:pPr>
              <w:spacing w:after="0"/>
              <w:rPr>
                <w:sz w:val="20"/>
                <w:szCs w:val="20"/>
                <w:color w:val="auto"/>
              </w:rPr>
            </w:pPr>
            <w:r>
              <w:rPr>
                <w:rFonts w:ascii="Arial" w:cs="Arial" w:eastAsia="Arial" w:hAnsi="Arial"/>
                <w:sz w:val="16"/>
                <w:szCs w:val="16"/>
                <w:color w:val="auto"/>
              </w:rPr>
              <w:t>Plus:</w:t>
            </w: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460" w:type="dxa"/>
            <w:vAlign w:val="bottom"/>
            <w:shd w:val="clear" w:color="auto" w:fill="E5FFFF"/>
          </w:tcPr>
          <w:p>
            <w:pPr>
              <w:spacing w:after="0"/>
              <w:rPr>
                <w:sz w:val="20"/>
                <w:szCs w:val="20"/>
                <w:color w:val="auto"/>
              </w:rPr>
            </w:pPr>
            <w:r>
              <w:rPr>
                <w:rFonts w:ascii="Arial" w:cs="Arial" w:eastAsia="Arial" w:hAnsi="Arial"/>
                <w:sz w:val="16"/>
                <w:szCs w:val="16"/>
                <w:color w:val="auto"/>
              </w:rPr>
              <w:t>Non-cash (gain)/loss on derivatives</w:t>
            </w:r>
          </w:p>
        </w:tc>
        <w:tc>
          <w:tcPr>
            <w:tcW w:w="154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(7,173</w:t>
            </w:r>
            <w:r>
              <w:rPr>
                <w:rFonts w:ascii="Arial" w:cs="Arial" w:eastAsia="Arial" w:hAnsi="Arial"/>
                <w:sz w:val="16"/>
                <w:szCs w:val="16"/>
                <w:b w:val="1"/>
                <w:bCs w:val="1"/>
                <w:color w:val="auto"/>
              </w:rPr>
              <w:t>)</w:t>
            </w:r>
          </w:p>
        </w:tc>
        <w:tc>
          <w:tcPr>
            <w:tcW w:w="15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15,761</w:t>
            </w:r>
          </w:p>
        </w:tc>
        <w:tc>
          <w:tcPr>
            <w:tcW w:w="15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(23,878)</w:t>
            </w:r>
          </w:p>
        </w:tc>
        <w:tc>
          <w:tcPr>
            <w:tcW w:w="1360" w:type="dxa"/>
            <w:vAlign w:val="bottom"/>
            <w:shd w:val="clear" w:color="auto" w:fill="E5FFFF"/>
          </w:tcPr>
          <w:p>
            <w:pPr>
              <w:jc w:val="right"/>
              <w:ind w:right="19"/>
              <w:spacing w:after="0"/>
              <w:rPr>
                <w:sz w:val="20"/>
                <w:szCs w:val="20"/>
                <w:color w:val="auto"/>
              </w:rPr>
            </w:pPr>
            <w:r>
              <w:rPr>
                <w:rFonts w:ascii="Arial" w:cs="Arial" w:eastAsia="Arial" w:hAnsi="Arial"/>
                <w:sz w:val="16"/>
                <w:szCs w:val="16"/>
                <w:color w:val="auto"/>
              </w:rPr>
              <w:t>67,643</w:t>
            </w:r>
          </w:p>
        </w:tc>
        <w:tc>
          <w:tcPr>
            <w:tcW w:w="40" w:type="dxa"/>
            <w:vAlign w:val="bottom"/>
          </w:tcPr>
          <w:p>
            <w:pPr>
              <w:spacing w:after="0"/>
              <w:rPr>
                <w:sz w:val="17"/>
                <w:szCs w:val="17"/>
                <w:color w:val="auto"/>
              </w:rPr>
            </w:pPr>
          </w:p>
        </w:tc>
      </w:tr>
      <w:tr>
        <w:trPr>
          <w:trHeight w:val="203"/>
        </w:trPr>
        <w:tc>
          <w:tcPr>
            <w:tcW w:w="5460" w:type="dxa"/>
            <w:vAlign w:val="bottom"/>
          </w:tcPr>
          <w:p>
            <w:pPr>
              <w:spacing w:after="0"/>
              <w:rPr>
                <w:sz w:val="20"/>
                <w:szCs w:val="20"/>
                <w:color w:val="auto"/>
              </w:rPr>
            </w:pPr>
            <w:r>
              <w:rPr>
                <w:rFonts w:ascii="Arial" w:cs="Arial" w:eastAsia="Arial" w:hAnsi="Arial"/>
                <w:sz w:val="16"/>
                <w:szCs w:val="16"/>
                <w:color w:val="auto"/>
              </w:rPr>
              <w:t>Write-off and accelerated amortization of unamortized loan fees</w:t>
            </w:r>
          </w:p>
        </w:tc>
        <w:tc>
          <w:tcPr>
            <w:tcW w:w="15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988</w:t>
            </w:r>
          </w:p>
        </w:tc>
        <w:tc>
          <w:tcPr>
            <w:tcW w:w="40" w:type="dxa"/>
            <w:vAlign w:val="bottom"/>
          </w:tcPr>
          <w:p>
            <w:pPr>
              <w:spacing w:after="0"/>
              <w:rPr>
                <w:sz w:val="17"/>
                <w:szCs w:val="17"/>
                <w:color w:val="auto"/>
              </w:rPr>
            </w:pPr>
          </w:p>
        </w:tc>
      </w:tr>
      <w:tr>
        <w:trPr>
          <w:trHeight w:val="203"/>
        </w:trPr>
        <w:tc>
          <w:tcPr>
            <w:tcW w:w="5460" w:type="dxa"/>
            <w:vAlign w:val="bottom"/>
            <w:shd w:val="clear" w:color="auto" w:fill="E5FFFF"/>
          </w:tcPr>
          <w:p>
            <w:pPr>
              <w:spacing w:after="0"/>
              <w:rPr>
                <w:sz w:val="20"/>
                <w:szCs w:val="20"/>
                <w:color w:val="auto"/>
              </w:rPr>
            </w:pPr>
            <w:r>
              <w:rPr>
                <w:rFonts w:ascii="Arial" w:cs="Arial" w:eastAsia="Arial" w:hAnsi="Arial"/>
                <w:sz w:val="16"/>
                <w:szCs w:val="16"/>
                <w:color w:val="auto"/>
              </w:rPr>
              <w:t>Foreign exchange losses, net</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163</w:t>
            </w:r>
          </w:p>
        </w:tc>
        <w:tc>
          <w:tcPr>
            <w:tcW w:w="300" w:type="dxa"/>
            <w:vAlign w:val="bottom"/>
            <w:shd w:val="clear" w:color="auto" w:fill="E5FFFF"/>
          </w:tcPr>
          <w:p>
            <w:pPr>
              <w:spacing w:after="0"/>
              <w:rPr>
                <w:sz w:val="17"/>
                <w:szCs w:val="17"/>
                <w:color w:val="auto"/>
              </w:rPr>
            </w:pPr>
          </w:p>
        </w:tc>
        <w:tc>
          <w:tcPr>
            <w:tcW w:w="15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878</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192</w:t>
            </w:r>
          </w:p>
        </w:tc>
        <w:tc>
          <w:tcPr>
            <w:tcW w:w="280" w:type="dxa"/>
            <w:vAlign w:val="bottom"/>
            <w:shd w:val="clear" w:color="auto" w:fill="E5FFFF"/>
          </w:tcPr>
          <w:p>
            <w:pPr>
              <w:spacing w:after="0"/>
              <w:rPr>
                <w:sz w:val="17"/>
                <w:szCs w:val="17"/>
                <w:color w:val="auto"/>
              </w:rPr>
            </w:pPr>
          </w:p>
        </w:tc>
        <w:tc>
          <w:tcPr>
            <w:tcW w:w="1360" w:type="dxa"/>
            <w:vAlign w:val="bottom"/>
            <w:shd w:val="clear" w:color="auto" w:fill="E5FFFF"/>
          </w:tcPr>
          <w:p>
            <w:pPr>
              <w:jc w:val="right"/>
              <w:ind w:right="19"/>
              <w:spacing w:after="0"/>
              <w:rPr>
                <w:sz w:val="20"/>
                <w:szCs w:val="20"/>
                <w:color w:val="auto"/>
              </w:rPr>
            </w:pPr>
            <w:r>
              <w:rPr>
                <w:rFonts w:ascii="Arial" w:cs="Arial" w:eastAsia="Arial" w:hAnsi="Arial"/>
                <w:sz w:val="16"/>
                <w:szCs w:val="16"/>
                <w:color w:val="auto"/>
              </w:rPr>
              <w:t>1,246</w:t>
            </w:r>
          </w:p>
        </w:tc>
        <w:tc>
          <w:tcPr>
            <w:tcW w:w="40" w:type="dxa"/>
            <w:vAlign w:val="bottom"/>
          </w:tcPr>
          <w:p>
            <w:pPr>
              <w:spacing w:after="0"/>
              <w:rPr>
                <w:sz w:val="17"/>
                <w:szCs w:val="17"/>
                <w:color w:val="auto"/>
              </w:rPr>
            </w:pPr>
          </w:p>
        </w:tc>
      </w:tr>
      <w:tr>
        <w:trPr>
          <w:trHeight w:val="196"/>
        </w:trPr>
        <w:tc>
          <w:tcPr>
            <w:tcW w:w="546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Adjusted profit attributable to owners of the Group</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8,688</w:t>
            </w:r>
          </w:p>
        </w:tc>
        <w:tc>
          <w:tcPr>
            <w:tcW w:w="300" w:type="dxa"/>
            <w:vAlign w:val="bottom"/>
            <w:tcBorders>
              <w:bottom w:val="single" w:sz="8" w:color="E5FFFF"/>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578</w:t>
            </w:r>
          </w:p>
        </w:tc>
        <w:tc>
          <w:tcPr>
            <w:tcW w:w="280" w:type="dxa"/>
            <w:vAlign w:val="bottom"/>
            <w:tcBorders>
              <w:bottom w:val="single" w:sz="8" w:color="E5FF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2,664</w:t>
            </w:r>
          </w:p>
        </w:tc>
        <w:tc>
          <w:tcPr>
            <w:tcW w:w="280" w:type="dxa"/>
            <w:vAlign w:val="bottom"/>
            <w:tcBorders>
              <w:bottom w:val="single" w:sz="8" w:color="E5FFFF"/>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11,840</w:t>
            </w:r>
          </w:p>
        </w:tc>
        <w:tc>
          <w:tcPr>
            <w:tcW w:w="40" w:type="dxa"/>
            <w:vAlign w:val="bottom"/>
          </w:tcPr>
          <w:p>
            <w:pPr>
              <w:spacing w:after="0"/>
              <w:rPr>
                <w:sz w:val="17"/>
                <w:szCs w:val="17"/>
                <w:color w:val="auto"/>
              </w:rPr>
            </w:pPr>
          </w:p>
        </w:tc>
      </w:tr>
      <w:tr>
        <w:trPr>
          <w:trHeight w:val="196"/>
        </w:trPr>
        <w:tc>
          <w:tcPr>
            <w:tcW w:w="5460" w:type="dxa"/>
            <w:vAlign w:val="bottom"/>
            <w:shd w:val="clear" w:color="auto" w:fill="E5FFFF"/>
          </w:tcPr>
          <w:p>
            <w:pPr>
              <w:spacing w:after="0"/>
              <w:rPr>
                <w:sz w:val="20"/>
                <w:szCs w:val="20"/>
                <w:color w:val="auto"/>
              </w:rPr>
            </w:pPr>
            <w:r>
              <w:rPr>
                <w:rFonts w:ascii="Arial" w:cs="Arial" w:eastAsia="Arial" w:hAnsi="Arial"/>
                <w:sz w:val="16"/>
                <w:szCs w:val="16"/>
                <w:color w:val="auto"/>
              </w:rPr>
              <w:t>Weighted average number of shares outstanding, basic</w:t>
            </w:r>
          </w:p>
        </w:tc>
        <w:tc>
          <w:tcPr>
            <w:tcW w:w="1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80,814,285</w:t>
            </w:r>
          </w:p>
        </w:tc>
        <w:tc>
          <w:tcPr>
            <w:tcW w:w="300" w:type="dxa"/>
            <w:vAlign w:val="bottom"/>
            <w:shd w:val="clear" w:color="auto" w:fill="E5FFFF"/>
          </w:tcPr>
          <w:p>
            <w:pPr>
              <w:spacing w:after="0"/>
              <w:rPr>
                <w:sz w:val="17"/>
                <w:szCs w:val="17"/>
                <w:color w:val="auto"/>
              </w:rPr>
            </w:pP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80,861,350</w:t>
            </w:r>
          </w:p>
        </w:tc>
        <w:tc>
          <w:tcPr>
            <w:tcW w:w="280" w:type="dxa"/>
            <w:vAlign w:val="bottom"/>
            <w:shd w:val="clear" w:color="auto" w:fill="E5FFFF"/>
          </w:tcPr>
          <w:p>
            <w:pPr>
              <w:spacing w:after="0"/>
              <w:rPr>
                <w:sz w:val="17"/>
                <w:szCs w:val="17"/>
                <w:color w:val="auto"/>
              </w:rPr>
            </w:pPr>
          </w:p>
        </w:tc>
        <w:tc>
          <w:tcPr>
            <w:tcW w:w="1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80,777,386</w:t>
            </w:r>
          </w:p>
        </w:tc>
        <w:tc>
          <w:tcPr>
            <w:tcW w:w="280" w:type="dxa"/>
            <w:vAlign w:val="bottom"/>
            <w:shd w:val="clear" w:color="auto" w:fill="E5FFFF"/>
          </w:tcPr>
          <w:p>
            <w:pPr>
              <w:spacing w:after="0"/>
              <w:rPr>
                <w:sz w:val="17"/>
                <w:szCs w:val="17"/>
                <w:color w:val="auto"/>
              </w:rPr>
            </w:pPr>
          </w:p>
        </w:tc>
        <w:tc>
          <w:tcPr>
            <w:tcW w:w="1360" w:type="dxa"/>
            <w:vAlign w:val="bottom"/>
            <w:tcBorders>
              <w:bottom w:val="single" w:sz="8" w:color="auto"/>
            </w:tcBorders>
            <w:shd w:val="clear" w:color="auto" w:fill="E5FFFF"/>
          </w:tcPr>
          <w:p>
            <w:pPr>
              <w:jc w:val="right"/>
              <w:ind w:right="19"/>
              <w:spacing w:after="0"/>
              <w:rPr>
                <w:sz w:val="20"/>
                <w:szCs w:val="20"/>
                <w:color w:val="auto"/>
              </w:rPr>
            </w:pPr>
            <w:r>
              <w:rPr>
                <w:rFonts w:ascii="Arial" w:cs="Arial" w:eastAsia="Arial" w:hAnsi="Arial"/>
                <w:sz w:val="16"/>
                <w:szCs w:val="16"/>
                <w:color w:val="auto"/>
              </w:rPr>
              <w:t>80,844,836</w:t>
            </w:r>
          </w:p>
        </w:tc>
        <w:tc>
          <w:tcPr>
            <w:tcW w:w="40" w:type="dxa"/>
            <w:vAlign w:val="bottom"/>
          </w:tcPr>
          <w:p>
            <w:pPr>
              <w:spacing w:after="0"/>
              <w:rPr>
                <w:sz w:val="17"/>
                <w:szCs w:val="17"/>
                <w:color w:val="auto"/>
              </w:rPr>
            </w:pPr>
          </w:p>
        </w:tc>
      </w:tr>
      <w:tr>
        <w:trPr>
          <w:trHeight w:val="196"/>
        </w:trPr>
        <w:tc>
          <w:tcPr>
            <w:tcW w:w="5460" w:type="dxa"/>
            <w:vAlign w:val="bottom"/>
          </w:tcPr>
          <w:p>
            <w:pPr>
              <w:spacing w:after="0"/>
              <w:rPr>
                <w:sz w:val="20"/>
                <w:szCs w:val="20"/>
                <w:color w:val="auto"/>
              </w:rPr>
            </w:pPr>
            <w:r>
              <w:rPr>
                <w:rFonts w:ascii="Arial" w:cs="Arial" w:eastAsia="Arial" w:hAnsi="Arial"/>
                <w:sz w:val="16"/>
                <w:szCs w:val="16"/>
                <w:b w:val="1"/>
                <w:bCs w:val="1"/>
                <w:color w:val="auto"/>
              </w:rPr>
              <w:t>Adjusted earnings per share</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0.11</w:t>
            </w:r>
          </w:p>
        </w:tc>
        <w:tc>
          <w:tcPr>
            <w:tcW w:w="30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0.01</w:t>
            </w:r>
          </w:p>
        </w:tc>
        <w:tc>
          <w:tcPr>
            <w:tcW w:w="280" w:type="dxa"/>
            <w:vAlign w:val="bottom"/>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0.03</w:t>
            </w:r>
          </w:p>
        </w:tc>
        <w:tc>
          <w:tcPr>
            <w:tcW w:w="280" w:type="dxa"/>
            <w:vAlign w:val="bottom"/>
          </w:tcPr>
          <w:p>
            <w:pPr>
              <w:spacing w:after="0"/>
              <w:rPr>
                <w:sz w:val="17"/>
                <w:szCs w:val="17"/>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0.15</w:t>
            </w:r>
          </w:p>
        </w:tc>
        <w:tc>
          <w:tcPr>
            <w:tcW w:w="40" w:type="dxa"/>
            <w:vAlign w:val="bottom"/>
          </w:tcPr>
          <w:p>
            <w:pPr>
              <w:spacing w:after="0"/>
              <w:rPr>
                <w:sz w:val="17"/>
                <w:szCs w:val="17"/>
                <w:color w:val="auto"/>
              </w:rPr>
            </w:pPr>
          </w:p>
        </w:tc>
      </w:tr>
      <w:tr>
        <w:trPr>
          <w:trHeight w:val="20"/>
        </w:trPr>
        <w:tc>
          <w:tcPr>
            <w:tcW w:w="54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0"/>
        </w:trPr>
        <w:tc>
          <w:tcPr>
            <w:tcW w:w="5460" w:type="dxa"/>
            <w:vAlign w:val="bottom"/>
          </w:tcPr>
          <w:p>
            <w:pPr>
              <w:spacing w:after="0"/>
              <w:rPr>
                <w:sz w:val="24"/>
                <w:szCs w:val="24"/>
                <w:color w:val="auto"/>
              </w:rPr>
            </w:pPr>
          </w:p>
        </w:tc>
        <w:tc>
          <w:tcPr>
            <w:tcW w:w="1240" w:type="dxa"/>
            <w:vAlign w:val="bottom"/>
          </w:tcPr>
          <w:p>
            <w:pPr>
              <w:jc w:val="right"/>
              <w:ind w:right="840"/>
              <w:spacing w:after="0"/>
              <w:rPr>
                <w:sz w:val="20"/>
                <w:szCs w:val="20"/>
                <w:color w:val="auto"/>
              </w:rPr>
            </w:pPr>
            <w:r>
              <w:rPr>
                <w:rFonts w:ascii="Arial" w:cs="Arial" w:eastAsia="Arial" w:hAnsi="Arial"/>
                <w:sz w:val="14"/>
                <w:szCs w:val="14"/>
                <w:color w:val="auto"/>
              </w:rPr>
              <w:t>15</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7"/>
        </w:trPr>
        <w:tc>
          <w:tcPr>
            <w:tcW w:w="54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2" w:right="199" w:bottom="1440" w:gutter="0" w:footer="0" w:header="0"/>
        </w:sectPr>
      </w:pPr>
    </w:p>
    <w:bookmarkStart w:id="15" w:name="page16"/>
    <w:bookmarkEnd w:id="15"/>
    <w:p>
      <w:pPr>
        <w:jc w:val="right"/>
        <w:spacing w:after="0"/>
        <w:rPr>
          <w:sz w:val="20"/>
          <w:szCs w:val="20"/>
          <w:color w:val="auto"/>
        </w:rPr>
      </w:pPr>
      <w:r>
        <w:rPr>
          <w:rFonts w:ascii="Arial" w:cs="Arial" w:eastAsia="Arial" w:hAnsi="Arial"/>
          <w:sz w:val="16"/>
          <w:szCs w:val="16"/>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Financial Report for the Three and Nine Months Ended September 30, 2019</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w:t>
      </w:r>
    </w:p>
    <w:p>
      <w:pPr>
        <w:spacing w:after="0" w:line="225" w:lineRule="exact"/>
        <w:rPr>
          <w:sz w:val="20"/>
          <w:szCs w:val="20"/>
          <w:color w:val="auto"/>
        </w:rPr>
      </w:pPr>
    </w:p>
    <w:p>
      <w:pPr>
        <w:ind w:right="20" w:firstLine="356"/>
        <w:spacing w:after="0" w:line="289" w:lineRule="auto"/>
        <w:rPr>
          <w:sz w:val="20"/>
          <w:szCs w:val="20"/>
          <w:color w:val="auto"/>
        </w:rPr>
      </w:pPr>
      <w:r>
        <w:rPr>
          <w:rFonts w:ascii="Arial" w:cs="Arial" w:eastAsia="Arial" w:hAnsi="Arial"/>
          <w:sz w:val="15"/>
          <w:szCs w:val="15"/>
          <w:color w:val="auto"/>
        </w:rPr>
        <w:t>The following is a discussion of our financial condition and results of operations for the three and nine-month periods ended September 30, 2018 and September 30, 2019. Unless otherwise specified herein, references to “GasLog”, the “Company”, the “Group”, “we”, “our” or “us” shall include GasLog Ltd. and its subsidiaries. You should read this section in conjunction with our unaudited condensed consolidated financial statements and related notes included elsewhere in this report. For additional information relating to management’s discussion and analysis of financial condition and results of operations, please see our Annual Report on Form 20-F filed with the U.S. Securities and Exchange Commission (the “SEC”) on March 5, 2019. This discussion includes forward-looking statements which, although based on assumptions that we consider reasonable, are subject to risks and uncertainties which could cause actual events or conditions to differ materially from those currently anticipated and expressed or implied by such forward-looking statements. See also the discussion in the section entitled “Forward-Looking Statements” below.</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25" w:lineRule="exact"/>
        <w:rPr>
          <w:sz w:val="20"/>
          <w:szCs w:val="20"/>
          <w:color w:val="auto"/>
        </w:rPr>
      </w:pPr>
    </w:p>
    <w:p>
      <w:pPr>
        <w:ind w:right="80" w:firstLine="383"/>
        <w:spacing w:after="0" w:line="289" w:lineRule="auto"/>
        <w:rPr>
          <w:sz w:val="20"/>
          <w:szCs w:val="20"/>
          <w:color w:val="auto"/>
        </w:rPr>
      </w:pPr>
      <w:r>
        <w:rPr>
          <w:rFonts w:ascii="Arial" w:cs="Arial" w:eastAsia="Arial" w:hAnsi="Arial"/>
          <w:sz w:val="15"/>
          <w:szCs w:val="15"/>
          <w:color w:val="auto"/>
        </w:rPr>
        <w:t>All statements in this report that are not statements of historical fact are “forward-looking statements” within the meaning of the U.S.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Factors that might cause future results and outcomes to differ include, but are not limited to, the following:</w:t>
      </w:r>
    </w:p>
    <w:p>
      <w:pPr>
        <w:spacing w:after="0" w:line="221" w:lineRule="exact"/>
        <w:rPr>
          <w:sz w:val="20"/>
          <w:szCs w:val="20"/>
          <w:color w:val="auto"/>
        </w:rPr>
      </w:pPr>
    </w:p>
    <w:p>
      <w:pPr>
        <w:ind w:left="520" w:right="460" w:hanging="188"/>
        <w:spacing w:after="0" w:line="284" w:lineRule="auto"/>
        <w:tabs>
          <w:tab w:leader="none" w:pos="475" w:val="left"/>
        </w:tabs>
        <w:numPr>
          <w:ilvl w:val="0"/>
          <w:numId w:val="11"/>
        </w:numPr>
        <w:rPr>
          <w:rFonts w:ascii="Arial" w:cs="Arial" w:eastAsia="Arial" w:hAnsi="Arial"/>
          <w:sz w:val="15"/>
          <w:szCs w:val="15"/>
          <w:color w:val="auto"/>
        </w:rPr>
      </w:pPr>
      <w:r>
        <w:rPr>
          <w:rFonts w:ascii="Arial" w:cs="Arial" w:eastAsia="Arial" w:hAnsi="Arial"/>
          <w:sz w:val="15"/>
          <w:szCs w:val="15"/>
          <w:color w:val="auto"/>
        </w:rPr>
        <w:t>general liquefied natural gas (“LNG”) shipping market conditions and trends, including spot and multi-year charter rates, ship values, factors affecting supply and demand of LNG and LNG shipping, technological advancements and opportunities for the profitable operations of LNG carriers;</w:t>
      </w:r>
    </w:p>
    <w:p>
      <w:pPr>
        <w:ind w:left="460" w:hanging="128"/>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fluctuations in spot and multi-year charter hire rates and vessel values;</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increased exposure to the spot market and fluctuations in spot charter rates;</w:t>
      </w:r>
    </w:p>
    <w:p>
      <w:pPr>
        <w:spacing w:after="0" w:line="18" w:lineRule="exact"/>
        <w:rPr>
          <w:rFonts w:ascii="Arial" w:cs="Arial" w:eastAsia="Arial" w:hAnsi="Arial"/>
          <w:sz w:val="16"/>
          <w:szCs w:val="16"/>
          <w:color w:val="auto"/>
        </w:rPr>
      </w:pPr>
    </w:p>
    <w:p>
      <w:pPr>
        <w:ind w:left="520" w:right="380" w:hanging="196"/>
        <w:spacing w:after="0" w:line="264" w:lineRule="auto"/>
        <w:tabs>
          <w:tab w:leader="none" w:pos="474"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ability to maximize the use of our vessels, including the re-deployment or disposition of vessels which are not under multi-year charters, including the risk that certain of our vessels may no longer have the latest technology which may impact the rate at which we can charter such vessels;</w:t>
      </w:r>
    </w:p>
    <w:p>
      <w:pPr>
        <w:ind w:left="480" w:hanging="156"/>
        <w:spacing w:after="0"/>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changes in our operating expenses, including crew wages, maintenance, dry-docking and insurance costs and bunker prices;</w:t>
      </w:r>
    </w:p>
    <w:p>
      <w:pPr>
        <w:spacing w:after="0" w:line="18" w:lineRule="exact"/>
        <w:rPr>
          <w:rFonts w:ascii="Arial" w:cs="Arial" w:eastAsia="Arial" w:hAnsi="Arial"/>
          <w:sz w:val="16"/>
          <w:szCs w:val="16"/>
          <w:color w:val="auto"/>
        </w:rPr>
      </w:pPr>
    </w:p>
    <w:p>
      <w:pPr>
        <w:ind w:left="480" w:hanging="156"/>
        <w:spacing w:after="0"/>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number of off-hire days and dry-docking requirements including our ability to complete scheduled dry-dockings on time and within budget;</w:t>
      </w:r>
    </w:p>
    <w:p>
      <w:pPr>
        <w:spacing w:after="0" w:line="18" w:lineRule="exact"/>
        <w:rPr>
          <w:rFonts w:ascii="Arial" w:cs="Arial" w:eastAsia="Arial" w:hAnsi="Arial"/>
          <w:sz w:val="16"/>
          <w:szCs w:val="16"/>
          <w:color w:val="auto"/>
        </w:rPr>
      </w:pPr>
    </w:p>
    <w:p>
      <w:pPr>
        <w:ind w:left="480" w:hanging="156"/>
        <w:spacing w:after="0"/>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planned capital expenditures and availability of capital resources to fund capital expenditures;</w:t>
      </w:r>
    </w:p>
    <w:p>
      <w:pPr>
        <w:spacing w:after="0" w:line="18" w:lineRule="exact"/>
        <w:rPr>
          <w:rFonts w:ascii="Arial" w:cs="Arial" w:eastAsia="Arial" w:hAnsi="Arial"/>
          <w:sz w:val="16"/>
          <w:szCs w:val="16"/>
          <w:color w:val="auto"/>
        </w:rPr>
      </w:pPr>
    </w:p>
    <w:p>
      <w:pPr>
        <w:ind w:left="480" w:hanging="156"/>
        <w:spacing w:after="0"/>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ability to maintain long-term relationships and enter into time charters with new and existing customers;</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fluctuations in prices for crude oil, petroleum products and natural gas, including LNG;</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changes in the ownership of our charterers;</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customers’ performance of their obligations under our time charters and other contracts;</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future operating performance and expenses, financial condition, liquidity and cash available for dividends and distributions;</w:t>
      </w:r>
    </w:p>
    <w:p>
      <w:pPr>
        <w:spacing w:after="0" w:line="18" w:lineRule="exact"/>
        <w:rPr>
          <w:rFonts w:ascii="Arial" w:cs="Arial" w:eastAsia="Arial" w:hAnsi="Arial"/>
          <w:sz w:val="16"/>
          <w:szCs w:val="16"/>
          <w:color w:val="auto"/>
        </w:rPr>
      </w:pPr>
    </w:p>
    <w:p>
      <w:pPr>
        <w:ind w:left="520" w:right="120" w:hanging="188"/>
        <w:spacing w:after="0" w:line="264" w:lineRule="auto"/>
        <w:tabs>
          <w:tab w:leader="none" w:pos="475"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ability to obtain financing to fund capital expenditures, acquisitions and other corporate activities, funding by banks of their financial commitments, and our ability to meet our restrictive covenants and other obligations under our credit facilities;</w:t>
      </w:r>
    </w:p>
    <w:p>
      <w:pPr>
        <w:ind w:left="460" w:hanging="128"/>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future, pending or recent acquisitions of or orders for ships or other assets, business strategy, areas of possible expansion and expected capital spending;</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time that it may take to construct and deliver newbuildings and the useful lives of our ships;</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fluctuations in currencies and interest rates;</w:t>
      </w:r>
    </w:p>
    <w:p>
      <w:pPr>
        <w:spacing w:after="0" w:line="18" w:lineRule="exact"/>
        <w:rPr>
          <w:rFonts w:ascii="Arial" w:cs="Arial" w:eastAsia="Arial" w:hAnsi="Arial"/>
          <w:sz w:val="16"/>
          <w:szCs w:val="16"/>
          <w:color w:val="auto"/>
        </w:rPr>
      </w:pPr>
    </w:p>
    <w:p>
      <w:pPr>
        <w:ind w:left="520" w:right="200" w:hanging="188"/>
        <w:spacing w:after="0" w:line="264" w:lineRule="auto"/>
        <w:tabs>
          <w:tab w:leader="none" w:pos="475"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ind w:left="460" w:hanging="128"/>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risks inherent in ship operation, including the discharge of pollutants;</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ability to retain key employees and the availability of skilled labour, ship crews and management;</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potential disruption of shipping routes due to accidents, political events, piracy or acts by terrorists;</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potential liability from future litigation;</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any malfunction or disruption of information technology systems and networks that our operations rely on or any impact of a possible cybersecurity event; and</w:t>
      </w:r>
    </w:p>
    <w:p>
      <w:pPr>
        <w:spacing w:after="0" w:line="30" w:lineRule="exact"/>
        <w:rPr>
          <w:rFonts w:ascii="Arial" w:cs="Arial" w:eastAsia="Arial" w:hAnsi="Arial"/>
          <w:sz w:val="15"/>
          <w:szCs w:val="15"/>
          <w:color w:val="auto"/>
        </w:rPr>
      </w:pPr>
    </w:p>
    <w:p>
      <w:pPr>
        <w:ind w:left="460" w:hanging="128"/>
        <w:spacing w:after="0"/>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 xml:space="preserve">other risks and uncertainties described in the Company’s Annual Report on Form 20-F filed with the SEC on March 5, 2019 and available at </w:t>
      </w:r>
      <w:r>
        <w:rPr>
          <w:rFonts w:ascii="Arial" w:cs="Arial" w:eastAsia="Arial" w:hAnsi="Arial"/>
          <w:sz w:val="15"/>
          <w:szCs w:val="15"/>
          <w:u w:val="single" w:color="auto"/>
          <w:color w:val="0000FF"/>
        </w:rPr>
        <w:t>http://www.sec.gov</w:t>
      </w:r>
      <w:r>
        <w:rPr>
          <w:rFonts w:ascii="Arial" w:cs="Arial" w:eastAsia="Arial" w:hAnsi="Arial"/>
          <w:sz w:val="15"/>
          <w:szCs w:val="15"/>
          <w:color w:val="auto"/>
        </w:rPr>
        <w:t>.</w:t>
      </w:r>
    </w:p>
    <w:p>
      <w:pPr>
        <w:spacing w:after="0" w:line="229" w:lineRule="exact"/>
        <w:rPr>
          <w:sz w:val="20"/>
          <w:szCs w:val="20"/>
          <w:color w:val="auto"/>
        </w:rPr>
      </w:pPr>
    </w:p>
    <w:p>
      <w:pPr>
        <w:jc w:val="both"/>
        <w:ind w:right="80" w:firstLine="324"/>
        <w:spacing w:after="0" w:line="273" w:lineRule="auto"/>
        <w:rPr>
          <w:sz w:val="20"/>
          <w:szCs w:val="20"/>
          <w:color w:val="auto"/>
        </w:rPr>
      </w:pPr>
      <w:r>
        <w:rPr>
          <w:rFonts w:ascii="Arial" w:cs="Arial" w:eastAsia="Arial" w:hAnsi="Arial"/>
          <w:sz w:val="16"/>
          <w:szCs w:val="16"/>
          <w:color w:val="auto"/>
        </w:rPr>
        <w:t>We undertake no obligation to update or revise any forward-looking statements contained in this report,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76" w:lineRule="exact"/>
        <w:rPr>
          <w:sz w:val="20"/>
          <w:szCs w:val="20"/>
          <w:color w:val="auto"/>
        </w:rPr>
      </w:pPr>
    </w:p>
    <w:p>
      <w:pPr>
        <w:ind w:right="740" w:firstLine="356"/>
        <w:spacing w:after="0" w:line="293" w:lineRule="auto"/>
        <w:rPr>
          <w:sz w:val="20"/>
          <w:szCs w:val="20"/>
          <w:color w:val="auto"/>
        </w:rPr>
      </w:pPr>
      <w:r>
        <w:rPr>
          <w:rFonts w:ascii="Arial" w:cs="Arial" w:eastAsia="Arial" w:hAnsi="Arial"/>
          <w:sz w:val="16"/>
          <w:szCs w:val="16"/>
          <w:color w:val="auto"/>
        </w:rPr>
        <w:t>The declaration and payment of dividends are at all times subject to the discretion of our board of directors and will depend on, amongst other things, risks and uncertainties described above, restrictions in our credit facilities, the provisions of Bermuda law and such other factors as our board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of directors may deem relevant.</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25" w:lineRule="exact"/>
        <w:rPr>
          <w:sz w:val="20"/>
          <w:szCs w:val="20"/>
          <w:color w:val="auto"/>
        </w:rPr>
      </w:pPr>
    </w:p>
    <w:p>
      <w:pPr>
        <w:ind w:firstLine="356"/>
        <w:spacing w:after="0" w:line="268" w:lineRule="auto"/>
        <w:rPr>
          <w:sz w:val="20"/>
          <w:szCs w:val="20"/>
          <w:color w:val="auto"/>
        </w:rPr>
      </w:pPr>
      <w:r>
        <w:rPr>
          <w:rFonts w:ascii="Arial" w:cs="Arial" w:eastAsia="Arial" w:hAnsi="Arial"/>
          <w:sz w:val="16"/>
          <w:szCs w:val="16"/>
          <w:color w:val="auto"/>
        </w:rPr>
        <w:t>We are an international owner, operator and manager of LNG carriers. Our wholly owned fleet as of November 6, 2019, consists of 19 LNG carriers, including 12 ships in operation and seven LNG carriers on order at Samsung Heavy Industries Co., Ltd. (“Samsung”). GasLog is also the general and controlling partner in GasLog Partners LP (“GasLog Partners” or the “Partnership”), a publicly traded master limited partnership, which owns 15 LNG carriers. In addition, GasLog has leased back under a bareboat charter one vessel sold to Lepta Shipping Co., Ltd. (“Lepta Shipping”), a subsidiary of Mitsui Co., Ltd. (“Mitsui”) in February 2016, for a period of up to 20 years. GasLog has the option to repurchase the vessel on pre-agreed terms no earlier than the end of year ten and no later than the end of year 17 of the bareboat charter. We currently manage and operate 28 LNG carriers including our twelve wholly owned ships in operation, 14 of the 15 ships contributed or sold to the Partnership (the other one is managed by a subsidiary of Royal Dutch Shell plc (“Shell”)), the bareboat vessel and one LNG carrier owned by an entity in which we have a 25% interest. We are also supervising the construction of our newbuildings.</w:t>
      </w:r>
    </w:p>
    <w:p>
      <w:pPr>
        <w:spacing w:after="0" w:line="180" w:lineRule="exact"/>
        <w:rPr>
          <w:sz w:val="20"/>
          <w:szCs w:val="20"/>
          <w:color w:val="auto"/>
        </w:rPr>
      </w:pPr>
    </w:p>
    <w:p>
      <w:pPr>
        <w:ind w:right="200" w:firstLine="324"/>
        <w:spacing w:after="0" w:line="293" w:lineRule="auto"/>
        <w:rPr>
          <w:sz w:val="20"/>
          <w:szCs w:val="20"/>
          <w:color w:val="auto"/>
        </w:rPr>
      </w:pPr>
      <w:r>
        <w:rPr>
          <w:rFonts w:ascii="Arial" w:cs="Arial" w:eastAsia="Arial" w:hAnsi="Arial"/>
          <w:sz w:val="16"/>
          <w:szCs w:val="16"/>
          <w:color w:val="auto"/>
        </w:rPr>
        <w:t xml:space="preserve">We have a 25% interest in a vessel, the </w:t>
      </w:r>
      <w:r>
        <w:rPr>
          <w:rFonts w:ascii="Arial" w:cs="Arial" w:eastAsia="Arial" w:hAnsi="Arial"/>
          <w:sz w:val="16"/>
          <w:szCs w:val="16"/>
          <w:i w:val="1"/>
          <w:iCs w:val="1"/>
          <w:color w:val="auto"/>
        </w:rPr>
        <w:t>Methane Nile Eagle</w:t>
      </w:r>
      <w:r>
        <w:rPr>
          <w:rFonts w:ascii="Arial" w:cs="Arial" w:eastAsia="Arial" w:hAnsi="Arial"/>
          <w:sz w:val="16"/>
          <w:szCs w:val="16"/>
          <w:color w:val="auto"/>
        </w:rPr>
        <w:t>, a 2007-built LNG carrier owned by Egypt LNG Shipping Ltd. (“Egypt LNG”) and technically managed by us. It is currently operating under a 20-year time charter to a subsidiary of Shell.</w:t>
      </w:r>
    </w:p>
    <w:p>
      <w:pPr>
        <w:spacing w:after="0" w:line="159" w:lineRule="exact"/>
        <w:rPr>
          <w:sz w:val="20"/>
          <w:szCs w:val="20"/>
          <w:color w:val="auto"/>
        </w:rPr>
      </w:pPr>
    </w:p>
    <w:p>
      <w:pPr>
        <w:jc w:val="both"/>
        <w:ind w:right="20" w:firstLine="356"/>
        <w:spacing w:after="0" w:line="278" w:lineRule="auto"/>
        <w:rPr>
          <w:sz w:val="20"/>
          <w:szCs w:val="20"/>
          <w:color w:val="auto"/>
        </w:rPr>
      </w:pPr>
      <w:r>
        <w:rPr>
          <w:rFonts w:ascii="Arial" w:cs="Arial" w:eastAsia="Arial" w:hAnsi="Arial"/>
          <w:sz w:val="16"/>
          <w:szCs w:val="16"/>
          <w:color w:val="auto"/>
        </w:rPr>
        <w:t>We generate revenues by chartering our ships to customers on multi-year time charters and spot/short-term charters and by providing technical ship management services, including crewing, training, maintenance, regulatory and classification compliance and health, safety, security and environmental (“HSSE”) management and reporting through our wholly owned subsidiary GasLog LNG Services Ltd.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Floating Storage Unit (“FSU”) Panama Power Project</w:t>
      </w:r>
    </w:p>
    <w:p>
      <w:pPr>
        <w:spacing w:after="0" w:line="225" w:lineRule="exact"/>
        <w:rPr>
          <w:sz w:val="20"/>
          <w:szCs w:val="20"/>
          <w:color w:val="auto"/>
        </w:rPr>
      </w:pPr>
    </w:p>
    <w:p>
      <w:pPr>
        <w:ind w:right="160" w:firstLine="383"/>
        <w:spacing w:after="0" w:line="293" w:lineRule="auto"/>
        <w:rPr>
          <w:sz w:val="20"/>
          <w:szCs w:val="20"/>
          <w:color w:val="auto"/>
        </w:rPr>
      </w:pPr>
      <w:r>
        <w:rPr>
          <w:rFonts w:ascii="Arial" w:cs="Arial" w:eastAsia="Arial" w:hAnsi="Arial"/>
          <w:sz w:val="16"/>
          <w:szCs w:val="16"/>
          <w:color w:val="auto"/>
        </w:rPr>
        <w:t>On August 27, 2019, GasLog signed a 10-year time charter with Sinolam LNG Terminal, S.A. (“Sinolam LNG”) for the provision of an LNG FSU to a gas-fired power project being developed in Panama.</w:t>
      </w:r>
    </w:p>
    <w:p>
      <w:pPr>
        <w:spacing w:after="0" w:line="159" w:lineRule="exact"/>
        <w:rPr>
          <w:sz w:val="20"/>
          <w:szCs w:val="20"/>
          <w:color w:val="auto"/>
        </w:rPr>
      </w:pPr>
    </w:p>
    <w:p>
      <w:pPr>
        <w:ind w:right="40" w:firstLine="383"/>
        <w:spacing w:after="0" w:line="273" w:lineRule="auto"/>
        <w:rPr>
          <w:sz w:val="20"/>
          <w:szCs w:val="20"/>
          <w:color w:val="auto"/>
        </w:rPr>
      </w:pPr>
      <w:r>
        <w:rPr>
          <w:rFonts w:ascii="Arial" w:cs="Arial" w:eastAsia="Arial" w:hAnsi="Arial"/>
          <w:sz w:val="16"/>
          <w:szCs w:val="16"/>
          <w:color w:val="auto"/>
        </w:rPr>
        <w:t xml:space="preserve">The time charter is expected to be fulfilled through the conversion of the </w:t>
      </w:r>
      <w:r>
        <w:rPr>
          <w:rFonts w:ascii="Arial" w:cs="Arial" w:eastAsia="Arial" w:hAnsi="Arial"/>
          <w:sz w:val="16"/>
          <w:szCs w:val="16"/>
          <w:i w:val="1"/>
          <w:iCs w:val="1"/>
          <w:color w:val="auto"/>
        </w:rPr>
        <w:t>GasLog Singapore</w:t>
      </w:r>
      <w:r>
        <w:rPr>
          <w:rFonts w:ascii="Arial" w:cs="Arial" w:eastAsia="Arial" w:hAnsi="Arial"/>
          <w:sz w:val="16"/>
          <w:szCs w:val="16"/>
          <w:color w:val="auto"/>
        </w:rPr>
        <w:t>, a 155,000 cbm TFDE LNG carrier built in 2010. The required modifications are such that, as well as being FSU ready, the vessel will still be able to trade as an LNG carrier following the conversion work. The conversion will take place in conjunction with the vessel’s scheduled 5-year dry-docking and special survey in the third quarter of 2020, enabling both time and cost synergies. The charter commences on delivery of the FSU in Panama, which is scheduled for late 2020.</w:t>
      </w:r>
    </w:p>
    <w:p>
      <w:pPr>
        <w:spacing w:after="0" w:line="176" w:lineRule="exact"/>
        <w:rPr>
          <w:sz w:val="20"/>
          <w:szCs w:val="20"/>
          <w:color w:val="auto"/>
        </w:rPr>
      </w:pPr>
    </w:p>
    <w:p>
      <w:pPr>
        <w:ind w:right="200" w:firstLine="383"/>
        <w:spacing w:after="0" w:line="278" w:lineRule="auto"/>
        <w:rPr>
          <w:sz w:val="20"/>
          <w:szCs w:val="20"/>
          <w:color w:val="auto"/>
        </w:rPr>
      </w:pPr>
      <w:r>
        <w:rPr>
          <w:rFonts w:ascii="Arial" w:cs="Arial" w:eastAsia="Arial" w:hAnsi="Arial"/>
          <w:sz w:val="16"/>
          <w:szCs w:val="16"/>
          <w:color w:val="auto"/>
        </w:rPr>
        <w:t xml:space="preserve">Since September 2016, the </w:t>
      </w:r>
      <w:r>
        <w:rPr>
          <w:rFonts w:ascii="Arial" w:cs="Arial" w:eastAsia="Arial" w:hAnsi="Arial"/>
          <w:sz w:val="16"/>
          <w:szCs w:val="16"/>
          <w:i w:val="1"/>
          <w:iCs w:val="1"/>
          <w:color w:val="auto"/>
        </w:rPr>
        <w:t>GasLog Singapore</w:t>
      </w:r>
      <w:r>
        <w:rPr>
          <w:rFonts w:ascii="Arial" w:cs="Arial" w:eastAsia="Arial" w:hAnsi="Arial"/>
          <w:sz w:val="16"/>
          <w:szCs w:val="16"/>
          <w:color w:val="auto"/>
        </w:rPr>
        <w:t xml:space="preserve"> has been trading in the LNG carrier spot market. The FSU contract is for a fixed period, thereby delivering 100% utilization for the duration of the charter. The FSU will also incur lower operating expenses than if the vessel was trading as an LNG carrier, with GasLog estimating that the charter will generate approximately $20 million of EBITDA per annum over its 10-year life.</w:t>
      </w:r>
    </w:p>
    <w:p>
      <w:pPr>
        <w:spacing w:after="0" w:line="171" w:lineRule="exact"/>
        <w:rPr>
          <w:sz w:val="20"/>
          <w:szCs w:val="20"/>
          <w:color w:val="auto"/>
        </w:rPr>
      </w:pPr>
    </w:p>
    <w:p>
      <w:pPr>
        <w:ind w:right="160" w:firstLine="383"/>
        <w:spacing w:after="0" w:line="278" w:lineRule="auto"/>
        <w:rPr>
          <w:sz w:val="20"/>
          <w:szCs w:val="20"/>
          <w:color w:val="auto"/>
        </w:rPr>
      </w:pPr>
      <w:r>
        <w:rPr>
          <w:rFonts w:ascii="Arial" w:cs="Arial" w:eastAsia="Arial" w:hAnsi="Arial"/>
          <w:sz w:val="16"/>
          <w:szCs w:val="16"/>
          <w:color w:val="auto"/>
        </w:rPr>
        <w:t>The FSU will receive, store and send out LNG to a gas-fired power plant currently being developed near Colón, Panama, by Sinolam Smarter Energy LNG Power Company, a subsidiary of private Chinese investment group Shanghai Gorgeous Investment Development Company. The power project has signed long-term power purchase agreements with leading Panamanian utility companies as well as a 15-year LNG sale and purchase agreement with Shell.</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 xml:space="preserve">Delivery of the </w:t>
      </w:r>
      <w:r>
        <w:rPr>
          <w:rFonts w:ascii="Arial" w:cs="Arial" w:eastAsia="Arial" w:hAnsi="Arial"/>
          <w:sz w:val="16"/>
          <w:szCs w:val="16"/>
          <w:b w:val="1"/>
          <w:bCs w:val="1"/>
          <w:i w:val="1"/>
          <w:iCs w:val="1"/>
          <w:u w:val="single" w:color="auto"/>
          <w:color w:val="auto"/>
        </w:rPr>
        <w:t>GasLog Warsaw</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5"/>
          <w:szCs w:val="15"/>
          <w:color w:val="auto"/>
        </w:rPr>
        <w:t xml:space="preserve">On July 31, 2019, GasLog took delivery of the </w:t>
      </w:r>
      <w:r>
        <w:rPr>
          <w:rFonts w:ascii="Arial" w:cs="Arial" w:eastAsia="Arial" w:hAnsi="Arial"/>
          <w:sz w:val="15"/>
          <w:szCs w:val="15"/>
          <w:i w:val="1"/>
          <w:iCs w:val="1"/>
          <w:color w:val="auto"/>
        </w:rPr>
        <w:t>GasLog Warsaw</w:t>
      </w:r>
      <w:r>
        <w:rPr>
          <w:rFonts w:ascii="Arial" w:cs="Arial" w:eastAsia="Arial" w:hAnsi="Arial"/>
          <w:sz w:val="15"/>
          <w:szCs w:val="15"/>
          <w:color w:val="auto"/>
        </w:rPr>
        <w:t>. Upon delivery, the vessel immediately commenced a time charter with Cheniere Energy Inc.</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(“Cheniere”) until May 2021, when the vessel is contracted to commence an eight-year time charter with a subsidiary of Endesa S.A. (“Endesa”).</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Cool Pool Exit</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5"/>
          <w:szCs w:val="15"/>
          <w:color w:val="auto"/>
        </w:rPr>
        <w:t>On June 6, 2019, GasLog entered into a termination agreement with the LNG carrier pooling arrangement (the “Cool Pool”) and Golar LNG Ltd. (“Golar”), whereby</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GasLog assumed commercial control of its six vessels operating in the LNG carrier spot market through the Cool Pool at that time. Following expiry of their commitments,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GasLog vessels were withdrawn from the Cool Pool in June and July 2019.</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Retirement of Director</w:t>
      </w:r>
    </w:p>
    <w:p>
      <w:pPr>
        <w:spacing w:after="0" w:line="225" w:lineRule="exact"/>
        <w:rPr>
          <w:sz w:val="20"/>
          <w:szCs w:val="20"/>
          <w:color w:val="auto"/>
        </w:rPr>
      </w:pPr>
    </w:p>
    <w:p>
      <w:pPr>
        <w:ind w:right="20" w:firstLine="383"/>
        <w:spacing w:after="0" w:line="293" w:lineRule="auto"/>
        <w:rPr>
          <w:sz w:val="20"/>
          <w:szCs w:val="20"/>
          <w:color w:val="auto"/>
        </w:rPr>
      </w:pPr>
      <w:r>
        <w:rPr>
          <w:rFonts w:ascii="Arial" w:cs="Arial" w:eastAsia="Arial" w:hAnsi="Arial"/>
          <w:sz w:val="16"/>
          <w:szCs w:val="16"/>
          <w:color w:val="auto"/>
        </w:rPr>
        <w:t>Mr. William Friedrich retired from the board of GasLog effective November 5, 2019. Mr. Friedrich has been a director since October 2011 and was Chairman of the Company’s HSSE Committee from 2016 to his retirement.</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Share/Unit Repurchase Programme</w:t>
      </w:r>
    </w:p>
    <w:p>
      <w:pPr>
        <w:spacing w:after="0" w:line="225" w:lineRule="exact"/>
        <w:rPr>
          <w:sz w:val="20"/>
          <w:szCs w:val="20"/>
          <w:color w:val="auto"/>
        </w:rPr>
      </w:pPr>
    </w:p>
    <w:p>
      <w:pPr>
        <w:ind w:right="20" w:firstLine="324"/>
        <w:spacing w:after="0" w:line="289" w:lineRule="auto"/>
        <w:rPr>
          <w:sz w:val="20"/>
          <w:szCs w:val="20"/>
          <w:color w:val="auto"/>
        </w:rPr>
      </w:pPr>
      <w:r>
        <w:rPr>
          <w:rFonts w:ascii="Arial" w:cs="Arial" w:eastAsia="Arial" w:hAnsi="Arial"/>
          <w:sz w:val="15"/>
          <w:szCs w:val="15"/>
          <w:color w:val="auto"/>
        </w:rPr>
        <w:t>On November 28, 2018, the Company announced that its board of directors had approved a share repurchase programme of up to $50.0 million of the Company’s common shares, covering the period from January 1, 2019 to December 31, 2021. Under the terms of the repurchase programme, the Company may repurchase common shares from time to time, at the Company’s discretion, on the open market or in privately negotiated transactions. Any repurchases are subject to market conditions, applicable legal requirements and other considerations. The Company is not obligated under the repurchase programme to repurchase any specific dollar amount or number of common shares, and the repurchase programme may be modified, suspended or discontinued at any time or never utilized. Since the authorization of the share repurchase programme and through November 6, 2019, 212,111 shares have been acquired at a total cost of $3.8 million, of which 131,776 are included in treasury shares and all of which were acquired in the first quarter of 2019. The average cost of the repurchase was $17.69 per share inclusive of all fees and commissions.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17" w:name="page18"/>
    <w:bookmarkEnd w:id="17"/>
    <w:p>
      <w:pPr>
        <w:ind w:right="80" w:firstLine="324"/>
        <w:spacing w:after="0" w:line="270" w:lineRule="auto"/>
        <w:rPr>
          <w:sz w:val="20"/>
          <w:szCs w:val="20"/>
          <w:color w:val="auto"/>
        </w:rPr>
      </w:pPr>
      <w:r>
        <w:rPr>
          <w:rFonts w:ascii="Arial" w:cs="Arial" w:eastAsia="Arial" w:hAnsi="Arial"/>
          <w:sz w:val="16"/>
          <w:szCs w:val="16"/>
          <w:color w:val="auto"/>
        </w:rPr>
        <w:t>On January 29, 2019, the board of directors of GasLog Partners authorized a unit repurchase programme of up to $25.0 million covering the period from January 31, 2019 to December 31, 2021. Under the terms of the repurchase programme, the Partnership may repurchase common units from time to time, at its discretion, on the open market or in privately negotiated transactions. In the three months ended September 30, 2019, GasLog Partners repurchased and cancelled 508,908 of the Partnership’s common units, at a weighted average price of $19.84 per common unit for a total amount of $10.1 million, including commissions. Since the authorization of the unit repurchase programme and through November 6, 2019, GasLog Partners has repurchased and cancelled a total of 985,259 units at a weighted average price of $20.31 per common unit for a total amount of $20.0 million, including commissions.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Dividend Declaration</w:t>
      </w:r>
    </w:p>
    <w:p>
      <w:pPr>
        <w:spacing w:after="0" w:line="225" w:lineRule="exact"/>
        <w:rPr>
          <w:sz w:val="20"/>
          <w:szCs w:val="20"/>
          <w:color w:val="auto"/>
        </w:rPr>
      </w:pPr>
    </w:p>
    <w:p>
      <w:pPr>
        <w:ind w:right="60" w:firstLine="383"/>
        <w:spacing w:after="0" w:line="329" w:lineRule="auto"/>
        <w:rPr>
          <w:sz w:val="20"/>
          <w:szCs w:val="20"/>
          <w:color w:val="auto"/>
        </w:rPr>
      </w:pPr>
      <w:r>
        <w:rPr>
          <w:rFonts w:ascii="Arial" w:cs="Arial" w:eastAsia="Arial" w:hAnsi="Arial"/>
          <w:sz w:val="15"/>
          <w:szCs w:val="15"/>
          <w:color w:val="auto"/>
        </w:rPr>
        <w:t>On September 17, 2019, the board of directors declared a dividend on the Series A Preference Shares of $0.546875 per share, or $2.5 million in the aggregate, payable on October 1, 2019 to holders of record as of September 30, 2019. GasLog paid the declared dividend to the transfer agent on October 1, 2019.</w:t>
      </w:r>
    </w:p>
    <w:p>
      <w:pPr>
        <w:spacing w:after="0" w:line="135" w:lineRule="exact"/>
        <w:rPr>
          <w:sz w:val="20"/>
          <w:szCs w:val="20"/>
          <w:color w:val="auto"/>
        </w:rPr>
      </w:pPr>
    </w:p>
    <w:p>
      <w:pPr>
        <w:ind w:right="100" w:firstLine="383"/>
        <w:spacing w:after="0" w:line="293" w:lineRule="auto"/>
        <w:rPr>
          <w:sz w:val="20"/>
          <w:szCs w:val="20"/>
          <w:color w:val="auto"/>
        </w:rPr>
      </w:pPr>
      <w:r>
        <w:rPr>
          <w:rFonts w:ascii="Arial" w:cs="Arial" w:eastAsia="Arial" w:hAnsi="Arial"/>
          <w:sz w:val="16"/>
          <w:szCs w:val="16"/>
          <w:color w:val="auto"/>
        </w:rPr>
        <w:t>On November 5, 2019, the board of directors declared a quarterly cash dividend of $0.15 per common share, or $12.1 million in the aggregate, payable on November 21, 2019 to shareholders of record as of November 15, 2019.</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Fleet Update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Owned Fleet</w:t>
      </w:r>
    </w:p>
    <w:p>
      <w:pPr>
        <w:spacing w:after="0" w:line="22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 of November 6, 2019, our wholly owned fleet consisted of the following vessels: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0"/>
              </w:rPr>
              <w:t>Cargo</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gridSpan w:val="3"/>
          </w:tcPr>
          <w:p>
            <w:pPr>
              <w:ind w:left="80"/>
              <w:spacing w:after="0"/>
              <w:rPr>
                <w:sz w:val="20"/>
                <w:szCs w:val="20"/>
                <w:color w:val="auto"/>
              </w:rPr>
            </w:pPr>
            <w:r>
              <w:rPr>
                <w:rFonts w:ascii="Arial" w:cs="Arial" w:eastAsia="Arial" w:hAnsi="Arial"/>
                <w:sz w:val="16"/>
                <w:szCs w:val="16"/>
                <w:b w:val="1"/>
                <w:bCs w:val="1"/>
                <w:color w:val="auto"/>
              </w:rPr>
              <w:t>Year</w:t>
            </w:r>
          </w:p>
        </w:tc>
        <w:tc>
          <w:tcPr>
            <w:tcW w:w="20" w:type="dxa"/>
            <w:vAlign w:val="bottom"/>
          </w:tcPr>
          <w:p>
            <w:pPr>
              <w:spacing w:after="0"/>
              <w:rPr>
                <w:sz w:val="17"/>
                <w:szCs w:val="17"/>
                <w:color w:val="auto"/>
              </w:rPr>
            </w:pPr>
          </w:p>
        </w:tc>
        <w:tc>
          <w:tcPr>
            <w:tcW w:w="10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2"/>
              </w:rPr>
              <w:t>Capacity</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Charter</w:t>
            </w:r>
          </w:p>
        </w:tc>
        <w:tc>
          <w:tcPr>
            <w:tcW w:w="1280" w:type="dxa"/>
            <w:vAlign w:val="bottom"/>
          </w:tcPr>
          <w:p>
            <w:pPr>
              <w:ind w:left="340"/>
              <w:spacing w:after="0"/>
              <w:rPr>
                <w:sz w:val="20"/>
                <w:szCs w:val="20"/>
                <w:color w:val="auto"/>
              </w:rPr>
            </w:pPr>
            <w:r>
              <w:rPr>
                <w:rFonts w:ascii="Arial" w:cs="Arial" w:eastAsia="Arial" w:hAnsi="Arial"/>
                <w:sz w:val="16"/>
                <w:szCs w:val="16"/>
                <w:b w:val="1"/>
                <w:bCs w:val="1"/>
                <w:color w:val="auto"/>
              </w:rPr>
              <w:t>Optional</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3060" w:type="dxa"/>
            <w:vAlign w:val="bottom"/>
            <w:gridSpan w:val="3"/>
          </w:tcPr>
          <w:p>
            <w:pPr>
              <w:ind w:left="880"/>
              <w:spacing w:after="0"/>
              <w:rPr>
                <w:sz w:val="20"/>
                <w:szCs w:val="20"/>
                <w:color w:val="auto"/>
              </w:rPr>
            </w:pPr>
            <w:r>
              <w:rPr>
                <w:rFonts w:ascii="Arial" w:cs="Arial" w:eastAsia="Arial" w:hAnsi="Arial"/>
                <w:sz w:val="16"/>
                <w:szCs w:val="16"/>
                <w:b w:val="1"/>
                <w:bCs w:val="1"/>
                <w:color w:val="auto"/>
              </w:rPr>
              <w:t>Vessel Name</w:t>
            </w:r>
          </w:p>
        </w:tc>
        <w:tc>
          <w:tcPr>
            <w:tcW w:w="60" w:type="dxa"/>
            <w:vAlign w:val="bottom"/>
          </w:tcPr>
          <w:p>
            <w:pPr>
              <w:spacing w:after="0"/>
              <w:rPr>
                <w:sz w:val="18"/>
                <w:szCs w:val="18"/>
                <w:color w:val="auto"/>
              </w:rPr>
            </w:pPr>
          </w:p>
        </w:tc>
        <w:tc>
          <w:tcPr>
            <w:tcW w:w="660" w:type="dxa"/>
            <w:vAlign w:val="bottom"/>
            <w:gridSpan w:val="3"/>
          </w:tcPr>
          <w:p>
            <w:pPr>
              <w:ind w:left="80"/>
              <w:spacing w:after="0"/>
              <w:rPr>
                <w:sz w:val="20"/>
                <w:szCs w:val="20"/>
                <w:color w:val="auto"/>
              </w:rPr>
            </w:pPr>
            <w:r>
              <w:rPr>
                <w:rFonts w:ascii="Arial" w:cs="Arial" w:eastAsia="Arial" w:hAnsi="Arial"/>
                <w:sz w:val="16"/>
                <w:szCs w:val="16"/>
                <w:b w:val="1"/>
                <w:bCs w:val="1"/>
                <w:color w:val="auto"/>
              </w:rPr>
              <w:t>Built</w:t>
            </w:r>
          </w:p>
        </w:tc>
        <w:tc>
          <w:tcPr>
            <w:tcW w:w="20" w:type="dxa"/>
            <w:vAlign w:val="bottom"/>
          </w:tcPr>
          <w:p>
            <w:pPr>
              <w:spacing w:after="0"/>
              <w:rPr>
                <w:sz w:val="18"/>
                <w:szCs w:val="18"/>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(cbm)</w:t>
            </w: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Charterer</w:t>
            </w:r>
          </w:p>
        </w:tc>
        <w:tc>
          <w:tcPr>
            <w:tcW w:w="1240" w:type="dxa"/>
            <w:vAlign w:val="bottom"/>
            <w:gridSpan w:val="2"/>
          </w:tcPr>
          <w:p>
            <w:pPr>
              <w:jc w:val="center"/>
              <w:ind w:right="120"/>
              <w:spacing w:after="0" w:line="217" w:lineRule="exact"/>
              <w:rPr>
                <w:sz w:val="20"/>
                <w:szCs w:val="20"/>
                <w:color w:val="auto"/>
              </w:rPr>
            </w:pPr>
            <w:r>
              <w:rPr>
                <w:rFonts w:ascii="Arial" w:cs="Arial" w:eastAsia="Arial" w:hAnsi="Arial"/>
                <w:sz w:val="16"/>
                <w:szCs w:val="16"/>
                <w:b w:val="1"/>
                <w:bCs w:val="1"/>
                <w:color w:val="auto"/>
                <w:w w:val="87"/>
              </w:rPr>
              <w:t>Propulsion</w:t>
            </w:r>
            <w:r>
              <w:rPr>
                <w:rFonts w:ascii="Arial" w:cs="Arial" w:eastAsia="Arial" w:hAnsi="Arial"/>
                <w:sz w:val="21"/>
                <w:szCs w:val="21"/>
                <w:b w:val="1"/>
                <w:bCs w:val="1"/>
                <w:color w:val="auto"/>
                <w:w w:val="87"/>
                <w:vertAlign w:val="superscript"/>
              </w:rPr>
              <w:t>(1)</w:t>
            </w:r>
          </w:p>
        </w:tc>
        <w:tc>
          <w:tcPr>
            <w:tcW w:w="2100" w:type="dxa"/>
            <w:vAlign w:val="bottom"/>
            <w:gridSpan w:val="2"/>
          </w:tcPr>
          <w:p>
            <w:pPr>
              <w:jc w:val="center"/>
              <w:ind w:right="100"/>
              <w:spacing w:after="0" w:line="217" w:lineRule="exact"/>
              <w:rPr>
                <w:sz w:val="20"/>
                <w:szCs w:val="20"/>
                <w:color w:val="auto"/>
              </w:rPr>
            </w:pPr>
            <w:r>
              <w:rPr>
                <w:rFonts w:ascii="Arial" w:cs="Arial" w:eastAsia="Arial" w:hAnsi="Arial"/>
                <w:sz w:val="16"/>
                <w:szCs w:val="16"/>
                <w:b w:val="1"/>
                <w:bCs w:val="1"/>
                <w:color w:val="auto"/>
                <w:w w:val="92"/>
              </w:rPr>
              <w:t>Expiration</w:t>
            </w:r>
            <w:r>
              <w:rPr>
                <w:rFonts w:ascii="Arial" w:cs="Arial" w:eastAsia="Arial" w:hAnsi="Arial"/>
                <w:sz w:val="21"/>
                <w:szCs w:val="21"/>
                <w:b w:val="1"/>
                <w:bCs w:val="1"/>
                <w:color w:val="auto"/>
                <w:w w:val="92"/>
                <w:vertAlign w:val="superscript"/>
              </w:rPr>
              <w:t>(2)</w:t>
            </w:r>
          </w:p>
        </w:tc>
        <w:tc>
          <w:tcPr>
            <w:tcW w:w="1280" w:type="dxa"/>
            <w:vAlign w:val="bottom"/>
          </w:tcPr>
          <w:p>
            <w:pPr>
              <w:ind w:left="340"/>
              <w:spacing w:after="0" w:line="217" w:lineRule="exact"/>
              <w:rPr>
                <w:sz w:val="20"/>
                <w:szCs w:val="20"/>
                <w:color w:val="auto"/>
              </w:rPr>
            </w:pPr>
            <w:r>
              <w:rPr>
                <w:rFonts w:ascii="Arial" w:cs="Arial" w:eastAsia="Arial" w:hAnsi="Arial"/>
                <w:sz w:val="16"/>
                <w:szCs w:val="16"/>
                <w:b w:val="1"/>
                <w:bCs w:val="1"/>
                <w:color w:val="auto"/>
              </w:rPr>
              <w:t>Period</w:t>
            </w:r>
            <w:r>
              <w:rPr>
                <w:rFonts w:ascii="Arial" w:cs="Arial" w:eastAsia="Arial" w:hAnsi="Arial"/>
                <w:sz w:val="21"/>
                <w:szCs w:val="21"/>
                <w:b w:val="1"/>
                <w:bCs w:val="1"/>
                <w:color w:val="auto"/>
                <w:vertAlign w:val="superscript"/>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2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b w:val="1"/>
                <w:bCs w:val="1"/>
                <w:color w:val="auto"/>
              </w:rPr>
              <w:t>1</w:t>
            </w:r>
          </w:p>
        </w:tc>
        <w:tc>
          <w:tcPr>
            <w:tcW w:w="2940" w:type="dxa"/>
            <w:vAlign w:val="bottom"/>
            <w:tcBorders>
              <w:top w:val="single" w:sz="8" w:color="auto"/>
            </w:tcBorders>
            <w:gridSpan w:val="2"/>
            <w:shd w:val="clear" w:color="auto" w:fill="E5FFFF"/>
          </w:tcPr>
          <w:p>
            <w:pPr>
              <w:ind w:left="80"/>
              <w:spacing w:after="0"/>
              <w:rPr>
                <w:sz w:val="20"/>
                <w:szCs w:val="20"/>
                <w:color w:val="auto"/>
              </w:rPr>
            </w:pPr>
            <w:r>
              <w:rPr>
                <w:rFonts w:ascii="Arial" w:cs="Arial" w:eastAsia="Arial" w:hAnsi="Arial"/>
                <w:sz w:val="16"/>
                <w:szCs w:val="16"/>
                <w:i w:val="1"/>
                <w:iCs w:val="1"/>
                <w:color w:val="auto"/>
              </w:rPr>
              <w:t>GasLog Chelsea</w:t>
            </w:r>
          </w:p>
        </w:tc>
        <w:tc>
          <w:tcPr>
            <w:tcW w:w="120" w:type="dxa"/>
            <w:vAlign w:val="bottom"/>
            <w:tcBorders>
              <w:top w:val="single" w:sz="8" w:color="E5FFFF"/>
            </w:tcBorders>
            <w:shd w:val="clear" w:color="auto" w:fill="E5FFFF"/>
          </w:tcPr>
          <w:p>
            <w:pPr>
              <w:spacing w:after="0"/>
              <w:rPr>
                <w:sz w:val="17"/>
                <w:szCs w:val="17"/>
                <w:color w:val="auto"/>
              </w:rPr>
            </w:pPr>
          </w:p>
        </w:tc>
        <w:tc>
          <w:tcPr>
            <w:tcW w:w="600" w:type="dxa"/>
            <w:vAlign w:val="bottom"/>
            <w:tcBorders>
              <w:top w:val="single" w:sz="8" w:color="auto"/>
            </w:tcBorders>
            <w:gridSpan w:val="2"/>
            <w:shd w:val="clear" w:color="auto" w:fill="E5FFFF"/>
          </w:tcPr>
          <w:p>
            <w:pPr>
              <w:ind w:left="140"/>
              <w:spacing w:after="0"/>
              <w:rPr>
                <w:sz w:val="20"/>
                <w:szCs w:val="20"/>
                <w:color w:val="auto"/>
              </w:rPr>
            </w:pPr>
            <w:r>
              <w:rPr>
                <w:rFonts w:ascii="Arial" w:cs="Arial" w:eastAsia="Arial" w:hAnsi="Arial"/>
                <w:sz w:val="16"/>
                <w:szCs w:val="16"/>
                <w:color w:val="auto"/>
              </w:rPr>
              <w:t>2010</w:t>
            </w:r>
          </w:p>
        </w:tc>
        <w:tc>
          <w:tcPr>
            <w:tcW w:w="4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980" w:type="dxa"/>
            <w:vAlign w:val="bottom"/>
            <w:tcBorders>
              <w:top w:val="single" w:sz="8" w:color="auto"/>
            </w:tcBorders>
            <w:gridSpan w:val="2"/>
            <w:shd w:val="clear" w:color="auto" w:fill="E5FFFF"/>
          </w:tcPr>
          <w:p>
            <w:pPr>
              <w:jc w:val="center"/>
              <w:spacing w:after="0"/>
              <w:rPr>
                <w:sz w:val="20"/>
                <w:szCs w:val="20"/>
                <w:color w:val="auto"/>
              </w:rPr>
            </w:pPr>
            <w:r>
              <w:rPr>
                <w:rFonts w:ascii="Arial" w:cs="Arial" w:eastAsia="Arial" w:hAnsi="Arial"/>
                <w:sz w:val="16"/>
                <w:szCs w:val="16"/>
                <w:color w:val="auto"/>
                <w:w w:val="93"/>
              </w:rPr>
              <w:t>153,600</w:t>
            </w:r>
          </w:p>
        </w:tc>
        <w:tc>
          <w:tcPr>
            <w:tcW w:w="2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1500" w:type="dxa"/>
            <w:vAlign w:val="bottom"/>
            <w:tcBorders>
              <w:top w:val="single" w:sz="8" w:color="auto"/>
            </w:tcBorders>
            <w:shd w:val="clear" w:color="auto" w:fill="E5FFFF"/>
          </w:tcPr>
          <w:p>
            <w:pPr>
              <w:jc w:val="center"/>
              <w:spacing w:after="0" w:line="196" w:lineRule="exact"/>
              <w:rPr>
                <w:sz w:val="20"/>
                <w:szCs w:val="20"/>
                <w:color w:val="auto"/>
              </w:rPr>
            </w:pPr>
            <w:r>
              <w:rPr>
                <w:rFonts w:ascii="Arial" w:cs="Arial" w:eastAsia="Arial" w:hAnsi="Arial"/>
                <w:sz w:val="16"/>
                <w:szCs w:val="16"/>
                <w:color w:val="auto"/>
                <w:w w:val="90"/>
              </w:rPr>
              <w:t>Spot Market</w:t>
            </w:r>
            <w:r>
              <w:rPr>
                <w:rFonts w:ascii="Arial" w:cs="Arial" w:eastAsia="Arial" w:hAnsi="Arial"/>
                <w:sz w:val="21"/>
                <w:szCs w:val="21"/>
                <w:color w:val="auto"/>
                <w:w w:val="90"/>
                <w:vertAlign w:val="superscript"/>
              </w:rPr>
              <w:t>(4)</w:t>
            </w:r>
          </w:p>
        </w:tc>
        <w:tc>
          <w:tcPr>
            <w:tcW w:w="10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rPr>
              <w:t>TFDE</w:t>
            </w:r>
          </w:p>
        </w:tc>
        <w:tc>
          <w:tcPr>
            <w:tcW w:w="100" w:type="dxa"/>
            <w:vAlign w:val="bottom"/>
            <w:tcBorders>
              <w:top w:val="single" w:sz="8" w:color="E5FFFF"/>
            </w:tcBorders>
            <w:shd w:val="clear" w:color="auto" w:fill="E5FFFF"/>
          </w:tcPr>
          <w:p>
            <w:pPr>
              <w:spacing w:after="0"/>
              <w:rPr>
                <w:sz w:val="17"/>
                <w:szCs w:val="17"/>
                <w:color w:val="auto"/>
              </w:rPr>
            </w:pPr>
          </w:p>
        </w:tc>
        <w:tc>
          <w:tcPr>
            <w:tcW w:w="19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Borders>
              <w:top w:val="single" w:sz="8" w:color="E5FFFF"/>
            </w:tcBorders>
            <w:shd w:val="clear" w:color="auto" w:fill="E5FFFF"/>
          </w:tcPr>
          <w:p>
            <w:pPr>
              <w:spacing w:after="0"/>
              <w:rPr>
                <w:sz w:val="17"/>
                <w:szCs w:val="17"/>
                <w:color w:val="auto"/>
              </w:rPr>
            </w:pPr>
          </w:p>
        </w:tc>
        <w:tc>
          <w:tcPr>
            <w:tcW w:w="12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20"/>
                <w:szCs w:val="20"/>
                <w:color w:val="auto"/>
              </w:rPr>
            </w:pPr>
            <w:r>
              <w:rPr>
                <w:rFonts w:ascii="Arial" w:cs="Arial" w:eastAsia="Arial" w:hAnsi="Arial"/>
                <w:sz w:val="16"/>
                <w:szCs w:val="16"/>
                <w:b w:val="1"/>
                <w:bCs w:val="1"/>
                <w:color w:val="auto"/>
              </w:rPr>
              <w:t>2</w:t>
            </w:r>
          </w:p>
        </w:tc>
        <w:tc>
          <w:tcPr>
            <w:tcW w:w="3060" w:type="dxa"/>
            <w:vAlign w:val="bottom"/>
            <w:gridSpan w:val="3"/>
          </w:tcPr>
          <w:p>
            <w:pPr>
              <w:ind w:left="80"/>
              <w:spacing w:after="0"/>
              <w:rPr>
                <w:sz w:val="20"/>
                <w:szCs w:val="20"/>
                <w:color w:val="auto"/>
              </w:rPr>
            </w:pPr>
            <w:r>
              <w:rPr>
                <w:rFonts w:ascii="Arial" w:cs="Arial" w:eastAsia="Arial" w:hAnsi="Arial"/>
                <w:sz w:val="16"/>
                <w:szCs w:val="16"/>
                <w:i w:val="1"/>
                <w:iCs w:val="1"/>
                <w:color w:val="auto"/>
              </w:rPr>
              <w:t>GasLog Saratoga</w:t>
            </w:r>
          </w:p>
        </w:tc>
        <w:tc>
          <w:tcPr>
            <w:tcW w:w="600" w:type="dxa"/>
            <w:vAlign w:val="bottom"/>
            <w:gridSpan w:val="2"/>
          </w:tcPr>
          <w:p>
            <w:pPr>
              <w:ind w:left="140"/>
              <w:spacing w:after="0"/>
              <w:rPr>
                <w:sz w:val="20"/>
                <w:szCs w:val="20"/>
                <w:color w:val="auto"/>
              </w:rPr>
            </w:pPr>
            <w:r>
              <w:rPr>
                <w:rFonts w:ascii="Arial" w:cs="Arial" w:eastAsia="Arial" w:hAnsi="Arial"/>
                <w:sz w:val="16"/>
                <w:szCs w:val="16"/>
                <w:color w:val="auto"/>
              </w:rPr>
              <w:t>2014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center"/>
              <w:spacing w:after="0"/>
              <w:rPr>
                <w:sz w:val="20"/>
                <w:szCs w:val="20"/>
                <w:color w:val="auto"/>
              </w:rPr>
            </w:pPr>
            <w:r>
              <w:rPr>
                <w:rFonts w:ascii="Arial" w:cs="Arial" w:eastAsia="Arial" w:hAnsi="Arial"/>
                <w:sz w:val="16"/>
                <w:szCs w:val="16"/>
                <w:color w:val="auto"/>
                <w:w w:val="93"/>
              </w:rPr>
              <w:t>155,000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Spot Market</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rPr>
              <w:t>TFDE</w:t>
            </w:r>
          </w:p>
        </w:tc>
        <w:tc>
          <w:tcPr>
            <w:tcW w:w="21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3</w:t>
            </w:r>
          </w:p>
        </w:tc>
        <w:tc>
          <w:tcPr>
            <w:tcW w:w="3060" w:type="dxa"/>
            <w:vAlign w:val="bottom"/>
            <w:gridSpan w:val="3"/>
            <w:shd w:val="clear" w:color="auto" w:fill="E5FFFF"/>
          </w:tcPr>
          <w:p>
            <w:pPr>
              <w:ind w:left="80"/>
              <w:spacing w:after="0"/>
              <w:rPr>
                <w:sz w:val="20"/>
                <w:szCs w:val="20"/>
                <w:color w:val="auto"/>
              </w:rPr>
            </w:pPr>
            <w:r>
              <w:rPr>
                <w:rFonts w:ascii="Arial" w:cs="Arial" w:eastAsia="Arial" w:hAnsi="Arial"/>
                <w:sz w:val="16"/>
                <w:szCs w:val="16"/>
                <w:i w:val="1"/>
                <w:iCs w:val="1"/>
                <w:color w:val="auto"/>
              </w:rPr>
              <w:t>GasLog Salem</w:t>
            </w:r>
          </w:p>
        </w:tc>
        <w:tc>
          <w:tcPr>
            <w:tcW w:w="600" w:type="dxa"/>
            <w:vAlign w:val="bottom"/>
            <w:gridSpan w:val="2"/>
            <w:shd w:val="clear" w:color="auto" w:fill="E5FFFF"/>
          </w:tcPr>
          <w:p>
            <w:pPr>
              <w:ind w:left="140"/>
              <w:spacing w:after="0"/>
              <w:rPr>
                <w:sz w:val="20"/>
                <w:szCs w:val="20"/>
                <w:color w:val="auto"/>
              </w:rPr>
            </w:pPr>
            <w:r>
              <w:rPr>
                <w:rFonts w:ascii="Arial" w:cs="Arial" w:eastAsia="Arial" w:hAnsi="Arial"/>
                <w:sz w:val="16"/>
                <w:szCs w:val="16"/>
                <w:color w:val="auto"/>
              </w:rPr>
              <w:t>2015</w:t>
            </w:r>
          </w:p>
        </w:tc>
        <w:tc>
          <w:tcPr>
            <w:tcW w:w="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980" w:type="dxa"/>
            <w:vAlign w:val="bottom"/>
            <w:gridSpan w:val="2"/>
            <w:shd w:val="clear" w:color="auto" w:fill="E5FFFF"/>
          </w:tcPr>
          <w:p>
            <w:pPr>
              <w:jc w:val="center"/>
              <w:spacing w:after="0"/>
              <w:rPr>
                <w:sz w:val="20"/>
                <w:szCs w:val="20"/>
                <w:color w:val="auto"/>
              </w:rPr>
            </w:pPr>
            <w:r>
              <w:rPr>
                <w:rFonts w:ascii="Arial" w:cs="Arial" w:eastAsia="Arial" w:hAnsi="Arial"/>
                <w:sz w:val="16"/>
                <w:szCs w:val="16"/>
                <w:color w:val="auto"/>
                <w:w w:val="93"/>
              </w:rPr>
              <w:t>155,000</w:t>
            </w:r>
          </w:p>
        </w:tc>
        <w:tc>
          <w:tcPr>
            <w:tcW w:w="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600" w:type="dxa"/>
            <w:vAlign w:val="bottom"/>
            <w:gridSpan w:val="2"/>
            <w:shd w:val="clear" w:color="auto" w:fill="E5FFFF"/>
          </w:tcPr>
          <w:p>
            <w:pPr>
              <w:jc w:val="center"/>
              <w:ind w:right="100"/>
              <w:spacing w:after="0" w:line="203" w:lineRule="exact"/>
              <w:rPr>
                <w:sz w:val="20"/>
                <w:szCs w:val="20"/>
                <w:color w:val="auto"/>
              </w:rPr>
            </w:pPr>
            <w:r>
              <w:rPr>
                <w:rFonts w:ascii="Arial" w:cs="Arial" w:eastAsia="Arial" w:hAnsi="Arial"/>
                <w:sz w:val="16"/>
                <w:szCs w:val="16"/>
                <w:color w:val="auto"/>
                <w:w w:val="89"/>
              </w:rPr>
              <w:t>Gunvor</w:t>
            </w:r>
            <w:r>
              <w:rPr>
                <w:rFonts w:ascii="Arial" w:cs="Arial" w:eastAsia="Arial" w:hAnsi="Arial"/>
                <w:sz w:val="21"/>
                <w:szCs w:val="21"/>
                <w:color w:val="auto"/>
                <w:w w:val="89"/>
                <w:vertAlign w:val="superscript"/>
              </w:rPr>
              <w:t>(5)</w:t>
            </w:r>
          </w:p>
        </w:tc>
        <w:tc>
          <w:tcPr>
            <w:tcW w:w="124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rPr>
              <w:t>TFDE</w:t>
            </w:r>
          </w:p>
        </w:tc>
        <w:tc>
          <w:tcPr>
            <w:tcW w:w="210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4"/>
              </w:rPr>
              <w:t>March 2020</w:t>
            </w:r>
          </w:p>
        </w:tc>
        <w:tc>
          <w:tcPr>
            <w:tcW w:w="12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20"/>
                <w:szCs w:val="20"/>
                <w:color w:val="auto"/>
              </w:rPr>
            </w:pPr>
            <w:r>
              <w:rPr>
                <w:rFonts w:ascii="Arial" w:cs="Arial" w:eastAsia="Arial" w:hAnsi="Arial"/>
                <w:sz w:val="16"/>
                <w:szCs w:val="16"/>
                <w:b w:val="1"/>
                <w:bCs w:val="1"/>
                <w:color w:val="auto"/>
              </w:rPr>
              <w:t>4</w:t>
            </w:r>
          </w:p>
        </w:tc>
        <w:tc>
          <w:tcPr>
            <w:tcW w:w="3060" w:type="dxa"/>
            <w:vAlign w:val="bottom"/>
            <w:gridSpan w:val="3"/>
          </w:tcPr>
          <w:p>
            <w:pPr>
              <w:ind w:left="80"/>
              <w:spacing w:after="0"/>
              <w:rPr>
                <w:sz w:val="20"/>
                <w:szCs w:val="20"/>
                <w:color w:val="auto"/>
              </w:rPr>
            </w:pPr>
            <w:r>
              <w:rPr>
                <w:rFonts w:ascii="Arial" w:cs="Arial" w:eastAsia="Arial" w:hAnsi="Arial"/>
                <w:sz w:val="16"/>
                <w:szCs w:val="16"/>
                <w:i w:val="1"/>
                <w:iCs w:val="1"/>
                <w:color w:val="auto"/>
              </w:rPr>
              <w:t>GasLog Savannah</w:t>
            </w:r>
          </w:p>
        </w:tc>
        <w:tc>
          <w:tcPr>
            <w:tcW w:w="600" w:type="dxa"/>
            <w:vAlign w:val="bottom"/>
            <w:gridSpan w:val="2"/>
          </w:tcPr>
          <w:p>
            <w:pPr>
              <w:ind w:left="140"/>
              <w:spacing w:after="0"/>
              <w:rPr>
                <w:sz w:val="20"/>
                <w:szCs w:val="20"/>
                <w:color w:val="auto"/>
              </w:rPr>
            </w:pPr>
            <w:r>
              <w:rPr>
                <w:rFonts w:ascii="Arial" w:cs="Arial" w:eastAsia="Arial" w:hAnsi="Arial"/>
                <w:sz w:val="16"/>
                <w:szCs w:val="16"/>
                <w:color w:val="auto"/>
              </w:rPr>
              <w:t>2010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center"/>
              <w:spacing w:after="0"/>
              <w:rPr>
                <w:sz w:val="20"/>
                <w:szCs w:val="20"/>
                <w:color w:val="auto"/>
              </w:rPr>
            </w:pPr>
            <w:r>
              <w:rPr>
                <w:rFonts w:ascii="Arial" w:cs="Arial" w:eastAsia="Arial" w:hAnsi="Arial"/>
                <w:sz w:val="16"/>
                <w:szCs w:val="16"/>
                <w:color w:val="auto"/>
                <w:w w:val="93"/>
              </w:rPr>
              <w:t>155,000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center"/>
              <w:ind w:right="100"/>
              <w:spacing w:after="0" w:line="203" w:lineRule="exact"/>
              <w:rPr>
                <w:sz w:val="20"/>
                <w:szCs w:val="20"/>
                <w:color w:val="auto"/>
              </w:rPr>
            </w:pPr>
            <w:r>
              <w:rPr>
                <w:rFonts w:ascii="Arial" w:cs="Arial" w:eastAsia="Arial" w:hAnsi="Arial"/>
                <w:sz w:val="16"/>
                <w:szCs w:val="16"/>
                <w:color w:val="auto"/>
                <w:w w:val="90"/>
              </w:rPr>
              <w:t>Spot Market</w:t>
            </w:r>
            <w:r>
              <w:rPr>
                <w:rFonts w:ascii="Arial" w:cs="Arial" w:eastAsia="Arial" w:hAnsi="Arial"/>
                <w:sz w:val="21"/>
                <w:szCs w:val="21"/>
                <w:color w:val="auto"/>
                <w:w w:val="90"/>
                <w:vertAlign w:val="superscript"/>
              </w:rPr>
              <w:t>(4)</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rPr>
              <w:t>TFDE</w:t>
            </w:r>
          </w:p>
        </w:tc>
        <w:tc>
          <w:tcPr>
            <w:tcW w:w="21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5</w:t>
            </w:r>
          </w:p>
        </w:tc>
        <w:tc>
          <w:tcPr>
            <w:tcW w:w="3060" w:type="dxa"/>
            <w:vAlign w:val="bottom"/>
            <w:gridSpan w:val="3"/>
            <w:shd w:val="clear" w:color="auto" w:fill="E5FFFF"/>
          </w:tcPr>
          <w:p>
            <w:pPr>
              <w:ind w:left="80"/>
              <w:spacing w:after="0"/>
              <w:rPr>
                <w:sz w:val="20"/>
                <w:szCs w:val="20"/>
                <w:color w:val="auto"/>
              </w:rPr>
            </w:pPr>
            <w:r>
              <w:rPr>
                <w:rFonts w:ascii="Arial" w:cs="Arial" w:eastAsia="Arial" w:hAnsi="Arial"/>
                <w:sz w:val="16"/>
                <w:szCs w:val="16"/>
                <w:i w:val="1"/>
                <w:iCs w:val="1"/>
                <w:color w:val="auto"/>
              </w:rPr>
              <w:t>GasLog Skagen</w:t>
            </w:r>
          </w:p>
        </w:tc>
        <w:tc>
          <w:tcPr>
            <w:tcW w:w="600" w:type="dxa"/>
            <w:vAlign w:val="bottom"/>
            <w:gridSpan w:val="2"/>
            <w:shd w:val="clear" w:color="auto" w:fill="E5FFFF"/>
          </w:tcPr>
          <w:p>
            <w:pPr>
              <w:ind w:left="140"/>
              <w:spacing w:after="0"/>
              <w:rPr>
                <w:sz w:val="20"/>
                <w:szCs w:val="20"/>
                <w:color w:val="auto"/>
              </w:rPr>
            </w:pPr>
            <w:r>
              <w:rPr>
                <w:rFonts w:ascii="Arial" w:cs="Arial" w:eastAsia="Arial" w:hAnsi="Arial"/>
                <w:sz w:val="16"/>
                <w:szCs w:val="16"/>
                <w:color w:val="auto"/>
              </w:rPr>
              <w:t>2013</w:t>
            </w:r>
          </w:p>
        </w:tc>
        <w:tc>
          <w:tcPr>
            <w:tcW w:w="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980" w:type="dxa"/>
            <w:vAlign w:val="bottom"/>
            <w:gridSpan w:val="2"/>
            <w:shd w:val="clear" w:color="auto" w:fill="E5FFFF"/>
          </w:tcPr>
          <w:p>
            <w:pPr>
              <w:jc w:val="center"/>
              <w:spacing w:after="0"/>
              <w:rPr>
                <w:sz w:val="20"/>
                <w:szCs w:val="20"/>
                <w:color w:val="auto"/>
              </w:rPr>
            </w:pPr>
            <w:r>
              <w:rPr>
                <w:rFonts w:ascii="Arial" w:cs="Arial" w:eastAsia="Arial" w:hAnsi="Arial"/>
                <w:sz w:val="16"/>
                <w:szCs w:val="16"/>
                <w:color w:val="auto"/>
                <w:w w:val="93"/>
              </w:rPr>
              <w:t>155,000</w:t>
            </w:r>
          </w:p>
        </w:tc>
        <w:tc>
          <w:tcPr>
            <w:tcW w:w="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600" w:type="dxa"/>
            <w:vAlign w:val="bottom"/>
            <w:gridSpan w:val="2"/>
            <w:shd w:val="clear" w:color="auto" w:fill="E5FFFF"/>
          </w:tcPr>
          <w:p>
            <w:pPr>
              <w:jc w:val="center"/>
              <w:ind w:right="100"/>
              <w:spacing w:after="0" w:line="203" w:lineRule="exact"/>
              <w:rPr>
                <w:sz w:val="20"/>
                <w:szCs w:val="20"/>
                <w:color w:val="auto"/>
              </w:rPr>
            </w:pPr>
            <w:r>
              <w:rPr>
                <w:rFonts w:ascii="Arial" w:cs="Arial" w:eastAsia="Arial" w:hAnsi="Arial"/>
                <w:sz w:val="16"/>
                <w:szCs w:val="16"/>
                <w:color w:val="auto"/>
                <w:w w:val="90"/>
              </w:rPr>
              <w:t>Spot Market</w:t>
            </w:r>
            <w:r>
              <w:rPr>
                <w:rFonts w:ascii="Arial" w:cs="Arial" w:eastAsia="Arial" w:hAnsi="Arial"/>
                <w:sz w:val="21"/>
                <w:szCs w:val="21"/>
                <w:color w:val="auto"/>
                <w:w w:val="90"/>
                <w:vertAlign w:val="superscript"/>
              </w:rPr>
              <w:t>(4)</w:t>
            </w:r>
          </w:p>
        </w:tc>
        <w:tc>
          <w:tcPr>
            <w:tcW w:w="124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rPr>
              <w:t>TFDE</w:t>
            </w:r>
          </w:p>
        </w:tc>
        <w:tc>
          <w:tcPr>
            <w:tcW w:w="210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9"/>
              </w:rPr>
              <w:t>—</w:t>
            </w:r>
          </w:p>
        </w:tc>
        <w:tc>
          <w:tcPr>
            <w:tcW w:w="12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20"/>
                <w:szCs w:val="20"/>
                <w:color w:val="auto"/>
              </w:rPr>
            </w:pPr>
            <w:r>
              <w:rPr>
                <w:rFonts w:ascii="Arial" w:cs="Arial" w:eastAsia="Arial" w:hAnsi="Arial"/>
                <w:sz w:val="16"/>
                <w:szCs w:val="16"/>
                <w:b w:val="1"/>
                <w:bCs w:val="1"/>
                <w:color w:val="auto"/>
              </w:rPr>
              <w:t>6</w:t>
            </w:r>
          </w:p>
        </w:tc>
        <w:tc>
          <w:tcPr>
            <w:tcW w:w="3060" w:type="dxa"/>
            <w:vAlign w:val="bottom"/>
            <w:gridSpan w:val="3"/>
          </w:tcPr>
          <w:p>
            <w:pPr>
              <w:ind w:left="80"/>
              <w:spacing w:after="0"/>
              <w:rPr>
                <w:sz w:val="20"/>
                <w:szCs w:val="20"/>
                <w:color w:val="auto"/>
              </w:rPr>
            </w:pPr>
            <w:r>
              <w:rPr>
                <w:rFonts w:ascii="Arial" w:cs="Arial" w:eastAsia="Arial" w:hAnsi="Arial"/>
                <w:sz w:val="16"/>
                <w:szCs w:val="16"/>
                <w:i w:val="1"/>
                <w:iCs w:val="1"/>
                <w:color w:val="auto"/>
              </w:rPr>
              <w:t>Methane Lydon Volney</w:t>
            </w:r>
          </w:p>
        </w:tc>
        <w:tc>
          <w:tcPr>
            <w:tcW w:w="600" w:type="dxa"/>
            <w:vAlign w:val="bottom"/>
            <w:gridSpan w:val="2"/>
          </w:tcPr>
          <w:p>
            <w:pPr>
              <w:ind w:left="140"/>
              <w:spacing w:after="0"/>
              <w:rPr>
                <w:sz w:val="20"/>
                <w:szCs w:val="20"/>
                <w:color w:val="auto"/>
              </w:rPr>
            </w:pPr>
            <w:r>
              <w:rPr>
                <w:rFonts w:ascii="Arial" w:cs="Arial" w:eastAsia="Arial" w:hAnsi="Arial"/>
                <w:sz w:val="16"/>
                <w:szCs w:val="16"/>
                <w:color w:val="auto"/>
              </w:rPr>
              <w:t>2006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center"/>
              <w:spacing w:after="0"/>
              <w:rPr>
                <w:sz w:val="20"/>
                <w:szCs w:val="20"/>
                <w:color w:val="auto"/>
              </w:rPr>
            </w:pPr>
            <w:r>
              <w:rPr>
                <w:rFonts w:ascii="Arial" w:cs="Arial" w:eastAsia="Arial" w:hAnsi="Arial"/>
                <w:sz w:val="16"/>
                <w:szCs w:val="16"/>
                <w:color w:val="auto"/>
                <w:w w:val="93"/>
              </w:rPr>
              <w:t>145,000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Shell</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Steam</w:t>
            </w:r>
          </w:p>
        </w:tc>
        <w:tc>
          <w:tcPr>
            <w:tcW w:w="210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October 2020</w:t>
            </w: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20" w:type="dxa"/>
            <w:vAlign w:val="bottom"/>
            <w:vMerge w:val="restart"/>
            <w:shd w:val="clear" w:color="auto" w:fill="E5FFFF"/>
          </w:tcPr>
          <w:p>
            <w:pPr>
              <w:spacing w:after="0"/>
              <w:rPr>
                <w:sz w:val="20"/>
                <w:szCs w:val="20"/>
                <w:color w:val="auto"/>
              </w:rPr>
            </w:pPr>
            <w:r>
              <w:rPr>
                <w:rFonts w:ascii="Arial" w:cs="Arial" w:eastAsia="Arial" w:hAnsi="Arial"/>
                <w:sz w:val="16"/>
                <w:szCs w:val="16"/>
                <w:b w:val="1"/>
                <w:bCs w:val="1"/>
                <w:color w:val="auto"/>
              </w:rPr>
              <w:t>7</w:t>
            </w:r>
          </w:p>
        </w:tc>
        <w:tc>
          <w:tcPr>
            <w:tcW w:w="3060" w:type="dxa"/>
            <w:vAlign w:val="bottom"/>
            <w:gridSpan w:val="3"/>
            <w:vMerge w:val="restart"/>
            <w:shd w:val="clear" w:color="auto" w:fill="E5FFFF"/>
          </w:tcPr>
          <w:p>
            <w:pPr>
              <w:ind w:left="80"/>
              <w:spacing w:after="0"/>
              <w:rPr>
                <w:sz w:val="20"/>
                <w:szCs w:val="20"/>
                <w:color w:val="auto"/>
              </w:rPr>
            </w:pPr>
            <w:r>
              <w:rPr>
                <w:rFonts w:ascii="Arial" w:cs="Arial" w:eastAsia="Arial" w:hAnsi="Arial"/>
                <w:sz w:val="16"/>
                <w:szCs w:val="16"/>
                <w:i w:val="1"/>
                <w:iCs w:val="1"/>
                <w:color w:val="auto"/>
              </w:rPr>
              <w:t>GasLog Warsaw</w:t>
            </w:r>
          </w:p>
        </w:tc>
        <w:tc>
          <w:tcPr>
            <w:tcW w:w="600" w:type="dxa"/>
            <w:vAlign w:val="bottom"/>
            <w:gridSpan w:val="2"/>
            <w:vMerge w:val="restart"/>
            <w:shd w:val="clear" w:color="auto" w:fill="E5FFFF"/>
          </w:tcPr>
          <w:p>
            <w:pPr>
              <w:ind w:left="140"/>
              <w:spacing w:after="0"/>
              <w:rPr>
                <w:sz w:val="20"/>
                <w:szCs w:val="20"/>
                <w:color w:val="auto"/>
              </w:rPr>
            </w:pPr>
            <w:r>
              <w:rPr>
                <w:rFonts w:ascii="Arial" w:cs="Arial" w:eastAsia="Arial" w:hAnsi="Arial"/>
                <w:sz w:val="16"/>
                <w:szCs w:val="16"/>
                <w:color w:val="auto"/>
              </w:rPr>
              <w:t>2019</w:t>
            </w:r>
          </w:p>
        </w:tc>
        <w:tc>
          <w:tcPr>
            <w:tcW w:w="40" w:type="dxa"/>
            <w:vAlign w:val="bottom"/>
            <w:shd w:val="clear" w:color="auto" w:fill="E5FFFF"/>
          </w:tcPr>
          <w:p>
            <w:pPr>
              <w:spacing w:after="0"/>
              <w:rPr>
                <w:sz w:val="16"/>
                <w:szCs w:val="16"/>
                <w:color w:val="auto"/>
              </w:rPr>
            </w:pPr>
          </w:p>
        </w:tc>
        <w:tc>
          <w:tcPr>
            <w:tcW w:w="80" w:type="dxa"/>
            <w:vAlign w:val="bottom"/>
            <w:shd w:val="clear" w:color="auto" w:fill="E5FFFF"/>
          </w:tcPr>
          <w:p>
            <w:pPr>
              <w:spacing w:after="0"/>
              <w:rPr>
                <w:sz w:val="16"/>
                <w:szCs w:val="16"/>
                <w:color w:val="auto"/>
              </w:rPr>
            </w:pPr>
          </w:p>
        </w:tc>
        <w:tc>
          <w:tcPr>
            <w:tcW w:w="980" w:type="dxa"/>
            <w:vAlign w:val="bottom"/>
            <w:gridSpan w:val="2"/>
            <w:vMerge w:val="restart"/>
            <w:shd w:val="clear" w:color="auto" w:fill="E5FFFF"/>
          </w:tcPr>
          <w:p>
            <w:pPr>
              <w:jc w:val="center"/>
              <w:spacing w:after="0"/>
              <w:rPr>
                <w:sz w:val="20"/>
                <w:szCs w:val="20"/>
                <w:color w:val="auto"/>
              </w:rPr>
            </w:pPr>
            <w:r>
              <w:rPr>
                <w:rFonts w:ascii="Arial" w:cs="Arial" w:eastAsia="Arial" w:hAnsi="Arial"/>
                <w:sz w:val="16"/>
                <w:szCs w:val="16"/>
                <w:color w:val="auto"/>
                <w:w w:val="93"/>
              </w:rPr>
              <w:t>180,000</w:t>
            </w:r>
          </w:p>
        </w:tc>
        <w:tc>
          <w:tcPr>
            <w:tcW w:w="2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160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89"/>
              </w:rPr>
              <w:t>Cheniere</w:t>
            </w:r>
          </w:p>
        </w:tc>
        <w:tc>
          <w:tcPr>
            <w:tcW w:w="1240" w:type="dxa"/>
            <w:vAlign w:val="bottom"/>
            <w:gridSpan w:val="2"/>
            <w:vMerge w:val="restart"/>
            <w:shd w:val="clear" w:color="auto" w:fill="E5FFFF"/>
          </w:tcPr>
          <w:p>
            <w:pPr>
              <w:jc w:val="center"/>
              <w:ind w:right="100"/>
              <w:spacing w:after="0"/>
              <w:rPr>
                <w:sz w:val="20"/>
                <w:szCs w:val="20"/>
                <w:color w:val="auto"/>
              </w:rPr>
            </w:pPr>
            <w:r>
              <w:rPr>
                <w:rFonts w:ascii="Arial" w:cs="Arial" w:eastAsia="Arial" w:hAnsi="Arial"/>
                <w:sz w:val="16"/>
                <w:szCs w:val="16"/>
                <w:color w:val="auto"/>
              </w:rPr>
              <w:t>X-DF</w:t>
            </w:r>
          </w:p>
        </w:tc>
        <w:tc>
          <w:tcPr>
            <w:tcW w:w="210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3"/>
              </w:rPr>
              <w:t>May 2021</w:t>
            </w:r>
          </w:p>
        </w:tc>
        <w:tc>
          <w:tcPr>
            <w:tcW w:w="12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8"/>
        </w:trPr>
        <w:tc>
          <w:tcPr>
            <w:tcW w:w="320" w:type="dxa"/>
            <w:vAlign w:val="bottom"/>
            <w:vMerge w:val="continue"/>
            <w:shd w:val="clear" w:color="auto" w:fill="E5FFFF"/>
          </w:tcPr>
          <w:p>
            <w:pPr>
              <w:spacing w:after="0"/>
              <w:rPr>
                <w:sz w:val="8"/>
                <w:szCs w:val="8"/>
                <w:color w:val="auto"/>
              </w:rPr>
            </w:pPr>
          </w:p>
        </w:tc>
        <w:tc>
          <w:tcPr>
            <w:tcW w:w="3060" w:type="dxa"/>
            <w:vAlign w:val="bottom"/>
            <w:gridSpan w:val="3"/>
            <w:vMerge w:val="continue"/>
            <w:shd w:val="clear" w:color="auto" w:fill="E5FFFF"/>
          </w:tcPr>
          <w:p>
            <w:pPr>
              <w:spacing w:after="0"/>
              <w:rPr>
                <w:sz w:val="8"/>
                <w:szCs w:val="8"/>
                <w:color w:val="auto"/>
              </w:rPr>
            </w:pPr>
          </w:p>
        </w:tc>
        <w:tc>
          <w:tcPr>
            <w:tcW w:w="600" w:type="dxa"/>
            <w:vAlign w:val="bottom"/>
            <w:gridSpan w:val="2"/>
            <w:vMerge w:val="continue"/>
            <w:shd w:val="clear" w:color="auto" w:fill="E5FFFF"/>
          </w:tcPr>
          <w:p>
            <w:pPr>
              <w:spacing w:after="0"/>
              <w:rPr>
                <w:sz w:val="8"/>
                <w:szCs w:val="8"/>
                <w:color w:val="auto"/>
              </w:rPr>
            </w:pPr>
          </w:p>
        </w:tc>
        <w:tc>
          <w:tcPr>
            <w:tcW w:w="40" w:type="dxa"/>
            <w:vAlign w:val="bottom"/>
            <w:shd w:val="clear" w:color="auto" w:fill="E5FFFF"/>
          </w:tcPr>
          <w:p>
            <w:pPr>
              <w:spacing w:after="0"/>
              <w:rPr>
                <w:sz w:val="8"/>
                <w:szCs w:val="8"/>
                <w:color w:val="auto"/>
              </w:rPr>
            </w:pPr>
          </w:p>
        </w:tc>
        <w:tc>
          <w:tcPr>
            <w:tcW w:w="80" w:type="dxa"/>
            <w:vAlign w:val="bottom"/>
            <w:shd w:val="clear" w:color="auto" w:fill="E5FFFF"/>
          </w:tcPr>
          <w:p>
            <w:pPr>
              <w:spacing w:after="0"/>
              <w:rPr>
                <w:sz w:val="8"/>
                <w:szCs w:val="8"/>
                <w:color w:val="auto"/>
              </w:rPr>
            </w:pPr>
          </w:p>
        </w:tc>
        <w:tc>
          <w:tcPr>
            <w:tcW w:w="980" w:type="dxa"/>
            <w:vAlign w:val="bottom"/>
            <w:gridSpan w:val="2"/>
            <w:vMerge w:val="continue"/>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100" w:type="dxa"/>
            <w:vAlign w:val="bottom"/>
            <w:shd w:val="clear" w:color="auto" w:fill="E5FFFF"/>
          </w:tcPr>
          <w:p>
            <w:pPr>
              <w:spacing w:after="0"/>
              <w:rPr>
                <w:sz w:val="8"/>
                <w:szCs w:val="8"/>
                <w:color w:val="auto"/>
              </w:rPr>
            </w:pPr>
          </w:p>
        </w:tc>
        <w:tc>
          <w:tcPr>
            <w:tcW w:w="1600" w:type="dxa"/>
            <w:vAlign w:val="bottom"/>
            <w:gridSpan w:val="2"/>
            <w:vMerge w:val="restart"/>
            <w:shd w:val="clear" w:color="auto" w:fill="E5FFFF"/>
          </w:tcPr>
          <w:p>
            <w:pPr>
              <w:jc w:val="center"/>
              <w:ind w:right="100"/>
              <w:spacing w:after="0"/>
              <w:rPr>
                <w:sz w:val="20"/>
                <w:szCs w:val="20"/>
                <w:color w:val="auto"/>
              </w:rPr>
            </w:pPr>
            <w:r>
              <w:rPr>
                <w:rFonts w:ascii="Arial" w:cs="Arial" w:eastAsia="Arial" w:hAnsi="Arial"/>
                <w:sz w:val="16"/>
                <w:szCs w:val="16"/>
                <w:color w:val="auto"/>
                <w:w w:val="84"/>
              </w:rPr>
              <w:t>Endesa</w:t>
            </w:r>
          </w:p>
        </w:tc>
        <w:tc>
          <w:tcPr>
            <w:tcW w:w="1240" w:type="dxa"/>
            <w:vAlign w:val="bottom"/>
            <w:gridSpan w:val="2"/>
            <w:vMerge w:val="continue"/>
            <w:shd w:val="clear" w:color="auto" w:fill="E5FFFF"/>
          </w:tcPr>
          <w:p>
            <w:pPr>
              <w:spacing w:after="0"/>
              <w:rPr>
                <w:sz w:val="8"/>
                <w:szCs w:val="8"/>
                <w:color w:val="auto"/>
              </w:rPr>
            </w:pPr>
          </w:p>
        </w:tc>
        <w:tc>
          <w:tcPr>
            <w:tcW w:w="2100" w:type="dxa"/>
            <w:vAlign w:val="bottom"/>
            <w:gridSpan w:val="2"/>
            <w:vMerge w:val="restart"/>
            <w:shd w:val="clear" w:color="auto" w:fill="E5FFFF"/>
          </w:tcPr>
          <w:p>
            <w:pPr>
              <w:jc w:val="center"/>
              <w:ind w:right="120"/>
              <w:spacing w:after="0"/>
              <w:rPr>
                <w:sz w:val="20"/>
                <w:szCs w:val="20"/>
                <w:color w:val="auto"/>
              </w:rPr>
            </w:pPr>
            <w:r>
              <w:rPr>
                <w:rFonts w:ascii="Arial" w:cs="Arial" w:eastAsia="Arial" w:hAnsi="Arial"/>
                <w:sz w:val="16"/>
                <w:szCs w:val="16"/>
                <w:color w:val="auto"/>
                <w:w w:val="93"/>
              </w:rPr>
              <w:t>May 2029</w:t>
            </w:r>
          </w:p>
        </w:tc>
        <w:tc>
          <w:tcPr>
            <w:tcW w:w="1280" w:type="dxa"/>
            <w:vAlign w:val="bottom"/>
            <w:vMerge w:val="restart"/>
            <w:shd w:val="clear" w:color="auto" w:fill="E5FFFF"/>
          </w:tcPr>
          <w:p>
            <w:pPr>
              <w:jc w:val="center"/>
              <w:spacing w:after="0"/>
              <w:rPr>
                <w:sz w:val="20"/>
                <w:szCs w:val="20"/>
                <w:color w:val="auto"/>
              </w:rPr>
            </w:pPr>
            <w:r>
              <w:rPr>
                <w:rFonts w:ascii="Arial" w:cs="Arial" w:eastAsia="Arial" w:hAnsi="Arial"/>
                <w:sz w:val="16"/>
                <w:szCs w:val="16"/>
                <w:color w:val="auto"/>
                <w:w w:val="91"/>
              </w:rPr>
              <w:t>2035-2041</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320" w:type="dxa"/>
            <w:vAlign w:val="bottom"/>
            <w:shd w:val="clear" w:color="auto" w:fill="E5FFFF"/>
          </w:tcPr>
          <w:p>
            <w:pPr>
              <w:spacing w:after="0"/>
              <w:rPr>
                <w:sz w:val="9"/>
                <w:szCs w:val="9"/>
                <w:color w:val="auto"/>
              </w:rPr>
            </w:pPr>
          </w:p>
        </w:tc>
        <w:tc>
          <w:tcPr>
            <w:tcW w:w="2880" w:type="dxa"/>
            <w:vAlign w:val="bottom"/>
            <w:shd w:val="clear" w:color="auto" w:fill="E5FFFF"/>
          </w:tcPr>
          <w:p>
            <w:pPr>
              <w:spacing w:after="0"/>
              <w:rPr>
                <w:sz w:val="9"/>
                <w:szCs w:val="9"/>
                <w:color w:val="auto"/>
              </w:rPr>
            </w:pPr>
          </w:p>
        </w:tc>
        <w:tc>
          <w:tcPr>
            <w:tcW w:w="6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60" w:type="dxa"/>
            <w:vAlign w:val="bottom"/>
            <w:shd w:val="clear" w:color="auto" w:fill="E5FFFF"/>
          </w:tcPr>
          <w:p>
            <w:pPr>
              <w:spacing w:after="0"/>
              <w:rPr>
                <w:sz w:val="9"/>
                <w:szCs w:val="9"/>
                <w:color w:val="auto"/>
              </w:rPr>
            </w:pPr>
          </w:p>
        </w:tc>
        <w:tc>
          <w:tcPr>
            <w:tcW w:w="540" w:type="dxa"/>
            <w:vAlign w:val="bottom"/>
            <w:shd w:val="clear" w:color="auto" w:fill="E5FFFF"/>
          </w:tcPr>
          <w:p>
            <w:pPr>
              <w:spacing w:after="0"/>
              <w:rPr>
                <w:sz w:val="9"/>
                <w:szCs w:val="9"/>
                <w:color w:val="auto"/>
              </w:rPr>
            </w:pPr>
          </w:p>
        </w:tc>
        <w:tc>
          <w:tcPr>
            <w:tcW w:w="40" w:type="dxa"/>
            <w:vAlign w:val="bottom"/>
            <w:shd w:val="clear" w:color="auto" w:fill="E5FFFF"/>
          </w:tcPr>
          <w:p>
            <w:pPr>
              <w:spacing w:after="0"/>
              <w:rPr>
                <w:sz w:val="9"/>
                <w:szCs w:val="9"/>
                <w:color w:val="auto"/>
              </w:rPr>
            </w:pPr>
          </w:p>
        </w:tc>
        <w:tc>
          <w:tcPr>
            <w:tcW w:w="8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96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100" w:type="dxa"/>
            <w:vAlign w:val="bottom"/>
            <w:shd w:val="clear" w:color="auto" w:fill="E5FFFF"/>
          </w:tcPr>
          <w:p>
            <w:pPr>
              <w:spacing w:after="0"/>
              <w:rPr>
                <w:sz w:val="9"/>
                <w:szCs w:val="9"/>
                <w:color w:val="auto"/>
              </w:rPr>
            </w:pPr>
          </w:p>
        </w:tc>
        <w:tc>
          <w:tcPr>
            <w:tcW w:w="1600" w:type="dxa"/>
            <w:vAlign w:val="bottom"/>
            <w:gridSpan w:val="2"/>
            <w:vMerge w:val="continue"/>
            <w:shd w:val="clear" w:color="auto" w:fill="E5FFFF"/>
          </w:tcPr>
          <w:p>
            <w:pPr>
              <w:spacing w:after="0"/>
              <w:rPr>
                <w:sz w:val="9"/>
                <w:szCs w:val="9"/>
                <w:color w:val="auto"/>
              </w:rPr>
            </w:pPr>
          </w:p>
        </w:tc>
        <w:tc>
          <w:tcPr>
            <w:tcW w:w="1140" w:type="dxa"/>
            <w:vAlign w:val="bottom"/>
            <w:shd w:val="clear" w:color="auto" w:fill="E5FFFF"/>
          </w:tcPr>
          <w:p>
            <w:pPr>
              <w:spacing w:after="0"/>
              <w:rPr>
                <w:sz w:val="9"/>
                <w:szCs w:val="9"/>
                <w:color w:val="auto"/>
              </w:rPr>
            </w:pPr>
          </w:p>
        </w:tc>
        <w:tc>
          <w:tcPr>
            <w:tcW w:w="100" w:type="dxa"/>
            <w:vAlign w:val="bottom"/>
            <w:shd w:val="clear" w:color="auto" w:fill="E5FFFF"/>
          </w:tcPr>
          <w:p>
            <w:pPr>
              <w:spacing w:after="0"/>
              <w:rPr>
                <w:sz w:val="9"/>
                <w:szCs w:val="9"/>
                <w:color w:val="auto"/>
              </w:rPr>
            </w:pPr>
          </w:p>
        </w:tc>
        <w:tc>
          <w:tcPr>
            <w:tcW w:w="2100" w:type="dxa"/>
            <w:vAlign w:val="bottom"/>
            <w:gridSpan w:val="2"/>
            <w:vMerge w:val="continue"/>
            <w:shd w:val="clear" w:color="auto" w:fill="E5FFFF"/>
          </w:tcPr>
          <w:p>
            <w:pPr>
              <w:spacing w:after="0"/>
              <w:rPr>
                <w:sz w:val="9"/>
                <w:szCs w:val="9"/>
                <w:color w:val="auto"/>
              </w:rPr>
            </w:pPr>
          </w:p>
        </w:tc>
        <w:tc>
          <w:tcPr>
            <w:tcW w:w="1280" w:type="dxa"/>
            <w:vAlign w:val="bottom"/>
            <w:vMerge w:val="continue"/>
            <w:shd w:val="clear" w:color="auto" w:fill="E5FF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20"/>
                <w:szCs w:val="20"/>
                <w:color w:val="auto"/>
              </w:rPr>
            </w:pPr>
            <w:r>
              <w:rPr>
                <w:rFonts w:ascii="Arial" w:cs="Arial" w:eastAsia="Arial" w:hAnsi="Arial"/>
                <w:sz w:val="16"/>
                <w:szCs w:val="16"/>
                <w:b w:val="1"/>
                <w:bCs w:val="1"/>
                <w:color w:val="auto"/>
              </w:rPr>
              <w:t>8</w:t>
            </w:r>
          </w:p>
        </w:tc>
        <w:tc>
          <w:tcPr>
            <w:tcW w:w="3060" w:type="dxa"/>
            <w:vAlign w:val="bottom"/>
            <w:gridSpan w:val="3"/>
          </w:tcPr>
          <w:p>
            <w:pPr>
              <w:ind w:left="80"/>
              <w:spacing w:after="0"/>
              <w:rPr>
                <w:sz w:val="20"/>
                <w:szCs w:val="20"/>
                <w:color w:val="auto"/>
              </w:rPr>
            </w:pPr>
            <w:r>
              <w:rPr>
                <w:rFonts w:ascii="Arial" w:cs="Arial" w:eastAsia="Arial" w:hAnsi="Arial"/>
                <w:sz w:val="16"/>
                <w:szCs w:val="16"/>
                <w:i w:val="1"/>
                <w:iCs w:val="1"/>
                <w:color w:val="auto"/>
              </w:rPr>
              <w:t>GasLog Hong Kong</w:t>
            </w:r>
          </w:p>
        </w:tc>
        <w:tc>
          <w:tcPr>
            <w:tcW w:w="600" w:type="dxa"/>
            <w:vAlign w:val="bottom"/>
            <w:gridSpan w:val="2"/>
          </w:tcPr>
          <w:p>
            <w:pPr>
              <w:ind w:left="140"/>
              <w:spacing w:after="0"/>
              <w:rPr>
                <w:sz w:val="20"/>
                <w:szCs w:val="20"/>
                <w:color w:val="auto"/>
              </w:rPr>
            </w:pPr>
            <w:r>
              <w:rPr>
                <w:rFonts w:ascii="Arial" w:cs="Arial" w:eastAsia="Arial" w:hAnsi="Arial"/>
                <w:sz w:val="16"/>
                <w:szCs w:val="16"/>
                <w:color w:val="auto"/>
              </w:rPr>
              <w:t>2018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center"/>
              <w:spacing w:after="0"/>
              <w:rPr>
                <w:sz w:val="20"/>
                <w:szCs w:val="20"/>
                <w:color w:val="auto"/>
              </w:rPr>
            </w:pPr>
            <w:r>
              <w:rPr>
                <w:rFonts w:ascii="Arial" w:cs="Arial" w:eastAsia="Arial" w:hAnsi="Arial"/>
                <w:sz w:val="16"/>
                <w:szCs w:val="16"/>
                <w:color w:val="auto"/>
                <w:w w:val="93"/>
              </w:rPr>
              <w:t>174,000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center"/>
              <w:ind w:right="100"/>
              <w:spacing w:after="0" w:line="203" w:lineRule="exact"/>
              <w:rPr>
                <w:sz w:val="20"/>
                <w:szCs w:val="20"/>
                <w:color w:val="auto"/>
              </w:rPr>
            </w:pPr>
            <w:r>
              <w:rPr>
                <w:rFonts w:ascii="Arial" w:cs="Arial" w:eastAsia="Arial" w:hAnsi="Arial"/>
                <w:sz w:val="16"/>
                <w:szCs w:val="16"/>
                <w:color w:val="auto"/>
                <w:w w:val="87"/>
              </w:rPr>
              <w:t>Total</w:t>
            </w:r>
            <w:r>
              <w:rPr>
                <w:rFonts w:ascii="Arial" w:cs="Arial" w:eastAsia="Arial" w:hAnsi="Arial"/>
                <w:sz w:val="21"/>
                <w:szCs w:val="21"/>
                <w:color w:val="auto"/>
                <w:w w:val="87"/>
                <w:vertAlign w:val="superscript"/>
              </w:rPr>
              <w:t>(6)</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rPr>
              <w:t>X-DF</w:t>
            </w:r>
          </w:p>
        </w:tc>
        <w:tc>
          <w:tcPr>
            <w:tcW w:w="210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December 2025</w:t>
            </w: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2028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9</w:t>
            </w:r>
          </w:p>
        </w:tc>
        <w:tc>
          <w:tcPr>
            <w:tcW w:w="3060" w:type="dxa"/>
            <w:vAlign w:val="bottom"/>
            <w:gridSpan w:val="3"/>
            <w:shd w:val="clear" w:color="auto" w:fill="E5FFFF"/>
          </w:tcPr>
          <w:p>
            <w:pPr>
              <w:ind w:left="80"/>
              <w:spacing w:after="0"/>
              <w:rPr>
                <w:sz w:val="20"/>
                <w:szCs w:val="20"/>
                <w:color w:val="auto"/>
              </w:rPr>
            </w:pPr>
            <w:r>
              <w:rPr>
                <w:rFonts w:ascii="Arial" w:cs="Arial" w:eastAsia="Arial" w:hAnsi="Arial"/>
                <w:sz w:val="16"/>
                <w:szCs w:val="16"/>
                <w:i w:val="1"/>
                <w:iCs w:val="1"/>
                <w:color w:val="auto"/>
              </w:rPr>
              <w:t>GasLog Genoa</w:t>
            </w:r>
          </w:p>
        </w:tc>
        <w:tc>
          <w:tcPr>
            <w:tcW w:w="600" w:type="dxa"/>
            <w:vAlign w:val="bottom"/>
            <w:gridSpan w:val="2"/>
            <w:shd w:val="clear" w:color="auto" w:fill="E5FFFF"/>
          </w:tcPr>
          <w:p>
            <w:pPr>
              <w:ind w:left="140"/>
              <w:spacing w:after="0"/>
              <w:rPr>
                <w:sz w:val="20"/>
                <w:szCs w:val="20"/>
                <w:color w:val="auto"/>
              </w:rPr>
            </w:pPr>
            <w:r>
              <w:rPr>
                <w:rFonts w:ascii="Arial" w:cs="Arial" w:eastAsia="Arial" w:hAnsi="Arial"/>
                <w:sz w:val="16"/>
                <w:szCs w:val="16"/>
                <w:color w:val="auto"/>
              </w:rPr>
              <w:t>2018</w:t>
            </w:r>
          </w:p>
        </w:tc>
        <w:tc>
          <w:tcPr>
            <w:tcW w:w="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980" w:type="dxa"/>
            <w:vAlign w:val="bottom"/>
            <w:gridSpan w:val="2"/>
            <w:shd w:val="clear" w:color="auto" w:fill="E5FFFF"/>
          </w:tcPr>
          <w:p>
            <w:pPr>
              <w:jc w:val="center"/>
              <w:spacing w:after="0"/>
              <w:rPr>
                <w:sz w:val="20"/>
                <w:szCs w:val="20"/>
                <w:color w:val="auto"/>
              </w:rPr>
            </w:pPr>
            <w:r>
              <w:rPr>
                <w:rFonts w:ascii="Arial" w:cs="Arial" w:eastAsia="Arial" w:hAnsi="Arial"/>
                <w:sz w:val="16"/>
                <w:szCs w:val="16"/>
                <w:color w:val="auto"/>
                <w:w w:val="93"/>
              </w:rPr>
              <w:t>174,000</w:t>
            </w:r>
          </w:p>
        </w:tc>
        <w:tc>
          <w:tcPr>
            <w:tcW w:w="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60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5"/>
              </w:rPr>
              <w:t>Shell</w:t>
            </w:r>
          </w:p>
        </w:tc>
        <w:tc>
          <w:tcPr>
            <w:tcW w:w="124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rPr>
              <w:t>X-DF</w:t>
            </w:r>
          </w:p>
        </w:tc>
        <w:tc>
          <w:tcPr>
            <w:tcW w:w="210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4"/>
              </w:rPr>
              <w:t>March 2027</w:t>
            </w:r>
          </w:p>
        </w:tc>
        <w:tc>
          <w:tcPr>
            <w:tcW w:w="12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1"/>
              </w:rPr>
              <w:t>2030-2033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20"/>
                <w:szCs w:val="20"/>
                <w:color w:val="auto"/>
              </w:rPr>
            </w:pPr>
            <w:r>
              <w:rPr>
                <w:rFonts w:ascii="Arial" w:cs="Arial" w:eastAsia="Arial" w:hAnsi="Arial"/>
                <w:sz w:val="16"/>
                <w:szCs w:val="16"/>
                <w:b w:val="1"/>
                <w:bCs w:val="1"/>
                <w:color w:val="auto"/>
              </w:rPr>
              <w:t>10</w:t>
            </w:r>
          </w:p>
        </w:tc>
        <w:tc>
          <w:tcPr>
            <w:tcW w:w="3060" w:type="dxa"/>
            <w:vAlign w:val="bottom"/>
            <w:gridSpan w:val="3"/>
          </w:tcPr>
          <w:p>
            <w:pPr>
              <w:ind w:left="80"/>
              <w:spacing w:after="0"/>
              <w:rPr>
                <w:sz w:val="20"/>
                <w:szCs w:val="20"/>
                <w:color w:val="auto"/>
              </w:rPr>
            </w:pPr>
            <w:r>
              <w:rPr>
                <w:rFonts w:ascii="Arial" w:cs="Arial" w:eastAsia="Arial" w:hAnsi="Arial"/>
                <w:sz w:val="16"/>
                <w:szCs w:val="16"/>
                <w:i w:val="1"/>
                <w:iCs w:val="1"/>
                <w:color w:val="auto"/>
              </w:rPr>
              <w:t>GasLog Houston</w:t>
            </w:r>
          </w:p>
        </w:tc>
        <w:tc>
          <w:tcPr>
            <w:tcW w:w="600" w:type="dxa"/>
            <w:vAlign w:val="bottom"/>
            <w:gridSpan w:val="2"/>
          </w:tcPr>
          <w:p>
            <w:pPr>
              <w:ind w:left="140"/>
              <w:spacing w:after="0"/>
              <w:rPr>
                <w:sz w:val="20"/>
                <w:szCs w:val="20"/>
                <w:color w:val="auto"/>
              </w:rPr>
            </w:pPr>
            <w:r>
              <w:rPr>
                <w:rFonts w:ascii="Arial" w:cs="Arial" w:eastAsia="Arial" w:hAnsi="Arial"/>
                <w:sz w:val="16"/>
                <w:szCs w:val="16"/>
                <w:color w:val="auto"/>
              </w:rPr>
              <w:t>2018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center"/>
              <w:spacing w:after="0"/>
              <w:rPr>
                <w:sz w:val="20"/>
                <w:szCs w:val="20"/>
                <w:color w:val="auto"/>
              </w:rPr>
            </w:pPr>
            <w:r>
              <w:rPr>
                <w:rFonts w:ascii="Arial" w:cs="Arial" w:eastAsia="Arial" w:hAnsi="Arial"/>
                <w:sz w:val="16"/>
                <w:szCs w:val="16"/>
                <w:color w:val="auto"/>
                <w:w w:val="93"/>
              </w:rPr>
              <w:t>174,000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Shell</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rPr>
              <w:t>X-DF</w:t>
            </w:r>
          </w:p>
        </w:tc>
        <w:tc>
          <w:tcPr>
            <w:tcW w:w="210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May 2028</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2031-2034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11</w:t>
            </w:r>
          </w:p>
        </w:tc>
        <w:tc>
          <w:tcPr>
            <w:tcW w:w="3060" w:type="dxa"/>
            <w:vAlign w:val="bottom"/>
            <w:gridSpan w:val="3"/>
            <w:shd w:val="clear" w:color="auto" w:fill="E5FFFF"/>
          </w:tcPr>
          <w:p>
            <w:pPr>
              <w:ind w:left="80"/>
              <w:spacing w:after="0"/>
              <w:rPr>
                <w:sz w:val="20"/>
                <w:szCs w:val="20"/>
                <w:color w:val="auto"/>
              </w:rPr>
            </w:pPr>
            <w:r>
              <w:rPr>
                <w:rFonts w:ascii="Arial" w:cs="Arial" w:eastAsia="Arial" w:hAnsi="Arial"/>
                <w:sz w:val="16"/>
                <w:szCs w:val="16"/>
                <w:i w:val="1"/>
                <w:iCs w:val="1"/>
                <w:color w:val="auto"/>
              </w:rPr>
              <w:t>GasLog Gladstone</w:t>
            </w:r>
          </w:p>
        </w:tc>
        <w:tc>
          <w:tcPr>
            <w:tcW w:w="600" w:type="dxa"/>
            <w:vAlign w:val="bottom"/>
            <w:gridSpan w:val="2"/>
            <w:shd w:val="clear" w:color="auto" w:fill="E5FFFF"/>
          </w:tcPr>
          <w:p>
            <w:pPr>
              <w:ind w:left="140"/>
              <w:spacing w:after="0"/>
              <w:rPr>
                <w:sz w:val="20"/>
                <w:szCs w:val="20"/>
                <w:color w:val="auto"/>
              </w:rPr>
            </w:pPr>
            <w:r>
              <w:rPr>
                <w:rFonts w:ascii="Arial" w:cs="Arial" w:eastAsia="Arial" w:hAnsi="Arial"/>
                <w:sz w:val="16"/>
                <w:szCs w:val="16"/>
                <w:color w:val="auto"/>
              </w:rPr>
              <w:t>2019</w:t>
            </w:r>
          </w:p>
        </w:tc>
        <w:tc>
          <w:tcPr>
            <w:tcW w:w="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980" w:type="dxa"/>
            <w:vAlign w:val="bottom"/>
            <w:gridSpan w:val="2"/>
            <w:shd w:val="clear" w:color="auto" w:fill="E5FFFF"/>
          </w:tcPr>
          <w:p>
            <w:pPr>
              <w:jc w:val="center"/>
              <w:spacing w:after="0"/>
              <w:rPr>
                <w:sz w:val="20"/>
                <w:szCs w:val="20"/>
                <w:color w:val="auto"/>
              </w:rPr>
            </w:pPr>
            <w:r>
              <w:rPr>
                <w:rFonts w:ascii="Arial" w:cs="Arial" w:eastAsia="Arial" w:hAnsi="Arial"/>
                <w:sz w:val="16"/>
                <w:szCs w:val="16"/>
                <w:color w:val="auto"/>
                <w:w w:val="93"/>
              </w:rPr>
              <w:t>174,000</w:t>
            </w:r>
          </w:p>
        </w:tc>
        <w:tc>
          <w:tcPr>
            <w:tcW w:w="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60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5"/>
              </w:rPr>
              <w:t>Shell</w:t>
            </w:r>
          </w:p>
        </w:tc>
        <w:tc>
          <w:tcPr>
            <w:tcW w:w="124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rPr>
              <w:t>X-DF</w:t>
            </w:r>
          </w:p>
        </w:tc>
        <w:tc>
          <w:tcPr>
            <w:tcW w:w="210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0"/>
              </w:rPr>
              <w:t>January 2029</w:t>
            </w:r>
          </w:p>
        </w:tc>
        <w:tc>
          <w:tcPr>
            <w:tcW w:w="12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1"/>
              </w:rPr>
              <w:t>2032-2035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20" w:type="dxa"/>
            <w:vAlign w:val="bottom"/>
            <w:vMerge w:val="restart"/>
          </w:tcPr>
          <w:p>
            <w:pPr>
              <w:spacing w:after="0"/>
              <w:rPr>
                <w:sz w:val="20"/>
                <w:szCs w:val="20"/>
                <w:color w:val="auto"/>
              </w:rPr>
            </w:pPr>
            <w:r>
              <w:rPr>
                <w:rFonts w:ascii="Arial" w:cs="Arial" w:eastAsia="Arial" w:hAnsi="Arial"/>
                <w:sz w:val="16"/>
                <w:szCs w:val="16"/>
                <w:b w:val="1"/>
                <w:bCs w:val="1"/>
                <w:color w:val="auto"/>
              </w:rPr>
              <w:t>12</w:t>
            </w:r>
          </w:p>
        </w:tc>
        <w:tc>
          <w:tcPr>
            <w:tcW w:w="3060" w:type="dxa"/>
            <w:vAlign w:val="bottom"/>
            <w:gridSpan w:val="3"/>
            <w:vMerge w:val="restart"/>
          </w:tcPr>
          <w:p>
            <w:pPr>
              <w:ind w:left="80"/>
              <w:spacing w:after="0"/>
              <w:rPr>
                <w:sz w:val="20"/>
                <w:szCs w:val="20"/>
                <w:color w:val="auto"/>
              </w:rPr>
            </w:pPr>
            <w:r>
              <w:rPr>
                <w:rFonts w:ascii="Arial" w:cs="Arial" w:eastAsia="Arial" w:hAnsi="Arial"/>
                <w:sz w:val="16"/>
                <w:szCs w:val="16"/>
                <w:i w:val="1"/>
                <w:iCs w:val="1"/>
                <w:color w:val="auto"/>
              </w:rPr>
              <w:t>GasLog Singapore</w:t>
            </w:r>
          </w:p>
        </w:tc>
        <w:tc>
          <w:tcPr>
            <w:tcW w:w="600" w:type="dxa"/>
            <w:vAlign w:val="bottom"/>
            <w:gridSpan w:val="2"/>
            <w:vMerge w:val="restart"/>
          </w:tcPr>
          <w:p>
            <w:pPr>
              <w:ind w:left="140"/>
              <w:spacing w:after="0"/>
              <w:rPr>
                <w:sz w:val="20"/>
                <w:szCs w:val="20"/>
                <w:color w:val="auto"/>
              </w:rPr>
            </w:pPr>
            <w:r>
              <w:rPr>
                <w:rFonts w:ascii="Arial" w:cs="Arial" w:eastAsia="Arial" w:hAnsi="Arial"/>
                <w:sz w:val="16"/>
                <w:szCs w:val="16"/>
                <w:color w:val="auto"/>
              </w:rPr>
              <w:t>2010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vMerge w:val="restart"/>
          </w:tcPr>
          <w:p>
            <w:pPr>
              <w:jc w:val="center"/>
              <w:spacing w:after="0"/>
              <w:rPr>
                <w:sz w:val="20"/>
                <w:szCs w:val="20"/>
                <w:color w:val="auto"/>
              </w:rPr>
            </w:pPr>
            <w:r>
              <w:rPr>
                <w:rFonts w:ascii="Arial" w:cs="Arial" w:eastAsia="Arial" w:hAnsi="Arial"/>
                <w:sz w:val="16"/>
                <w:szCs w:val="16"/>
                <w:color w:val="auto"/>
                <w:w w:val="93"/>
              </w:rPr>
              <w:t>155,000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center"/>
              <w:ind w:right="100"/>
              <w:spacing w:after="0" w:line="193" w:lineRule="exact"/>
              <w:rPr>
                <w:sz w:val="20"/>
                <w:szCs w:val="20"/>
                <w:color w:val="auto"/>
              </w:rPr>
            </w:pPr>
            <w:r>
              <w:rPr>
                <w:rFonts w:ascii="Arial" w:cs="Arial" w:eastAsia="Arial" w:hAnsi="Arial"/>
                <w:sz w:val="16"/>
                <w:szCs w:val="16"/>
                <w:color w:val="auto"/>
                <w:w w:val="90"/>
              </w:rPr>
              <w:t>Spot Market</w:t>
            </w:r>
            <w:r>
              <w:rPr>
                <w:rFonts w:ascii="Arial" w:cs="Arial" w:eastAsia="Arial" w:hAnsi="Arial"/>
                <w:sz w:val="21"/>
                <w:szCs w:val="21"/>
                <w:color w:val="auto"/>
                <w:w w:val="90"/>
                <w:vertAlign w:val="superscript"/>
              </w:rPr>
              <w:t>(4)</w:t>
            </w: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rPr>
              <w:t>TFDE</w:t>
            </w:r>
          </w:p>
        </w:tc>
        <w:tc>
          <w:tcPr>
            <w:tcW w:w="21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8"/>
        </w:trPr>
        <w:tc>
          <w:tcPr>
            <w:tcW w:w="320" w:type="dxa"/>
            <w:vAlign w:val="bottom"/>
            <w:vMerge w:val="continue"/>
          </w:tcPr>
          <w:p>
            <w:pPr>
              <w:spacing w:after="0"/>
              <w:rPr>
                <w:sz w:val="8"/>
                <w:szCs w:val="8"/>
                <w:color w:val="auto"/>
              </w:rPr>
            </w:pPr>
          </w:p>
        </w:tc>
        <w:tc>
          <w:tcPr>
            <w:tcW w:w="3060" w:type="dxa"/>
            <w:vAlign w:val="bottom"/>
            <w:gridSpan w:val="3"/>
            <w:vMerge w:val="continue"/>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w w:val="92"/>
              </w:rPr>
              <w:t>Sinolam LNG</w:t>
            </w:r>
            <w:r>
              <w:rPr>
                <w:rFonts w:ascii="Arial" w:cs="Arial" w:eastAsia="Arial" w:hAnsi="Arial"/>
                <w:sz w:val="21"/>
                <w:szCs w:val="21"/>
                <w:color w:val="auto"/>
                <w:w w:val="92"/>
                <w:vertAlign w:val="superscript"/>
              </w:rPr>
              <w:t>(7)</w:t>
            </w:r>
          </w:p>
        </w:tc>
        <w:tc>
          <w:tcPr>
            <w:tcW w:w="1240" w:type="dxa"/>
            <w:vAlign w:val="bottom"/>
            <w:gridSpan w:val="2"/>
            <w:vMerge w:val="continue"/>
          </w:tcPr>
          <w:p>
            <w:pPr>
              <w:spacing w:after="0"/>
              <w:rPr>
                <w:sz w:val="8"/>
                <w:szCs w:val="8"/>
                <w:color w:val="auto"/>
              </w:rPr>
            </w:pPr>
          </w:p>
        </w:tc>
        <w:tc>
          <w:tcPr>
            <w:tcW w:w="210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90"/>
              </w:rPr>
              <w:t>October 2030</w:t>
            </w:r>
          </w:p>
        </w:tc>
        <w:tc>
          <w:tcPr>
            <w:tcW w:w="128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2"/>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3"/>
        </w:trPr>
        <w:tc>
          <w:tcPr>
            <w:tcW w:w="320" w:type="dxa"/>
            <w:vAlign w:val="bottom"/>
          </w:tcPr>
          <w:p>
            <w:pPr>
              <w:spacing w:after="0"/>
              <w:rPr>
                <w:sz w:val="24"/>
                <w:szCs w:val="24"/>
                <w:color w:val="auto"/>
              </w:rPr>
            </w:pPr>
          </w:p>
        </w:tc>
        <w:tc>
          <w:tcPr>
            <w:tcW w:w="6480" w:type="dxa"/>
            <w:vAlign w:val="bottom"/>
            <w:gridSpan w:val="13"/>
          </w:tcPr>
          <w:p>
            <w:pPr>
              <w:ind w:left="40"/>
              <w:spacing w:after="0"/>
              <w:rPr>
                <w:sz w:val="20"/>
                <w:szCs w:val="20"/>
                <w:color w:val="auto"/>
              </w:rPr>
            </w:pPr>
            <w:r>
              <w:rPr>
                <w:rFonts w:ascii="Arial" w:cs="Arial" w:eastAsia="Arial" w:hAnsi="Arial"/>
                <w:sz w:val="16"/>
                <w:szCs w:val="16"/>
                <w:color w:val="auto"/>
              </w:rPr>
              <w:t>As of November 6, 2019, the Partnership’s fleet consisted of the following vessels: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Cargo</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gridSpan w:val="3"/>
          </w:tcPr>
          <w:p>
            <w:pPr>
              <w:ind w:left="120"/>
              <w:spacing w:after="0"/>
              <w:rPr>
                <w:sz w:val="20"/>
                <w:szCs w:val="20"/>
                <w:color w:val="auto"/>
              </w:rPr>
            </w:pPr>
            <w:r>
              <w:rPr>
                <w:rFonts w:ascii="Arial" w:cs="Arial" w:eastAsia="Arial" w:hAnsi="Arial"/>
                <w:sz w:val="16"/>
                <w:szCs w:val="16"/>
                <w:b w:val="1"/>
                <w:bCs w:val="1"/>
                <w:color w:val="auto"/>
              </w:rPr>
              <w:t>Year</w:t>
            </w:r>
          </w:p>
        </w:tc>
        <w:tc>
          <w:tcPr>
            <w:tcW w:w="20" w:type="dxa"/>
            <w:vAlign w:val="bottom"/>
          </w:tcPr>
          <w:p>
            <w:pPr>
              <w:spacing w:after="0"/>
              <w:rPr>
                <w:sz w:val="17"/>
                <w:szCs w:val="17"/>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Capacity</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Charter</w:t>
            </w:r>
          </w:p>
        </w:tc>
        <w:tc>
          <w:tcPr>
            <w:tcW w:w="1280" w:type="dxa"/>
            <w:vAlign w:val="bottom"/>
          </w:tcPr>
          <w:p>
            <w:pPr>
              <w:ind w:left="340"/>
              <w:spacing w:after="0"/>
              <w:rPr>
                <w:sz w:val="20"/>
                <w:szCs w:val="20"/>
                <w:color w:val="auto"/>
              </w:rPr>
            </w:pPr>
            <w:r>
              <w:rPr>
                <w:rFonts w:ascii="Arial" w:cs="Arial" w:eastAsia="Arial" w:hAnsi="Arial"/>
                <w:sz w:val="16"/>
                <w:szCs w:val="16"/>
                <w:b w:val="1"/>
                <w:bCs w:val="1"/>
                <w:color w:val="auto"/>
              </w:rPr>
              <w:t>Optional</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3060" w:type="dxa"/>
            <w:vAlign w:val="bottom"/>
            <w:gridSpan w:val="3"/>
          </w:tcPr>
          <w:p>
            <w:pPr>
              <w:ind w:left="860"/>
              <w:spacing w:after="0"/>
              <w:rPr>
                <w:sz w:val="20"/>
                <w:szCs w:val="20"/>
                <w:color w:val="auto"/>
              </w:rPr>
            </w:pPr>
            <w:r>
              <w:rPr>
                <w:rFonts w:ascii="Arial" w:cs="Arial" w:eastAsia="Arial" w:hAnsi="Arial"/>
                <w:sz w:val="16"/>
                <w:szCs w:val="16"/>
                <w:b w:val="1"/>
                <w:bCs w:val="1"/>
                <w:color w:val="auto"/>
              </w:rPr>
              <w:t>Vessel Name</w:t>
            </w:r>
          </w:p>
        </w:tc>
        <w:tc>
          <w:tcPr>
            <w:tcW w:w="60" w:type="dxa"/>
            <w:vAlign w:val="bottom"/>
          </w:tcPr>
          <w:p>
            <w:pPr>
              <w:spacing w:after="0"/>
              <w:rPr>
                <w:sz w:val="18"/>
                <w:szCs w:val="18"/>
                <w:color w:val="auto"/>
              </w:rPr>
            </w:pPr>
          </w:p>
        </w:tc>
        <w:tc>
          <w:tcPr>
            <w:tcW w:w="660" w:type="dxa"/>
            <w:vAlign w:val="bottom"/>
            <w:gridSpan w:val="3"/>
          </w:tcPr>
          <w:p>
            <w:pPr>
              <w:ind w:left="120"/>
              <w:spacing w:after="0"/>
              <w:rPr>
                <w:sz w:val="20"/>
                <w:szCs w:val="20"/>
                <w:color w:val="auto"/>
              </w:rPr>
            </w:pPr>
            <w:r>
              <w:rPr>
                <w:rFonts w:ascii="Arial" w:cs="Arial" w:eastAsia="Arial" w:hAnsi="Arial"/>
                <w:sz w:val="16"/>
                <w:szCs w:val="16"/>
                <w:b w:val="1"/>
                <w:bCs w:val="1"/>
                <w:color w:val="auto"/>
              </w:rPr>
              <w:t>Built</w:t>
            </w:r>
          </w:p>
        </w:tc>
        <w:tc>
          <w:tcPr>
            <w:tcW w:w="20" w:type="dxa"/>
            <w:vAlign w:val="bottom"/>
          </w:tcPr>
          <w:p>
            <w:pPr>
              <w:spacing w:after="0"/>
              <w:rPr>
                <w:sz w:val="18"/>
                <w:szCs w:val="18"/>
                <w:color w:val="auto"/>
              </w:rPr>
            </w:pPr>
          </w:p>
        </w:tc>
        <w:tc>
          <w:tcPr>
            <w:tcW w:w="10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1"/>
              </w:rPr>
              <w:t>(cbm)</w:t>
            </w: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Charterer</w:t>
            </w:r>
          </w:p>
        </w:tc>
        <w:tc>
          <w:tcPr>
            <w:tcW w:w="1240" w:type="dxa"/>
            <w:vAlign w:val="bottom"/>
            <w:gridSpan w:val="2"/>
          </w:tcPr>
          <w:p>
            <w:pPr>
              <w:jc w:val="center"/>
              <w:ind w:right="120"/>
              <w:spacing w:after="0" w:line="217" w:lineRule="exact"/>
              <w:rPr>
                <w:sz w:val="20"/>
                <w:szCs w:val="20"/>
                <w:color w:val="auto"/>
              </w:rPr>
            </w:pPr>
            <w:r>
              <w:rPr>
                <w:rFonts w:ascii="Arial" w:cs="Arial" w:eastAsia="Arial" w:hAnsi="Arial"/>
                <w:sz w:val="16"/>
                <w:szCs w:val="16"/>
                <w:b w:val="1"/>
                <w:bCs w:val="1"/>
                <w:color w:val="auto"/>
                <w:w w:val="87"/>
              </w:rPr>
              <w:t>Propulsion</w:t>
            </w:r>
            <w:r>
              <w:rPr>
                <w:rFonts w:ascii="Arial" w:cs="Arial" w:eastAsia="Arial" w:hAnsi="Arial"/>
                <w:sz w:val="21"/>
                <w:szCs w:val="21"/>
                <w:b w:val="1"/>
                <w:bCs w:val="1"/>
                <w:color w:val="auto"/>
                <w:w w:val="87"/>
                <w:vertAlign w:val="superscript"/>
              </w:rPr>
              <w:t>(1)</w:t>
            </w:r>
          </w:p>
        </w:tc>
        <w:tc>
          <w:tcPr>
            <w:tcW w:w="2100" w:type="dxa"/>
            <w:vAlign w:val="bottom"/>
            <w:gridSpan w:val="2"/>
          </w:tcPr>
          <w:p>
            <w:pPr>
              <w:jc w:val="center"/>
              <w:ind w:right="100"/>
              <w:spacing w:after="0" w:line="217" w:lineRule="exact"/>
              <w:rPr>
                <w:sz w:val="20"/>
                <w:szCs w:val="20"/>
                <w:color w:val="auto"/>
              </w:rPr>
            </w:pPr>
            <w:r>
              <w:rPr>
                <w:rFonts w:ascii="Arial" w:cs="Arial" w:eastAsia="Arial" w:hAnsi="Arial"/>
                <w:sz w:val="16"/>
                <w:szCs w:val="16"/>
                <w:b w:val="1"/>
                <w:bCs w:val="1"/>
                <w:color w:val="auto"/>
                <w:w w:val="92"/>
              </w:rPr>
              <w:t>Expiration</w:t>
            </w:r>
            <w:r>
              <w:rPr>
                <w:rFonts w:ascii="Arial" w:cs="Arial" w:eastAsia="Arial" w:hAnsi="Arial"/>
                <w:sz w:val="21"/>
                <w:szCs w:val="21"/>
                <w:b w:val="1"/>
                <w:bCs w:val="1"/>
                <w:color w:val="auto"/>
                <w:w w:val="92"/>
                <w:vertAlign w:val="superscript"/>
              </w:rPr>
              <w:t>(2)</w:t>
            </w:r>
          </w:p>
        </w:tc>
        <w:tc>
          <w:tcPr>
            <w:tcW w:w="1280" w:type="dxa"/>
            <w:vAlign w:val="bottom"/>
          </w:tcPr>
          <w:p>
            <w:pPr>
              <w:ind w:left="340"/>
              <w:spacing w:after="0" w:line="217" w:lineRule="exact"/>
              <w:rPr>
                <w:sz w:val="20"/>
                <w:szCs w:val="20"/>
                <w:color w:val="auto"/>
              </w:rPr>
            </w:pPr>
            <w:r>
              <w:rPr>
                <w:rFonts w:ascii="Arial" w:cs="Arial" w:eastAsia="Arial" w:hAnsi="Arial"/>
                <w:sz w:val="16"/>
                <w:szCs w:val="16"/>
                <w:b w:val="1"/>
                <w:bCs w:val="1"/>
                <w:color w:val="auto"/>
              </w:rPr>
              <w:t>Period</w:t>
            </w:r>
            <w:r>
              <w:rPr>
                <w:rFonts w:ascii="Arial" w:cs="Arial" w:eastAsia="Arial" w:hAnsi="Arial"/>
                <w:sz w:val="21"/>
                <w:szCs w:val="21"/>
                <w:b w:val="1"/>
                <w:bCs w:val="1"/>
                <w:color w:val="auto"/>
                <w:vertAlign w:val="superscript"/>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b w:val="1"/>
                <w:bCs w:val="1"/>
                <w:color w:val="auto"/>
              </w:rPr>
              <w:t>1</w:t>
            </w:r>
          </w:p>
        </w:tc>
        <w:tc>
          <w:tcPr>
            <w:tcW w:w="2880" w:type="dxa"/>
            <w:vAlign w:val="bottom"/>
            <w:tcBorders>
              <w:top w:val="single" w:sz="8" w:color="auto"/>
            </w:tcBorders>
            <w:shd w:val="clear" w:color="auto" w:fill="E5FFFF"/>
          </w:tcPr>
          <w:p>
            <w:pPr>
              <w:ind w:left="60"/>
              <w:spacing w:after="0"/>
              <w:rPr>
                <w:sz w:val="20"/>
                <w:szCs w:val="20"/>
                <w:color w:val="auto"/>
              </w:rPr>
            </w:pPr>
            <w:r>
              <w:rPr>
                <w:rFonts w:ascii="Arial" w:cs="Arial" w:eastAsia="Arial" w:hAnsi="Arial"/>
                <w:sz w:val="16"/>
                <w:szCs w:val="16"/>
                <w:i w:val="1"/>
                <w:iCs w:val="1"/>
                <w:color w:val="auto"/>
              </w:rPr>
              <w:t>Methane Alison Victoria</w:t>
            </w:r>
          </w:p>
        </w:tc>
        <w:tc>
          <w:tcPr>
            <w:tcW w:w="180" w:type="dxa"/>
            <w:vAlign w:val="bottom"/>
            <w:tcBorders>
              <w:top w:val="single" w:sz="8" w:color="E5FFFF"/>
            </w:tcBorders>
            <w:gridSpan w:val="2"/>
            <w:shd w:val="clear" w:color="auto" w:fill="E5FFFF"/>
          </w:tcPr>
          <w:p>
            <w:pPr>
              <w:spacing w:after="0"/>
              <w:rPr>
                <w:sz w:val="17"/>
                <w:szCs w:val="17"/>
                <w:color w:val="auto"/>
              </w:rPr>
            </w:pPr>
          </w:p>
        </w:tc>
        <w:tc>
          <w:tcPr>
            <w:tcW w:w="60" w:type="dxa"/>
            <w:vAlign w:val="bottom"/>
            <w:tcBorders>
              <w:top w:val="single" w:sz="8" w:color="E5FFFF"/>
            </w:tcBorders>
            <w:shd w:val="clear" w:color="auto" w:fill="E5FFFF"/>
          </w:tcPr>
          <w:p>
            <w:pPr>
              <w:spacing w:after="0"/>
              <w:rPr>
                <w:sz w:val="17"/>
                <w:szCs w:val="17"/>
                <w:color w:val="auto"/>
              </w:rPr>
            </w:pPr>
          </w:p>
        </w:tc>
        <w:tc>
          <w:tcPr>
            <w:tcW w:w="540" w:type="dxa"/>
            <w:vAlign w:val="bottom"/>
            <w:tcBorders>
              <w:top w:val="single" w:sz="8" w:color="auto"/>
            </w:tcBorders>
            <w:shd w:val="clear" w:color="auto" w:fill="E5FFFF"/>
          </w:tcPr>
          <w:p>
            <w:pPr>
              <w:ind w:left="120"/>
              <w:spacing w:after="0"/>
              <w:rPr>
                <w:sz w:val="20"/>
                <w:szCs w:val="20"/>
                <w:color w:val="auto"/>
              </w:rPr>
            </w:pPr>
            <w:r>
              <w:rPr>
                <w:rFonts w:ascii="Arial" w:cs="Arial" w:eastAsia="Arial" w:hAnsi="Arial"/>
                <w:sz w:val="16"/>
                <w:szCs w:val="16"/>
                <w:color w:val="auto"/>
              </w:rPr>
              <w:t>2007</w:t>
            </w:r>
          </w:p>
        </w:tc>
        <w:tc>
          <w:tcPr>
            <w:tcW w:w="40" w:type="dxa"/>
            <w:vAlign w:val="bottom"/>
            <w:tcBorders>
              <w:top w:val="single" w:sz="8" w:color="auto"/>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9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145,000</w:t>
            </w:r>
          </w:p>
        </w:tc>
        <w:tc>
          <w:tcPr>
            <w:tcW w:w="20" w:type="dxa"/>
            <w:vAlign w:val="bottom"/>
            <w:tcBorders>
              <w:top w:val="single" w:sz="8" w:color="auto"/>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15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5"/>
              </w:rPr>
              <w:t>Shell</w:t>
            </w:r>
          </w:p>
        </w:tc>
        <w:tc>
          <w:tcPr>
            <w:tcW w:w="10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0"/>
              </w:rPr>
              <w:t>Steam</w:t>
            </w:r>
          </w:p>
        </w:tc>
        <w:tc>
          <w:tcPr>
            <w:tcW w:w="100" w:type="dxa"/>
            <w:vAlign w:val="bottom"/>
            <w:tcBorders>
              <w:top w:val="single" w:sz="8" w:color="E5FFFF"/>
            </w:tcBorders>
            <w:shd w:val="clear" w:color="auto" w:fill="E5FFFF"/>
          </w:tcPr>
          <w:p>
            <w:pPr>
              <w:spacing w:after="0"/>
              <w:rPr>
                <w:sz w:val="17"/>
                <w:szCs w:val="17"/>
                <w:color w:val="auto"/>
              </w:rPr>
            </w:pPr>
          </w:p>
        </w:tc>
        <w:tc>
          <w:tcPr>
            <w:tcW w:w="19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1"/>
              </w:rPr>
              <w:t>December 2019</w:t>
            </w:r>
          </w:p>
        </w:tc>
        <w:tc>
          <w:tcPr>
            <w:tcW w:w="120" w:type="dxa"/>
            <w:vAlign w:val="bottom"/>
            <w:tcBorders>
              <w:top w:val="single" w:sz="8" w:color="E5FFFF"/>
            </w:tcBorders>
            <w:shd w:val="clear" w:color="auto" w:fill="E5FFFF"/>
          </w:tcPr>
          <w:p>
            <w:pPr>
              <w:spacing w:after="0"/>
              <w:rPr>
                <w:sz w:val="17"/>
                <w:szCs w:val="17"/>
                <w:color w:val="auto"/>
              </w:rPr>
            </w:pPr>
          </w:p>
        </w:tc>
        <w:tc>
          <w:tcPr>
            <w:tcW w:w="12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jc w:val="center"/>
              <w:spacing w:after="0"/>
              <w:rPr>
                <w:sz w:val="20"/>
                <w:szCs w:val="20"/>
                <w:color w:val="auto"/>
              </w:rPr>
            </w:pPr>
            <w:r>
              <w:rPr>
                <w:rFonts w:ascii="Arial" w:cs="Arial" w:eastAsia="Arial" w:hAnsi="Arial"/>
                <w:sz w:val="16"/>
                <w:szCs w:val="16"/>
                <w:b w:val="1"/>
                <w:bCs w:val="1"/>
                <w:color w:val="auto"/>
              </w:rPr>
              <w:t>2</w:t>
            </w:r>
          </w:p>
        </w:tc>
        <w:tc>
          <w:tcPr>
            <w:tcW w:w="3060" w:type="dxa"/>
            <w:vAlign w:val="bottom"/>
            <w:gridSpan w:val="3"/>
          </w:tcPr>
          <w:p>
            <w:pPr>
              <w:ind w:left="60"/>
              <w:spacing w:after="0"/>
              <w:rPr>
                <w:sz w:val="20"/>
                <w:szCs w:val="20"/>
                <w:color w:val="auto"/>
              </w:rPr>
            </w:pPr>
            <w:r>
              <w:rPr>
                <w:rFonts w:ascii="Arial" w:cs="Arial" w:eastAsia="Arial" w:hAnsi="Arial"/>
                <w:sz w:val="16"/>
                <w:szCs w:val="16"/>
                <w:i w:val="1"/>
                <w:iCs w:val="1"/>
                <w:color w:val="auto"/>
              </w:rPr>
              <w:t>Methane Rita Andrea</w:t>
            </w:r>
          </w:p>
        </w:tc>
        <w:tc>
          <w:tcPr>
            <w:tcW w:w="600" w:type="dxa"/>
            <w:vAlign w:val="bottom"/>
            <w:gridSpan w:val="2"/>
          </w:tcPr>
          <w:p>
            <w:pPr>
              <w:ind w:left="180"/>
              <w:spacing w:after="0"/>
              <w:rPr>
                <w:sz w:val="20"/>
                <w:szCs w:val="20"/>
                <w:color w:val="auto"/>
              </w:rPr>
            </w:pPr>
            <w:r>
              <w:rPr>
                <w:rFonts w:ascii="Arial" w:cs="Arial" w:eastAsia="Arial" w:hAnsi="Arial"/>
                <w:sz w:val="16"/>
                <w:szCs w:val="16"/>
                <w:color w:val="auto"/>
              </w:rPr>
              <w:t>2006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center"/>
              <w:spacing w:after="0"/>
              <w:rPr>
                <w:sz w:val="20"/>
                <w:szCs w:val="20"/>
                <w:color w:val="auto"/>
              </w:rPr>
            </w:pPr>
            <w:r>
              <w:rPr>
                <w:rFonts w:ascii="Arial" w:cs="Arial" w:eastAsia="Arial" w:hAnsi="Arial"/>
                <w:sz w:val="16"/>
                <w:szCs w:val="16"/>
                <w:color w:val="auto"/>
                <w:w w:val="89"/>
              </w:rPr>
              <w:t>145,000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Shell</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Steam</w:t>
            </w:r>
          </w:p>
        </w:tc>
        <w:tc>
          <w:tcPr>
            <w:tcW w:w="210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April 2020</w:t>
            </w: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shd w:val="clear" w:color="auto" w:fill="E5FFFF"/>
          </w:tcPr>
          <w:p>
            <w:pPr>
              <w:jc w:val="center"/>
              <w:spacing w:after="0"/>
              <w:rPr>
                <w:sz w:val="20"/>
                <w:szCs w:val="20"/>
                <w:color w:val="auto"/>
              </w:rPr>
            </w:pPr>
            <w:r>
              <w:rPr>
                <w:rFonts w:ascii="Arial" w:cs="Arial" w:eastAsia="Arial" w:hAnsi="Arial"/>
                <w:sz w:val="16"/>
                <w:szCs w:val="16"/>
                <w:b w:val="1"/>
                <w:bCs w:val="1"/>
                <w:color w:val="auto"/>
              </w:rPr>
              <w:t>3</w:t>
            </w:r>
          </w:p>
        </w:tc>
        <w:tc>
          <w:tcPr>
            <w:tcW w:w="3060" w:type="dxa"/>
            <w:vAlign w:val="bottom"/>
            <w:gridSpan w:val="3"/>
            <w:shd w:val="clear" w:color="auto" w:fill="E5FFFF"/>
          </w:tcPr>
          <w:p>
            <w:pPr>
              <w:ind w:left="60"/>
              <w:spacing w:after="0"/>
              <w:rPr>
                <w:sz w:val="20"/>
                <w:szCs w:val="20"/>
                <w:color w:val="auto"/>
              </w:rPr>
            </w:pPr>
            <w:r>
              <w:rPr>
                <w:rFonts w:ascii="Arial" w:cs="Arial" w:eastAsia="Arial" w:hAnsi="Arial"/>
                <w:sz w:val="16"/>
                <w:szCs w:val="16"/>
                <w:i w:val="1"/>
                <w:iCs w:val="1"/>
                <w:color w:val="auto"/>
              </w:rPr>
              <w:t>Methane Shirley Elisabeth</w:t>
            </w:r>
          </w:p>
        </w:tc>
        <w:tc>
          <w:tcPr>
            <w:tcW w:w="600" w:type="dxa"/>
            <w:vAlign w:val="bottom"/>
            <w:gridSpan w:val="2"/>
            <w:shd w:val="clear" w:color="auto" w:fill="E5FFFF"/>
          </w:tcPr>
          <w:p>
            <w:pPr>
              <w:ind w:left="180"/>
              <w:spacing w:after="0"/>
              <w:rPr>
                <w:sz w:val="20"/>
                <w:szCs w:val="20"/>
                <w:color w:val="auto"/>
              </w:rPr>
            </w:pPr>
            <w:r>
              <w:rPr>
                <w:rFonts w:ascii="Arial" w:cs="Arial" w:eastAsia="Arial" w:hAnsi="Arial"/>
                <w:sz w:val="16"/>
                <w:szCs w:val="16"/>
                <w:color w:val="auto"/>
              </w:rPr>
              <w:t>2007</w:t>
            </w:r>
          </w:p>
        </w:tc>
        <w:tc>
          <w:tcPr>
            <w:tcW w:w="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980" w:type="dxa"/>
            <w:vAlign w:val="bottom"/>
            <w:gridSpan w:val="2"/>
            <w:shd w:val="clear" w:color="auto" w:fill="E5FFFF"/>
          </w:tcPr>
          <w:p>
            <w:pPr>
              <w:jc w:val="center"/>
              <w:spacing w:after="0"/>
              <w:rPr>
                <w:sz w:val="20"/>
                <w:szCs w:val="20"/>
                <w:color w:val="auto"/>
              </w:rPr>
            </w:pPr>
            <w:r>
              <w:rPr>
                <w:rFonts w:ascii="Arial" w:cs="Arial" w:eastAsia="Arial" w:hAnsi="Arial"/>
                <w:sz w:val="16"/>
                <w:szCs w:val="16"/>
                <w:color w:val="auto"/>
                <w:w w:val="89"/>
              </w:rPr>
              <w:t>145,000</w:t>
            </w:r>
          </w:p>
        </w:tc>
        <w:tc>
          <w:tcPr>
            <w:tcW w:w="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60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5"/>
              </w:rPr>
              <w:t>Shell</w:t>
            </w:r>
          </w:p>
        </w:tc>
        <w:tc>
          <w:tcPr>
            <w:tcW w:w="124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0"/>
              </w:rPr>
              <w:t>Steam</w:t>
            </w:r>
          </w:p>
        </w:tc>
        <w:tc>
          <w:tcPr>
            <w:tcW w:w="210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88"/>
              </w:rPr>
              <w:t>June 2020</w:t>
            </w:r>
          </w:p>
        </w:tc>
        <w:tc>
          <w:tcPr>
            <w:tcW w:w="12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jc w:val="center"/>
              <w:spacing w:after="0"/>
              <w:rPr>
                <w:sz w:val="20"/>
                <w:szCs w:val="20"/>
                <w:color w:val="auto"/>
              </w:rPr>
            </w:pPr>
            <w:r>
              <w:rPr>
                <w:rFonts w:ascii="Arial" w:cs="Arial" w:eastAsia="Arial" w:hAnsi="Arial"/>
                <w:sz w:val="16"/>
                <w:szCs w:val="16"/>
                <w:b w:val="1"/>
                <w:bCs w:val="1"/>
                <w:color w:val="auto"/>
              </w:rPr>
              <w:t>4</w:t>
            </w:r>
          </w:p>
        </w:tc>
        <w:tc>
          <w:tcPr>
            <w:tcW w:w="3060" w:type="dxa"/>
            <w:vAlign w:val="bottom"/>
            <w:gridSpan w:val="3"/>
          </w:tcPr>
          <w:p>
            <w:pPr>
              <w:ind w:left="60"/>
              <w:spacing w:after="0"/>
              <w:rPr>
                <w:sz w:val="20"/>
                <w:szCs w:val="20"/>
                <w:color w:val="auto"/>
              </w:rPr>
            </w:pPr>
            <w:r>
              <w:rPr>
                <w:rFonts w:ascii="Arial" w:cs="Arial" w:eastAsia="Arial" w:hAnsi="Arial"/>
                <w:sz w:val="16"/>
                <w:szCs w:val="16"/>
                <w:i w:val="1"/>
                <w:iCs w:val="1"/>
                <w:color w:val="auto"/>
              </w:rPr>
              <w:t>GasLog Sydney</w:t>
            </w:r>
          </w:p>
        </w:tc>
        <w:tc>
          <w:tcPr>
            <w:tcW w:w="600" w:type="dxa"/>
            <w:vAlign w:val="bottom"/>
            <w:gridSpan w:val="2"/>
          </w:tcPr>
          <w:p>
            <w:pPr>
              <w:ind w:left="180"/>
              <w:spacing w:after="0"/>
              <w:rPr>
                <w:sz w:val="20"/>
                <w:szCs w:val="20"/>
                <w:color w:val="auto"/>
              </w:rPr>
            </w:pPr>
            <w:r>
              <w:rPr>
                <w:rFonts w:ascii="Arial" w:cs="Arial" w:eastAsia="Arial" w:hAnsi="Arial"/>
                <w:sz w:val="16"/>
                <w:szCs w:val="16"/>
                <w:color w:val="auto"/>
              </w:rPr>
              <w:t>2013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center"/>
              <w:spacing w:after="0"/>
              <w:rPr>
                <w:sz w:val="20"/>
                <w:szCs w:val="20"/>
                <w:color w:val="auto"/>
              </w:rPr>
            </w:pPr>
            <w:r>
              <w:rPr>
                <w:rFonts w:ascii="Arial" w:cs="Arial" w:eastAsia="Arial" w:hAnsi="Arial"/>
                <w:sz w:val="16"/>
                <w:szCs w:val="16"/>
                <w:color w:val="auto"/>
                <w:w w:val="89"/>
              </w:rPr>
              <w:t>155,000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Cheniere</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rPr>
              <w:t>TFDE</w:t>
            </w:r>
          </w:p>
        </w:tc>
        <w:tc>
          <w:tcPr>
            <w:tcW w:w="210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June 2020</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2020-2021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shd w:val="clear" w:color="auto" w:fill="E5FFFF"/>
          </w:tcPr>
          <w:p>
            <w:pPr>
              <w:jc w:val="center"/>
              <w:spacing w:after="0"/>
              <w:rPr>
                <w:sz w:val="20"/>
                <w:szCs w:val="20"/>
                <w:color w:val="auto"/>
              </w:rPr>
            </w:pPr>
            <w:r>
              <w:rPr>
                <w:rFonts w:ascii="Arial" w:cs="Arial" w:eastAsia="Arial" w:hAnsi="Arial"/>
                <w:sz w:val="16"/>
                <w:szCs w:val="16"/>
                <w:b w:val="1"/>
                <w:bCs w:val="1"/>
                <w:color w:val="auto"/>
              </w:rPr>
              <w:t>5</w:t>
            </w:r>
          </w:p>
        </w:tc>
        <w:tc>
          <w:tcPr>
            <w:tcW w:w="3060" w:type="dxa"/>
            <w:vAlign w:val="bottom"/>
            <w:gridSpan w:val="3"/>
            <w:shd w:val="clear" w:color="auto" w:fill="E5FFFF"/>
          </w:tcPr>
          <w:p>
            <w:pPr>
              <w:ind w:left="60"/>
              <w:spacing w:after="0"/>
              <w:rPr>
                <w:sz w:val="20"/>
                <w:szCs w:val="20"/>
                <w:color w:val="auto"/>
              </w:rPr>
            </w:pPr>
            <w:r>
              <w:rPr>
                <w:rFonts w:ascii="Arial" w:cs="Arial" w:eastAsia="Arial" w:hAnsi="Arial"/>
                <w:sz w:val="16"/>
                <w:szCs w:val="16"/>
                <w:i w:val="1"/>
                <w:iCs w:val="1"/>
                <w:color w:val="auto"/>
              </w:rPr>
              <w:t>Methane Jane Elizabeth</w:t>
            </w:r>
          </w:p>
        </w:tc>
        <w:tc>
          <w:tcPr>
            <w:tcW w:w="600" w:type="dxa"/>
            <w:vAlign w:val="bottom"/>
            <w:gridSpan w:val="2"/>
            <w:shd w:val="clear" w:color="auto" w:fill="E5FFFF"/>
          </w:tcPr>
          <w:p>
            <w:pPr>
              <w:ind w:left="180"/>
              <w:spacing w:after="0"/>
              <w:rPr>
                <w:sz w:val="20"/>
                <w:szCs w:val="20"/>
                <w:color w:val="auto"/>
              </w:rPr>
            </w:pPr>
            <w:r>
              <w:rPr>
                <w:rFonts w:ascii="Arial" w:cs="Arial" w:eastAsia="Arial" w:hAnsi="Arial"/>
                <w:sz w:val="16"/>
                <w:szCs w:val="16"/>
                <w:color w:val="auto"/>
              </w:rPr>
              <w:t>2006</w:t>
            </w:r>
          </w:p>
        </w:tc>
        <w:tc>
          <w:tcPr>
            <w:tcW w:w="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980" w:type="dxa"/>
            <w:vAlign w:val="bottom"/>
            <w:gridSpan w:val="2"/>
            <w:shd w:val="clear" w:color="auto" w:fill="E5FFFF"/>
          </w:tcPr>
          <w:p>
            <w:pPr>
              <w:jc w:val="center"/>
              <w:spacing w:after="0"/>
              <w:rPr>
                <w:sz w:val="20"/>
                <w:szCs w:val="20"/>
                <w:color w:val="auto"/>
              </w:rPr>
            </w:pPr>
            <w:r>
              <w:rPr>
                <w:rFonts w:ascii="Arial" w:cs="Arial" w:eastAsia="Arial" w:hAnsi="Arial"/>
                <w:sz w:val="16"/>
                <w:szCs w:val="16"/>
                <w:color w:val="auto"/>
                <w:w w:val="89"/>
              </w:rPr>
              <w:t>145,000</w:t>
            </w:r>
          </w:p>
        </w:tc>
        <w:tc>
          <w:tcPr>
            <w:tcW w:w="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600" w:type="dxa"/>
            <w:vAlign w:val="bottom"/>
            <w:gridSpan w:val="2"/>
            <w:shd w:val="clear" w:color="auto" w:fill="E5FFFF"/>
          </w:tcPr>
          <w:p>
            <w:pPr>
              <w:jc w:val="center"/>
              <w:ind w:right="100"/>
              <w:spacing w:after="0" w:line="203" w:lineRule="exact"/>
              <w:rPr>
                <w:sz w:val="20"/>
                <w:szCs w:val="20"/>
                <w:color w:val="auto"/>
              </w:rPr>
            </w:pPr>
            <w:r>
              <w:rPr>
                <w:rFonts w:ascii="Arial" w:cs="Arial" w:eastAsia="Arial" w:hAnsi="Arial"/>
                <w:sz w:val="16"/>
                <w:szCs w:val="16"/>
                <w:color w:val="auto"/>
                <w:w w:val="91"/>
              </w:rPr>
              <w:t>Trafigura</w:t>
            </w:r>
            <w:r>
              <w:rPr>
                <w:rFonts w:ascii="Arial" w:cs="Arial" w:eastAsia="Arial" w:hAnsi="Arial"/>
                <w:sz w:val="21"/>
                <w:szCs w:val="21"/>
                <w:color w:val="auto"/>
                <w:w w:val="91"/>
                <w:vertAlign w:val="superscript"/>
              </w:rPr>
              <w:t>(8)</w:t>
            </w:r>
          </w:p>
        </w:tc>
        <w:tc>
          <w:tcPr>
            <w:tcW w:w="124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0"/>
              </w:rPr>
              <w:t>Steam</w:t>
            </w:r>
          </w:p>
        </w:tc>
        <w:tc>
          <w:tcPr>
            <w:tcW w:w="210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1"/>
              </w:rPr>
              <w:t>November 2020</w:t>
            </w:r>
          </w:p>
        </w:tc>
        <w:tc>
          <w:tcPr>
            <w:tcW w:w="12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1"/>
              </w:rPr>
              <w:t>2021-2024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jc w:val="center"/>
              <w:spacing w:after="0"/>
              <w:rPr>
                <w:sz w:val="20"/>
                <w:szCs w:val="20"/>
                <w:color w:val="auto"/>
              </w:rPr>
            </w:pPr>
            <w:r>
              <w:rPr>
                <w:rFonts w:ascii="Arial" w:cs="Arial" w:eastAsia="Arial" w:hAnsi="Arial"/>
                <w:sz w:val="16"/>
                <w:szCs w:val="16"/>
                <w:b w:val="1"/>
                <w:bCs w:val="1"/>
                <w:color w:val="auto"/>
              </w:rPr>
              <w:t>6</w:t>
            </w:r>
          </w:p>
        </w:tc>
        <w:tc>
          <w:tcPr>
            <w:tcW w:w="3060" w:type="dxa"/>
            <w:vAlign w:val="bottom"/>
            <w:gridSpan w:val="3"/>
          </w:tcPr>
          <w:p>
            <w:pPr>
              <w:ind w:left="60"/>
              <w:spacing w:after="0"/>
              <w:rPr>
                <w:sz w:val="20"/>
                <w:szCs w:val="20"/>
                <w:color w:val="auto"/>
              </w:rPr>
            </w:pPr>
            <w:r>
              <w:rPr>
                <w:rFonts w:ascii="Arial" w:cs="Arial" w:eastAsia="Arial" w:hAnsi="Arial"/>
                <w:sz w:val="16"/>
                <w:szCs w:val="16"/>
                <w:i w:val="1"/>
                <w:iCs w:val="1"/>
                <w:color w:val="auto"/>
              </w:rPr>
              <w:t>Methane Heather Sally</w:t>
            </w:r>
          </w:p>
        </w:tc>
        <w:tc>
          <w:tcPr>
            <w:tcW w:w="600" w:type="dxa"/>
            <w:vAlign w:val="bottom"/>
            <w:gridSpan w:val="2"/>
          </w:tcPr>
          <w:p>
            <w:pPr>
              <w:ind w:left="180"/>
              <w:spacing w:after="0"/>
              <w:rPr>
                <w:sz w:val="20"/>
                <w:szCs w:val="20"/>
                <w:color w:val="auto"/>
              </w:rPr>
            </w:pPr>
            <w:r>
              <w:rPr>
                <w:rFonts w:ascii="Arial" w:cs="Arial" w:eastAsia="Arial" w:hAnsi="Arial"/>
                <w:sz w:val="16"/>
                <w:szCs w:val="16"/>
                <w:color w:val="auto"/>
              </w:rPr>
              <w:t>2007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center"/>
              <w:spacing w:after="0"/>
              <w:rPr>
                <w:sz w:val="20"/>
                <w:szCs w:val="20"/>
                <w:color w:val="auto"/>
              </w:rPr>
            </w:pPr>
            <w:r>
              <w:rPr>
                <w:rFonts w:ascii="Arial" w:cs="Arial" w:eastAsia="Arial" w:hAnsi="Arial"/>
                <w:sz w:val="16"/>
                <w:szCs w:val="16"/>
                <w:color w:val="auto"/>
                <w:w w:val="89"/>
              </w:rPr>
              <w:t>145,000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Shell</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Steam</w:t>
            </w:r>
          </w:p>
        </w:tc>
        <w:tc>
          <w:tcPr>
            <w:tcW w:w="210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December 2020</w:t>
            </w: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shd w:val="clear" w:color="auto" w:fill="E5FFFF"/>
          </w:tcPr>
          <w:p>
            <w:pPr>
              <w:jc w:val="center"/>
              <w:spacing w:after="0"/>
              <w:rPr>
                <w:sz w:val="20"/>
                <w:szCs w:val="20"/>
                <w:color w:val="auto"/>
              </w:rPr>
            </w:pPr>
            <w:r>
              <w:rPr>
                <w:rFonts w:ascii="Arial" w:cs="Arial" w:eastAsia="Arial" w:hAnsi="Arial"/>
                <w:sz w:val="16"/>
                <w:szCs w:val="16"/>
                <w:b w:val="1"/>
                <w:bCs w:val="1"/>
                <w:color w:val="auto"/>
              </w:rPr>
              <w:t>7</w:t>
            </w:r>
          </w:p>
        </w:tc>
        <w:tc>
          <w:tcPr>
            <w:tcW w:w="3060" w:type="dxa"/>
            <w:vAlign w:val="bottom"/>
            <w:gridSpan w:val="3"/>
            <w:shd w:val="clear" w:color="auto" w:fill="E5FFFF"/>
          </w:tcPr>
          <w:p>
            <w:pPr>
              <w:ind w:left="60"/>
              <w:spacing w:after="0"/>
              <w:rPr>
                <w:sz w:val="20"/>
                <w:szCs w:val="20"/>
                <w:color w:val="auto"/>
              </w:rPr>
            </w:pPr>
            <w:r>
              <w:rPr>
                <w:rFonts w:ascii="Arial" w:cs="Arial" w:eastAsia="Arial" w:hAnsi="Arial"/>
                <w:sz w:val="16"/>
                <w:szCs w:val="16"/>
                <w:i w:val="1"/>
                <w:iCs w:val="1"/>
                <w:color w:val="auto"/>
              </w:rPr>
              <w:t>GasLog Seattle</w:t>
            </w:r>
          </w:p>
        </w:tc>
        <w:tc>
          <w:tcPr>
            <w:tcW w:w="600" w:type="dxa"/>
            <w:vAlign w:val="bottom"/>
            <w:gridSpan w:val="2"/>
            <w:shd w:val="clear" w:color="auto" w:fill="E5FFFF"/>
          </w:tcPr>
          <w:p>
            <w:pPr>
              <w:ind w:left="180"/>
              <w:spacing w:after="0"/>
              <w:rPr>
                <w:sz w:val="20"/>
                <w:szCs w:val="20"/>
                <w:color w:val="auto"/>
              </w:rPr>
            </w:pPr>
            <w:r>
              <w:rPr>
                <w:rFonts w:ascii="Arial" w:cs="Arial" w:eastAsia="Arial" w:hAnsi="Arial"/>
                <w:sz w:val="16"/>
                <w:szCs w:val="16"/>
                <w:color w:val="auto"/>
              </w:rPr>
              <w:t>2013</w:t>
            </w:r>
          </w:p>
        </w:tc>
        <w:tc>
          <w:tcPr>
            <w:tcW w:w="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980" w:type="dxa"/>
            <w:vAlign w:val="bottom"/>
            <w:gridSpan w:val="2"/>
            <w:shd w:val="clear" w:color="auto" w:fill="E5FFFF"/>
          </w:tcPr>
          <w:p>
            <w:pPr>
              <w:jc w:val="center"/>
              <w:spacing w:after="0"/>
              <w:rPr>
                <w:sz w:val="20"/>
                <w:szCs w:val="20"/>
                <w:color w:val="auto"/>
              </w:rPr>
            </w:pPr>
            <w:r>
              <w:rPr>
                <w:rFonts w:ascii="Arial" w:cs="Arial" w:eastAsia="Arial" w:hAnsi="Arial"/>
                <w:sz w:val="16"/>
                <w:szCs w:val="16"/>
                <w:color w:val="auto"/>
                <w:w w:val="89"/>
              </w:rPr>
              <w:t>155,000</w:t>
            </w:r>
          </w:p>
        </w:tc>
        <w:tc>
          <w:tcPr>
            <w:tcW w:w="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60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5"/>
              </w:rPr>
              <w:t>Shell</w:t>
            </w:r>
          </w:p>
        </w:tc>
        <w:tc>
          <w:tcPr>
            <w:tcW w:w="124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rPr>
              <w:t>TFDE</w:t>
            </w:r>
          </w:p>
        </w:tc>
        <w:tc>
          <w:tcPr>
            <w:tcW w:w="210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88"/>
              </w:rPr>
              <w:t>June 2021</w:t>
            </w:r>
          </w:p>
        </w:tc>
        <w:tc>
          <w:tcPr>
            <w:tcW w:w="12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jc w:val="center"/>
              <w:spacing w:after="0"/>
              <w:rPr>
                <w:sz w:val="20"/>
                <w:szCs w:val="20"/>
                <w:color w:val="auto"/>
              </w:rPr>
            </w:pPr>
            <w:r>
              <w:rPr>
                <w:rFonts w:ascii="Arial" w:cs="Arial" w:eastAsia="Arial" w:hAnsi="Arial"/>
                <w:sz w:val="16"/>
                <w:szCs w:val="16"/>
                <w:b w:val="1"/>
                <w:bCs w:val="1"/>
                <w:color w:val="auto"/>
              </w:rPr>
              <w:t>8</w:t>
            </w:r>
          </w:p>
        </w:tc>
        <w:tc>
          <w:tcPr>
            <w:tcW w:w="3060" w:type="dxa"/>
            <w:vAlign w:val="bottom"/>
            <w:gridSpan w:val="3"/>
          </w:tcPr>
          <w:p>
            <w:pPr>
              <w:ind w:left="60"/>
              <w:spacing w:after="0"/>
              <w:rPr>
                <w:sz w:val="20"/>
                <w:szCs w:val="20"/>
                <w:color w:val="auto"/>
              </w:rPr>
            </w:pPr>
            <w:r>
              <w:rPr>
                <w:rFonts w:ascii="Arial" w:cs="Arial" w:eastAsia="Arial" w:hAnsi="Arial"/>
                <w:sz w:val="16"/>
                <w:szCs w:val="16"/>
                <w:i w:val="1"/>
                <w:iCs w:val="1"/>
                <w:color w:val="auto"/>
              </w:rPr>
              <w:t>Solaris</w:t>
            </w:r>
          </w:p>
        </w:tc>
        <w:tc>
          <w:tcPr>
            <w:tcW w:w="600" w:type="dxa"/>
            <w:vAlign w:val="bottom"/>
            <w:gridSpan w:val="2"/>
          </w:tcPr>
          <w:p>
            <w:pPr>
              <w:ind w:left="180"/>
              <w:spacing w:after="0"/>
              <w:rPr>
                <w:sz w:val="20"/>
                <w:szCs w:val="20"/>
                <w:color w:val="auto"/>
              </w:rPr>
            </w:pPr>
            <w:r>
              <w:rPr>
                <w:rFonts w:ascii="Arial" w:cs="Arial" w:eastAsia="Arial" w:hAnsi="Arial"/>
                <w:sz w:val="16"/>
                <w:szCs w:val="16"/>
                <w:color w:val="auto"/>
              </w:rPr>
              <w:t>2014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center"/>
              <w:spacing w:after="0"/>
              <w:rPr>
                <w:sz w:val="20"/>
                <w:szCs w:val="20"/>
                <w:color w:val="auto"/>
              </w:rPr>
            </w:pPr>
            <w:r>
              <w:rPr>
                <w:rFonts w:ascii="Arial" w:cs="Arial" w:eastAsia="Arial" w:hAnsi="Arial"/>
                <w:sz w:val="16"/>
                <w:szCs w:val="16"/>
                <w:color w:val="auto"/>
                <w:w w:val="89"/>
              </w:rPr>
              <w:t>155,000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Shell</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rPr>
              <w:t>TFDE</w:t>
            </w:r>
          </w:p>
        </w:tc>
        <w:tc>
          <w:tcPr>
            <w:tcW w:w="210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June 2021</w:t>
            </w: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shd w:val="clear" w:color="auto" w:fill="E5FFFF"/>
          </w:tcPr>
          <w:p>
            <w:pPr>
              <w:jc w:val="center"/>
              <w:spacing w:after="0"/>
              <w:rPr>
                <w:sz w:val="20"/>
                <w:szCs w:val="20"/>
                <w:color w:val="auto"/>
              </w:rPr>
            </w:pPr>
            <w:r>
              <w:rPr>
                <w:rFonts w:ascii="Arial" w:cs="Arial" w:eastAsia="Arial" w:hAnsi="Arial"/>
                <w:sz w:val="16"/>
                <w:szCs w:val="16"/>
                <w:b w:val="1"/>
                <w:bCs w:val="1"/>
                <w:color w:val="auto"/>
              </w:rPr>
              <w:t>9</w:t>
            </w:r>
          </w:p>
        </w:tc>
        <w:tc>
          <w:tcPr>
            <w:tcW w:w="3060" w:type="dxa"/>
            <w:vAlign w:val="bottom"/>
            <w:gridSpan w:val="3"/>
            <w:shd w:val="clear" w:color="auto" w:fill="E5FFFF"/>
          </w:tcPr>
          <w:p>
            <w:pPr>
              <w:ind w:left="60"/>
              <w:spacing w:after="0"/>
              <w:rPr>
                <w:sz w:val="20"/>
                <w:szCs w:val="20"/>
                <w:color w:val="auto"/>
              </w:rPr>
            </w:pPr>
            <w:r>
              <w:rPr>
                <w:rFonts w:ascii="Arial" w:cs="Arial" w:eastAsia="Arial" w:hAnsi="Arial"/>
                <w:sz w:val="16"/>
                <w:szCs w:val="16"/>
                <w:i w:val="1"/>
                <w:iCs w:val="1"/>
                <w:color w:val="auto"/>
              </w:rPr>
              <w:t>GasLog Santiago</w:t>
            </w:r>
          </w:p>
        </w:tc>
        <w:tc>
          <w:tcPr>
            <w:tcW w:w="600" w:type="dxa"/>
            <w:vAlign w:val="bottom"/>
            <w:gridSpan w:val="2"/>
            <w:shd w:val="clear" w:color="auto" w:fill="E5FFFF"/>
          </w:tcPr>
          <w:p>
            <w:pPr>
              <w:ind w:left="180"/>
              <w:spacing w:after="0"/>
              <w:rPr>
                <w:sz w:val="20"/>
                <w:szCs w:val="20"/>
                <w:color w:val="auto"/>
              </w:rPr>
            </w:pPr>
            <w:r>
              <w:rPr>
                <w:rFonts w:ascii="Arial" w:cs="Arial" w:eastAsia="Arial" w:hAnsi="Arial"/>
                <w:sz w:val="16"/>
                <w:szCs w:val="16"/>
                <w:color w:val="auto"/>
              </w:rPr>
              <w:t>2013</w:t>
            </w:r>
          </w:p>
        </w:tc>
        <w:tc>
          <w:tcPr>
            <w:tcW w:w="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980" w:type="dxa"/>
            <w:vAlign w:val="bottom"/>
            <w:gridSpan w:val="2"/>
            <w:shd w:val="clear" w:color="auto" w:fill="E5FFFF"/>
          </w:tcPr>
          <w:p>
            <w:pPr>
              <w:jc w:val="center"/>
              <w:spacing w:after="0"/>
              <w:rPr>
                <w:sz w:val="20"/>
                <w:szCs w:val="20"/>
                <w:color w:val="auto"/>
              </w:rPr>
            </w:pPr>
            <w:r>
              <w:rPr>
                <w:rFonts w:ascii="Arial" w:cs="Arial" w:eastAsia="Arial" w:hAnsi="Arial"/>
                <w:sz w:val="16"/>
                <w:szCs w:val="16"/>
                <w:color w:val="auto"/>
                <w:w w:val="89"/>
              </w:rPr>
              <w:t>155,000</w:t>
            </w:r>
          </w:p>
        </w:tc>
        <w:tc>
          <w:tcPr>
            <w:tcW w:w="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60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6"/>
              </w:rPr>
              <w:t>Trafigura</w:t>
            </w:r>
          </w:p>
        </w:tc>
        <w:tc>
          <w:tcPr>
            <w:tcW w:w="124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rPr>
              <w:t>TFDE</w:t>
            </w:r>
          </w:p>
        </w:tc>
        <w:tc>
          <w:tcPr>
            <w:tcW w:w="210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1"/>
              </w:rPr>
              <w:t>December 2021</w:t>
            </w:r>
          </w:p>
        </w:tc>
        <w:tc>
          <w:tcPr>
            <w:tcW w:w="12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1"/>
              </w:rPr>
              <w:t>2022-2028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jc w:val="center"/>
              <w:spacing w:after="0"/>
              <w:rPr>
                <w:sz w:val="20"/>
                <w:szCs w:val="20"/>
                <w:color w:val="auto"/>
              </w:rPr>
            </w:pPr>
            <w:r>
              <w:rPr>
                <w:rFonts w:ascii="Arial" w:cs="Arial" w:eastAsia="Arial" w:hAnsi="Arial"/>
                <w:sz w:val="16"/>
                <w:szCs w:val="16"/>
                <w:b w:val="1"/>
                <w:bCs w:val="1"/>
                <w:color w:val="auto"/>
              </w:rPr>
              <w:t>10</w:t>
            </w:r>
          </w:p>
        </w:tc>
        <w:tc>
          <w:tcPr>
            <w:tcW w:w="3060" w:type="dxa"/>
            <w:vAlign w:val="bottom"/>
            <w:gridSpan w:val="3"/>
          </w:tcPr>
          <w:p>
            <w:pPr>
              <w:ind w:left="60"/>
              <w:spacing w:after="0"/>
              <w:rPr>
                <w:sz w:val="20"/>
                <w:szCs w:val="20"/>
                <w:color w:val="auto"/>
              </w:rPr>
            </w:pPr>
            <w:r>
              <w:rPr>
                <w:rFonts w:ascii="Arial" w:cs="Arial" w:eastAsia="Arial" w:hAnsi="Arial"/>
                <w:sz w:val="16"/>
                <w:szCs w:val="16"/>
                <w:i w:val="1"/>
                <w:iCs w:val="1"/>
                <w:color w:val="auto"/>
              </w:rPr>
              <w:t>GasLog Shanghai</w:t>
            </w:r>
          </w:p>
        </w:tc>
        <w:tc>
          <w:tcPr>
            <w:tcW w:w="600" w:type="dxa"/>
            <w:vAlign w:val="bottom"/>
            <w:gridSpan w:val="2"/>
          </w:tcPr>
          <w:p>
            <w:pPr>
              <w:ind w:left="180"/>
              <w:spacing w:after="0"/>
              <w:rPr>
                <w:sz w:val="20"/>
                <w:szCs w:val="20"/>
                <w:color w:val="auto"/>
              </w:rPr>
            </w:pPr>
            <w:r>
              <w:rPr>
                <w:rFonts w:ascii="Arial" w:cs="Arial" w:eastAsia="Arial" w:hAnsi="Arial"/>
                <w:sz w:val="16"/>
                <w:szCs w:val="16"/>
                <w:color w:val="auto"/>
              </w:rPr>
              <w:t>2013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center"/>
              <w:spacing w:after="0"/>
              <w:rPr>
                <w:sz w:val="20"/>
                <w:szCs w:val="20"/>
                <w:color w:val="auto"/>
              </w:rPr>
            </w:pPr>
            <w:r>
              <w:rPr>
                <w:rFonts w:ascii="Arial" w:cs="Arial" w:eastAsia="Arial" w:hAnsi="Arial"/>
                <w:sz w:val="16"/>
                <w:szCs w:val="16"/>
                <w:color w:val="auto"/>
                <w:w w:val="89"/>
              </w:rPr>
              <w:t>155,000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center"/>
              <w:ind w:right="100"/>
              <w:spacing w:after="0" w:line="203" w:lineRule="exact"/>
              <w:rPr>
                <w:sz w:val="20"/>
                <w:szCs w:val="20"/>
                <w:color w:val="auto"/>
              </w:rPr>
            </w:pPr>
            <w:r>
              <w:rPr>
                <w:rFonts w:ascii="Arial" w:cs="Arial" w:eastAsia="Arial" w:hAnsi="Arial"/>
                <w:sz w:val="16"/>
                <w:szCs w:val="16"/>
                <w:color w:val="auto"/>
                <w:w w:val="89"/>
              </w:rPr>
              <w:t>Gunvor</w:t>
            </w:r>
            <w:r>
              <w:rPr>
                <w:rFonts w:ascii="Arial" w:cs="Arial" w:eastAsia="Arial" w:hAnsi="Arial"/>
                <w:sz w:val="21"/>
                <w:szCs w:val="21"/>
                <w:color w:val="auto"/>
                <w:w w:val="89"/>
                <w:vertAlign w:val="superscript"/>
              </w:rPr>
              <w:t>(5)</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rPr>
              <w:t>TFDE</w:t>
            </w:r>
          </w:p>
        </w:tc>
        <w:tc>
          <w:tcPr>
            <w:tcW w:w="210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November 2022</w:t>
            </w: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shd w:val="clear" w:color="auto" w:fill="E5FFFF"/>
          </w:tcPr>
          <w:p>
            <w:pPr>
              <w:jc w:val="center"/>
              <w:spacing w:after="0"/>
              <w:rPr>
                <w:sz w:val="20"/>
                <w:szCs w:val="20"/>
                <w:color w:val="auto"/>
              </w:rPr>
            </w:pPr>
            <w:r>
              <w:rPr>
                <w:rFonts w:ascii="Arial" w:cs="Arial" w:eastAsia="Arial" w:hAnsi="Arial"/>
                <w:sz w:val="16"/>
                <w:szCs w:val="16"/>
                <w:b w:val="1"/>
                <w:bCs w:val="1"/>
                <w:color w:val="auto"/>
                <w:w w:val="78"/>
              </w:rPr>
              <w:t>11</w:t>
            </w:r>
          </w:p>
        </w:tc>
        <w:tc>
          <w:tcPr>
            <w:tcW w:w="3060" w:type="dxa"/>
            <w:vAlign w:val="bottom"/>
            <w:gridSpan w:val="3"/>
            <w:shd w:val="clear" w:color="auto" w:fill="E5FFFF"/>
          </w:tcPr>
          <w:p>
            <w:pPr>
              <w:ind w:left="60"/>
              <w:spacing w:after="0"/>
              <w:rPr>
                <w:sz w:val="20"/>
                <w:szCs w:val="20"/>
                <w:color w:val="auto"/>
              </w:rPr>
            </w:pPr>
            <w:r>
              <w:rPr>
                <w:rFonts w:ascii="Arial" w:cs="Arial" w:eastAsia="Arial" w:hAnsi="Arial"/>
                <w:sz w:val="16"/>
                <w:szCs w:val="16"/>
                <w:i w:val="1"/>
                <w:iCs w:val="1"/>
                <w:color w:val="auto"/>
              </w:rPr>
              <w:t>GasLog Geneva</w:t>
            </w:r>
          </w:p>
        </w:tc>
        <w:tc>
          <w:tcPr>
            <w:tcW w:w="600" w:type="dxa"/>
            <w:vAlign w:val="bottom"/>
            <w:gridSpan w:val="2"/>
            <w:shd w:val="clear" w:color="auto" w:fill="E5FFFF"/>
          </w:tcPr>
          <w:p>
            <w:pPr>
              <w:ind w:left="180"/>
              <w:spacing w:after="0"/>
              <w:rPr>
                <w:sz w:val="20"/>
                <w:szCs w:val="20"/>
                <w:color w:val="auto"/>
              </w:rPr>
            </w:pPr>
            <w:r>
              <w:rPr>
                <w:rFonts w:ascii="Arial" w:cs="Arial" w:eastAsia="Arial" w:hAnsi="Arial"/>
                <w:sz w:val="16"/>
                <w:szCs w:val="16"/>
                <w:color w:val="auto"/>
              </w:rPr>
              <w:t>2016</w:t>
            </w:r>
          </w:p>
        </w:tc>
        <w:tc>
          <w:tcPr>
            <w:tcW w:w="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980" w:type="dxa"/>
            <w:vAlign w:val="bottom"/>
            <w:gridSpan w:val="2"/>
            <w:shd w:val="clear" w:color="auto" w:fill="E5FFFF"/>
          </w:tcPr>
          <w:p>
            <w:pPr>
              <w:jc w:val="center"/>
              <w:spacing w:after="0"/>
              <w:rPr>
                <w:sz w:val="20"/>
                <w:szCs w:val="20"/>
                <w:color w:val="auto"/>
              </w:rPr>
            </w:pPr>
            <w:r>
              <w:rPr>
                <w:rFonts w:ascii="Arial" w:cs="Arial" w:eastAsia="Arial" w:hAnsi="Arial"/>
                <w:sz w:val="16"/>
                <w:szCs w:val="16"/>
                <w:color w:val="auto"/>
                <w:w w:val="89"/>
              </w:rPr>
              <w:t>174,000</w:t>
            </w:r>
          </w:p>
        </w:tc>
        <w:tc>
          <w:tcPr>
            <w:tcW w:w="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60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5"/>
              </w:rPr>
              <w:t>Shell</w:t>
            </w:r>
          </w:p>
        </w:tc>
        <w:tc>
          <w:tcPr>
            <w:tcW w:w="124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rPr>
              <w:t>TFDE</w:t>
            </w:r>
          </w:p>
        </w:tc>
        <w:tc>
          <w:tcPr>
            <w:tcW w:w="210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89"/>
              </w:rPr>
              <w:t>September 2023</w:t>
            </w:r>
          </w:p>
        </w:tc>
        <w:tc>
          <w:tcPr>
            <w:tcW w:w="12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1"/>
              </w:rPr>
              <w:t>2028-2031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jc w:val="center"/>
              <w:spacing w:after="0"/>
              <w:rPr>
                <w:sz w:val="20"/>
                <w:szCs w:val="20"/>
                <w:color w:val="auto"/>
              </w:rPr>
            </w:pPr>
            <w:r>
              <w:rPr>
                <w:rFonts w:ascii="Arial" w:cs="Arial" w:eastAsia="Arial" w:hAnsi="Arial"/>
                <w:sz w:val="16"/>
                <w:szCs w:val="16"/>
                <w:b w:val="1"/>
                <w:bCs w:val="1"/>
                <w:color w:val="auto"/>
              </w:rPr>
              <w:t>12</w:t>
            </w:r>
          </w:p>
        </w:tc>
        <w:tc>
          <w:tcPr>
            <w:tcW w:w="3060" w:type="dxa"/>
            <w:vAlign w:val="bottom"/>
            <w:gridSpan w:val="3"/>
          </w:tcPr>
          <w:p>
            <w:pPr>
              <w:ind w:left="60"/>
              <w:spacing w:after="0"/>
              <w:rPr>
                <w:sz w:val="20"/>
                <w:szCs w:val="20"/>
                <w:color w:val="auto"/>
              </w:rPr>
            </w:pPr>
            <w:r>
              <w:rPr>
                <w:rFonts w:ascii="Arial" w:cs="Arial" w:eastAsia="Arial" w:hAnsi="Arial"/>
                <w:sz w:val="16"/>
                <w:szCs w:val="16"/>
                <w:i w:val="1"/>
                <w:iCs w:val="1"/>
                <w:color w:val="auto"/>
              </w:rPr>
              <w:t>GasLog Gibraltar</w:t>
            </w:r>
          </w:p>
        </w:tc>
        <w:tc>
          <w:tcPr>
            <w:tcW w:w="600" w:type="dxa"/>
            <w:vAlign w:val="bottom"/>
            <w:gridSpan w:val="2"/>
          </w:tcPr>
          <w:p>
            <w:pPr>
              <w:ind w:left="180"/>
              <w:spacing w:after="0"/>
              <w:rPr>
                <w:sz w:val="20"/>
                <w:szCs w:val="20"/>
                <w:color w:val="auto"/>
              </w:rPr>
            </w:pPr>
            <w:r>
              <w:rPr>
                <w:rFonts w:ascii="Arial" w:cs="Arial" w:eastAsia="Arial" w:hAnsi="Arial"/>
                <w:sz w:val="16"/>
                <w:szCs w:val="16"/>
                <w:color w:val="auto"/>
              </w:rPr>
              <w:t>2016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center"/>
              <w:spacing w:after="0"/>
              <w:rPr>
                <w:sz w:val="20"/>
                <w:szCs w:val="20"/>
                <w:color w:val="auto"/>
              </w:rPr>
            </w:pPr>
            <w:r>
              <w:rPr>
                <w:rFonts w:ascii="Arial" w:cs="Arial" w:eastAsia="Arial" w:hAnsi="Arial"/>
                <w:sz w:val="16"/>
                <w:szCs w:val="16"/>
                <w:color w:val="auto"/>
                <w:w w:val="89"/>
              </w:rPr>
              <w:t>174,000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Shell</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rPr>
              <w:t>TFDE</w:t>
            </w:r>
          </w:p>
        </w:tc>
        <w:tc>
          <w:tcPr>
            <w:tcW w:w="210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October 2023</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2028-2031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shd w:val="clear" w:color="auto" w:fill="E5FFFF"/>
          </w:tcPr>
          <w:p>
            <w:pPr>
              <w:jc w:val="center"/>
              <w:spacing w:after="0"/>
              <w:rPr>
                <w:sz w:val="20"/>
                <w:szCs w:val="20"/>
                <w:color w:val="auto"/>
              </w:rPr>
            </w:pPr>
            <w:r>
              <w:rPr>
                <w:rFonts w:ascii="Arial" w:cs="Arial" w:eastAsia="Arial" w:hAnsi="Arial"/>
                <w:sz w:val="16"/>
                <w:szCs w:val="16"/>
                <w:b w:val="1"/>
                <w:bCs w:val="1"/>
                <w:color w:val="auto"/>
              </w:rPr>
              <w:t>13</w:t>
            </w:r>
          </w:p>
        </w:tc>
        <w:tc>
          <w:tcPr>
            <w:tcW w:w="3060" w:type="dxa"/>
            <w:vAlign w:val="bottom"/>
            <w:gridSpan w:val="3"/>
            <w:shd w:val="clear" w:color="auto" w:fill="E5FFFF"/>
          </w:tcPr>
          <w:p>
            <w:pPr>
              <w:ind w:left="60"/>
              <w:spacing w:after="0"/>
              <w:rPr>
                <w:sz w:val="20"/>
                <w:szCs w:val="20"/>
                <w:color w:val="auto"/>
              </w:rPr>
            </w:pPr>
            <w:r>
              <w:rPr>
                <w:rFonts w:ascii="Arial" w:cs="Arial" w:eastAsia="Arial" w:hAnsi="Arial"/>
                <w:sz w:val="16"/>
                <w:szCs w:val="16"/>
                <w:i w:val="1"/>
                <w:iCs w:val="1"/>
                <w:color w:val="auto"/>
              </w:rPr>
              <w:t>Methane Becki Anne</w:t>
            </w:r>
          </w:p>
        </w:tc>
        <w:tc>
          <w:tcPr>
            <w:tcW w:w="600" w:type="dxa"/>
            <w:vAlign w:val="bottom"/>
            <w:gridSpan w:val="2"/>
            <w:shd w:val="clear" w:color="auto" w:fill="E5FFFF"/>
          </w:tcPr>
          <w:p>
            <w:pPr>
              <w:ind w:left="180"/>
              <w:spacing w:after="0"/>
              <w:rPr>
                <w:sz w:val="20"/>
                <w:szCs w:val="20"/>
                <w:color w:val="auto"/>
              </w:rPr>
            </w:pPr>
            <w:r>
              <w:rPr>
                <w:rFonts w:ascii="Arial" w:cs="Arial" w:eastAsia="Arial" w:hAnsi="Arial"/>
                <w:sz w:val="16"/>
                <w:szCs w:val="16"/>
                <w:color w:val="auto"/>
              </w:rPr>
              <w:t>2010</w:t>
            </w:r>
          </w:p>
        </w:tc>
        <w:tc>
          <w:tcPr>
            <w:tcW w:w="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980" w:type="dxa"/>
            <w:vAlign w:val="bottom"/>
            <w:gridSpan w:val="2"/>
            <w:shd w:val="clear" w:color="auto" w:fill="E5FFFF"/>
          </w:tcPr>
          <w:p>
            <w:pPr>
              <w:jc w:val="center"/>
              <w:spacing w:after="0"/>
              <w:rPr>
                <w:sz w:val="20"/>
                <w:szCs w:val="20"/>
                <w:color w:val="auto"/>
              </w:rPr>
            </w:pPr>
            <w:r>
              <w:rPr>
                <w:rFonts w:ascii="Arial" w:cs="Arial" w:eastAsia="Arial" w:hAnsi="Arial"/>
                <w:sz w:val="16"/>
                <w:szCs w:val="16"/>
                <w:color w:val="auto"/>
                <w:w w:val="89"/>
              </w:rPr>
              <w:t>170,000</w:t>
            </w:r>
          </w:p>
        </w:tc>
        <w:tc>
          <w:tcPr>
            <w:tcW w:w="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60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5"/>
              </w:rPr>
              <w:t>Shell</w:t>
            </w:r>
          </w:p>
        </w:tc>
        <w:tc>
          <w:tcPr>
            <w:tcW w:w="124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rPr>
              <w:t>TFDE</w:t>
            </w:r>
          </w:p>
        </w:tc>
        <w:tc>
          <w:tcPr>
            <w:tcW w:w="210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4"/>
              </w:rPr>
              <w:t>March 2024</w:t>
            </w:r>
          </w:p>
        </w:tc>
        <w:tc>
          <w:tcPr>
            <w:tcW w:w="12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1"/>
              </w:rPr>
              <w:t>2027-2029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jc w:val="center"/>
              <w:spacing w:after="0"/>
              <w:rPr>
                <w:sz w:val="20"/>
                <w:szCs w:val="20"/>
                <w:color w:val="auto"/>
              </w:rPr>
            </w:pPr>
            <w:r>
              <w:rPr>
                <w:rFonts w:ascii="Arial" w:cs="Arial" w:eastAsia="Arial" w:hAnsi="Arial"/>
                <w:sz w:val="16"/>
                <w:szCs w:val="16"/>
                <w:b w:val="1"/>
                <w:bCs w:val="1"/>
                <w:color w:val="auto"/>
              </w:rPr>
              <w:t>14</w:t>
            </w:r>
          </w:p>
        </w:tc>
        <w:tc>
          <w:tcPr>
            <w:tcW w:w="3060" w:type="dxa"/>
            <w:vAlign w:val="bottom"/>
            <w:gridSpan w:val="3"/>
          </w:tcPr>
          <w:p>
            <w:pPr>
              <w:ind w:left="60"/>
              <w:spacing w:after="0"/>
              <w:rPr>
                <w:sz w:val="20"/>
                <w:szCs w:val="20"/>
                <w:color w:val="auto"/>
              </w:rPr>
            </w:pPr>
            <w:r>
              <w:rPr>
                <w:rFonts w:ascii="Arial" w:cs="Arial" w:eastAsia="Arial" w:hAnsi="Arial"/>
                <w:sz w:val="16"/>
                <w:szCs w:val="16"/>
                <w:i w:val="1"/>
                <w:iCs w:val="1"/>
                <w:color w:val="auto"/>
              </w:rPr>
              <w:t>GasLog Greece</w:t>
            </w:r>
          </w:p>
        </w:tc>
        <w:tc>
          <w:tcPr>
            <w:tcW w:w="600" w:type="dxa"/>
            <w:vAlign w:val="bottom"/>
            <w:gridSpan w:val="2"/>
          </w:tcPr>
          <w:p>
            <w:pPr>
              <w:ind w:left="180"/>
              <w:spacing w:after="0"/>
              <w:rPr>
                <w:sz w:val="20"/>
                <w:szCs w:val="20"/>
                <w:color w:val="auto"/>
              </w:rPr>
            </w:pPr>
            <w:r>
              <w:rPr>
                <w:rFonts w:ascii="Arial" w:cs="Arial" w:eastAsia="Arial" w:hAnsi="Arial"/>
                <w:sz w:val="16"/>
                <w:szCs w:val="16"/>
                <w:color w:val="auto"/>
              </w:rPr>
              <w:t>2016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center"/>
              <w:spacing w:after="0"/>
              <w:rPr>
                <w:sz w:val="20"/>
                <w:szCs w:val="20"/>
                <w:color w:val="auto"/>
              </w:rPr>
            </w:pPr>
            <w:r>
              <w:rPr>
                <w:rFonts w:ascii="Arial" w:cs="Arial" w:eastAsia="Arial" w:hAnsi="Arial"/>
                <w:sz w:val="16"/>
                <w:szCs w:val="16"/>
                <w:color w:val="auto"/>
                <w:w w:val="89"/>
              </w:rPr>
              <w:t>174,000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Shell</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rPr>
              <w:t>TFDE</w:t>
            </w:r>
          </w:p>
        </w:tc>
        <w:tc>
          <w:tcPr>
            <w:tcW w:w="210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March 2026</w:t>
            </w: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2031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shd w:val="clear" w:color="auto" w:fill="E5FFFF"/>
          </w:tcPr>
          <w:p>
            <w:pPr>
              <w:jc w:val="center"/>
              <w:spacing w:after="0"/>
              <w:rPr>
                <w:sz w:val="20"/>
                <w:szCs w:val="20"/>
                <w:color w:val="auto"/>
              </w:rPr>
            </w:pPr>
            <w:r>
              <w:rPr>
                <w:rFonts w:ascii="Arial" w:cs="Arial" w:eastAsia="Arial" w:hAnsi="Arial"/>
                <w:sz w:val="16"/>
                <w:szCs w:val="16"/>
                <w:b w:val="1"/>
                <w:bCs w:val="1"/>
                <w:color w:val="auto"/>
              </w:rPr>
              <w:t>15</w:t>
            </w:r>
          </w:p>
        </w:tc>
        <w:tc>
          <w:tcPr>
            <w:tcW w:w="3060" w:type="dxa"/>
            <w:vAlign w:val="bottom"/>
            <w:gridSpan w:val="3"/>
            <w:shd w:val="clear" w:color="auto" w:fill="E5FFFF"/>
          </w:tcPr>
          <w:p>
            <w:pPr>
              <w:ind w:left="60"/>
              <w:spacing w:after="0"/>
              <w:rPr>
                <w:sz w:val="20"/>
                <w:szCs w:val="20"/>
                <w:color w:val="auto"/>
              </w:rPr>
            </w:pPr>
            <w:r>
              <w:rPr>
                <w:rFonts w:ascii="Arial" w:cs="Arial" w:eastAsia="Arial" w:hAnsi="Arial"/>
                <w:sz w:val="16"/>
                <w:szCs w:val="16"/>
                <w:i w:val="1"/>
                <w:iCs w:val="1"/>
                <w:color w:val="auto"/>
              </w:rPr>
              <w:t>GasLog Glasgow</w:t>
            </w:r>
          </w:p>
        </w:tc>
        <w:tc>
          <w:tcPr>
            <w:tcW w:w="600" w:type="dxa"/>
            <w:vAlign w:val="bottom"/>
            <w:gridSpan w:val="2"/>
            <w:shd w:val="clear" w:color="auto" w:fill="E5FFFF"/>
          </w:tcPr>
          <w:p>
            <w:pPr>
              <w:ind w:left="180"/>
              <w:spacing w:after="0"/>
              <w:rPr>
                <w:sz w:val="20"/>
                <w:szCs w:val="20"/>
                <w:color w:val="auto"/>
              </w:rPr>
            </w:pPr>
            <w:r>
              <w:rPr>
                <w:rFonts w:ascii="Arial" w:cs="Arial" w:eastAsia="Arial" w:hAnsi="Arial"/>
                <w:sz w:val="16"/>
                <w:szCs w:val="16"/>
                <w:color w:val="auto"/>
              </w:rPr>
              <w:t>2016</w:t>
            </w:r>
          </w:p>
        </w:tc>
        <w:tc>
          <w:tcPr>
            <w:tcW w:w="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980" w:type="dxa"/>
            <w:vAlign w:val="bottom"/>
            <w:gridSpan w:val="2"/>
            <w:shd w:val="clear" w:color="auto" w:fill="E5FFFF"/>
          </w:tcPr>
          <w:p>
            <w:pPr>
              <w:jc w:val="center"/>
              <w:spacing w:after="0"/>
              <w:rPr>
                <w:sz w:val="20"/>
                <w:szCs w:val="20"/>
                <w:color w:val="auto"/>
              </w:rPr>
            </w:pPr>
            <w:r>
              <w:rPr>
                <w:rFonts w:ascii="Arial" w:cs="Arial" w:eastAsia="Arial" w:hAnsi="Arial"/>
                <w:sz w:val="16"/>
                <w:szCs w:val="16"/>
                <w:color w:val="auto"/>
                <w:w w:val="89"/>
              </w:rPr>
              <w:t>174,000</w:t>
            </w:r>
          </w:p>
        </w:tc>
        <w:tc>
          <w:tcPr>
            <w:tcW w:w="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60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5"/>
              </w:rPr>
              <w:t>Shell</w:t>
            </w:r>
          </w:p>
        </w:tc>
        <w:tc>
          <w:tcPr>
            <w:tcW w:w="124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rPr>
              <w:t>TFDE</w:t>
            </w:r>
          </w:p>
        </w:tc>
        <w:tc>
          <w:tcPr>
            <w:tcW w:w="210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88"/>
              </w:rPr>
              <w:t>June 2026</w:t>
            </w:r>
          </w:p>
        </w:tc>
        <w:tc>
          <w:tcPr>
            <w:tcW w:w="12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2"/>
        </w:trPr>
        <w:tc>
          <w:tcPr>
            <w:tcW w:w="3380" w:type="dxa"/>
            <w:vAlign w:val="bottom"/>
            <w:gridSpan w:val="4"/>
          </w:tcPr>
          <w:p>
            <w:pPr>
              <w:spacing w:after="0"/>
              <w:rPr>
                <w:sz w:val="20"/>
                <w:szCs w:val="20"/>
                <w:color w:val="auto"/>
              </w:rPr>
            </w:pPr>
            <w:r>
              <w:rPr>
                <w:rFonts w:ascii="Arial" w:cs="Arial" w:eastAsia="Arial" w:hAnsi="Arial"/>
                <w:sz w:val="16"/>
                <w:szCs w:val="16"/>
                <w:b w:val="1"/>
                <w:bCs w:val="1"/>
                <w:i w:val="1"/>
                <w:iCs w:val="1"/>
                <w:color w:val="auto"/>
              </w:rPr>
              <w:t>Bareboat Vessel</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3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0"/>
              </w:rPr>
              <w:t>Cargo</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gridSpan w:val="3"/>
          </w:tcPr>
          <w:p>
            <w:pPr>
              <w:ind w:left="80"/>
              <w:spacing w:after="0"/>
              <w:rPr>
                <w:sz w:val="20"/>
                <w:szCs w:val="20"/>
                <w:color w:val="auto"/>
              </w:rPr>
            </w:pPr>
            <w:r>
              <w:rPr>
                <w:rFonts w:ascii="Arial" w:cs="Arial" w:eastAsia="Arial" w:hAnsi="Arial"/>
                <w:sz w:val="16"/>
                <w:szCs w:val="16"/>
                <w:b w:val="1"/>
                <w:bCs w:val="1"/>
                <w:color w:val="auto"/>
              </w:rPr>
              <w:t>Year</w:t>
            </w:r>
          </w:p>
        </w:tc>
        <w:tc>
          <w:tcPr>
            <w:tcW w:w="20" w:type="dxa"/>
            <w:vAlign w:val="bottom"/>
          </w:tcPr>
          <w:p>
            <w:pPr>
              <w:spacing w:after="0"/>
              <w:rPr>
                <w:sz w:val="17"/>
                <w:szCs w:val="17"/>
                <w:color w:val="auto"/>
              </w:rPr>
            </w:pPr>
          </w:p>
        </w:tc>
        <w:tc>
          <w:tcPr>
            <w:tcW w:w="10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2"/>
              </w:rPr>
              <w:t>Capacity</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Charter</w:t>
            </w:r>
          </w:p>
        </w:tc>
        <w:tc>
          <w:tcPr>
            <w:tcW w:w="1280" w:type="dxa"/>
            <w:vAlign w:val="bottom"/>
          </w:tcPr>
          <w:p>
            <w:pPr>
              <w:ind w:left="340"/>
              <w:spacing w:after="0"/>
              <w:rPr>
                <w:sz w:val="20"/>
                <w:szCs w:val="20"/>
                <w:color w:val="auto"/>
              </w:rPr>
            </w:pPr>
            <w:r>
              <w:rPr>
                <w:rFonts w:ascii="Arial" w:cs="Arial" w:eastAsia="Arial" w:hAnsi="Arial"/>
                <w:sz w:val="16"/>
                <w:szCs w:val="16"/>
                <w:b w:val="1"/>
                <w:bCs w:val="1"/>
                <w:color w:val="auto"/>
              </w:rPr>
              <w:t>Optional</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3060" w:type="dxa"/>
            <w:vAlign w:val="bottom"/>
            <w:gridSpan w:val="3"/>
          </w:tcPr>
          <w:p>
            <w:pPr>
              <w:ind w:left="880"/>
              <w:spacing w:after="0"/>
              <w:rPr>
                <w:sz w:val="20"/>
                <w:szCs w:val="20"/>
                <w:color w:val="auto"/>
              </w:rPr>
            </w:pPr>
            <w:r>
              <w:rPr>
                <w:rFonts w:ascii="Arial" w:cs="Arial" w:eastAsia="Arial" w:hAnsi="Arial"/>
                <w:sz w:val="16"/>
                <w:szCs w:val="16"/>
                <w:b w:val="1"/>
                <w:bCs w:val="1"/>
                <w:color w:val="auto"/>
              </w:rPr>
              <w:t>Vessel Name</w:t>
            </w:r>
          </w:p>
        </w:tc>
        <w:tc>
          <w:tcPr>
            <w:tcW w:w="60" w:type="dxa"/>
            <w:vAlign w:val="bottom"/>
          </w:tcPr>
          <w:p>
            <w:pPr>
              <w:spacing w:after="0"/>
              <w:rPr>
                <w:sz w:val="18"/>
                <w:szCs w:val="18"/>
                <w:color w:val="auto"/>
              </w:rPr>
            </w:pPr>
          </w:p>
        </w:tc>
        <w:tc>
          <w:tcPr>
            <w:tcW w:w="660" w:type="dxa"/>
            <w:vAlign w:val="bottom"/>
            <w:gridSpan w:val="3"/>
          </w:tcPr>
          <w:p>
            <w:pPr>
              <w:ind w:left="80"/>
              <w:spacing w:after="0"/>
              <w:rPr>
                <w:sz w:val="20"/>
                <w:szCs w:val="20"/>
                <w:color w:val="auto"/>
              </w:rPr>
            </w:pPr>
            <w:r>
              <w:rPr>
                <w:rFonts w:ascii="Arial" w:cs="Arial" w:eastAsia="Arial" w:hAnsi="Arial"/>
                <w:sz w:val="16"/>
                <w:szCs w:val="16"/>
                <w:b w:val="1"/>
                <w:bCs w:val="1"/>
                <w:color w:val="auto"/>
              </w:rPr>
              <w:t>Built</w:t>
            </w:r>
          </w:p>
        </w:tc>
        <w:tc>
          <w:tcPr>
            <w:tcW w:w="20" w:type="dxa"/>
            <w:vAlign w:val="bottom"/>
          </w:tcPr>
          <w:p>
            <w:pPr>
              <w:spacing w:after="0"/>
              <w:rPr>
                <w:sz w:val="18"/>
                <w:szCs w:val="18"/>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(cbm)</w:t>
            </w: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Charterer</w:t>
            </w:r>
          </w:p>
        </w:tc>
        <w:tc>
          <w:tcPr>
            <w:tcW w:w="1240" w:type="dxa"/>
            <w:vAlign w:val="bottom"/>
            <w:gridSpan w:val="2"/>
          </w:tcPr>
          <w:p>
            <w:pPr>
              <w:jc w:val="center"/>
              <w:ind w:right="120"/>
              <w:spacing w:after="0" w:line="217" w:lineRule="exact"/>
              <w:rPr>
                <w:sz w:val="20"/>
                <w:szCs w:val="20"/>
                <w:color w:val="auto"/>
              </w:rPr>
            </w:pPr>
            <w:r>
              <w:rPr>
                <w:rFonts w:ascii="Arial" w:cs="Arial" w:eastAsia="Arial" w:hAnsi="Arial"/>
                <w:sz w:val="16"/>
                <w:szCs w:val="16"/>
                <w:b w:val="1"/>
                <w:bCs w:val="1"/>
                <w:color w:val="auto"/>
                <w:w w:val="87"/>
              </w:rPr>
              <w:t>Propulsion</w:t>
            </w:r>
            <w:r>
              <w:rPr>
                <w:rFonts w:ascii="Arial" w:cs="Arial" w:eastAsia="Arial" w:hAnsi="Arial"/>
                <w:sz w:val="21"/>
                <w:szCs w:val="21"/>
                <w:b w:val="1"/>
                <w:bCs w:val="1"/>
                <w:color w:val="auto"/>
                <w:w w:val="87"/>
                <w:vertAlign w:val="superscript"/>
              </w:rPr>
              <w:t>(1)</w:t>
            </w:r>
          </w:p>
        </w:tc>
        <w:tc>
          <w:tcPr>
            <w:tcW w:w="2100" w:type="dxa"/>
            <w:vAlign w:val="bottom"/>
            <w:gridSpan w:val="2"/>
          </w:tcPr>
          <w:p>
            <w:pPr>
              <w:jc w:val="center"/>
              <w:ind w:right="100"/>
              <w:spacing w:after="0" w:line="217" w:lineRule="exact"/>
              <w:rPr>
                <w:sz w:val="20"/>
                <w:szCs w:val="20"/>
                <w:color w:val="auto"/>
              </w:rPr>
            </w:pPr>
            <w:r>
              <w:rPr>
                <w:rFonts w:ascii="Arial" w:cs="Arial" w:eastAsia="Arial" w:hAnsi="Arial"/>
                <w:sz w:val="16"/>
                <w:szCs w:val="16"/>
                <w:b w:val="1"/>
                <w:bCs w:val="1"/>
                <w:color w:val="auto"/>
                <w:w w:val="92"/>
              </w:rPr>
              <w:t>Expiration</w:t>
            </w:r>
            <w:r>
              <w:rPr>
                <w:rFonts w:ascii="Arial" w:cs="Arial" w:eastAsia="Arial" w:hAnsi="Arial"/>
                <w:sz w:val="21"/>
                <w:szCs w:val="21"/>
                <w:b w:val="1"/>
                <w:bCs w:val="1"/>
                <w:color w:val="auto"/>
                <w:w w:val="92"/>
                <w:vertAlign w:val="superscript"/>
              </w:rPr>
              <w:t>(2)</w:t>
            </w:r>
          </w:p>
        </w:tc>
        <w:tc>
          <w:tcPr>
            <w:tcW w:w="1280" w:type="dxa"/>
            <w:vAlign w:val="bottom"/>
          </w:tcPr>
          <w:p>
            <w:pPr>
              <w:ind w:left="340"/>
              <w:spacing w:after="0" w:line="217" w:lineRule="exact"/>
              <w:rPr>
                <w:sz w:val="20"/>
                <w:szCs w:val="20"/>
                <w:color w:val="auto"/>
              </w:rPr>
            </w:pPr>
            <w:r>
              <w:rPr>
                <w:rFonts w:ascii="Arial" w:cs="Arial" w:eastAsia="Arial" w:hAnsi="Arial"/>
                <w:sz w:val="16"/>
                <w:szCs w:val="16"/>
                <w:b w:val="1"/>
                <w:bCs w:val="1"/>
                <w:color w:val="auto"/>
              </w:rPr>
              <w:t>Period</w:t>
            </w:r>
            <w:r>
              <w:rPr>
                <w:rFonts w:ascii="Arial" w:cs="Arial" w:eastAsia="Arial" w:hAnsi="Arial"/>
                <w:sz w:val="21"/>
                <w:szCs w:val="21"/>
                <w:b w:val="1"/>
                <w:bCs w:val="1"/>
                <w:color w:val="auto"/>
                <w:vertAlign w:val="superscript"/>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2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b w:val="1"/>
                <w:bCs w:val="1"/>
                <w:color w:val="auto"/>
              </w:rPr>
              <w:t>1</w:t>
            </w:r>
          </w:p>
        </w:tc>
        <w:tc>
          <w:tcPr>
            <w:tcW w:w="2940" w:type="dxa"/>
            <w:vAlign w:val="bottom"/>
            <w:tcBorders>
              <w:top w:val="single" w:sz="8" w:color="auto"/>
            </w:tcBorders>
            <w:gridSpan w:val="2"/>
            <w:shd w:val="clear" w:color="auto" w:fill="E5FFFF"/>
          </w:tcPr>
          <w:p>
            <w:pPr>
              <w:ind w:left="80"/>
              <w:spacing w:after="0" w:line="196" w:lineRule="exact"/>
              <w:rPr>
                <w:sz w:val="20"/>
                <w:szCs w:val="20"/>
                <w:color w:val="auto"/>
              </w:rPr>
            </w:pPr>
            <w:r>
              <w:rPr>
                <w:rFonts w:ascii="Arial" w:cs="Arial" w:eastAsia="Arial" w:hAnsi="Arial"/>
                <w:sz w:val="16"/>
                <w:szCs w:val="16"/>
                <w:i w:val="1"/>
                <w:iCs w:val="1"/>
                <w:color w:val="auto"/>
              </w:rPr>
              <w:t xml:space="preserve">Methane Julia Louise </w:t>
            </w:r>
            <w:r>
              <w:rPr>
                <w:rFonts w:ascii="Arial" w:cs="Arial" w:eastAsia="Arial" w:hAnsi="Arial"/>
                <w:sz w:val="21"/>
                <w:szCs w:val="21"/>
                <w:color w:val="auto"/>
                <w:vertAlign w:val="superscript"/>
              </w:rPr>
              <w:t>(9)</w:t>
            </w:r>
          </w:p>
        </w:tc>
        <w:tc>
          <w:tcPr>
            <w:tcW w:w="120" w:type="dxa"/>
            <w:vAlign w:val="bottom"/>
            <w:tcBorders>
              <w:top w:val="single" w:sz="8" w:color="E5FFFF"/>
            </w:tcBorders>
            <w:shd w:val="clear" w:color="auto" w:fill="E5FFFF"/>
          </w:tcPr>
          <w:p>
            <w:pPr>
              <w:spacing w:after="0"/>
              <w:rPr>
                <w:sz w:val="17"/>
                <w:szCs w:val="17"/>
                <w:color w:val="auto"/>
              </w:rPr>
            </w:pPr>
          </w:p>
        </w:tc>
        <w:tc>
          <w:tcPr>
            <w:tcW w:w="600" w:type="dxa"/>
            <w:vAlign w:val="bottom"/>
            <w:tcBorders>
              <w:top w:val="single" w:sz="8" w:color="auto"/>
            </w:tcBorders>
            <w:gridSpan w:val="2"/>
            <w:shd w:val="clear" w:color="auto" w:fill="E5FFFF"/>
          </w:tcPr>
          <w:p>
            <w:pPr>
              <w:ind w:left="140"/>
              <w:spacing w:after="0"/>
              <w:rPr>
                <w:sz w:val="20"/>
                <w:szCs w:val="20"/>
                <w:color w:val="auto"/>
              </w:rPr>
            </w:pPr>
            <w:r>
              <w:rPr>
                <w:rFonts w:ascii="Arial" w:cs="Arial" w:eastAsia="Arial" w:hAnsi="Arial"/>
                <w:sz w:val="16"/>
                <w:szCs w:val="16"/>
                <w:color w:val="auto"/>
              </w:rPr>
              <w:t>2010</w:t>
            </w:r>
          </w:p>
        </w:tc>
        <w:tc>
          <w:tcPr>
            <w:tcW w:w="4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980" w:type="dxa"/>
            <w:vAlign w:val="bottom"/>
            <w:tcBorders>
              <w:top w:val="single" w:sz="8" w:color="auto"/>
            </w:tcBorders>
            <w:gridSpan w:val="2"/>
            <w:shd w:val="clear" w:color="auto" w:fill="E5FFFF"/>
          </w:tcPr>
          <w:p>
            <w:pPr>
              <w:jc w:val="center"/>
              <w:spacing w:after="0"/>
              <w:rPr>
                <w:sz w:val="20"/>
                <w:szCs w:val="20"/>
                <w:color w:val="auto"/>
              </w:rPr>
            </w:pPr>
            <w:r>
              <w:rPr>
                <w:rFonts w:ascii="Arial" w:cs="Arial" w:eastAsia="Arial" w:hAnsi="Arial"/>
                <w:sz w:val="16"/>
                <w:szCs w:val="16"/>
                <w:color w:val="auto"/>
                <w:w w:val="93"/>
              </w:rPr>
              <w:t>170,000</w:t>
            </w:r>
          </w:p>
        </w:tc>
        <w:tc>
          <w:tcPr>
            <w:tcW w:w="2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15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5"/>
              </w:rPr>
              <w:t>Shell</w:t>
            </w:r>
          </w:p>
        </w:tc>
        <w:tc>
          <w:tcPr>
            <w:tcW w:w="10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rPr>
              <w:t>TFDE</w:t>
            </w:r>
          </w:p>
        </w:tc>
        <w:tc>
          <w:tcPr>
            <w:tcW w:w="100" w:type="dxa"/>
            <w:vAlign w:val="bottom"/>
            <w:tcBorders>
              <w:top w:val="single" w:sz="8" w:color="E5FFFF"/>
            </w:tcBorders>
            <w:shd w:val="clear" w:color="auto" w:fill="E5FFFF"/>
          </w:tcPr>
          <w:p>
            <w:pPr>
              <w:spacing w:after="0"/>
              <w:rPr>
                <w:sz w:val="17"/>
                <w:szCs w:val="17"/>
                <w:color w:val="auto"/>
              </w:rPr>
            </w:pPr>
          </w:p>
        </w:tc>
        <w:tc>
          <w:tcPr>
            <w:tcW w:w="19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4"/>
              </w:rPr>
              <w:t>March 2026</w:t>
            </w:r>
          </w:p>
        </w:tc>
        <w:tc>
          <w:tcPr>
            <w:tcW w:w="120" w:type="dxa"/>
            <w:vAlign w:val="bottom"/>
            <w:tcBorders>
              <w:top w:val="single" w:sz="8" w:color="E5FFFF"/>
            </w:tcBorders>
            <w:shd w:val="clear" w:color="auto" w:fill="E5FFFF"/>
          </w:tcPr>
          <w:p>
            <w:pPr>
              <w:spacing w:after="0"/>
              <w:rPr>
                <w:sz w:val="17"/>
                <w:szCs w:val="17"/>
                <w:color w:val="auto"/>
              </w:rPr>
            </w:pPr>
          </w:p>
        </w:tc>
        <w:tc>
          <w:tcPr>
            <w:tcW w:w="12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1"/>
              </w:rPr>
              <w:t>2029-2031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6"/>
        </w:trPr>
        <w:tc>
          <w:tcPr>
            <w:tcW w:w="3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jc w:val="right"/>
              <w:ind w:right="839"/>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20" w:type="dxa"/>
            <w:vAlign w:val="bottom"/>
            <w:tcBorders>
              <w:bottom w:val="single" w:sz="8" w:color="808080"/>
            </w:tcBorders>
          </w:tcPr>
          <w:p>
            <w:pPr>
              <w:spacing w:after="0"/>
              <w:rPr>
                <w:sz w:val="10"/>
                <w:szCs w:val="10"/>
                <w:color w:val="auto"/>
              </w:rPr>
            </w:pPr>
          </w:p>
        </w:tc>
        <w:tc>
          <w:tcPr>
            <w:tcW w:w="28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9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6" w:right="199" w:bottom="1440" w:gutter="0" w:footer="0" w:header="0"/>
        </w:sectPr>
      </w:pPr>
    </w:p>
    <w:bookmarkStart w:id="18" w:name="page19"/>
    <w:bookmarkEnd w:id="18"/>
    <w:p>
      <w:pPr>
        <w:ind w:left="200" w:hanging="192"/>
        <w:spacing w:after="0"/>
        <w:tabs>
          <w:tab w:leader="none" w:pos="20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“Steam” refers to modern steam turbine propulsion, “TFDE” refers to fuel efficient tri-fuel diesel electric propulsion and “X-DF” refers to low pressure dual fuel two-stroke propulsion.</w:t>
      </w:r>
    </w:p>
    <w:p>
      <w:pPr>
        <w:ind w:left="200" w:hanging="192"/>
        <w:spacing w:after="0" w:line="182" w:lineRule="auto"/>
        <w:tabs>
          <w:tab w:leader="none" w:pos="200" w:val="left"/>
        </w:tabs>
        <w:numPr>
          <w:ilvl w:val="0"/>
          <w:numId w:val="12"/>
        </w:numPr>
        <w:rPr>
          <w:rFonts w:ascii="Arial" w:cs="Arial" w:eastAsia="Arial" w:hAnsi="Arial"/>
          <w:sz w:val="17"/>
          <w:szCs w:val="17"/>
          <w:color w:val="auto"/>
          <w:vertAlign w:val="superscript"/>
        </w:rPr>
      </w:pPr>
      <w:r>
        <w:rPr>
          <w:rFonts w:ascii="Arial" w:cs="Arial" w:eastAsia="Arial" w:hAnsi="Arial"/>
          <w:sz w:val="14"/>
          <w:szCs w:val="14"/>
          <w:color w:val="auto"/>
        </w:rPr>
        <w:t>Indicates the expiration of the initial term.</w:t>
      </w:r>
    </w:p>
    <w:p>
      <w:pPr>
        <w:ind w:left="200" w:right="80" w:hanging="192"/>
        <w:spacing w:after="0" w:line="233" w:lineRule="auto"/>
        <w:tabs>
          <w:tab w:leader="none" w:pos="191" w:val="left"/>
        </w:tabs>
        <w:numPr>
          <w:ilvl w:val="0"/>
          <w:numId w:val="12"/>
        </w:numPr>
        <w:rPr>
          <w:rFonts w:ascii="Arial" w:cs="Arial" w:eastAsia="Arial" w:hAnsi="Arial"/>
          <w:sz w:val="16"/>
          <w:szCs w:val="16"/>
          <w:color w:val="auto"/>
          <w:vertAlign w:val="superscript"/>
        </w:rPr>
      </w:pPr>
      <w:r>
        <w:rPr>
          <w:rFonts w:ascii="Arial" w:cs="Arial" w:eastAsia="Arial" w:hAnsi="Arial"/>
          <w:sz w:val="13"/>
          <w:szCs w:val="13"/>
          <w:color w:val="auto"/>
        </w:rPr>
        <w:t xml:space="preserve">The period shown reflects the expiration of the minimum optional period and the maximum optional period. The charterer of the </w:t>
      </w:r>
      <w:r>
        <w:rPr>
          <w:rFonts w:ascii="Arial" w:cs="Arial" w:eastAsia="Arial" w:hAnsi="Arial"/>
          <w:sz w:val="13"/>
          <w:szCs w:val="13"/>
          <w:i w:val="1"/>
          <w:iCs w:val="1"/>
          <w:color w:val="auto"/>
        </w:rPr>
        <w:t>GasLog Santiago</w:t>
      </w:r>
      <w:r>
        <w:rPr>
          <w:rFonts w:ascii="Arial" w:cs="Arial" w:eastAsia="Arial" w:hAnsi="Arial"/>
          <w:sz w:val="13"/>
          <w:szCs w:val="13"/>
          <w:color w:val="auto"/>
        </w:rPr>
        <w:t xml:space="preserve"> may extend the term of this time charter for a period ranging from one to seven years, provided that the charterer provides us with advance notice of declaration. The charterer of the </w:t>
      </w:r>
      <w:r>
        <w:rPr>
          <w:rFonts w:ascii="Arial" w:cs="Arial" w:eastAsia="Arial" w:hAnsi="Arial"/>
          <w:sz w:val="13"/>
          <w:szCs w:val="13"/>
          <w:i w:val="1"/>
          <w:iCs w:val="1"/>
          <w:color w:val="auto"/>
        </w:rPr>
        <w:t>GasLog Sydney</w:t>
      </w:r>
      <w:r>
        <w:rPr>
          <w:rFonts w:ascii="Arial" w:cs="Arial" w:eastAsia="Arial" w:hAnsi="Arial"/>
          <w:sz w:val="13"/>
          <w:szCs w:val="13"/>
          <w:color w:val="auto"/>
        </w:rPr>
        <w:t xml:space="preserve"> may extend the term of this time charter for a period ranging from six to twelve months, provided that the charterer provides us with advance notice of declaration. The charterer of the </w:t>
      </w:r>
      <w:r>
        <w:rPr>
          <w:rFonts w:ascii="Arial" w:cs="Arial" w:eastAsia="Arial" w:hAnsi="Arial"/>
          <w:sz w:val="13"/>
          <w:szCs w:val="13"/>
          <w:i w:val="1"/>
          <w:iCs w:val="1"/>
          <w:color w:val="auto"/>
        </w:rPr>
        <w:t>Methane Becki Anne</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Methane Julia Louise</w:t>
      </w:r>
      <w:r>
        <w:rPr>
          <w:rFonts w:ascii="Arial" w:cs="Arial" w:eastAsia="Arial" w:hAnsi="Arial"/>
          <w:sz w:val="13"/>
          <w:szCs w:val="13"/>
          <w:color w:val="auto"/>
        </w:rPr>
        <w:t xml:space="preserve"> has unilateral options to extend the term of the related time charters for a period of either three or five years at their election, provided that the charterer provides us with advance notice of declaration of any option in accordance with the terms of the applicable charter. The charterer of the </w:t>
      </w:r>
      <w:r>
        <w:rPr>
          <w:rFonts w:ascii="Arial" w:cs="Arial" w:eastAsia="Arial" w:hAnsi="Arial"/>
          <w:sz w:val="13"/>
          <w:szCs w:val="13"/>
          <w:i w:val="1"/>
          <w:iCs w:val="1"/>
          <w:color w:val="auto"/>
        </w:rPr>
        <w:t>GasLog Greece</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GasLog Glasgow</w:t>
      </w:r>
      <w:r>
        <w:rPr>
          <w:rFonts w:ascii="Arial" w:cs="Arial" w:eastAsia="Arial" w:hAnsi="Arial"/>
          <w:sz w:val="13"/>
          <w:szCs w:val="13"/>
          <w:color w:val="auto"/>
        </w:rPr>
        <w:t xml:space="preserve"> has the right to extend the charters for a period of five years at the charterer’s option. The charterer of the </w:t>
      </w:r>
      <w:r>
        <w:rPr>
          <w:rFonts w:ascii="Arial" w:cs="Arial" w:eastAsia="Arial" w:hAnsi="Arial"/>
          <w:sz w:val="13"/>
          <w:szCs w:val="13"/>
          <w:i w:val="1"/>
          <w:iCs w:val="1"/>
          <w:color w:val="auto"/>
        </w:rPr>
        <w:t>GasLog Geneva</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GasLog Gibraltar</w:t>
      </w:r>
      <w:r>
        <w:rPr>
          <w:rFonts w:ascii="Arial" w:cs="Arial" w:eastAsia="Arial" w:hAnsi="Arial"/>
          <w:sz w:val="13"/>
          <w:szCs w:val="13"/>
          <w:color w:val="auto"/>
        </w:rPr>
        <w:t xml:space="preserve"> has the right to extend the charter by two additional periods of five and three years, respectively, provided that the charterer provides us with advance notice of declaration. The charterer of the </w:t>
      </w:r>
      <w:r>
        <w:rPr>
          <w:rFonts w:ascii="Arial" w:cs="Arial" w:eastAsia="Arial" w:hAnsi="Arial"/>
          <w:sz w:val="13"/>
          <w:szCs w:val="13"/>
          <w:i w:val="1"/>
          <w:iCs w:val="1"/>
          <w:color w:val="auto"/>
        </w:rPr>
        <w:t>GasLog Houston,</w:t>
      </w:r>
      <w:r>
        <w:rPr>
          <w:rFonts w:ascii="Arial" w:cs="Arial" w:eastAsia="Arial" w:hAnsi="Arial"/>
          <w:sz w:val="13"/>
          <w:szCs w:val="13"/>
          <w:color w:val="auto"/>
        </w:rPr>
        <w:t xml:space="preserve"> the </w:t>
      </w:r>
      <w:r>
        <w:rPr>
          <w:rFonts w:ascii="Arial" w:cs="Arial" w:eastAsia="Arial" w:hAnsi="Arial"/>
          <w:sz w:val="13"/>
          <w:szCs w:val="13"/>
          <w:i w:val="1"/>
          <w:iCs w:val="1"/>
          <w:color w:val="auto"/>
        </w:rPr>
        <w:t>GasLog Genoa</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GasLog Gladstone</w:t>
      </w:r>
      <w:r>
        <w:rPr>
          <w:rFonts w:ascii="Arial" w:cs="Arial" w:eastAsia="Arial" w:hAnsi="Arial"/>
          <w:sz w:val="13"/>
          <w:szCs w:val="13"/>
          <w:color w:val="auto"/>
        </w:rPr>
        <w:t xml:space="preserve"> has the right to extend the charters by two additional periods of three years, provided that the charterer provides us with advance notice of declaration. The charterer of the </w:t>
      </w:r>
      <w:r>
        <w:rPr>
          <w:rFonts w:ascii="Arial" w:cs="Arial" w:eastAsia="Arial" w:hAnsi="Arial"/>
          <w:sz w:val="13"/>
          <w:szCs w:val="13"/>
          <w:i w:val="1"/>
          <w:iCs w:val="1"/>
          <w:color w:val="auto"/>
        </w:rPr>
        <w:t>Methane Jane Elizabeth</w:t>
      </w:r>
      <w:r>
        <w:rPr>
          <w:rFonts w:ascii="Arial" w:cs="Arial" w:eastAsia="Arial" w:hAnsi="Arial"/>
          <w:sz w:val="13"/>
          <w:szCs w:val="13"/>
          <w:color w:val="auto"/>
        </w:rPr>
        <w:t xml:space="preserve"> has the right to extend the term of this time charter for a period ranging from one to four years, provided that the charterer gives us advance notice of declaration. The charterer of the </w:t>
      </w:r>
      <w:r>
        <w:rPr>
          <w:rFonts w:ascii="Arial" w:cs="Arial" w:eastAsia="Arial" w:hAnsi="Arial"/>
          <w:sz w:val="13"/>
          <w:szCs w:val="13"/>
          <w:i w:val="1"/>
          <w:iCs w:val="1"/>
          <w:color w:val="auto"/>
        </w:rPr>
        <w:t>GasLog Hong Kong</w:t>
      </w:r>
      <w:r>
        <w:rPr>
          <w:rFonts w:ascii="Arial" w:cs="Arial" w:eastAsia="Arial" w:hAnsi="Arial"/>
          <w:sz w:val="13"/>
          <w:szCs w:val="13"/>
          <w:color w:val="auto"/>
        </w:rPr>
        <w:t xml:space="preserve"> has the right to extend the charter for a period of three years, provided that the charterer provides us with advance notice of declaration. Endesa has the right to extend the charter of the </w:t>
      </w:r>
      <w:r>
        <w:rPr>
          <w:rFonts w:ascii="Arial" w:cs="Arial" w:eastAsia="Arial" w:hAnsi="Arial"/>
          <w:sz w:val="13"/>
          <w:szCs w:val="13"/>
          <w:i w:val="1"/>
          <w:iCs w:val="1"/>
          <w:color w:val="auto"/>
        </w:rPr>
        <w:t>GasLog</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Warsaw </w:t>
      </w:r>
      <w:r>
        <w:rPr>
          <w:rFonts w:ascii="Arial" w:cs="Arial" w:eastAsia="Arial" w:hAnsi="Arial"/>
          <w:sz w:val="13"/>
          <w:szCs w:val="13"/>
          <w:color w:val="auto"/>
        </w:rPr>
        <w:t>by two additional periods of six years, provided that the charterer provides us with advance notice of declaration.</w:t>
      </w:r>
    </w:p>
    <w:p>
      <w:pPr>
        <w:spacing w:after="0" w:line="4" w:lineRule="exact"/>
        <w:rPr>
          <w:rFonts w:ascii="Arial" w:cs="Arial" w:eastAsia="Arial" w:hAnsi="Arial"/>
          <w:sz w:val="16"/>
          <w:szCs w:val="16"/>
          <w:color w:val="auto"/>
          <w:vertAlign w:val="superscript"/>
        </w:rPr>
      </w:pPr>
    </w:p>
    <w:p>
      <w:pPr>
        <w:ind w:left="200" w:hanging="192"/>
        <w:spacing w:after="0" w:line="182" w:lineRule="auto"/>
        <w:tabs>
          <w:tab w:leader="none" w:pos="200" w:val="left"/>
        </w:tabs>
        <w:numPr>
          <w:ilvl w:val="0"/>
          <w:numId w:val="12"/>
        </w:numPr>
        <w:rPr>
          <w:rFonts w:ascii="Arial" w:cs="Arial" w:eastAsia="Arial" w:hAnsi="Arial"/>
          <w:sz w:val="17"/>
          <w:szCs w:val="17"/>
          <w:color w:val="auto"/>
          <w:vertAlign w:val="superscript"/>
        </w:rPr>
      </w:pPr>
      <w:r>
        <w:rPr>
          <w:rFonts w:ascii="Arial" w:cs="Arial" w:eastAsia="Arial" w:hAnsi="Arial"/>
          <w:sz w:val="14"/>
          <w:szCs w:val="14"/>
          <w:color w:val="auto"/>
        </w:rPr>
        <w:t>Vessels currently operating in the spot market since exiting the Cool Pool.</w:t>
      </w:r>
    </w:p>
    <w:p>
      <w:pPr>
        <w:ind w:left="200" w:hanging="192"/>
        <w:spacing w:after="0" w:line="182" w:lineRule="auto"/>
        <w:tabs>
          <w:tab w:leader="none" w:pos="200" w:val="left"/>
        </w:tabs>
        <w:numPr>
          <w:ilvl w:val="0"/>
          <w:numId w:val="12"/>
        </w:numPr>
        <w:rPr>
          <w:rFonts w:ascii="Arial" w:cs="Arial" w:eastAsia="Arial" w:hAnsi="Arial"/>
          <w:sz w:val="17"/>
          <w:szCs w:val="17"/>
          <w:color w:val="auto"/>
          <w:vertAlign w:val="superscript"/>
        </w:rPr>
      </w:pPr>
      <w:r>
        <w:rPr>
          <w:rFonts w:ascii="Arial" w:cs="Arial" w:eastAsia="Arial" w:hAnsi="Arial"/>
          <w:sz w:val="14"/>
          <w:szCs w:val="14"/>
          <w:color w:val="auto"/>
        </w:rPr>
        <w:t>The vessel is chartered to Clearlake Shipping Pte. Ltd., a subsidiary of Gunvor Group Ltd. (“Gunvor”).</w:t>
      </w:r>
    </w:p>
    <w:p>
      <w:pPr>
        <w:ind w:left="180" w:hanging="172"/>
        <w:spacing w:after="0" w:line="182" w:lineRule="auto"/>
        <w:tabs>
          <w:tab w:leader="none" w:pos="180" w:val="left"/>
        </w:tabs>
        <w:numPr>
          <w:ilvl w:val="0"/>
          <w:numId w:val="12"/>
        </w:numPr>
        <w:rPr>
          <w:rFonts w:ascii="Arial" w:cs="Arial" w:eastAsia="Arial" w:hAnsi="Arial"/>
          <w:sz w:val="17"/>
          <w:szCs w:val="17"/>
          <w:color w:val="auto"/>
          <w:vertAlign w:val="superscript"/>
        </w:rPr>
      </w:pPr>
      <w:r>
        <w:rPr>
          <w:rFonts w:ascii="Arial" w:cs="Arial" w:eastAsia="Arial" w:hAnsi="Arial"/>
          <w:sz w:val="14"/>
          <w:szCs w:val="14"/>
          <w:color w:val="auto"/>
        </w:rPr>
        <w:t>“Total” refers to Total Gas &amp; Power Chartering Limited, a wholly owned subsidiary of Total S.A.</w:t>
      </w:r>
    </w:p>
    <w:p>
      <w:pPr>
        <w:ind w:left="200" w:right="340" w:hanging="192"/>
        <w:spacing w:after="0" w:line="193" w:lineRule="auto"/>
        <w:tabs>
          <w:tab w:leader="none" w:pos="178"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The vessel is currently trading in the spot market and has been chartered to Sinolam LNG for the provision of an FSU. The charter is expected to commence in November 2020, after the dry-docking and conversion of the vessel to an FSU.</w:t>
      </w:r>
    </w:p>
    <w:p>
      <w:pPr>
        <w:spacing w:after="0" w:line="1" w:lineRule="exact"/>
        <w:rPr>
          <w:rFonts w:ascii="Arial" w:cs="Arial" w:eastAsia="Arial" w:hAnsi="Arial"/>
          <w:sz w:val="18"/>
          <w:szCs w:val="18"/>
          <w:color w:val="auto"/>
          <w:vertAlign w:val="superscript"/>
        </w:rPr>
      </w:pPr>
    </w:p>
    <w:p>
      <w:pPr>
        <w:ind w:left="200" w:right="60" w:hanging="192"/>
        <w:spacing w:after="0" w:line="193" w:lineRule="auto"/>
        <w:tabs>
          <w:tab w:leader="none" w:pos="178"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 xml:space="preserve">In March 2018, GasLog Partners secured a one-year charter with Trafigura for the </w:t>
      </w:r>
      <w:r>
        <w:rPr>
          <w:rFonts w:ascii="Arial" w:cs="Arial" w:eastAsia="Arial" w:hAnsi="Arial"/>
          <w:sz w:val="14"/>
          <w:szCs w:val="14"/>
          <w:i w:val="1"/>
          <w:iCs w:val="1"/>
          <w:color w:val="auto"/>
        </w:rPr>
        <w:t>Methane Jane Elizabeth</w:t>
      </w:r>
      <w:r>
        <w:rPr>
          <w:rFonts w:ascii="Arial" w:cs="Arial" w:eastAsia="Arial" w:hAnsi="Arial"/>
          <w:sz w:val="14"/>
          <w:szCs w:val="14"/>
          <w:color w:val="auto"/>
        </w:rPr>
        <w:t xml:space="preserve"> (as nominated by the Partnership), which is expected to commence in November 2019. The hire rate for this charter will be lower than the hire rate under the vessel’s multi-year charter with Shell, which expired in October 2019.</w:t>
      </w:r>
    </w:p>
    <w:p>
      <w:pPr>
        <w:spacing w:after="0" w:line="1" w:lineRule="exact"/>
        <w:rPr>
          <w:rFonts w:ascii="Arial" w:cs="Arial" w:eastAsia="Arial" w:hAnsi="Arial"/>
          <w:sz w:val="18"/>
          <w:szCs w:val="18"/>
          <w:color w:val="auto"/>
          <w:vertAlign w:val="superscript"/>
        </w:rPr>
      </w:pPr>
    </w:p>
    <w:p>
      <w:pPr>
        <w:ind w:left="200" w:right="80" w:hanging="192"/>
        <w:spacing w:after="0" w:line="233" w:lineRule="auto"/>
        <w:tabs>
          <w:tab w:leader="none" w:pos="182" w:val="left"/>
        </w:tabs>
        <w:numPr>
          <w:ilvl w:val="0"/>
          <w:numId w:val="12"/>
        </w:numPr>
        <w:rPr>
          <w:rFonts w:ascii="Arial" w:cs="Arial" w:eastAsia="Arial" w:hAnsi="Arial"/>
          <w:sz w:val="16"/>
          <w:szCs w:val="16"/>
          <w:color w:val="auto"/>
          <w:vertAlign w:val="superscript"/>
        </w:rPr>
      </w:pPr>
      <w:r>
        <w:rPr>
          <w:rFonts w:ascii="Arial" w:cs="Arial" w:eastAsia="Arial" w:hAnsi="Arial"/>
          <w:sz w:val="13"/>
          <w:szCs w:val="13"/>
          <w:color w:val="auto"/>
        </w:rPr>
        <w:t xml:space="preserve">On February 24, 2016, GasLog’s subsidiary, GAS-twenty six Ltd., completed the sale and leaseback of the </w:t>
      </w:r>
      <w:r>
        <w:rPr>
          <w:rFonts w:ascii="Arial" w:cs="Arial" w:eastAsia="Arial" w:hAnsi="Arial"/>
          <w:sz w:val="13"/>
          <w:szCs w:val="13"/>
          <w:i w:val="1"/>
          <w:iCs w:val="1"/>
          <w:color w:val="auto"/>
        </w:rPr>
        <w:t>Methane Julia Louise</w:t>
      </w:r>
      <w:r>
        <w:rPr>
          <w:rFonts w:ascii="Arial" w:cs="Arial" w:eastAsia="Arial" w:hAnsi="Arial"/>
          <w:sz w:val="13"/>
          <w:szCs w:val="13"/>
          <w:color w:val="auto"/>
        </w:rPr>
        <w:t xml:space="preserve"> with Lepta Shipping. Lepta Shipping has the right to on-sell and lease back the vessel. The vessel was sold to Lepta Shipping for a total consideration approximately equivalent to its book value at the time of the sale. GasLog has leased back the vessel under a bareboat charter from Lepta Shipping for a period of up to 20 years. GasLog has the option to re-purchase the vessel on pre-agreed terms no earlier than the end of year ten and no later than the end of year 17 of the bareboat charter. The vessel remains on its eleven-year-charter with Methane Services Limited, a subsidiary of Shell.</w:t>
      </w:r>
    </w:p>
    <w:p>
      <w:pPr>
        <w:spacing w:after="0" w:line="193" w:lineRule="exact"/>
        <w:rPr>
          <w:sz w:val="20"/>
          <w:szCs w:val="20"/>
          <w:color w:val="auto"/>
        </w:rPr>
      </w:pPr>
    </w:p>
    <w:p>
      <w:pPr>
        <w:ind w:right="80" w:firstLine="383"/>
        <w:spacing w:after="0" w:line="315" w:lineRule="auto"/>
        <w:rPr>
          <w:sz w:val="20"/>
          <w:szCs w:val="20"/>
          <w:color w:val="auto"/>
        </w:rPr>
      </w:pPr>
      <w:r>
        <w:rPr>
          <w:rFonts w:ascii="Arial" w:cs="Arial" w:eastAsia="Arial" w:hAnsi="Arial"/>
          <w:sz w:val="14"/>
          <w:szCs w:val="14"/>
          <w:color w:val="auto"/>
        </w:rPr>
        <w:t xml:space="preserve">GasLog Partners has a right of first offer from us to purchase any LNG carriers with cargo capacities greater than 75,000 cbm engaged in ongoing LNG transportation under charters of five full years or more that we own or acquire (the “Five-Year Vessels”) either at their acquisition cost plus certain break up costs (in the case of a newly acquired Five-Year Vessel) or at their fair market value (in the case of a previously owned vessel that becomes a Five-Year Vessel). The </w:t>
      </w:r>
      <w:r>
        <w:rPr>
          <w:rFonts w:ascii="Arial" w:cs="Arial" w:eastAsia="Arial" w:hAnsi="Arial"/>
          <w:sz w:val="14"/>
          <w:szCs w:val="14"/>
          <w:i w:val="1"/>
          <w:iCs w:val="1"/>
          <w:color w:val="auto"/>
        </w:rPr>
        <w:t>GasLog Warsaw</w:t>
      </w:r>
      <w:r>
        <w:rPr>
          <w:rFonts w:ascii="Arial" w:cs="Arial" w:eastAsia="Arial" w:hAnsi="Arial"/>
          <w:sz w:val="14"/>
          <w:szCs w:val="14"/>
          <w:color w:val="auto"/>
        </w:rPr>
        <w:t xml:space="preserve">, the </w:t>
      </w:r>
      <w:r>
        <w:rPr>
          <w:rFonts w:ascii="Arial" w:cs="Arial" w:eastAsia="Arial" w:hAnsi="Arial"/>
          <w:sz w:val="14"/>
          <w:szCs w:val="14"/>
          <w:i w:val="1"/>
          <w:iCs w:val="1"/>
          <w:color w:val="auto"/>
        </w:rPr>
        <w:t>GasLog</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Singapore </w:t>
      </w:r>
      <w:r>
        <w:rPr>
          <w:rFonts w:ascii="Arial" w:cs="Arial" w:eastAsia="Arial" w:hAnsi="Arial"/>
          <w:sz w:val="14"/>
          <w:szCs w:val="14"/>
          <w:color w:val="auto"/>
        </w:rPr>
        <w:t>and our seven newbuildings (Hull Nos. 2213, 2274, 2262, 2300, 2301, 2311 and 2312) will each qualify as a Five-Year Vessel upon commencement of their charters</w:t>
      </w:r>
      <w:r>
        <w:rPr>
          <w:rFonts w:ascii="Arial" w:cs="Arial" w:eastAsia="Arial" w:hAnsi="Arial"/>
          <w:sz w:val="14"/>
          <w:szCs w:val="14"/>
          <w:i w:val="1"/>
          <w:iCs w:val="1"/>
          <w:color w:val="auto"/>
        </w:rPr>
        <w:t xml:space="preserve"> </w:t>
      </w:r>
      <w:r>
        <w:rPr>
          <w:rFonts w:ascii="Arial" w:cs="Arial" w:eastAsia="Arial" w:hAnsi="Arial"/>
          <w:sz w:val="14"/>
          <w:szCs w:val="14"/>
          <w:color w:val="auto"/>
        </w:rPr>
        <w:t>and we will be required to offer to GasLog Partners an opportunity to purchase each vessel at fair market value within 30 days of the commencement of her charter. Generally, GasLog Partners must exercise this right of first offer within 30 days following the notice from us that the vessel has been acquired or has become a Five-Year Vessel.</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Charter Expirations</w:t>
      </w:r>
    </w:p>
    <w:p>
      <w:pPr>
        <w:spacing w:after="0" w:line="235" w:lineRule="exact"/>
        <w:rPr>
          <w:sz w:val="20"/>
          <w:szCs w:val="20"/>
          <w:color w:val="auto"/>
        </w:rPr>
      </w:pPr>
    </w:p>
    <w:p>
      <w:pPr>
        <w:jc w:val="both"/>
        <w:ind w:right="40" w:firstLine="383"/>
        <w:spacing w:after="0" w:line="271"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is due to come off charter in December 2019, while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Shirley Elisabeth</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are due to come off charter in the second quarter of 2020 and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Lydon Volney</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Heather Sally</w:t>
      </w:r>
      <w:r>
        <w:rPr>
          <w:rFonts w:ascii="Arial" w:cs="Arial" w:eastAsia="Arial" w:hAnsi="Arial"/>
          <w:sz w:val="16"/>
          <w:szCs w:val="16"/>
          <w:color w:val="auto"/>
        </w:rPr>
        <w:t xml:space="preserve"> in the fourth quarter of 2020, each plus or minus 30 days. GasLog and GasLog Partners continue to pursue opportunities for new multi-year charters with third parties and, on an interim basis, may consider trading the vessels in the spot market, pursuing the most advantageous redeployment depending on evolving market conditions. However, we make no assurances that we will be successful in rechartering our ships on multi-year contracts as their current charters expire.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Three-month period ended September 30, 2018 compared to the three-month period ended September 30, 2019</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312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For the three months ended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44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64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September 30,</w:t>
            </w:r>
          </w:p>
        </w:tc>
        <w:tc>
          <w:tcPr>
            <w:tcW w:w="148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rPr>
              <w:t>September 30,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480" w:type="dxa"/>
            <w:vAlign w:val="bottom"/>
          </w:tcPr>
          <w:p>
            <w:pPr>
              <w:spacing w:after="0"/>
              <w:rPr>
                <w:sz w:val="20"/>
                <w:szCs w:val="20"/>
                <w:color w:val="auto"/>
              </w:rPr>
            </w:pPr>
            <w:r>
              <w:rPr>
                <w:rFonts w:ascii="Arial" w:cs="Arial" w:eastAsia="Arial" w:hAnsi="Arial"/>
                <w:sz w:val="16"/>
                <w:szCs w:val="16"/>
                <w:b w:val="1"/>
                <w:bCs w:val="1"/>
                <w:i w:val="1"/>
                <w:iCs w:val="1"/>
                <w:color w:val="auto"/>
              </w:rPr>
              <w:t>Amounts in thousands of U.S. Dollars</w:t>
            </w:r>
          </w:p>
        </w:tc>
        <w:tc>
          <w:tcPr>
            <w:tcW w:w="5180" w:type="dxa"/>
            <w:vAlign w:val="bottom"/>
            <w:gridSpan w:val="2"/>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280" w:type="dxa"/>
            <w:vAlign w:val="bottom"/>
          </w:tcPr>
          <w:p>
            <w:pPr>
              <w:spacing w:after="0"/>
              <w:rPr>
                <w:sz w:val="18"/>
                <w:szCs w:val="18"/>
                <w:color w:val="auto"/>
              </w:rPr>
            </w:pPr>
          </w:p>
        </w:tc>
        <w:tc>
          <w:tcPr>
            <w:tcW w:w="13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w:t>
            </w:r>
          </w:p>
        </w:tc>
        <w:tc>
          <w:tcPr>
            <w:tcW w:w="382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158,398</w:t>
            </w:r>
          </w:p>
        </w:tc>
        <w:tc>
          <w:tcPr>
            <w:tcW w:w="28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165,586</w:t>
            </w:r>
          </w:p>
        </w:tc>
        <w:tc>
          <w:tcPr>
            <w:tcW w:w="100" w:type="dxa"/>
            <w:vAlign w:val="bottom"/>
            <w:tcBorders>
              <w:top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tcPr>
          <w:p>
            <w:pPr>
              <w:spacing w:after="0"/>
              <w:rPr>
                <w:sz w:val="20"/>
                <w:szCs w:val="20"/>
                <w:color w:val="auto"/>
              </w:rPr>
            </w:pPr>
            <w:r>
              <w:rPr>
                <w:rFonts w:ascii="Arial" w:cs="Arial" w:eastAsia="Arial" w:hAnsi="Arial"/>
                <w:sz w:val="16"/>
                <w:szCs w:val="16"/>
                <w:color w:val="auto"/>
              </w:rPr>
              <w:t>Net pool allocation</w:t>
            </w:r>
          </w:p>
        </w:tc>
        <w:tc>
          <w:tcPr>
            <w:tcW w:w="5180" w:type="dxa"/>
            <w:vAlign w:val="bottom"/>
            <w:gridSpan w:val="2"/>
          </w:tcPr>
          <w:p>
            <w:pPr>
              <w:jc w:val="right"/>
              <w:spacing w:after="0"/>
              <w:rPr>
                <w:sz w:val="20"/>
                <w:szCs w:val="20"/>
                <w:color w:val="auto"/>
              </w:rPr>
            </w:pPr>
            <w:r>
              <w:rPr>
                <w:rFonts w:ascii="Arial" w:cs="Arial" w:eastAsia="Arial" w:hAnsi="Arial"/>
                <w:sz w:val="16"/>
                <w:szCs w:val="16"/>
                <w:color w:val="auto"/>
              </w:rPr>
              <w:t>3,882</w:t>
            </w:r>
          </w:p>
        </w:tc>
        <w:tc>
          <w:tcPr>
            <w:tcW w:w="280" w:type="dxa"/>
            <w:vAlign w:val="bottom"/>
          </w:tcPr>
          <w:p>
            <w:pPr>
              <w:spacing w:after="0"/>
              <w:rPr>
                <w:sz w:val="17"/>
                <w:szCs w:val="17"/>
                <w:color w:val="auto"/>
              </w:rPr>
            </w:pPr>
          </w:p>
        </w:tc>
        <w:tc>
          <w:tcPr>
            <w:tcW w:w="1480" w:type="dxa"/>
            <w:vAlign w:val="bottom"/>
            <w:gridSpan w:val="2"/>
          </w:tcPr>
          <w:p>
            <w:pPr>
              <w:jc w:val="right"/>
              <w:ind w:right="19"/>
              <w:spacing w:after="0"/>
              <w:rPr>
                <w:sz w:val="20"/>
                <w:szCs w:val="20"/>
                <w:color w:val="auto"/>
              </w:rPr>
            </w:pPr>
            <w:r>
              <w:rPr>
                <w:rFonts w:ascii="Arial" w:cs="Arial" w:eastAsia="Arial" w:hAnsi="Arial"/>
                <w:sz w:val="16"/>
                <w:szCs w:val="16"/>
                <w:color w:val="auto"/>
              </w:rPr>
              <w:t>(184)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E5FFFF"/>
          </w:tcPr>
          <w:p>
            <w:pPr>
              <w:spacing w:after="0"/>
              <w:rPr>
                <w:sz w:val="20"/>
                <w:szCs w:val="20"/>
                <w:color w:val="auto"/>
              </w:rPr>
            </w:pPr>
            <w:r>
              <w:rPr>
                <w:rFonts w:ascii="Arial" w:cs="Arial" w:eastAsia="Arial" w:hAnsi="Arial"/>
                <w:sz w:val="16"/>
                <w:szCs w:val="16"/>
                <w:color w:val="auto"/>
              </w:rPr>
              <w:t>Voyage expenses and commissions</w:t>
            </w:r>
          </w:p>
        </w:tc>
        <w:tc>
          <w:tcPr>
            <w:tcW w:w="5460" w:type="dxa"/>
            <w:vAlign w:val="bottom"/>
            <w:gridSpan w:val="3"/>
            <w:shd w:val="clear" w:color="auto" w:fill="E5FFFF"/>
          </w:tcPr>
          <w:p>
            <w:pPr>
              <w:jc w:val="right"/>
              <w:ind w:right="220"/>
              <w:spacing w:after="0"/>
              <w:rPr>
                <w:sz w:val="20"/>
                <w:szCs w:val="20"/>
                <w:color w:val="auto"/>
              </w:rPr>
            </w:pPr>
            <w:r>
              <w:rPr>
                <w:rFonts w:ascii="Arial" w:cs="Arial" w:eastAsia="Arial" w:hAnsi="Arial"/>
                <w:sz w:val="16"/>
                <w:szCs w:val="16"/>
                <w:color w:val="auto"/>
              </w:rPr>
              <w:t>(6,828)</w:t>
            </w:r>
          </w:p>
        </w:tc>
        <w:tc>
          <w:tcPr>
            <w:tcW w:w="1480" w:type="dxa"/>
            <w:vAlign w:val="bottom"/>
            <w:gridSpan w:val="2"/>
            <w:shd w:val="clear" w:color="auto" w:fill="E5FFFF"/>
          </w:tcPr>
          <w:p>
            <w:pPr>
              <w:jc w:val="right"/>
              <w:ind w:right="19"/>
              <w:spacing w:after="0"/>
              <w:rPr>
                <w:sz w:val="20"/>
                <w:szCs w:val="20"/>
                <w:color w:val="auto"/>
              </w:rPr>
            </w:pPr>
            <w:r>
              <w:rPr>
                <w:rFonts w:ascii="Arial" w:cs="Arial" w:eastAsia="Arial" w:hAnsi="Arial"/>
                <w:sz w:val="16"/>
                <w:szCs w:val="16"/>
                <w:color w:val="auto"/>
              </w:rPr>
              <w:t>(6,656)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tcPr>
          <w:p>
            <w:pPr>
              <w:spacing w:after="0"/>
              <w:rPr>
                <w:sz w:val="20"/>
                <w:szCs w:val="20"/>
                <w:color w:val="auto"/>
              </w:rPr>
            </w:pPr>
            <w:r>
              <w:rPr>
                <w:rFonts w:ascii="Arial" w:cs="Arial" w:eastAsia="Arial" w:hAnsi="Arial"/>
                <w:sz w:val="16"/>
                <w:szCs w:val="16"/>
                <w:color w:val="auto"/>
              </w:rPr>
              <w:t>Vessel operating and supervision costs</w:t>
            </w:r>
          </w:p>
        </w:tc>
        <w:tc>
          <w:tcPr>
            <w:tcW w:w="5460" w:type="dxa"/>
            <w:vAlign w:val="bottom"/>
            <w:gridSpan w:val="3"/>
          </w:tcPr>
          <w:p>
            <w:pPr>
              <w:jc w:val="right"/>
              <w:ind w:right="220"/>
              <w:spacing w:after="0"/>
              <w:rPr>
                <w:sz w:val="20"/>
                <w:szCs w:val="20"/>
                <w:color w:val="auto"/>
              </w:rPr>
            </w:pPr>
            <w:r>
              <w:rPr>
                <w:rFonts w:ascii="Arial" w:cs="Arial" w:eastAsia="Arial" w:hAnsi="Arial"/>
                <w:sz w:val="16"/>
                <w:szCs w:val="16"/>
                <w:color w:val="auto"/>
              </w:rPr>
              <w:t>(31,948)</w:t>
            </w:r>
          </w:p>
        </w:tc>
        <w:tc>
          <w:tcPr>
            <w:tcW w:w="1480" w:type="dxa"/>
            <w:vAlign w:val="bottom"/>
            <w:gridSpan w:val="2"/>
          </w:tcPr>
          <w:p>
            <w:pPr>
              <w:jc w:val="right"/>
              <w:ind w:right="19"/>
              <w:spacing w:after="0"/>
              <w:rPr>
                <w:sz w:val="20"/>
                <w:szCs w:val="20"/>
                <w:color w:val="auto"/>
              </w:rPr>
            </w:pPr>
            <w:r>
              <w:rPr>
                <w:rFonts w:ascii="Arial" w:cs="Arial" w:eastAsia="Arial" w:hAnsi="Arial"/>
                <w:sz w:val="16"/>
                <w:szCs w:val="16"/>
                <w:color w:val="auto"/>
              </w:rPr>
              <w:t>(33,796)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E5FFFF"/>
          </w:tcPr>
          <w:p>
            <w:pPr>
              <w:spacing w:after="0"/>
              <w:rPr>
                <w:sz w:val="20"/>
                <w:szCs w:val="20"/>
                <w:color w:val="auto"/>
              </w:rPr>
            </w:pPr>
            <w:r>
              <w:rPr>
                <w:rFonts w:ascii="Arial" w:cs="Arial" w:eastAsia="Arial" w:hAnsi="Arial"/>
                <w:sz w:val="16"/>
                <w:szCs w:val="16"/>
                <w:color w:val="auto"/>
              </w:rPr>
              <w:t>Depreciation</w:t>
            </w:r>
          </w:p>
        </w:tc>
        <w:tc>
          <w:tcPr>
            <w:tcW w:w="5460" w:type="dxa"/>
            <w:vAlign w:val="bottom"/>
            <w:gridSpan w:val="3"/>
            <w:shd w:val="clear" w:color="auto" w:fill="E5FFFF"/>
          </w:tcPr>
          <w:p>
            <w:pPr>
              <w:jc w:val="right"/>
              <w:ind w:right="220"/>
              <w:spacing w:after="0"/>
              <w:rPr>
                <w:sz w:val="20"/>
                <w:szCs w:val="20"/>
                <w:color w:val="auto"/>
              </w:rPr>
            </w:pPr>
            <w:r>
              <w:rPr>
                <w:rFonts w:ascii="Arial" w:cs="Arial" w:eastAsia="Arial" w:hAnsi="Arial"/>
                <w:sz w:val="16"/>
                <w:szCs w:val="16"/>
                <w:color w:val="auto"/>
              </w:rPr>
              <w:t>(39,341)</w:t>
            </w:r>
          </w:p>
        </w:tc>
        <w:tc>
          <w:tcPr>
            <w:tcW w:w="1480" w:type="dxa"/>
            <w:vAlign w:val="bottom"/>
            <w:gridSpan w:val="2"/>
            <w:shd w:val="clear" w:color="auto" w:fill="E5FFFF"/>
          </w:tcPr>
          <w:p>
            <w:pPr>
              <w:jc w:val="right"/>
              <w:ind w:right="19"/>
              <w:spacing w:after="0"/>
              <w:rPr>
                <w:sz w:val="20"/>
                <w:szCs w:val="20"/>
                <w:color w:val="auto"/>
              </w:rPr>
            </w:pPr>
            <w:r>
              <w:rPr>
                <w:rFonts w:ascii="Arial" w:cs="Arial" w:eastAsia="Arial" w:hAnsi="Arial"/>
                <w:sz w:val="16"/>
                <w:szCs w:val="16"/>
                <w:color w:val="auto"/>
              </w:rPr>
              <w:t>(43,237)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5460" w:type="dxa"/>
            <w:vAlign w:val="bottom"/>
            <w:gridSpan w:val="3"/>
          </w:tcPr>
          <w:p>
            <w:pPr>
              <w:jc w:val="right"/>
              <w:ind w:right="220"/>
              <w:spacing w:after="0"/>
              <w:rPr>
                <w:sz w:val="20"/>
                <w:szCs w:val="20"/>
                <w:color w:val="auto"/>
              </w:rPr>
            </w:pPr>
            <w:r>
              <w:rPr>
                <w:rFonts w:ascii="Arial" w:cs="Arial" w:eastAsia="Arial" w:hAnsi="Arial"/>
                <w:sz w:val="16"/>
                <w:szCs w:val="16"/>
                <w:color w:val="auto"/>
              </w:rPr>
              <w:t>(9,917)</w:t>
            </w:r>
          </w:p>
        </w:tc>
        <w:tc>
          <w:tcPr>
            <w:tcW w:w="1480" w:type="dxa"/>
            <w:vAlign w:val="bottom"/>
            <w:gridSpan w:val="2"/>
          </w:tcPr>
          <w:p>
            <w:pPr>
              <w:jc w:val="right"/>
              <w:ind w:right="19"/>
              <w:spacing w:after="0"/>
              <w:rPr>
                <w:sz w:val="20"/>
                <w:szCs w:val="20"/>
                <w:color w:val="auto"/>
              </w:rPr>
            </w:pPr>
            <w:r>
              <w:rPr>
                <w:rFonts w:ascii="Arial" w:cs="Arial" w:eastAsia="Arial" w:hAnsi="Arial"/>
                <w:sz w:val="16"/>
                <w:szCs w:val="16"/>
                <w:color w:val="auto"/>
              </w:rPr>
              <w:t>(11,324)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from operations</w:t>
            </w:r>
          </w:p>
        </w:tc>
        <w:tc>
          <w:tcPr>
            <w:tcW w:w="382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74,246</w:t>
            </w:r>
          </w:p>
        </w:tc>
        <w:tc>
          <w:tcPr>
            <w:tcW w:w="28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70,389</w:t>
            </w:r>
          </w:p>
        </w:tc>
        <w:tc>
          <w:tcPr>
            <w:tcW w:w="100" w:type="dxa"/>
            <w:vAlign w:val="bottom"/>
            <w:tcBorders>
              <w:top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80" w:type="dxa"/>
            <w:vAlign w:val="bottom"/>
          </w:tcPr>
          <w:p>
            <w:pPr>
              <w:spacing w:after="0"/>
              <w:rPr>
                <w:sz w:val="20"/>
                <w:szCs w:val="20"/>
                <w:color w:val="auto"/>
              </w:rPr>
            </w:pPr>
            <w:r>
              <w:rPr>
                <w:rFonts w:ascii="Arial" w:cs="Arial" w:eastAsia="Arial" w:hAnsi="Arial"/>
                <w:sz w:val="16"/>
                <w:szCs w:val="16"/>
                <w:color w:val="auto"/>
              </w:rPr>
              <w:t>Financial costs</w:t>
            </w:r>
          </w:p>
        </w:tc>
        <w:tc>
          <w:tcPr>
            <w:tcW w:w="38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(43,908)</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(46,461)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51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1,057</w:t>
            </w:r>
          </w:p>
        </w:tc>
        <w:tc>
          <w:tcPr>
            <w:tcW w:w="28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right"/>
              <w:ind w:right="59"/>
              <w:spacing w:after="0"/>
              <w:rPr>
                <w:sz w:val="20"/>
                <w:szCs w:val="20"/>
                <w:color w:val="auto"/>
              </w:rPr>
            </w:pPr>
            <w:r>
              <w:rPr>
                <w:rFonts w:ascii="Arial" w:cs="Arial" w:eastAsia="Arial" w:hAnsi="Arial"/>
                <w:sz w:val="16"/>
                <w:szCs w:val="16"/>
                <w:color w:val="auto"/>
              </w:rPr>
              <w:t>1,189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tcPr>
          <w:p>
            <w:pPr>
              <w:spacing w:after="0"/>
              <w:rPr>
                <w:sz w:val="20"/>
                <w:szCs w:val="20"/>
                <w:color w:val="auto"/>
              </w:rPr>
            </w:pPr>
            <w:r>
              <w:rPr>
                <w:rFonts w:ascii="Arial" w:cs="Arial" w:eastAsia="Arial" w:hAnsi="Arial"/>
                <w:sz w:val="16"/>
                <w:szCs w:val="16"/>
                <w:color w:val="auto"/>
              </w:rPr>
              <w:t>Gain/(loss) on derivatives</w:t>
            </w:r>
          </w:p>
        </w:tc>
        <w:tc>
          <w:tcPr>
            <w:tcW w:w="5180" w:type="dxa"/>
            <w:vAlign w:val="bottom"/>
            <w:gridSpan w:val="2"/>
          </w:tcPr>
          <w:p>
            <w:pPr>
              <w:jc w:val="right"/>
              <w:spacing w:after="0"/>
              <w:rPr>
                <w:sz w:val="20"/>
                <w:szCs w:val="20"/>
                <w:color w:val="auto"/>
              </w:rPr>
            </w:pPr>
            <w:r>
              <w:rPr>
                <w:rFonts w:ascii="Arial" w:cs="Arial" w:eastAsia="Arial" w:hAnsi="Arial"/>
                <w:sz w:val="16"/>
                <w:szCs w:val="16"/>
                <w:color w:val="auto"/>
              </w:rPr>
              <w:t>7,368</w:t>
            </w:r>
          </w:p>
        </w:tc>
        <w:tc>
          <w:tcPr>
            <w:tcW w:w="280" w:type="dxa"/>
            <w:vAlign w:val="bottom"/>
          </w:tcPr>
          <w:p>
            <w:pPr>
              <w:spacing w:after="0"/>
              <w:rPr>
                <w:sz w:val="17"/>
                <w:szCs w:val="17"/>
                <w:color w:val="auto"/>
              </w:rPr>
            </w:pPr>
          </w:p>
        </w:tc>
        <w:tc>
          <w:tcPr>
            <w:tcW w:w="1480" w:type="dxa"/>
            <w:vAlign w:val="bottom"/>
            <w:gridSpan w:val="2"/>
          </w:tcPr>
          <w:p>
            <w:pPr>
              <w:jc w:val="right"/>
              <w:ind w:right="19"/>
              <w:spacing w:after="0"/>
              <w:rPr>
                <w:sz w:val="20"/>
                <w:szCs w:val="20"/>
                <w:color w:val="auto"/>
              </w:rPr>
            </w:pPr>
            <w:r>
              <w:rPr>
                <w:rFonts w:ascii="Arial" w:cs="Arial" w:eastAsia="Arial" w:hAnsi="Arial"/>
                <w:sz w:val="16"/>
                <w:szCs w:val="16"/>
                <w:color w:val="auto"/>
              </w:rPr>
              <w:t>(16,758)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E5FFFF"/>
          </w:tcPr>
          <w:p>
            <w:pPr>
              <w:spacing w:after="0"/>
              <w:rPr>
                <w:sz w:val="20"/>
                <w:szCs w:val="20"/>
                <w:color w:val="auto"/>
              </w:rPr>
            </w:pPr>
            <w:r>
              <w:rPr>
                <w:rFonts w:ascii="Arial" w:cs="Arial" w:eastAsia="Arial" w:hAnsi="Arial"/>
                <w:sz w:val="16"/>
                <w:szCs w:val="16"/>
                <w:color w:val="auto"/>
              </w:rPr>
              <w:t>Share of profit of associates</w:t>
            </w:r>
          </w:p>
        </w:tc>
        <w:tc>
          <w:tcPr>
            <w:tcW w:w="51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498</w:t>
            </w:r>
          </w:p>
        </w:tc>
        <w:tc>
          <w:tcPr>
            <w:tcW w:w="28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right"/>
              <w:ind w:right="59"/>
              <w:spacing w:after="0"/>
              <w:rPr>
                <w:sz w:val="20"/>
                <w:szCs w:val="20"/>
                <w:color w:val="auto"/>
              </w:rPr>
            </w:pPr>
            <w:r>
              <w:rPr>
                <w:rFonts w:ascii="Arial" w:cs="Arial" w:eastAsia="Arial" w:hAnsi="Arial"/>
                <w:sz w:val="16"/>
                <w:szCs w:val="16"/>
                <w:color w:val="auto"/>
              </w:rPr>
              <w:t>530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8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other expenses, net</w:t>
            </w:r>
          </w:p>
        </w:tc>
        <w:tc>
          <w:tcPr>
            <w:tcW w:w="3820" w:type="dxa"/>
            <w:vAlign w:val="bottom"/>
            <w:tcBorders>
              <w:bottom w:val="single" w:sz="8" w:color="E5FFFF"/>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(34,985)</w:t>
            </w:r>
          </w:p>
        </w:tc>
        <w:tc>
          <w:tcPr>
            <w:tcW w:w="280" w:type="dxa"/>
            <w:vAlign w:val="bottom"/>
            <w:tcBorders>
              <w:bottom w:val="single" w:sz="8" w:color="E5FFFF"/>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(61,500)</w:t>
            </w:r>
          </w:p>
        </w:tc>
        <w:tc>
          <w:tcPr>
            <w:tcW w:w="100" w:type="dxa"/>
            <w:vAlign w:val="bottom"/>
            <w:tcBorders>
              <w:bottom w:val="single" w:sz="8" w:color="E5FF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8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for the period</w:t>
            </w:r>
          </w:p>
        </w:tc>
        <w:tc>
          <w:tcPr>
            <w:tcW w:w="3820" w:type="dxa"/>
            <w:vAlign w:val="bottom"/>
            <w:tcBorders>
              <w:bottom w:val="single" w:sz="8" w:color="E5FFFF"/>
            </w:tcBorders>
            <w:shd w:val="clear" w:color="auto" w:fill="E5FFFF"/>
          </w:tcPr>
          <w:p>
            <w:pPr>
              <w:spacing w:after="0"/>
              <w:rPr>
                <w:sz w:val="17"/>
                <w:szCs w:val="17"/>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39,261</w:t>
            </w:r>
          </w:p>
        </w:tc>
        <w:tc>
          <w:tcPr>
            <w:tcW w:w="280" w:type="dxa"/>
            <w:vAlign w:val="bottom"/>
            <w:tcBorders>
              <w:bottom w:val="single" w:sz="8" w:color="E5FFFF"/>
            </w:tcBorders>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8,889</w:t>
            </w:r>
          </w:p>
        </w:tc>
        <w:tc>
          <w:tcPr>
            <w:tcW w:w="100" w:type="dxa"/>
            <w:vAlign w:val="bottom"/>
            <w:tcBorders>
              <w:bottom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6"/>
                <w:szCs w:val="16"/>
                <w:color w:val="auto"/>
              </w:rPr>
              <w:t>Non-controlling interests</w:t>
            </w:r>
          </w:p>
        </w:tc>
        <w:tc>
          <w:tcPr>
            <w:tcW w:w="5460" w:type="dxa"/>
            <w:vAlign w:val="bottom"/>
            <w:gridSpan w:val="3"/>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80" w:type="dxa"/>
            <w:vAlign w:val="bottom"/>
            <w:tcBorders>
              <w:bottom w:val="single" w:sz="8" w:color="E5FFFF"/>
            </w:tcBorders>
            <w:vMerge w:val="continue"/>
          </w:tcPr>
          <w:p>
            <w:pPr>
              <w:spacing w:after="0"/>
              <w:rPr>
                <w:sz w:val="15"/>
                <w:szCs w:val="15"/>
                <w:color w:val="auto"/>
              </w:rPr>
            </w:pPr>
          </w:p>
        </w:tc>
        <w:tc>
          <w:tcPr>
            <w:tcW w:w="3820" w:type="dxa"/>
            <w:vAlign w:val="bottom"/>
            <w:tcBorders>
              <w:bottom w:val="single" w:sz="8" w:color="E5FFFF"/>
            </w:tcBorders>
          </w:tcPr>
          <w:p>
            <w:pPr>
              <w:spacing w:after="0"/>
              <w:rPr>
                <w:sz w:val="15"/>
                <w:szCs w:val="15"/>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(21,047)</w:t>
            </w:r>
          </w:p>
        </w:tc>
        <w:tc>
          <w:tcPr>
            <w:tcW w:w="280" w:type="dxa"/>
            <w:vAlign w:val="bottom"/>
            <w:tcBorders>
              <w:bottom w:val="single" w:sz="8" w:color="E5FFFF"/>
            </w:tcBorders>
          </w:tcPr>
          <w:p>
            <w:pPr>
              <w:spacing w:after="0"/>
              <w:rPr>
                <w:sz w:val="15"/>
                <w:szCs w:val="15"/>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(22,434)</w:t>
            </w:r>
          </w:p>
        </w:tc>
        <w:tc>
          <w:tcPr>
            <w:tcW w:w="100" w:type="dxa"/>
            <w:vAlign w:val="bottom"/>
            <w:tcBorders>
              <w:bottom w:val="single" w:sz="8" w:color="E5FFFF"/>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48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Profit/(loss) attributable to owners of the Group</w:t>
            </w:r>
          </w:p>
        </w:tc>
        <w:tc>
          <w:tcPr>
            <w:tcW w:w="3820" w:type="dxa"/>
            <w:vAlign w:val="bottom"/>
            <w:tcBorders>
              <w:bottom w:val="single" w:sz="8" w:color="E5FFFF"/>
            </w:tcBorders>
            <w:shd w:val="clear" w:color="auto" w:fill="E5FFFF"/>
          </w:tcPr>
          <w:p>
            <w:pPr>
              <w:spacing w:after="0"/>
              <w:rPr>
                <w:sz w:val="17"/>
                <w:szCs w:val="17"/>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18,214</w:t>
            </w:r>
          </w:p>
        </w:tc>
        <w:tc>
          <w:tcPr>
            <w:tcW w:w="280" w:type="dxa"/>
            <w:vAlign w:val="bottom"/>
            <w:tcBorders>
              <w:bottom w:val="single" w:sz="8" w:color="E5FFFF"/>
            </w:tcBorders>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(13,545</w:t>
            </w:r>
          </w:p>
        </w:tc>
        <w:tc>
          <w:tcPr>
            <w:tcW w:w="100" w:type="dxa"/>
            <w:vAlign w:val="bottom"/>
            <w:tcBorders>
              <w:bottom w:val="single" w:sz="8" w:color="E5FFFF"/>
            </w:tcBorders>
            <w:shd w:val="clear" w:color="auto" w:fill="E5FFFF"/>
          </w:tcPr>
          <w:p>
            <w:pPr>
              <w:jc w:val="right"/>
              <w:ind w:right="19"/>
              <w:spacing w:after="0"/>
              <w:rPr>
                <w:sz w:val="20"/>
                <w:szCs w:val="20"/>
                <w:color w:val="auto"/>
              </w:rPr>
            </w:pPr>
            <w:r>
              <w:rPr>
                <w:rFonts w:ascii="Arial" w:cs="Arial" w:eastAsia="Arial" w:hAnsi="Arial"/>
                <w:sz w:val="8"/>
                <w:szCs w:val="8"/>
                <w:color w:val="auto"/>
                <w:w w:val="73"/>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820" w:type="dxa"/>
            <w:vAlign w:val="bottom"/>
            <w:vMerge w:val="restart"/>
          </w:tcPr>
          <w:p>
            <w:pPr>
              <w:jc w:val="right"/>
              <w:ind w:right="2440"/>
              <w:spacing w:after="0"/>
              <w:rPr>
                <w:sz w:val="20"/>
                <w:szCs w:val="20"/>
                <w:color w:val="auto"/>
              </w:rPr>
            </w:pPr>
            <w:r>
              <w:rPr>
                <w:rFonts w:ascii="Arial" w:cs="Arial" w:eastAsia="Arial" w:hAnsi="Arial"/>
                <w:sz w:val="14"/>
                <w:szCs w:val="14"/>
                <w:color w:val="auto"/>
              </w:rPr>
              <w:t>19</w:t>
            </w: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48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480" w:type="dxa"/>
            <w:vAlign w:val="bottom"/>
            <w:tcBorders>
              <w:bottom w:val="single" w:sz="8" w:color="808080"/>
            </w:tcBorders>
          </w:tcPr>
          <w:p>
            <w:pPr>
              <w:spacing w:after="0"/>
              <w:rPr>
                <w:sz w:val="10"/>
                <w:szCs w:val="10"/>
                <w:color w:val="auto"/>
              </w:rPr>
            </w:pPr>
          </w:p>
        </w:tc>
        <w:tc>
          <w:tcPr>
            <w:tcW w:w="38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290" w:right="199" w:bottom="1440" w:gutter="0" w:footer="0" w:header="0"/>
        </w:sectPr>
      </w:pPr>
    </w:p>
    <w:bookmarkStart w:id="19" w:name="page20"/>
    <w:bookmarkEnd w:id="19"/>
    <w:p>
      <w:pPr>
        <w:ind w:right="140" w:firstLine="405"/>
        <w:spacing w:after="0" w:line="324" w:lineRule="auto"/>
        <w:rPr>
          <w:sz w:val="20"/>
          <w:szCs w:val="20"/>
          <w:color w:val="auto"/>
        </w:rPr>
      </w:pPr>
      <w:r>
        <w:rPr>
          <w:rFonts w:ascii="Arial" w:cs="Arial" w:eastAsia="Arial" w:hAnsi="Arial"/>
          <w:sz w:val="14"/>
          <w:szCs w:val="14"/>
          <w:color w:val="auto"/>
        </w:rPr>
        <w:t>During the three-month period ended September 30, 2018 we had an average of 26.0 ships operating in our owned and bareboat fleet (including ships owned by the Partnership), having 2,302 revenue operating days and an average of 26.0 ships operating under our technical management (including our 25.0 owned and bareboat ships). During the three-month period ended September 30, 2019, we had an average of 27.7 ships operating in our owned and bareboat fleet (including ships owned by the Partnership), having 2,296 revenue operating days, and an average of 27.7 ships operating under our technical management (including 26.7 of our owned and bareboat ships).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Revenues:</w:t>
      </w:r>
    </w:p>
    <w:p>
      <w:pPr>
        <w:spacing w:after="0" w:line="235" w:lineRule="exact"/>
        <w:rPr>
          <w:sz w:val="20"/>
          <w:szCs w:val="20"/>
          <w:color w:val="auto"/>
        </w:rPr>
      </w:pPr>
    </w:p>
    <w:p>
      <w:pPr>
        <w:ind w:right="60" w:firstLine="428"/>
        <w:spacing w:after="0" w:line="269" w:lineRule="auto"/>
        <w:rPr>
          <w:sz w:val="20"/>
          <w:szCs w:val="20"/>
          <w:color w:val="auto"/>
        </w:rPr>
      </w:pPr>
      <w:r>
        <w:rPr>
          <w:rFonts w:ascii="Arial" w:cs="Arial" w:eastAsia="Arial" w:hAnsi="Arial"/>
          <w:sz w:val="16"/>
          <w:szCs w:val="16"/>
          <w:color w:val="auto"/>
        </w:rPr>
        <w:t xml:space="preserve">Revenues increased by 4.5%, or $7.2 million, from $158.4 million during the three-month period ended September 30, 2018 to $165.6 million during the three-month period ended September 30, 2019. The increase in revenues is attributable to an increase of $14.6 million from the deliveries of the </w:t>
      </w:r>
      <w:r>
        <w:rPr>
          <w:rFonts w:ascii="Arial" w:cs="Arial" w:eastAsia="Arial" w:hAnsi="Arial"/>
          <w:sz w:val="16"/>
          <w:szCs w:val="16"/>
          <w:i w:val="1"/>
          <w:iCs w:val="1"/>
          <w:color w:val="auto"/>
        </w:rPr>
        <w:t>GasLog Gladstone</w:t>
      </w:r>
      <w:r>
        <w:rPr>
          <w:rFonts w:ascii="Arial" w:cs="Arial" w:eastAsia="Arial" w:hAnsi="Arial"/>
          <w:sz w:val="16"/>
          <w:szCs w:val="16"/>
          <w:color w:val="auto"/>
        </w:rPr>
        <w:t xml:space="preserve"> on March 15, 2019 and the </w:t>
      </w:r>
      <w:r>
        <w:rPr>
          <w:rFonts w:ascii="Arial" w:cs="Arial" w:eastAsia="Arial" w:hAnsi="Arial"/>
          <w:sz w:val="16"/>
          <w:szCs w:val="16"/>
          <w:i w:val="1"/>
          <w:iCs w:val="1"/>
          <w:color w:val="auto"/>
        </w:rPr>
        <w:t>GasLog Warsaw</w:t>
      </w:r>
      <w:r>
        <w:rPr>
          <w:rFonts w:ascii="Arial" w:cs="Arial" w:eastAsia="Arial" w:hAnsi="Arial"/>
          <w:sz w:val="16"/>
          <w:szCs w:val="16"/>
          <w:color w:val="auto"/>
        </w:rPr>
        <w:t xml:space="preserve"> on July 31, 2019 and an increase of $2.1 million due to decreased off-hire days from scheduled dry-dockings. These increases were partially offset by a decrease of $9.5 million from our remaining fleet, mainly from our vessels operating in the spot and short-term market including the impact of the unscheduled drydockings of the </w:t>
      </w:r>
      <w:r>
        <w:rPr>
          <w:rFonts w:ascii="Arial" w:cs="Arial" w:eastAsia="Arial" w:hAnsi="Arial"/>
          <w:sz w:val="16"/>
          <w:szCs w:val="16"/>
          <w:i w:val="1"/>
          <w:iCs w:val="1"/>
          <w:color w:val="auto"/>
        </w:rPr>
        <w:t>GasLog Savannah</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Singapore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Chelsea</w:t>
      </w:r>
      <w:r>
        <w:rPr>
          <w:rFonts w:ascii="Arial" w:cs="Arial" w:eastAsia="Arial" w:hAnsi="Arial"/>
          <w:sz w:val="16"/>
          <w:szCs w:val="16"/>
          <w:color w:val="auto"/>
        </w:rPr>
        <w:t xml:space="preserve"> and from the expiration of the initial time charters of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Sydney</w:t>
      </w:r>
      <w:r>
        <w:rPr>
          <w:rFonts w:ascii="Arial" w:cs="Arial" w:eastAsia="Arial" w:hAnsi="Arial"/>
          <w:sz w:val="16"/>
          <w:szCs w:val="16"/>
          <w:color w:val="auto"/>
        </w:rPr>
        <w:t>. The average daily hire rate increased from $68,735 for the three-month period ended September 30, 2018 to $72,035 for the quarter ended September 30, 2019.</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Pool Allocation:</w:t>
      </w:r>
    </w:p>
    <w:p>
      <w:pPr>
        <w:spacing w:after="0" w:line="235" w:lineRule="exact"/>
        <w:rPr>
          <w:sz w:val="20"/>
          <w:szCs w:val="20"/>
          <w:color w:val="auto"/>
        </w:rPr>
      </w:pPr>
    </w:p>
    <w:p>
      <w:pPr>
        <w:ind w:right="40" w:firstLine="383"/>
        <w:spacing w:after="0" w:line="293" w:lineRule="auto"/>
        <w:rPr>
          <w:sz w:val="20"/>
          <w:szCs w:val="20"/>
          <w:color w:val="auto"/>
        </w:rPr>
      </w:pPr>
      <w:r>
        <w:rPr>
          <w:rFonts w:ascii="Arial" w:cs="Arial" w:eastAsia="Arial" w:hAnsi="Arial"/>
          <w:sz w:val="15"/>
          <w:szCs w:val="15"/>
          <w:color w:val="auto"/>
        </w:rPr>
        <w:t>GasLog recognized gross revenues and gross voyage expenses and commissions of $0.3 million and $0.1 million, respectively, from the operation of its vessels in the Cool Pool during the quarter ended September 30, 2019 (September 30, 2018: $25.9 million and $2.1 million, respectively). Net pool allocation decreased by $4.1 million, from a positive $3.9 million during the three-month period ended September 30, 2018 to a negative $0.2 million during the three-month period ended September 30, 2019. The variance was attributable to the movement in the adjustment of the net pool results generated by the GasLog vessels in accordance with the pool distribution formula for the total fleet of the pool, as well as GasLog’s vessels exiting the Cool Pool in June and July 2019. GasLog’s total net pool performance is presented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00" w:type="dxa"/>
            <w:vAlign w:val="bottom"/>
          </w:tcPr>
          <w:p>
            <w:pPr>
              <w:spacing w:after="0"/>
              <w:rPr>
                <w:sz w:val="18"/>
                <w:szCs w:val="18"/>
                <w:color w:val="auto"/>
              </w:rPr>
            </w:pPr>
          </w:p>
        </w:tc>
        <w:tc>
          <w:tcPr>
            <w:tcW w:w="3120" w:type="dxa"/>
            <w:vAlign w:val="bottom"/>
            <w:gridSpan w:val="4"/>
          </w:tcPr>
          <w:p>
            <w:pPr>
              <w:ind w:left="520"/>
              <w:spacing w:after="0"/>
              <w:rPr>
                <w:sz w:val="20"/>
                <w:szCs w:val="20"/>
                <w:color w:val="auto"/>
              </w:rPr>
            </w:pPr>
            <w:r>
              <w:rPr>
                <w:rFonts w:ascii="Arial" w:cs="Arial" w:eastAsia="Arial" w:hAnsi="Arial"/>
                <w:sz w:val="16"/>
                <w:szCs w:val="16"/>
                <w:b w:val="1"/>
                <w:bCs w:val="1"/>
                <w:color w:val="auto"/>
              </w:rPr>
              <w:t>For the three months ended</w:t>
            </w:r>
          </w:p>
        </w:tc>
      </w:tr>
      <w:tr>
        <w:trPr>
          <w:trHeight w:val="289"/>
        </w:trPr>
        <w:tc>
          <w:tcPr>
            <w:tcW w:w="8300" w:type="dxa"/>
            <w:vAlign w:val="bottom"/>
          </w:tcPr>
          <w:p>
            <w:pPr>
              <w:spacing w:after="0"/>
              <w:rPr>
                <w:sz w:val="24"/>
                <w:szCs w:val="24"/>
                <w:color w:val="auto"/>
              </w:rPr>
            </w:pPr>
          </w:p>
        </w:tc>
        <w:tc>
          <w:tcPr>
            <w:tcW w:w="1660" w:type="dxa"/>
            <w:vAlign w:val="bottom"/>
            <w:gridSpan w:val="2"/>
          </w:tcPr>
          <w:p>
            <w:pPr>
              <w:ind w:left="200"/>
              <w:spacing w:after="0"/>
              <w:rPr>
                <w:sz w:val="20"/>
                <w:szCs w:val="20"/>
                <w:color w:val="auto"/>
              </w:rPr>
            </w:pPr>
            <w:r>
              <w:rPr>
                <w:rFonts w:ascii="Arial" w:cs="Arial" w:eastAsia="Arial" w:hAnsi="Arial"/>
                <w:sz w:val="16"/>
                <w:szCs w:val="16"/>
                <w:b w:val="1"/>
                <w:bCs w:val="1"/>
                <w:color w:val="auto"/>
              </w:rPr>
              <w:t>September 30,</w:t>
            </w:r>
          </w:p>
        </w:tc>
        <w:tc>
          <w:tcPr>
            <w:tcW w:w="14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830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i w:val="1"/>
                <w:iCs w:val="1"/>
                <w:color w:val="auto"/>
              </w:rPr>
              <w:t>Amounts in thousands of U.S. Dollars</w:t>
            </w:r>
          </w:p>
        </w:tc>
        <w:tc>
          <w:tcPr>
            <w:tcW w:w="1380" w:type="dxa"/>
            <w:vAlign w:val="bottom"/>
            <w:tcBorders>
              <w:bottom w:val="single" w:sz="8" w:color="auto"/>
            </w:tcBorders>
          </w:tcPr>
          <w:p>
            <w:pPr>
              <w:ind w:left="520"/>
              <w:spacing w:after="0"/>
              <w:rPr>
                <w:sz w:val="20"/>
                <w:szCs w:val="20"/>
                <w:color w:val="auto"/>
              </w:rPr>
            </w:pPr>
            <w:r>
              <w:rPr>
                <w:rFonts w:ascii="Arial" w:cs="Arial" w:eastAsia="Arial" w:hAnsi="Arial"/>
                <w:sz w:val="16"/>
                <w:szCs w:val="16"/>
                <w:b w:val="1"/>
                <w:bCs w:val="1"/>
                <w:color w:val="auto"/>
              </w:rPr>
              <w:t>2018</w:t>
            </w:r>
          </w:p>
        </w:tc>
        <w:tc>
          <w:tcPr>
            <w:tcW w:w="280" w:type="dxa"/>
            <w:vAlign w:val="bottom"/>
            <w:tcBorders>
              <w:bottom w:val="single" w:sz="8" w:color="E5FFFF"/>
            </w:tcBorders>
          </w:tcPr>
          <w:p>
            <w:pPr>
              <w:spacing w:after="0"/>
              <w:rPr>
                <w:sz w:val="18"/>
                <w:szCs w:val="18"/>
                <w:color w:val="auto"/>
              </w:rPr>
            </w:pPr>
          </w:p>
        </w:tc>
        <w:tc>
          <w:tcPr>
            <w:tcW w:w="13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E5FFFF"/>
            </w:tcBorders>
          </w:tcPr>
          <w:p>
            <w:pPr>
              <w:spacing w:after="0"/>
              <w:rPr>
                <w:sz w:val="18"/>
                <w:szCs w:val="18"/>
                <w:color w:val="auto"/>
              </w:rPr>
            </w:pPr>
          </w:p>
        </w:tc>
      </w:tr>
      <w:tr>
        <w:trPr>
          <w:trHeight w:val="202"/>
        </w:trPr>
        <w:tc>
          <w:tcPr>
            <w:tcW w:w="8300" w:type="dxa"/>
            <w:vAlign w:val="bottom"/>
            <w:shd w:val="clear" w:color="auto" w:fill="E5FFFF"/>
          </w:tcPr>
          <w:p>
            <w:pPr>
              <w:spacing w:after="0"/>
              <w:rPr>
                <w:sz w:val="20"/>
                <w:szCs w:val="20"/>
                <w:color w:val="auto"/>
              </w:rPr>
            </w:pPr>
            <w:r>
              <w:rPr>
                <w:rFonts w:ascii="Arial" w:cs="Arial" w:eastAsia="Arial" w:hAnsi="Arial"/>
                <w:sz w:val="16"/>
                <w:szCs w:val="16"/>
                <w:color w:val="auto"/>
              </w:rPr>
              <w:t>Pool gross revenues (included in Revenues)</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25,947</w:t>
            </w:r>
          </w:p>
        </w:tc>
        <w:tc>
          <w:tcPr>
            <w:tcW w:w="28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335</w:t>
            </w:r>
          </w:p>
        </w:tc>
        <w:tc>
          <w:tcPr>
            <w:tcW w:w="140" w:type="dxa"/>
            <w:vAlign w:val="bottom"/>
            <w:shd w:val="clear" w:color="auto" w:fill="E5FFFF"/>
          </w:tcPr>
          <w:p>
            <w:pPr>
              <w:spacing w:after="0"/>
              <w:rPr>
                <w:sz w:val="17"/>
                <w:szCs w:val="17"/>
                <w:color w:val="auto"/>
              </w:rPr>
            </w:pPr>
          </w:p>
        </w:tc>
      </w:tr>
      <w:tr>
        <w:trPr>
          <w:trHeight w:val="203"/>
        </w:trPr>
        <w:tc>
          <w:tcPr>
            <w:tcW w:w="8300" w:type="dxa"/>
            <w:vAlign w:val="bottom"/>
          </w:tcPr>
          <w:p>
            <w:pPr>
              <w:spacing w:after="0"/>
              <w:rPr>
                <w:sz w:val="20"/>
                <w:szCs w:val="20"/>
                <w:color w:val="auto"/>
              </w:rPr>
            </w:pPr>
            <w:r>
              <w:rPr>
                <w:rFonts w:ascii="Arial" w:cs="Arial" w:eastAsia="Arial" w:hAnsi="Arial"/>
                <w:sz w:val="16"/>
                <w:szCs w:val="16"/>
                <w:color w:val="auto"/>
              </w:rPr>
              <w:t>Pool gross voyage expenses and commissions (included in Voyage expenses and commissions)</w:t>
            </w:r>
          </w:p>
        </w:tc>
        <w:tc>
          <w:tcPr>
            <w:tcW w:w="1660" w:type="dxa"/>
            <w:vAlign w:val="bottom"/>
            <w:gridSpan w:val="2"/>
          </w:tcPr>
          <w:p>
            <w:pPr>
              <w:jc w:val="right"/>
              <w:ind w:right="220"/>
              <w:spacing w:after="0"/>
              <w:rPr>
                <w:sz w:val="20"/>
                <w:szCs w:val="20"/>
                <w:color w:val="auto"/>
              </w:rPr>
            </w:pPr>
            <w:r>
              <w:rPr>
                <w:rFonts w:ascii="Arial" w:cs="Arial" w:eastAsia="Arial" w:hAnsi="Arial"/>
                <w:sz w:val="16"/>
                <w:szCs w:val="16"/>
                <w:color w:val="auto"/>
              </w:rPr>
              <w:t>(2,066)</w:t>
            </w:r>
          </w:p>
        </w:tc>
        <w:tc>
          <w:tcPr>
            <w:tcW w:w="1460" w:type="dxa"/>
            <w:vAlign w:val="bottom"/>
            <w:gridSpan w:val="2"/>
          </w:tcPr>
          <w:p>
            <w:pPr>
              <w:jc w:val="right"/>
              <w:ind w:right="100"/>
              <w:spacing w:after="0"/>
              <w:rPr>
                <w:sz w:val="20"/>
                <w:szCs w:val="20"/>
                <w:color w:val="auto"/>
              </w:rPr>
            </w:pPr>
            <w:r>
              <w:rPr>
                <w:rFonts w:ascii="Arial" w:cs="Arial" w:eastAsia="Arial" w:hAnsi="Arial"/>
                <w:sz w:val="16"/>
                <w:szCs w:val="16"/>
                <w:color w:val="auto"/>
              </w:rPr>
              <w:t>(54)</w:t>
            </w:r>
          </w:p>
        </w:tc>
      </w:tr>
      <w:tr>
        <w:trPr>
          <w:trHeight w:val="203"/>
        </w:trPr>
        <w:tc>
          <w:tcPr>
            <w:tcW w:w="8300" w:type="dxa"/>
            <w:vAlign w:val="bottom"/>
            <w:shd w:val="clear" w:color="auto" w:fill="E5FFFF"/>
          </w:tcPr>
          <w:p>
            <w:pPr>
              <w:spacing w:after="0"/>
              <w:rPr>
                <w:sz w:val="20"/>
                <w:szCs w:val="20"/>
                <w:color w:val="auto"/>
              </w:rPr>
            </w:pPr>
            <w:r>
              <w:rPr>
                <w:rFonts w:ascii="Arial" w:cs="Arial" w:eastAsia="Arial" w:hAnsi="Arial"/>
                <w:sz w:val="16"/>
                <w:szCs w:val="16"/>
                <w:color w:val="auto"/>
              </w:rPr>
              <w:t>GasLog’s adjustment for net pool allocation (included in Net pool allocation)</w:t>
            </w:r>
          </w:p>
        </w:tc>
        <w:tc>
          <w:tcPr>
            <w:tcW w:w="166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3,882</w:t>
            </w:r>
          </w:p>
        </w:tc>
        <w:tc>
          <w:tcPr>
            <w:tcW w:w="146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(184)</w:t>
            </w:r>
          </w:p>
        </w:tc>
      </w:tr>
      <w:tr>
        <w:trPr>
          <w:trHeight w:val="196"/>
        </w:trPr>
        <w:tc>
          <w:tcPr>
            <w:tcW w:w="8300" w:type="dxa"/>
            <w:vAlign w:val="bottom"/>
          </w:tcPr>
          <w:p>
            <w:pPr>
              <w:spacing w:after="0"/>
              <w:rPr>
                <w:sz w:val="20"/>
                <w:szCs w:val="20"/>
                <w:color w:val="auto"/>
              </w:rPr>
            </w:pPr>
            <w:r>
              <w:rPr>
                <w:rFonts w:ascii="Arial" w:cs="Arial" w:eastAsia="Arial" w:hAnsi="Arial"/>
                <w:sz w:val="16"/>
                <w:szCs w:val="16"/>
                <w:b w:val="1"/>
                <w:bCs w:val="1"/>
                <w:color w:val="auto"/>
              </w:rPr>
              <w:t>GasLog’s total net pool performance</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27,763</w:t>
            </w:r>
          </w:p>
        </w:tc>
        <w:tc>
          <w:tcPr>
            <w:tcW w:w="280" w:type="dxa"/>
            <w:vAlign w:val="bottom"/>
          </w:tcPr>
          <w:p>
            <w:pPr>
              <w:spacing w:after="0"/>
              <w:rPr>
                <w:sz w:val="17"/>
                <w:szCs w:val="17"/>
                <w:color w:val="auto"/>
              </w:rPr>
            </w:pPr>
          </w:p>
        </w:tc>
        <w:tc>
          <w:tcPr>
            <w:tcW w:w="146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rPr>
              <w:t>97</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Voyage Expenses and Commissions:</w:t>
      </w:r>
    </w:p>
    <w:p>
      <w:pPr>
        <w:spacing w:after="0" w:line="235" w:lineRule="exact"/>
        <w:rPr>
          <w:sz w:val="20"/>
          <w:szCs w:val="20"/>
          <w:color w:val="auto"/>
        </w:rPr>
      </w:pPr>
    </w:p>
    <w:p>
      <w:pPr>
        <w:ind w:right="260" w:firstLine="356"/>
        <w:spacing w:after="0" w:line="293" w:lineRule="auto"/>
        <w:rPr>
          <w:sz w:val="20"/>
          <w:szCs w:val="20"/>
          <w:color w:val="auto"/>
        </w:rPr>
      </w:pPr>
      <w:r>
        <w:rPr>
          <w:rFonts w:ascii="Arial" w:cs="Arial" w:eastAsia="Arial" w:hAnsi="Arial"/>
          <w:sz w:val="16"/>
          <w:szCs w:val="16"/>
          <w:color w:val="auto"/>
        </w:rPr>
        <w:t>Voyage expenses and commissions decreased marginally by 1.5%, or $0.1 million, from $6.8 million during the three-month period ended September 30, 2018 to $6.7 million during the three-month period ended September 30, 2019.</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Vessel Operating and Supervision Costs:</w:t>
      </w:r>
    </w:p>
    <w:p>
      <w:pPr>
        <w:spacing w:after="0" w:line="235" w:lineRule="exact"/>
        <w:rPr>
          <w:sz w:val="20"/>
          <w:szCs w:val="20"/>
          <w:color w:val="auto"/>
        </w:rPr>
      </w:pPr>
    </w:p>
    <w:p>
      <w:pPr>
        <w:ind w:firstLine="356"/>
        <w:spacing w:after="0" w:line="313" w:lineRule="auto"/>
        <w:rPr>
          <w:sz w:val="20"/>
          <w:szCs w:val="20"/>
          <w:color w:val="auto"/>
        </w:rPr>
      </w:pPr>
      <w:r>
        <w:rPr>
          <w:rFonts w:ascii="Arial" w:cs="Arial" w:eastAsia="Arial" w:hAnsi="Arial"/>
          <w:sz w:val="14"/>
          <w:szCs w:val="14"/>
          <w:color w:val="auto"/>
        </w:rPr>
        <w:t xml:space="preserve">Vessel operating and supervision costs increased by 6.0%, or $1.9 million, from $31.9 million during the three-month period ended September 30, 2018 to $33.8 million during the three-month period ended September 30, 2019. The increase in vessel operating and supervision costs is mainly attributable to an increase of $1.5 million from the deliveries of the </w:t>
      </w:r>
      <w:r>
        <w:rPr>
          <w:rFonts w:ascii="Arial" w:cs="Arial" w:eastAsia="Arial" w:hAnsi="Arial"/>
          <w:sz w:val="14"/>
          <w:szCs w:val="14"/>
          <w:i w:val="1"/>
          <w:iCs w:val="1"/>
          <w:color w:val="auto"/>
        </w:rPr>
        <w:t>GasLog Gladstone</w:t>
      </w:r>
      <w:r>
        <w:rPr>
          <w:rFonts w:ascii="Arial" w:cs="Arial" w:eastAsia="Arial" w:hAnsi="Arial"/>
          <w:sz w:val="14"/>
          <w:szCs w:val="14"/>
          <w:color w:val="auto"/>
        </w:rPr>
        <w:t xml:space="preserve"> on March 15, 2019 and the </w:t>
      </w:r>
      <w:r>
        <w:rPr>
          <w:rFonts w:ascii="Arial" w:cs="Arial" w:eastAsia="Arial" w:hAnsi="Arial"/>
          <w:sz w:val="14"/>
          <w:szCs w:val="14"/>
          <w:i w:val="1"/>
          <w:iCs w:val="1"/>
          <w:color w:val="auto"/>
        </w:rPr>
        <w:t>GasLog Warsaw</w:t>
      </w:r>
      <w:r>
        <w:rPr>
          <w:rFonts w:ascii="Arial" w:cs="Arial" w:eastAsia="Arial" w:hAnsi="Arial"/>
          <w:sz w:val="14"/>
          <w:szCs w:val="14"/>
          <w:color w:val="auto"/>
        </w:rPr>
        <w:t xml:space="preserve"> on July 31, 2019, and an increase of $1.7 million in scheduled technical maintenance costs related to engine maintenance and costs related to dry-dockings in the three months ended September 30, 2019, partially offset by a decrease of $0.5 million in vessel taxes and $0.9 million from the favorable movement of the EUR/USD exchange rate, which decreased by an average of 5.0% in the three months ended September 30, 2019 as compared to the same period in 2018. Daily operating costs per vessel decreased from $13,890 per ownership day (excluding the </w:t>
      </w:r>
      <w:r>
        <w:rPr>
          <w:rFonts w:ascii="Arial" w:cs="Arial" w:eastAsia="Arial" w:hAnsi="Arial"/>
          <w:sz w:val="14"/>
          <w:szCs w:val="14"/>
          <w:i w:val="1"/>
          <w:iCs w:val="1"/>
          <w:color w:val="auto"/>
        </w:rPr>
        <w:t>Solaris</w:t>
      </w:r>
      <w:r>
        <w:rPr>
          <w:rFonts w:ascii="Arial" w:cs="Arial" w:eastAsia="Arial" w:hAnsi="Arial"/>
          <w:sz w:val="14"/>
          <w:szCs w:val="14"/>
          <w:color w:val="auto"/>
        </w:rPr>
        <w:t xml:space="preserve"> managed by Shell) for the three-month period ended September 30, 2018 to $13,777 per ownership day (excluding the </w:t>
      </w:r>
      <w:r>
        <w:rPr>
          <w:rFonts w:ascii="Arial" w:cs="Arial" w:eastAsia="Arial" w:hAnsi="Arial"/>
          <w:sz w:val="14"/>
          <w:szCs w:val="14"/>
          <w:i w:val="1"/>
          <w:iCs w:val="1"/>
          <w:color w:val="auto"/>
        </w:rPr>
        <w:t>Solaris</w:t>
      </w:r>
      <w:r>
        <w:rPr>
          <w:rFonts w:ascii="Arial" w:cs="Arial" w:eastAsia="Arial" w:hAnsi="Arial"/>
          <w:sz w:val="14"/>
          <w:szCs w:val="14"/>
          <w:color w:val="auto"/>
        </w:rPr>
        <w:t xml:space="preserve"> managed by Shell) for the three-month period ended September 30, 2019.</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Depreciation:</w:t>
      </w:r>
    </w:p>
    <w:p>
      <w:pPr>
        <w:spacing w:after="0" w:line="235" w:lineRule="exact"/>
        <w:rPr>
          <w:sz w:val="20"/>
          <w:szCs w:val="20"/>
          <w:color w:val="auto"/>
        </w:rPr>
      </w:pPr>
    </w:p>
    <w:p>
      <w:pPr>
        <w:ind w:right="40" w:firstLine="356"/>
        <w:spacing w:after="0" w:line="278" w:lineRule="auto"/>
        <w:rPr>
          <w:sz w:val="20"/>
          <w:szCs w:val="20"/>
          <w:color w:val="auto"/>
        </w:rPr>
      </w:pPr>
      <w:r>
        <w:rPr>
          <w:rFonts w:ascii="Arial" w:cs="Arial" w:eastAsia="Arial" w:hAnsi="Arial"/>
          <w:sz w:val="16"/>
          <w:szCs w:val="16"/>
          <w:color w:val="auto"/>
        </w:rPr>
        <w:t xml:space="preserve">Depreciation increased by 9.9%, or $3.9 million, from $39.3 million during the three-month period ended September 30, 2018 to $43.2 million during the three-month period ended September 30, 2019. The increase in depreciation resulted mainly from an increase of $2.5 million from the delivery of the </w:t>
      </w:r>
      <w:r>
        <w:rPr>
          <w:rFonts w:ascii="Arial" w:cs="Arial" w:eastAsia="Arial" w:hAnsi="Arial"/>
          <w:sz w:val="16"/>
          <w:szCs w:val="16"/>
          <w:i w:val="1"/>
          <w:iCs w:val="1"/>
          <w:color w:val="auto"/>
        </w:rPr>
        <w:t>GasLog Gladstone</w:t>
      </w:r>
      <w:r>
        <w:rPr>
          <w:rFonts w:ascii="Arial" w:cs="Arial" w:eastAsia="Arial" w:hAnsi="Arial"/>
          <w:sz w:val="16"/>
          <w:szCs w:val="16"/>
          <w:color w:val="auto"/>
        </w:rPr>
        <w:t xml:space="preserve"> on March 15, 2019 and the </w:t>
      </w:r>
      <w:r>
        <w:rPr>
          <w:rFonts w:ascii="Arial" w:cs="Arial" w:eastAsia="Arial" w:hAnsi="Arial"/>
          <w:sz w:val="16"/>
          <w:szCs w:val="16"/>
          <w:i w:val="1"/>
          <w:iCs w:val="1"/>
          <w:color w:val="auto"/>
        </w:rPr>
        <w:t>GasLog Warsaw</w:t>
      </w:r>
      <w:r>
        <w:rPr>
          <w:rFonts w:ascii="Arial" w:cs="Arial" w:eastAsia="Arial" w:hAnsi="Arial"/>
          <w:sz w:val="16"/>
          <w:szCs w:val="16"/>
          <w:color w:val="auto"/>
        </w:rPr>
        <w:t xml:space="preserve"> on July 31, 2019 and an increase of $0.7 million from the depreciation of the right-of-use assets.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235" w:lineRule="exact"/>
        <w:rPr>
          <w:sz w:val="20"/>
          <w:szCs w:val="20"/>
          <w:color w:val="auto"/>
        </w:rPr>
      </w:pPr>
    </w:p>
    <w:p>
      <w:pPr>
        <w:ind w:right="20" w:firstLine="356"/>
        <w:spacing w:after="0" w:line="324" w:lineRule="auto"/>
        <w:rPr>
          <w:sz w:val="20"/>
          <w:szCs w:val="20"/>
          <w:color w:val="auto"/>
        </w:rPr>
      </w:pPr>
      <w:r>
        <w:rPr>
          <w:rFonts w:ascii="Arial" w:cs="Arial" w:eastAsia="Arial" w:hAnsi="Arial"/>
          <w:sz w:val="14"/>
          <w:szCs w:val="14"/>
          <w:color w:val="auto"/>
        </w:rPr>
        <w:t>General and administrative expenses increased by 14.1%, or $1.4 million, from $9.9 million during the three-month period ended September 30, 2018 to $11.3 million during the three-month period ended September 30, 2019. The increase is mainly attributable to an increase of $1.2 million in employee costs offset by a $0.5 million favorable movement of the EUR/USD exchange rate and an increase of $0.3 million in legal and professional expenses. Daily general and administrative expenses per vessel increased from $4,146 per ownership day for the three-month period ended September 30, 2018 to $4,449 per ownership day for the three-month period ended September 30, 2019.</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i w:val="1"/>
          <w:iCs w:val="1"/>
          <w:color w:val="auto"/>
        </w:rPr>
        <w:t>Financial Costs:</w:t>
      </w:r>
    </w:p>
    <w:p>
      <w:pPr>
        <w:spacing w:after="0" w:line="235" w:lineRule="exact"/>
        <w:rPr>
          <w:sz w:val="20"/>
          <w:szCs w:val="20"/>
          <w:color w:val="auto"/>
        </w:rPr>
      </w:pPr>
    </w:p>
    <w:p>
      <w:pPr>
        <w:ind w:right="120" w:firstLine="356"/>
        <w:spacing w:after="0" w:line="318" w:lineRule="auto"/>
        <w:rPr>
          <w:sz w:val="20"/>
          <w:szCs w:val="20"/>
          <w:color w:val="auto"/>
        </w:rPr>
      </w:pPr>
      <w:r>
        <w:rPr>
          <w:rFonts w:ascii="Arial" w:cs="Arial" w:eastAsia="Arial" w:hAnsi="Arial"/>
          <w:sz w:val="14"/>
          <w:szCs w:val="14"/>
          <w:color w:val="auto"/>
        </w:rPr>
        <w:t>Financial costs increased by 5.9%, or $2.6 million, from $43.9 million during the three-month period ended September 30, 2018 to $46.5 million during the three-month period ended September 30, 2019. The increase is mainly attributable to an increase of $2.4 million in interest expense on loans, bonds and cash flow hedges. During the quarter ended September 30, 2018, we had an average of $2,930.1 million of outstanding indebtedness having an aggregate weighted average interest rate of 5.0%, while during the quarter ended September 30, 2019, we had an average of $3,158.0 million of outstanding indebtedness, with a weighted average interest rate of 5.0%. These weighted average interest rates include interest expense on loans and cash flow hedges and interest expense on senior unsecured notes and cross-currency swaps.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Gain/(loss) on Derivatives:</w:t>
      </w:r>
    </w:p>
    <w:p>
      <w:pPr>
        <w:spacing w:after="0" w:line="235" w:lineRule="exact"/>
        <w:rPr>
          <w:sz w:val="20"/>
          <w:szCs w:val="20"/>
          <w:color w:val="auto"/>
        </w:rPr>
      </w:pPr>
    </w:p>
    <w:p>
      <w:pPr>
        <w:ind w:right="20" w:firstLine="356"/>
        <w:spacing w:after="0" w:line="293" w:lineRule="auto"/>
        <w:rPr>
          <w:sz w:val="20"/>
          <w:szCs w:val="20"/>
          <w:color w:val="auto"/>
        </w:rPr>
      </w:pPr>
      <w:r>
        <w:rPr>
          <w:rFonts w:ascii="Arial" w:cs="Arial" w:eastAsia="Arial" w:hAnsi="Arial"/>
          <w:sz w:val="15"/>
          <w:szCs w:val="15"/>
          <w:color w:val="auto"/>
        </w:rPr>
        <w:t>Gain/(loss) on derivatives decreased by $24.2 million, from a gain of $7.4 million during the three-month period ended September 30, 2018 to a $16.8 million loss during the three-month period ended September 30, 2019. The decrease is mainly attributable to a decrease of $22.9 million in gain from mark-to-market valuation of our derivative financial instruments carried at fair value through profit or loss, which reflected a gain of $7.0 million for the quarter ended September 30, 2018, as compared to a loss of $15.9 million for the quarter ended September 30, 2019, an increase of $1.0 million in realized loss on forward foreign exchange contracts held for trading, a decrease of $0.2 million in realized gain from interest rate swaps held for trading and a decrease of $0.1 million in the ineffective portion of cash flow hedges.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Profit for the Period:</w:t>
      </w:r>
    </w:p>
    <w:p>
      <w:pPr>
        <w:spacing w:after="0" w:line="235" w:lineRule="exact"/>
        <w:rPr>
          <w:sz w:val="20"/>
          <w:szCs w:val="20"/>
          <w:color w:val="auto"/>
        </w:rPr>
      </w:pPr>
    </w:p>
    <w:p>
      <w:pPr>
        <w:ind w:right="160" w:firstLine="356"/>
        <w:spacing w:after="0" w:line="293" w:lineRule="auto"/>
        <w:rPr>
          <w:sz w:val="20"/>
          <w:szCs w:val="20"/>
          <w:color w:val="auto"/>
        </w:rPr>
      </w:pPr>
      <w:r>
        <w:rPr>
          <w:rFonts w:ascii="Arial" w:cs="Arial" w:eastAsia="Arial" w:hAnsi="Arial"/>
          <w:sz w:val="16"/>
          <w:szCs w:val="16"/>
          <w:color w:val="auto"/>
        </w:rPr>
        <w:t>Profit for the period decreased by $30.4 million, or 77.4%, from $39.3 million for the three-month period ended September 30, 2018 to $8.9 million for the three-month period ended September 30, 2019, as a result of the aforementioned factors.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Profit/(loss) Attributable to Owners of the Group:</w:t>
      </w:r>
    </w:p>
    <w:p>
      <w:pPr>
        <w:spacing w:after="0" w:line="235" w:lineRule="exact"/>
        <w:rPr>
          <w:sz w:val="20"/>
          <w:szCs w:val="20"/>
          <w:color w:val="auto"/>
        </w:rPr>
      </w:pPr>
    </w:p>
    <w:p>
      <w:pPr>
        <w:ind w:right="40" w:firstLine="356"/>
        <w:spacing w:after="0" w:line="278" w:lineRule="auto"/>
        <w:rPr>
          <w:sz w:val="20"/>
          <w:szCs w:val="20"/>
          <w:color w:val="auto"/>
        </w:rPr>
      </w:pPr>
      <w:r>
        <w:rPr>
          <w:rFonts w:ascii="Arial" w:cs="Arial" w:eastAsia="Arial" w:hAnsi="Arial"/>
          <w:sz w:val="16"/>
          <w:szCs w:val="16"/>
          <w:color w:val="auto"/>
        </w:rPr>
        <w:t>Profit/(loss) attributable to owners of the Group decreased by $31.7 million, from an $18.2 million profit for the three-month period ended September 30, 2018 to a $13.5 million loss for the three-month period ended September 30, 2019. The increase in loss attributable to the owners of GasLog resulted mainly from the decrease in profit mentioned above.</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300" w:type="dxa"/>
            <w:vAlign w:val="bottom"/>
          </w:tcPr>
          <w:p>
            <w:pPr>
              <w:spacing w:after="0"/>
              <w:rPr>
                <w:sz w:val="20"/>
                <w:szCs w:val="20"/>
                <w:color w:val="auto"/>
              </w:rPr>
            </w:pPr>
            <w:r>
              <w:rPr>
                <w:rFonts w:ascii="Arial" w:cs="Arial" w:eastAsia="Arial" w:hAnsi="Arial"/>
                <w:sz w:val="16"/>
                <w:szCs w:val="16"/>
                <w:b w:val="1"/>
                <w:bCs w:val="1"/>
                <w:i w:val="1"/>
                <w:iCs w:val="1"/>
                <w:color w:val="auto"/>
              </w:rPr>
              <w:t>Nine-month period ended September 30, 2018 compared to the nine-month period ended September 30, 2019</w:t>
            </w: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8300" w:type="dxa"/>
            <w:vAlign w:val="bottom"/>
          </w:tcPr>
          <w:p>
            <w:pPr>
              <w:spacing w:after="0"/>
              <w:rPr>
                <w:sz w:val="24"/>
                <w:szCs w:val="24"/>
                <w:color w:val="auto"/>
              </w:rPr>
            </w:pPr>
          </w:p>
        </w:tc>
        <w:tc>
          <w:tcPr>
            <w:tcW w:w="312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For the nine months ended</w:t>
            </w:r>
          </w:p>
        </w:tc>
        <w:tc>
          <w:tcPr>
            <w:tcW w:w="0" w:type="dxa"/>
            <w:vAlign w:val="bottom"/>
          </w:tcPr>
          <w:p>
            <w:pPr>
              <w:spacing w:after="0"/>
              <w:rPr>
                <w:sz w:val="1"/>
                <w:szCs w:val="1"/>
                <w:color w:val="auto"/>
              </w:rPr>
            </w:pPr>
          </w:p>
        </w:tc>
      </w:tr>
      <w:tr>
        <w:trPr>
          <w:trHeight w:val="316"/>
        </w:trPr>
        <w:tc>
          <w:tcPr>
            <w:tcW w:w="8300" w:type="dxa"/>
            <w:vAlign w:val="bottom"/>
          </w:tcPr>
          <w:p>
            <w:pPr>
              <w:spacing w:after="0"/>
              <w:rPr>
                <w:sz w:val="24"/>
                <w:szCs w:val="24"/>
                <w:color w:val="auto"/>
              </w:rPr>
            </w:pPr>
          </w:p>
        </w:tc>
        <w:tc>
          <w:tcPr>
            <w:tcW w:w="164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September 30,</w:t>
            </w:r>
          </w:p>
        </w:tc>
        <w:tc>
          <w:tcPr>
            <w:tcW w:w="148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0"/>
        </w:trPr>
        <w:tc>
          <w:tcPr>
            <w:tcW w:w="830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i w:val="1"/>
                <w:iCs w:val="1"/>
                <w:color w:val="auto"/>
              </w:rPr>
              <w:t>Amounts in thousands of U.S. Dollars</w:t>
            </w: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280" w:type="dxa"/>
            <w:vAlign w:val="bottom"/>
            <w:tcBorders>
              <w:bottom w:val="single" w:sz="8" w:color="E5FFFF"/>
            </w:tcBorders>
          </w:tcPr>
          <w:p>
            <w:pPr>
              <w:spacing w:after="0"/>
              <w:rPr>
                <w:sz w:val="18"/>
                <w:szCs w:val="18"/>
                <w:color w:val="auto"/>
              </w:rPr>
            </w:pPr>
          </w:p>
        </w:tc>
        <w:tc>
          <w:tcPr>
            <w:tcW w:w="13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300" w:type="dxa"/>
            <w:vAlign w:val="bottom"/>
            <w:shd w:val="clear" w:color="auto" w:fill="E5FFFF"/>
          </w:tcPr>
          <w:p>
            <w:pPr>
              <w:spacing w:after="0"/>
              <w:rPr>
                <w:sz w:val="20"/>
                <w:szCs w:val="20"/>
                <w:color w:val="auto"/>
              </w:rPr>
            </w:pPr>
            <w:r>
              <w:rPr>
                <w:rFonts w:ascii="Arial" w:cs="Arial" w:eastAsia="Arial" w:hAnsi="Arial"/>
                <w:sz w:val="16"/>
                <w:szCs w:val="16"/>
                <w:color w:val="auto"/>
              </w:rPr>
              <w:t>Revenues</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429,700</w:t>
            </w:r>
          </w:p>
        </w:tc>
        <w:tc>
          <w:tcPr>
            <w:tcW w:w="28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486,384</w:t>
            </w: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tcPr>
          <w:p>
            <w:pPr>
              <w:spacing w:after="0"/>
              <w:rPr>
                <w:sz w:val="20"/>
                <w:szCs w:val="20"/>
                <w:color w:val="auto"/>
              </w:rPr>
            </w:pPr>
            <w:r>
              <w:rPr>
                <w:rFonts w:ascii="Arial" w:cs="Arial" w:eastAsia="Arial" w:hAnsi="Arial"/>
                <w:sz w:val="16"/>
                <w:szCs w:val="16"/>
                <w:color w:val="auto"/>
              </w:rPr>
              <w:t>Net pool allocation</w:t>
            </w:r>
          </w:p>
        </w:tc>
        <w:tc>
          <w:tcPr>
            <w:tcW w:w="1360" w:type="dxa"/>
            <w:vAlign w:val="bottom"/>
          </w:tcPr>
          <w:p>
            <w:pPr>
              <w:jc w:val="right"/>
              <w:spacing w:after="0"/>
              <w:rPr>
                <w:sz w:val="20"/>
                <w:szCs w:val="20"/>
                <w:color w:val="auto"/>
              </w:rPr>
            </w:pPr>
            <w:r>
              <w:rPr>
                <w:rFonts w:ascii="Arial" w:cs="Arial" w:eastAsia="Arial" w:hAnsi="Arial"/>
                <w:sz w:val="16"/>
                <w:szCs w:val="16"/>
                <w:color w:val="auto"/>
              </w:rPr>
              <w:t>19,493</w:t>
            </w:r>
          </w:p>
        </w:tc>
        <w:tc>
          <w:tcPr>
            <w:tcW w:w="280" w:type="dxa"/>
            <w:vAlign w:val="bottom"/>
          </w:tcPr>
          <w:p>
            <w:pPr>
              <w:spacing w:after="0"/>
              <w:rPr>
                <w:sz w:val="17"/>
                <w:szCs w:val="17"/>
                <w:color w:val="auto"/>
              </w:rPr>
            </w:pPr>
          </w:p>
        </w:tc>
        <w:tc>
          <w:tcPr>
            <w:tcW w:w="1480" w:type="dxa"/>
            <w:vAlign w:val="bottom"/>
            <w:gridSpan w:val="2"/>
          </w:tcPr>
          <w:p>
            <w:pPr>
              <w:jc w:val="right"/>
              <w:ind w:right="19"/>
              <w:spacing w:after="0"/>
              <w:rPr>
                <w:sz w:val="20"/>
                <w:szCs w:val="20"/>
                <w:color w:val="auto"/>
              </w:rPr>
            </w:pPr>
            <w:r>
              <w:rPr>
                <w:rFonts w:ascii="Arial" w:cs="Arial" w:eastAsia="Arial" w:hAnsi="Arial"/>
                <w:sz w:val="16"/>
                <w:szCs w:val="16"/>
                <w:color w:val="auto"/>
              </w:rPr>
              <w:t>(4,264)</w:t>
            </w:r>
          </w:p>
        </w:tc>
        <w:tc>
          <w:tcPr>
            <w:tcW w:w="0" w:type="dxa"/>
            <w:vAlign w:val="bottom"/>
          </w:tcPr>
          <w:p>
            <w:pPr>
              <w:spacing w:after="0"/>
              <w:rPr>
                <w:sz w:val="1"/>
                <w:szCs w:val="1"/>
                <w:color w:val="auto"/>
              </w:rPr>
            </w:pPr>
          </w:p>
        </w:tc>
      </w:tr>
      <w:tr>
        <w:trPr>
          <w:trHeight w:val="203"/>
        </w:trPr>
        <w:tc>
          <w:tcPr>
            <w:tcW w:w="8300" w:type="dxa"/>
            <w:vAlign w:val="bottom"/>
            <w:shd w:val="clear" w:color="auto" w:fill="E5FFFF"/>
          </w:tcPr>
          <w:p>
            <w:pPr>
              <w:spacing w:after="0"/>
              <w:rPr>
                <w:sz w:val="20"/>
                <w:szCs w:val="20"/>
                <w:color w:val="auto"/>
              </w:rPr>
            </w:pPr>
            <w:r>
              <w:rPr>
                <w:rFonts w:ascii="Arial" w:cs="Arial" w:eastAsia="Arial" w:hAnsi="Arial"/>
                <w:sz w:val="16"/>
                <w:szCs w:val="16"/>
                <w:color w:val="auto"/>
              </w:rPr>
              <w:t>Voyage expenses and commissions</w:t>
            </w:r>
          </w:p>
        </w:tc>
        <w:tc>
          <w:tcPr>
            <w:tcW w:w="16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(16,743)</w:t>
            </w:r>
          </w:p>
        </w:tc>
        <w:tc>
          <w:tcPr>
            <w:tcW w:w="1480" w:type="dxa"/>
            <w:vAlign w:val="bottom"/>
            <w:gridSpan w:val="2"/>
            <w:shd w:val="clear" w:color="auto" w:fill="E5FFFF"/>
          </w:tcPr>
          <w:p>
            <w:pPr>
              <w:jc w:val="right"/>
              <w:ind w:right="19"/>
              <w:spacing w:after="0"/>
              <w:rPr>
                <w:sz w:val="20"/>
                <w:szCs w:val="20"/>
                <w:color w:val="auto"/>
              </w:rPr>
            </w:pPr>
            <w:r>
              <w:rPr>
                <w:rFonts w:ascii="Arial" w:cs="Arial" w:eastAsia="Arial" w:hAnsi="Arial"/>
                <w:sz w:val="16"/>
                <w:szCs w:val="16"/>
                <w:color w:val="auto"/>
              </w:rPr>
              <w:t>(19,440)</w:t>
            </w:r>
          </w:p>
        </w:tc>
        <w:tc>
          <w:tcPr>
            <w:tcW w:w="0" w:type="dxa"/>
            <w:vAlign w:val="bottom"/>
          </w:tcPr>
          <w:p>
            <w:pPr>
              <w:spacing w:after="0"/>
              <w:rPr>
                <w:sz w:val="1"/>
                <w:szCs w:val="1"/>
                <w:color w:val="auto"/>
              </w:rPr>
            </w:pPr>
          </w:p>
        </w:tc>
      </w:tr>
      <w:tr>
        <w:trPr>
          <w:trHeight w:val="203"/>
        </w:trPr>
        <w:tc>
          <w:tcPr>
            <w:tcW w:w="8300" w:type="dxa"/>
            <w:vAlign w:val="bottom"/>
          </w:tcPr>
          <w:p>
            <w:pPr>
              <w:spacing w:after="0"/>
              <w:rPr>
                <w:sz w:val="20"/>
                <w:szCs w:val="20"/>
                <w:color w:val="auto"/>
              </w:rPr>
            </w:pPr>
            <w:r>
              <w:rPr>
                <w:rFonts w:ascii="Arial" w:cs="Arial" w:eastAsia="Arial" w:hAnsi="Arial"/>
                <w:sz w:val="16"/>
                <w:szCs w:val="16"/>
                <w:color w:val="auto"/>
              </w:rPr>
              <w:t>Vessel operating and supervision costs</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(98,964)</w:t>
            </w:r>
          </w:p>
        </w:tc>
        <w:tc>
          <w:tcPr>
            <w:tcW w:w="1480" w:type="dxa"/>
            <w:vAlign w:val="bottom"/>
            <w:gridSpan w:val="2"/>
          </w:tcPr>
          <w:p>
            <w:pPr>
              <w:jc w:val="right"/>
              <w:ind w:right="19"/>
              <w:spacing w:after="0"/>
              <w:rPr>
                <w:sz w:val="20"/>
                <w:szCs w:val="20"/>
                <w:color w:val="auto"/>
              </w:rPr>
            </w:pPr>
            <w:r>
              <w:rPr>
                <w:rFonts w:ascii="Arial" w:cs="Arial" w:eastAsia="Arial" w:hAnsi="Arial"/>
                <w:sz w:val="16"/>
                <w:szCs w:val="16"/>
                <w:color w:val="auto"/>
              </w:rPr>
              <w:t>(100,124)</w:t>
            </w:r>
          </w:p>
        </w:tc>
        <w:tc>
          <w:tcPr>
            <w:tcW w:w="0" w:type="dxa"/>
            <w:vAlign w:val="bottom"/>
          </w:tcPr>
          <w:p>
            <w:pPr>
              <w:spacing w:after="0"/>
              <w:rPr>
                <w:sz w:val="1"/>
                <w:szCs w:val="1"/>
                <w:color w:val="auto"/>
              </w:rPr>
            </w:pPr>
          </w:p>
        </w:tc>
      </w:tr>
      <w:tr>
        <w:trPr>
          <w:trHeight w:val="203"/>
        </w:trPr>
        <w:tc>
          <w:tcPr>
            <w:tcW w:w="8300" w:type="dxa"/>
            <w:vAlign w:val="bottom"/>
            <w:shd w:val="clear" w:color="auto" w:fill="E5FFFF"/>
          </w:tcPr>
          <w:p>
            <w:pPr>
              <w:spacing w:after="0"/>
              <w:rPr>
                <w:sz w:val="20"/>
                <w:szCs w:val="20"/>
                <w:color w:val="auto"/>
              </w:rPr>
            </w:pPr>
            <w:r>
              <w:rPr>
                <w:rFonts w:ascii="Arial" w:cs="Arial" w:eastAsia="Arial" w:hAnsi="Arial"/>
                <w:sz w:val="16"/>
                <w:szCs w:val="16"/>
                <w:color w:val="auto"/>
              </w:rPr>
              <w:t>Depreciation</w:t>
            </w:r>
          </w:p>
        </w:tc>
        <w:tc>
          <w:tcPr>
            <w:tcW w:w="16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(113,683)</w:t>
            </w:r>
          </w:p>
        </w:tc>
        <w:tc>
          <w:tcPr>
            <w:tcW w:w="1480" w:type="dxa"/>
            <w:vAlign w:val="bottom"/>
            <w:gridSpan w:val="2"/>
            <w:shd w:val="clear" w:color="auto" w:fill="E5FFFF"/>
          </w:tcPr>
          <w:p>
            <w:pPr>
              <w:jc w:val="right"/>
              <w:ind w:right="19"/>
              <w:spacing w:after="0"/>
              <w:rPr>
                <w:sz w:val="20"/>
                <w:szCs w:val="20"/>
                <w:color w:val="auto"/>
              </w:rPr>
            </w:pPr>
            <w:r>
              <w:rPr>
                <w:rFonts w:ascii="Arial" w:cs="Arial" w:eastAsia="Arial" w:hAnsi="Arial"/>
                <w:sz w:val="16"/>
                <w:szCs w:val="16"/>
                <w:color w:val="auto"/>
              </w:rPr>
              <w:t>(124,186)</w:t>
            </w:r>
          </w:p>
        </w:tc>
        <w:tc>
          <w:tcPr>
            <w:tcW w:w="0" w:type="dxa"/>
            <w:vAlign w:val="bottom"/>
          </w:tcPr>
          <w:p>
            <w:pPr>
              <w:spacing w:after="0"/>
              <w:rPr>
                <w:sz w:val="1"/>
                <w:szCs w:val="1"/>
                <w:color w:val="auto"/>
              </w:rPr>
            </w:pPr>
          </w:p>
        </w:tc>
      </w:tr>
      <w:tr>
        <w:trPr>
          <w:trHeight w:val="203"/>
        </w:trPr>
        <w:tc>
          <w:tcPr>
            <w:tcW w:w="830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(32,282)</w:t>
            </w:r>
          </w:p>
        </w:tc>
        <w:tc>
          <w:tcPr>
            <w:tcW w:w="1480" w:type="dxa"/>
            <w:vAlign w:val="bottom"/>
            <w:gridSpan w:val="2"/>
          </w:tcPr>
          <w:p>
            <w:pPr>
              <w:jc w:val="right"/>
              <w:ind w:right="19"/>
              <w:spacing w:after="0"/>
              <w:rPr>
                <w:sz w:val="20"/>
                <w:szCs w:val="20"/>
                <w:color w:val="auto"/>
              </w:rPr>
            </w:pPr>
            <w:r>
              <w:rPr>
                <w:rFonts w:ascii="Arial" w:cs="Arial" w:eastAsia="Arial" w:hAnsi="Arial"/>
                <w:sz w:val="16"/>
                <w:szCs w:val="16"/>
                <w:color w:val="auto"/>
              </w:rPr>
              <w:t>(32,873)</w:t>
            </w:r>
          </w:p>
        </w:tc>
        <w:tc>
          <w:tcPr>
            <w:tcW w:w="0" w:type="dxa"/>
            <w:vAlign w:val="bottom"/>
          </w:tcPr>
          <w:p>
            <w:pPr>
              <w:spacing w:after="0"/>
              <w:rPr>
                <w:sz w:val="1"/>
                <w:szCs w:val="1"/>
                <w:color w:val="auto"/>
              </w:rPr>
            </w:pPr>
          </w:p>
        </w:tc>
      </w:tr>
      <w:tr>
        <w:trPr>
          <w:trHeight w:val="196"/>
        </w:trPr>
        <w:tc>
          <w:tcPr>
            <w:tcW w:w="83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from operations</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187,521</w:t>
            </w:r>
          </w:p>
        </w:tc>
        <w:tc>
          <w:tcPr>
            <w:tcW w:w="28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205,497</w:t>
            </w:r>
          </w:p>
        </w:tc>
        <w:tc>
          <w:tcPr>
            <w:tcW w:w="10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300" w:type="dxa"/>
            <w:vAlign w:val="bottom"/>
          </w:tcPr>
          <w:p>
            <w:pPr>
              <w:spacing w:after="0"/>
              <w:rPr>
                <w:sz w:val="20"/>
                <w:szCs w:val="20"/>
                <w:color w:val="auto"/>
              </w:rPr>
            </w:pPr>
            <w:r>
              <w:rPr>
                <w:rFonts w:ascii="Arial" w:cs="Arial" w:eastAsia="Arial" w:hAnsi="Arial"/>
                <w:sz w:val="16"/>
                <w:szCs w:val="16"/>
                <w:color w:val="auto"/>
              </w:rPr>
              <w:t>Financial costs</w:t>
            </w:r>
          </w:p>
        </w:tc>
        <w:tc>
          <w:tcPr>
            <w:tcW w:w="1360" w:type="dxa"/>
            <w:vAlign w:val="bottom"/>
          </w:tcPr>
          <w:p>
            <w:pPr>
              <w:jc w:val="right"/>
              <w:spacing w:after="0"/>
              <w:rPr>
                <w:sz w:val="20"/>
                <w:szCs w:val="20"/>
                <w:color w:val="auto"/>
              </w:rPr>
            </w:pPr>
            <w:r>
              <w:rPr>
                <w:rFonts w:ascii="Arial" w:cs="Arial" w:eastAsia="Arial" w:hAnsi="Arial"/>
                <w:sz w:val="16"/>
                <w:szCs w:val="16"/>
                <w:color w:val="auto"/>
              </w:rPr>
              <w:t>(122,505)</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(138,865)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3,367</w:t>
            </w:r>
          </w:p>
        </w:tc>
        <w:tc>
          <w:tcPr>
            <w:tcW w:w="28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right"/>
              <w:ind w:right="59"/>
              <w:spacing w:after="0"/>
              <w:rPr>
                <w:sz w:val="20"/>
                <w:szCs w:val="20"/>
                <w:color w:val="auto"/>
              </w:rPr>
            </w:pPr>
            <w:r>
              <w:rPr>
                <w:rFonts w:ascii="Arial" w:cs="Arial" w:eastAsia="Arial" w:hAnsi="Arial"/>
                <w:sz w:val="16"/>
                <w:szCs w:val="16"/>
                <w:color w:val="auto"/>
              </w:rPr>
              <w:t>4,357</w:t>
            </w:r>
          </w:p>
        </w:tc>
        <w:tc>
          <w:tcPr>
            <w:tcW w:w="0" w:type="dxa"/>
            <w:vAlign w:val="bottom"/>
          </w:tcPr>
          <w:p>
            <w:pPr>
              <w:spacing w:after="0"/>
              <w:rPr>
                <w:sz w:val="1"/>
                <w:szCs w:val="1"/>
                <w:color w:val="auto"/>
              </w:rPr>
            </w:pPr>
          </w:p>
        </w:tc>
      </w:tr>
      <w:tr>
        <w:trPr>
          <w:trHeight w:val="203"/>
        </w:trPr>
        <w:tc>
          <w:tcPr>
            <w:tcW w:w="8300" w:type="dxa"/>
            <w:vAlign w:val="bottom"/>
          </w:tcPr>
          <w:p>
            <w:pPr>
              <w:spacing w:after="0"/>
              <w:rPr>
                <w:sz w:val="20"/>
                <w:szCs w:val="20"/>
                <w:color w:val="auto"/>
              </w:rPr>
            </w:pPr>
            <w:r>
              <w:rPr>
                <w:rFonts w:ascii="Arial" w:cs="Arial" w:eastAsia="Arial" w:hAnsi="Arial"/>
                <w:sz w:val="16"/>
                <w:szCs w:val="16"/>
                <w:color w:val="auto"/>
              </w:rPr>
              <w:t>Gain/(loss) on derivatives</w:t>
            </w:r>
          </w:p>
        </w:tc>
        <w:tc>
          <w:tcPr>
            <w:tcW w:w="1360" w:type="dxa"/>
            <w:vAlign w:val="bottom"/>
          </w:tcPr>
          <w:p>
            <w:pPr>
              <w:jc w:val="right"/>
              <w:spacing w:after="0"/>
              <w:rPr>
                <w:sz w:val="20"/>
                <w:szCs w:val="20"/>
                <w:color w:val="auto"/>
              </w:rPr>
            </w:pPr>
            <w:r>
              <w:rPr>
                <w:rFonts w:ascii="Arial" w:cs="Arial" w:eastAsia="Arial" w:hAnsi="Arial"/>
                <w:sz w:val="16"/>
                <w:szCs w:val="16"/>
                <w:color w:val="auto"/>
              </w:rPr>
              <w:t>26,306</w:t>
            </w:r>
          </w:p>
        </w:tc>
        <w:tc>
          <w:tcPr>
            <w:tcW w:w="280" w:type="dxa"/>
            <w:vAlign w:val="bottom"/>
          </w:tcPr>
          <w:p>
            <w:pPr>
              <w:spacing w:after="0"/>
              <w:rPr>
                <w:sz w:val="17"/>
                <w:szCs w:val="17"/>
                <w:color w:val="auto"/>
              </w:rPr>
            </w:pPr>
          </w:p>
        </w:tc>
        <w:tc>
          <w:tcPr>
            <w:tcW w:w="1480" w:type="dxa"/>
            <w:vAlign w:val="bottom"/>
            <w:gridSpan w:val="2"/>
          </w:tcPr>
          <w:p>
            <w:pPr>
              <w:jc w:val="right"/>
              <w:ind w:right="19"/>
              <w:spacing w:after="0"/>
              <w:rPr>
                <w:sz w:val="20"/>
                <w:szCs w:val="20"/>
                <w:color w:val="auto"/>
              </w:rPr>
            </w:pPr>
            <w:r>
              <w:rPr>
                <w:rFonts w:ascii="Arial" w:cs="Arial" w:eastAsia="Arial" w:hAnsi="Arial"/>
                <w:sz w:val="16"/>
                <w:szCs w:val="16"/>
                <w:color w:val="auto"/>
              </w:rPr>
              <w:t>(67,801)</w:t>
            </w:r>
          </w:p>
        </w:tc>
        <w:tc>
          <w:tcPr>
            <w:tcW w:w="0" w:type="dxa"/>
            <w:vAlign w:val="bottom"/>
          </w:tcPr>
          <w:p>
            <w:pPr>
              <w:spacing w:after="0"/>
              <w:rPr>
                <w:sz w:val="1"/>
                <w:szCs w:val="1"/>
                <w:color w:val="auto"/>
              </w:rPr>
            </w:pPr>
          </w:p>
        </w:tc>
      </w:tr>
      <w:tr>
        <w:trPr>
          <w:trHeight w:val="203"/>
        </w:trPr>
        <w:tc>
          <w:tcPr>
            <w:tcW w:w="8300" w:type="dxa"/>
            <w:vAlign w:val="bottom"/>
            <w:shd w:val="clear" w:color="auto" w:fill="E5FFFF"/>
          </w:tcPr>
          <w:p>
            <w:pPr>
              <w:spacing w:after="0"/>
              <w:rPr>
                <w:sz w:val="20"/>
                <w:szCs w:val="20"/>
                <w:color w:val="auto"/>
              </w:rPr>
            </w:pPr>
            <w:r>
              <w:rPr>
                <w:rFonts w:ascii="Arial" w:cs="Arial" w:eastAsia="Arial" w:hAnsi="Arial"/>
                <w:sz w:val="16"/>
                <w:szCs w:val="16"/>
                <w:color w:val="auto"/>
              </w:rPr>
              <w:t>Share of profit of associates</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1,325</w:t>
            </w:r>
          </w:p>
        </w:tc>
        <w:tc>
          <w:tcPr>
            <w:tcW w:w="28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right"/>
              <w:ind w:right="59"/>
              <w:spacing w:after="0"/>
              <w:rPr>
                <w:sz w:val="20"/>
                <w:szCs w:val="20"/>
                <w:color w:val="auto"/>
              </w:rPr>
            </w:pPr>
            <w:r>
              <w:rPr>
                <w:rFonts w:ascii="Arial" w:cs="Arial" w:eastAsia="Arial" w:hAnsi="Arial"/>
                <w:sz w:val="16"/>
                <w:szCs w:val="16"/>
                <w:color w:val="auto"/>
              </w:rPr>
              <w:t>1,088</w:t>
            </w:r>
          </w:p>
        </w:tc>
        <w:tc>
          <w:tcPr>
            <w:tcW w:w="0" w:type="dxa"/>
            <w:vAlign w:val="bottom"/>
          </w:tcPr>
          <w:p>
            <w:pPr>
              <w:spacing w:after="0"/>
              <w:rPr>
                <w:sz w:val="1"/>
                <w:szCs w:val="1"/>
                <w:color w:val="auto"/>
              </w:rPr>
            </w:pPr>
          </w:p>
        </w:tc>
      </w:tr>
      <w:tr>
        <w:trPr>
          <w:trHeight w:val="196"/>
        </w:trPr>
        <w:tc>
          <w:tcPr>
            <w:tcW w:w="830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other expenses, net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(91,507)</w:t>
            </w:r>
          </w:p>
        </w:tc>
        <w:tc>
          <w:tcPr>
            <w:tcW w:w="280" w:type="dxa"/>
            <w:vAlign w:val="bottom"/>
            <w:tcBorders>
              <w:bottom w:val="single" w:sz="8" w:color="E5FFFF"/>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(201,221)</w:t>
            </w:r>
          </w:p>
        </w:tc>
        <w:tc>
          <w:tcPr>
            <w:tcW w:w="10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30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for the period</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96,014</w:t>
            </w:r>
          </w:p>
        </w:tc>
        <w:tc>
          <w:tcPr>
            <w:tcW w:w="280" w:type="dxa"/>
            <w:vAlign w:val="bottom"/>
            <w:tcBorders>
              <w:bottom w:val="single" w:sz="8" w:color="E5FFFF"/>
            </w:tcBorders>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4,276</w:t>
            </w:r>
          </w:p>
        </w:tc>
        <w:tc>
          <w:tcPr>
            <w:tcW w:w="100" w:type="dxa"/>
            <w:vAlign w:val="bottom"/>
            <w:tcBorders>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6"/>
                <w:szCs w:val="16"/>
                <w:color w:val="auto"/>
              </w:rPr>
              <w:t>Non-controlling interests</w:t>
            </w:r>
          </w:p>
        </w:tc>
        <w:tc>
          <w:tcPr>
            <w:tcW w:w="164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300" w:type="dxa"/>
            <w:vAlign w:val="bottom"/>
            <w:tcBorders>
              <w:bottom w:val="single" w:sz="8" w:color="E5FFFF"/>
            </w:tcBorders>
            <w:vMerge w:val="continue"/>
          </w:tcPr>
          <w:p>
            <w:pPr>
              <w:spacing w:after="0"/>
              <w:rPr>
                <w:sz w:val="15"/>
                <w:szCs w:val="15"/>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(62,116)</w:t>
            </w:r>
          </w:p>
        </w:tc>
        <w:tc>
          <w:tcPr>
            <w:tcW w:w="280" w:type="dxa"/>
            <w:vAlign w:val="bottom"/>
            <w:tcBorders>
              <w:bottom w:val="single" w:sz="8" w:color="E5FFFF"/>
            </w:tcBorders>
          </w:tcPr>
          <w:p>
            <w:pPr>
              <w:spacing w:after="0"/>
              <w:rPr>
                <w:sz w:val="15"/>
                <w:szCs w:val="15"/>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(54,766)</w:t>
            </w:r>
          </w:p>
        </w:tc>
        <w:tc>
          <w:tcPr>
            <w:tcW w:w="100" w:type="dxa"/>
            <w:vAlign w:val="bottom"/>
            <w:tcBorders>
              <w:bottom w:val="single" w:sz="8" w:color="E5FFFF"/>
            </w:tcBorders>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830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Profit/(loss) attributable to owners of the Group</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33,898</w:t>
            </w:r>
          </w:p>
        </w:tc>
        <w:tc>
          <w:tcPr>
            <w:tcW w:w="280" w:type="dxa"/>
            <w:vAlign w:val="bottom"/>
            <w:tcBorders>
              <w:bottom w:val="single" w:sz="8" w:color="E5FFFF"/>
            </w:tcBorders>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(50,490</w:t>
            </w:r>
          </w:p>
        </w:tc>
        <w:tc>
          <w:tcPr>
            <w:tcW w:w="100" w:type="dxa"/>
            <w:vAlign w:val="bottom"/>
            <w:tcBorders>
              <w:bottom w:val="single" w:sz="8" w:color="E5FFFF"/>
            </w:tcBorders>
            <w:shd w:val="clear" w:color="auto" w:fill="E5FFFF"/>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right="120" w:firstLine="405"/>
        <w:spacing w:after="0" w:line="271" w:lineRule="auto"/>
        <w:rPr>
          <w:sz w:val="20"/>
          <w:szCs w:val="20"/>
          <w:color w:val="auto"/>
        </w:rPr>
      </w:pPr>
      <w:r>
        <w:rPr>
          <w:rFonts w:ascii="Arial" w:cs="Arial" w:eastAsia="Arial" w:hAnsi="Arial"/>
          <w:sz w:val="16"/>
          <w:szCs w:val="16"/>
          <w:color w:val="auto"/>
        </w:rPr>
        <w:t>During the nine-month period ended September 30, 2018, we had an average of 25.4 ships operating in our owned and bareboat fleet (including ships owned by the Partnership), having 6,713 revenue operating days and an average of 25.4 ships operating under our technical management (including an average of 24.4 of our owned and bareboat ships). During the nine-month period ended September 30, 2019, we had an average of 27.0 ships operating in our owned and bareboat fleet (including ships owned by the Partnership), having 7,055 revenue operating days, and an average of 27.0 ships operating under our technical management (including an average of 26.0 of our owned and bareboat ships).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Revenues:</w:t>
      </w:r>
    </w:p>
    <w:p>
      <w:pPr>
        <w:spacing w:after="0" w:line="235" w:lineRule="exact"/>
        <w:rPr>
          <w:sz w:val="20"/>
          <w:szCs w:val="20"/>
          <w:color w:val="auto"/>
        </w:rPr>
      </w:pPr>
    </w:p>
    <w:p>
      <w:pPr>
        <w:ind w:firstLine="428"/>
        <w:spacing w:after="0" w:line="289" w:lineRule="auto"/>
        <w:rPr>
          <w:sz w:val="20"/>
          <w:szCs w:val="20"/>
          <w:color w:val="auto"/>
        </w:rPr>
      </w:pPr>
      <w:r>
        <w:rPr>
          <w:rFonts w:ascii="Arial" w:cs="Arial" w:eastAsia="Arial" w:hAnsi="Arial"/>
          <w:sz w:val="15"/>
          <w:szCs w:val="15"/>
          <w:color w:val="auto"/>
        </w:rPr>
        <w:t xml:space="preserve">Revenues increased by 13.2%, or $56.7 million, from $429.7 million during the nine-month period ended September 30, 2018 to $486.4 million during the nine-month period ended September 30, 2019. The increase in revenues is mainly attributable to an increase in revenues of $46.7 million due to the operation for the full nine-month period of the </w:t>
      </w:r>
      <w:r>
        <w:rPr>
          <w:rFonts w:ascii="Arial" w:cs="Arial" w:eastAsia="Arial" w:hAnsi="Arial"/>
          <w:sz w:val="15"/>
          <w:szCs w:val="15"/>
          <w:i w:val="1"/>
          <w:iCs w:val="1"/>
          <w:color w:val="auto"/>
        </w:rPr>
        <w:t>GasLog Houston</w:t>
      </w:r>
      <w:r>
        <w:rPr>
          <w:rFonts w:ascii="Arial" w:cs="Arial" w:eastAsia="Arial" w:hAnsi="Arial"/>
          <w:sz w:val="15"/>
          <w:szCs w:val="15"/>
          <w:color w:val="auto"/>
        </w:rPr>
        <w:t xml:space="preserve">, the </w:t>
      </w:r>
      <w:r>
        <w:rPr>
          <w:rFonts w:ascii="Arial" w:cs="Arial" w:eastAsia="Arial" w:hAnsi="Arial"/>
          <w:sz w:val="15"/>
          <w:szCs w:val="15"/>
          <w:i w:val="1"/>
          <w:iCs w:val="1"/>
          <w:color w:val="auto"/>
        </w:rPr>
        <w:t>GasLog Hong Kong</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GasLog Genoa</w:t>
      </w:r>
      <w:r>
        <w:rPr>
          <w:rFonts w:ascii="Arial" w:cs="Arial" w:eastAsia="Arial" w:hAnsi="Arial"/>
          <w:sz w:val="15"/>
          <w:szCs w:val="15"/>
          <w:color w:val="auto"/>
        </w:rPr>
        <w:t xml:space="preserve"> (which were delivered on January 8, 2018, March 20, 2018 and March 29, 2018, respectively) and the deliveries of the </w:t>
      </w:r>
      <w:r>
        <w:rPr>
          <w:rFonts w:ascii="Arial" w:cs="Arial" w:eastAsia="Arial" w:hAnsi="Arial"/>
          <w:sz w:val="15"/>
          <w:szCs w:val="15"/>
          <w:i w:val="1"/>
          <w:iCs w:val="1"/>
          <w:color w:val="auto"/>
        </w:rPr>
        <w:t>GasLog Gladstone</w:t>
      </w:r>
      <w:r>
        <w:rPr>
          <w:rFonts w:ascii="Arial" w:cs="Arial" w:eastAsia="Arial" w:hAnsi="Arial"/>
          <w:sz w:val="15"/>
          <w:szCs w:val="15"/>
          <w:color w:val="auto"/>
        </w:rPr>
        <w:t xml:space="preserve"> on March 15, 2019 and the </w:t>
      </w:r>
      <w:r>
        <w:rPr>
          <w:rFonts w:ascii="Arial" w:cs="Arial" w:eastAsia="Arial" w:hAnsi="Arial"/>
          <w:sz w:val="15"/>
          <w:szCs w:val="15"/>
          <w:i w:val="1"/>
          <w:iCs w:val="1"/>
          <w:color w:val="auto"/>
        </w:rPr>
        <w:t>GasLog Warsaw</w:t>
      </w:r>
      <w:r>
        <w:rPr>
          <w:rFonts w:ascii="Arial" w:cs="Arial" w:eastAsia="Arial" w:hAnsi="Arial"/>
          <w:sz w:val="15"/>
          <w:szCs w:val="15"/>
          <w:color w:val="auto"/>
        </w:rPr>
        <w:t xml:space="preserve"> on July 31, 2019. These deliveries resulted in an increase in revenue operating days. There was also an increase of $22.4 million in revenues from our vessels operating in the spot and short-term market, as well as an increase of $6.2 million due to decreased off-hire days from scheduled dry-dockings. These increases were partially offset by a decrease of $20.0 million in revenues mainly due to the expiration of the initial time charters of the </w:t>
      </w:r>
      <w:r>
        <w:rPr>
          <w:rFonts w:ascii="Arial" w:cs="Arial" w:eastAsia="Arial" w:hAnsi="Arial"/>
          <w:sz w:val="15"/>
          <w:szCs w:val="15"/>
          <w:i w:val="1"/>
          <w:iCs w:val="1"/>
          <w:color w:val="auto"/>
        </w:rPr>
        <w:t>GasLog Shanghai</w:t>
      </w:r>
      <w:r>
        <w:rPr>
          <w:rFonts w:ascii="Arial" w:cs="Arial" w:eastAsia="Arial" w:hAnsi="Arial"/>
          <w:sz w:val="15"/>
          <w:szCs w:val="15"/>
          <w:color w:val="auto"/>
        </w:rPr>
        <w:t>, the</w:t>
      </w:r>
      <w:r>
        <w:rPr>
          <w:rFonts w:ascii="Arial" w:cs="Arial" w:eastAsia="Arial" w:hAnsi="Arial"/>
          <w:sz w:val="15"/>
          <w:szCs w:val="15"/>
          <w:i w:val="1"/>
          <w:iCs w:val="1"/>
          <w:color w:val="auto"/>
        </w:rPr>
        <w:t xml:space="preserve"> GasLog Santiago </w:t>
      </w:r>
      <w:r>
        <w:rPr>
          <w:rFonts w:ascii="Arial" w:cs="Arial" w:eastAsia="Arial" w:hAnsi="Arial"/>
          <w:sz w:val="15"/>
          <w:szCs w:val="15"/>
          <w:color w:val="auto"/>
        </w:rPr>
        <w:t>and the</w:t>
      </w:r>
      <w:r>
        <w:rPr>
          <w:rFonts w:ascii="Arial" w:cs="Arial" w:eastAsia="Arial" w:hAnsi="Arial"/>
          <w:sz w:val="15"/>
          <w:szCs w:val="15"/>
          <w:i w:val="1"/>
          <w:iCs w:val="1"/>
          <w:color w:val="auto"/>
        </w:rPr>
        <w:t xml:space="preserve"> GasLog Sydney </w:t>
      </w:r>
      <w:r>
        <w:rPr>
          <w:rFonts w:ascii="Arial" w:cs="Arial" w:eastAsia="Arial" w:hAnsi="Arial"/>
          <w:sz w:val="15"/>
          <w:szCs w:val="15"/>
          <w:color w:val="auto"/>
        </w:rPr>
        <w:t>in the first nine months of 2018. Following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21" w:name="page22"/>
    <w:bookmarkEnd w:id="21"/>
    <w:p>
      <w:pPr>
        <w:spacing w:after="0"/>
        <w:rPr>
          <w:sz w:val="20"/>
          <w:szCs w:val="20"/>
          <w:color w:val="auto"/>
        </w:rPr>
      </w:pPr>
      <w:r>
        <w:rPr>
          <w:rFonts w:ascii="Arial" w:cs="Arial" w:eastAsia="Arial" w:hAnsi="Arial"/>
          <w:sz w:val="15"/>
          <w:szCs w:val="15"/>
          <w:color w:val="auto"/>
        </w:rPr>
        <w:t xml:space="preserve">expiration of their initial charters, the </w:t>
      </w:r>
      <w:r>
        <w:rPr>
          <w:rFonts w:ascii="Arial" w:cs="Arial" w:eastAsia="Arial" w:hAnsi="Arial"/>
          <w:sz w:val="15"/>
          <w:szCs w:val="15"/>
          <w:i w:val="1"/>
          <w:iCs w:val="1"/>
          <w:color w:val="auto"/>
        </w:rPr>
        <w:t>GasLog Santiago</w:t>
      </w:r>
      <w:r>
        <w:rPr>
          <w:rFonts w:ascii="Arial" w:cs="Arial" w:eastAsia="Arial" w:hAnsi="Arial"/>
          <w:sz w:val="15"/>
          <w:szCs w:val="15"/>
          <w:color w:val="auto"/>
        </w:rPr>
        <w:t xml:space="preserve"> began a new multi-year charter with Trafigura and the </w:t>
      </w:r>
      <w:r>
        <w:rPr>
          <w:rFonts w:ascii="Arial" w:cs="Arial" w:eastAsia="Arial" w:hAnsi="Arial"/>
          <w:sz w:val="15"/>
          <w:szCs w:val="15"/>
          <w:i w:val="1"/>
          <w:iCs w:val="1"/>
          <w:color w:val="auto"/>
        </w:rPr>
        <w:t>GasLog Sydney</w:t>
      </w:r>
      <w:r>
        <w:rPr>
          <w:rFonts w:ascii="Arial" w:cs="Arial" w:eastAsia="Arial" w:hAnsi="Arial"/>
          <w:sz w:val="15"/>
          <w:szCs w:val="15"/>
          <w:color w:val="auto"/>
        </w:rPr>
        <w:t xml:space="preserve"> began a new 18-month charter with Cheniere.</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The average daily hire rate increased from $63,928 for the nine-month period ended September 30, 2018 to $68,861 for the nine-month period ended September 30, 2019.</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Pool Allocation:</w:t>
      </w:r>
    </w:p>
    <w:p>
      <w:pPr>
        <w:spacing w:after="0" w:line="235" w:lineRule="exact"/>
        <w:rPr>
          <w:sz w:val="20"/>
          <w:szCs w:val="20"/>
          <w:color w:val="auto"/>
        </w:rPr>
      </w:pPr>
    </w:p>
    <w:p>
      <w:pPr>
        <w:ind w:right="20" w:firstLine="383"/>
        <w:spacing w:after="0" w:line="318" w:lineRule="auto"/>
        <w:rPr>
          <w:sz w:val="20"/>
          <w:szCs w:val="20"/>
          <w:color w:val="auto"/>
        </w:rPr>
      </w:pPr>
      <w:r>
        <w:rPr>
          <w:rFonts w:ascii="Arial" w:cs="Arial" w:eastAsia="Arial" w:hAnsi="Arial"/>
          <w:sz w:val="14"/>
          <w:szCs w:val="14"/>
          <w:color w:val="auto"/>
        </w:rPr>
        <w:t>GasLog recognized gross revenues and gross voyage expenses and commissions of $45.3 million and $8.1 million, respectively, from the operation of its vessels in the Cool Pool during the nine-month period ended September 30, 2019 (September 30, 2018: $44.4 million and $7.8 million, respectively). Net pool allocation decreased by $23.8 million, from a positive $19.5 million during the nine-month period ended September 30, 2018 to a negative $4.3 million during the nine-month period ended September 30, 2019. The variance was attributable to the movement in the adjustment of the net pool results generated by the GasLog vessels in accordance with the pool distribution formula for the total fleet of the pool, as well as GasLog’s vessels exiting the Cool Pool in June and July 2019. GasLog’s total net pool performance is presented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00" w:type="dxa"/>
            <w:vAlign w:val="bottom"/>
          </w:tcPr>
          <w:p>
            <w:pPr>
              <w:spacing w:after="0"/>
              <w:rPr>
                <w:sz w:val="18"/>
                <w:szCs w:val="18"/>
                <w:color w:val="auto"/>
              </w:rPr>
            </w:pPr>
          </w:p>
        </w:tc>
        <w:tc>
          <w:tcPr>
            <w:tcW w:w="3120" w:type="dxa"/>
            <w:vAlign w:val="bottom"/>
            <w:gridSpan w:val="5"/>
          </w:tcPr>
          <w:p>
            <w:pPr>
              <w:jc w:val="right"/>
              <w:ind w:right="680"/>
              <w:spacing w:after="0"/>
              <w:rPr>
                <w:sz w:val="20"/>
                <w:szCs w:val="20"/>
                <w:color w:val="auto"/>
              </w:rPr>
            </w:pPr>
            <w:r>
              <w:rPr>
                <w:rFonts w:ascii="Arial" w:cs="Arial" w:eastAsia="Arial" w:hAnsi="Arial"/>
                <w:sz w:val="16"/>
                <w:szCs w:val="16"/>
                <w:b w:val="1"/>
                <w:bCs w:val="1"/>
                <w:color w:val="auto"/>
              </w:rPr>
              <w:t>For the nine months ended</w:t>
            </w:r>
          </w:p>
        </w:tc>
      </w:tr>
      <w:tr>
        <w:trPr>
          <w:trHeight w:val="289"/>
        </w:trPr>
        <w:tc>
          <w:tcPr>
            <w:tcW w:w="8300" w:type="dxa"/>
            <w:vAlign w:val="bottom"/>
          </w:tcPr>
          <w:p>
            <w:pPr>
              <w:spacing w:after="0"/>
              <w:rPr>
                <w:sz w:val="24"/>
                <w:szCs w:val="24"/>
                <w:color w:val="auto"/>
              </w:rPr>
            </w:pPr>
          </w:p>
        </w:tc>
        <w:tc>
          <w:tcPr>
            <w:tcW w:w="164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September 30,</w:t>
            </w:r>
          </w:p>
        </w:tc>
        <w:tc>
          <w:tcPr>
            <w:tcW w:w="1480" w:type="dxa"/>
            <w:vAlign w:val="bottom"/>
            <w:gridSpan w:val="3"/>
          </w:tcPr>
          <w:p>
            <w:pPr>
              <w:jc w:val="right"/>
              <w:ind w:right="300"/>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830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i w:val="1"/>
                <w:iCs w:val="1"/>
                <w:color w:val="auto"/>
              </w:rPr>
              <w:t>Amounts in thousands of U.S. Dollars</w:t>
            </w: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280" w:type="dxa"/>
            <w:vAlign w:val="bottom"/>
            <w:tcBorders>
              <w:bottom w:val="single" w:sz="8" w:color="E5FFFF"/>
            </w:tcBorders>
          </w:tcPr>
          <w:p>
            <w:pPr>
              <w:spacing w:after="0"/>
              <w:rPr>
                <w:sz w:val="18"/>
                <w:szCs w:val="18"/>
                <w:color w:val="auto"/>
              </w:rPr>
            </w:pPr>
          </w:p>
        </w:tc>
        <w:tc>
          <w:tcPr>
            <w:tcW w:w="13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20" w:type="dxa"/>
            <w:vAlign w:val="bottom"/>
            <w:tcBorders>
              <w:bottom w:val="single" w:sz="8" w:color="E5FFFF"/>
            </w:tcBorders>
          </w:tcPr>
          <w:p>
            <w:pPr>
              <w:spacing w:after="0"/>
              <w:rPr>
                <w:sz w:val="18"/>
                <w:szCs w:val="18"/>
                <w:color w:val="auto"/>
              </w:rPr>
            </w:pPr>
          </w:p>
        </w:tc>
        <w:tc>
          <w:tcPr>
            <w:tcW w:w="80" w:type="dxa"/>
            <w:vAlign w:val="bottom"/>
            <w:tcBorders>
              <w:bottom w:val="single" w:sz="8" w:color="E5FFFF"/>
            </w:tcBorders>
          </w:tcPr>
          <w:p>
            <w:pPr>
              <w:spacing w:after="0"/>
              <w:rPr>
                <w:sz w:val="18"/>
                <w:szCs w:val="18"/>
                <w:color w:val="auto"/>
              </w:rPr>
            </w:pPr>
          </w:p>
        </w:tc>
      </w:tr>
      <w:tr>
        <w:trPr>
          <w:trHeight w:val="202"/>
        </w:trPr>
        <w:tc>
          <w:tcPr>
            <w:tcW w:w="8300" w:type="dxa"/>
            <w:vAlign w:val="bottom"/>
            <w:shd w:val="clear" w:color="auto" w:fill="E5FFFF"/>
          </w:tcPr>
          <w:p>
            <w:pPr>
              <w:spacing w:after="0"/>
              <w:rPr>
                <w:sz w:val="20"/>
                <w:szCs w:val="20"/>
                <w:color w:val="auto"/>
              </w:rPr>
            </w:pPr>
            <w:r>
              <w:rPr>
                <w:rFonts w:ascii="Arial" w:cs="Arial" w:eastAsia="Arial" w:hAnsi="Arial"/>
                <w:sz w:val="16"/>
                <w:szCs w:val="16"/>
                <w:color w:val="auto"/>
              </w:rPr>
              <w:t>Pool gross revenues (included in Revenues)</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44,399</w:t>
            </w:r>
          </w:p>
        </w:tc>
        <w:tc>
          <w:tcPr>
            <w:tcW w:w="28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45,253</w:t>
            </w: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r>
      <w:tr>
        <w:trPr>
          <w:trHeight w:val="203"/>
        </w:trPr>
        <w:tc>
          <w:tcPr>
            <w:tcW w:w="8300" w:type="dxa"/>
            <w:vAlign w:val="bottom"/>
          </w:tcPr>
          <w:p>
            <w:pPr>
              <w:spacing w:after="0"/>
              <w:rPr>
                <w:sz w:val="20"/>
                <w:szCs w:val="20"/>
                <w:color w:val="auto"/>
              </w:rPr>
            </w:pPr>
            <w:r>
              <w:rPr>
                <w:rFonts w:ascii="Arial" w:cs="Arial" w:eastAsia="Arial" w:hAnsi="Arial"/>
                <w:sz w:val="16"/>
                <w:szCs w:val="16"/>
                <w:color w:val="auto"/>
              </w:rPr>
              <w:t>Pool gross voyage expenses and commissions (included in Voyage expenses and commissions)</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(7,769)</w:t>
            </w:r>
          </w:p>
        </w:tc>
        <w:tc>
          <w:tcPr>
            <w:tcW w:w="1480" w:type="dxa"/>
            <w:vAlign w:val="bottom"/>
            <w:gridSpan w:val="3"/>
          </w:tcPr>
          <w:p>
            <w:pPr>
              <w:jc w:val="right"/>
              <w:ind w:right="60"/>
              <w:spacing w:after="0"/>
              <w:rPr>
                <w:sz w:val="20"/>
                <w:szCs w:val="20"/>
                <w:color w:val="auto"/>
              </w:rPr>
            </w:pPr>
            <w:r>
              <w:rPr>
                <w:rFonts w:ascii="Arial" w:cs="Arial" w:eastAsia="Arial" w:hAnsi="Arial"/>
                <w:sz w:val="16"/>
                <w:szCs w:val="16"/>
                <w:color w:val="auto"/>
              </w:rPr>
              <w:t>(8,086)</w:t>
            </w:r>
          </w:p>
        </w:tc>
      </w:tr>
      <w:tr>
        <w:trPr>
          <w:trHeight w:val="203"/>
        </w:trPr>
        <w:tc>
          <w:tcPr>
            <w:tcW w:w="8300" w:type="dxa"/>
            <w:vAlign w:val="bottom"/>
            <w:shd w:val="clear" w:color="auto" w:fill="E5FFFF"/>
          </w:tcPr>
          <w:p>
            <w:pPr>
              <w:spacing w:after="0"/>
              <w:rPr>
                <w:sz w:val="20"/>
                <w:szCs w:val="20"/>
                <w:color w:val="auto"/>
              </w:rPr>
            </w:pPr>
            <w:r>
              <w:rPr>
                <w:rFonts w:ascii="Arial" w:cs="Arial" w:eastAsia="Arial" w:hAnsi="Arial"/>
                <w:sz w:val="16"/>
                <w:szCs w:val="16"/>
                <w:color w:val="auto"/>
              </w:rPr>
              <w:t>GasLog’s adjustment for net pool allocation (included in Net pool allocation)</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19,493</w:t>
            </w:r>
          </w:p>
        </w:tc>
        <w:tc>
          <w:tcPr>
            <w:tcW w:w="280" w:type="dxa"/>
            <w:vAlign w:val="bottom"/>
            <w:shd w:val="clear" w:color="auto" w:fill="E5FFFF"/>
          </w:tcPr>
          <w:p>
            <w:pPr>
              <w:spacing w:after="0"/>
              <w:rPr>
                <w:sz w:val="17"/>
                <w:szCs w:val="17"/>
                <w:color w:val="auto"/>
              </w:rPr>
            </w:pPr>
          </w:p>
        </w:tc>
        <w:tc>
          <w:tcPr>
            <w:tcW w:w="1480" w:type="dxa"/>
            <w:vAlign w:val="bottom"/>
            <w:gridSpan w:val="3"/>
            <w:shd w:val="clear" w:color="auto" w:fill="E5FFFF"/>
          </w:tcPr>
          <w:p>
            <w:pPr>
              <w:jc w:val="right"/>
              <w:ind w:right="60"/>
              <w:spacing w:after="0"/>
              <w:rPr>
                <w:sz w:val="20"/>
                <w:szCs w:val="20"/>
                <w:color w:val="auto"/>
              </w:rPr>
            </w:pPr>
            <w:r>
              <w:rPr>
                <w:rFonts w:ascii="Arial" w:cs="Arial" w:eastAsia="Arial" w:hAnsi="Arial"/>
                <w:sz w:val="16"/>
                <w:szCs w:val="16"/>
                <w:color w:val="auto"/>
              </w:rPr>
              <w:t>(4,264)</w:t>
            </w:r>
          </w:p>
        </w:tc>
      </w:tr>
      <w:tr>
        <w:trPr>
          <w:trHeight w:val="196"/>
        </w:trPr>
        <w:tc>
          <w:tcPr>
            <w:tcW w:w="8300" w:type="dxa"/>
            <w:vAlign w:val="bottom"/>
          </w:tcPr>
          <w:p>
            <w:pPr>
              <w:spacing w:after="0"/>
              <w:rPr>
                <w:sz w:val="20"/>
                <w:szCs w:val="20"/>
                <w:color w:val="auto"/>
              </w:rPr>
            </w:pPr>
            <w:r>
              <w:rPr>
                <w:rFonts w:ascii="Arial" w:cs="Arial" w:eastAsia="Arial" w:hAnsi="Arial"/>
                <w:sz w:val="16"/>
                <w:szCs w:val="16"/>
                <w:b w:val="1"/>
                <w:bCs w:val="1"/>
                <w:color w:val="auto"/>
              </w:rPr>
              <w:t>GasLog’s total net pool performance</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56,123</w:t>
            </w:r>
          </w:p>
        </w:tc>
        <w:tc>
          <w:tcPr>
            <w:tcW w:w="280" w:type="dxa"/>
            <w:vAlign w:val="bottom"/>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32,903</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Voyage Expenses and Commissions:</w:t>
      </w:r>
    </w:p>
    <w:p>
      <w:pPr>
        <w:spacing w:after="0" w:line="235" w:lineRule="exact"/>
        <w:rPr>
          <w:sz w:val="20"/>
          <w:szCs w:val="20"/>
          <w:color w:val="auto"/>
        </w:rPr>
      </w:pPr>
    </w:p>
    <w:p>
      <w:pPr>
        <w:jc w:val="both"/>
        <w:ind w:right="320" w:firstLine="356"/>
        <w:spacing w:after="0" w:line="278" w:lineRule="auto"/>
        <w:rPr>
          <w:sz w:val="20"/>
          <w:szCs w:val="20"/>
          <w:color w:val="auto"/>
        </w:rPr>
      </w:pPr>
      <w:r>
        <w:rPr>
          <w:rFonts w:ascii="Arial" w:cs="Arial" w:eastAsia="Arial" w:hAnsi="Arial"/>
          <w:sz w:val="16"/>
          <w:szCs w:val="16"/>
          <w:color w:val="auto"/>
        </w:rPr>
        <w:t>Voyage expenses and commissions increased by 16.2%, or $2.7 million, from $16.7 million during the nine-month period ended September 30, 2018 to $19.4 million during the nine-month period ended September 30, 2019. The increase is primarily attributable to the increase in bunkers’ consumption of the vessels operating in the spot market.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Vessel Operating and Supervision Costs:</w:t>
      </w:r>
    </w:p>
    <w:p>
      <w:pPr>
        <w:spacing w:after="0" w:line="235" w:lineRule="exact"/>
        <w:rPr>
          <w:sz w:val="20"/>
          <w:szCs w:val="20"/>
          <w:color w:val="auto"/>
        </w:rPr>
      </w:pPr>
    </w:p>
    <w:p>
      <w:pPr>
        <w:ind w:right="100" w:firstLine="356"/>
        <w:spacing w:after="0" w:line="291" w:lineRule="auto"/>
        <w:rPr>
          <w:sz w:val="20"/>
          <w:szCs w:val="20"/>
          <w:color w:val="auto"/>
        </w:rPr>
      </w:pPr>
      <w:r>
        <w:rPr>
          <w:rFonts w:ascii="Arial" w:cs="Arial" w:eastAsia="Arial" w:hAnsi="Arial"/>
          <w:sz w:val="15"/>
          <w:szCs w:val="15"/>
          <w:color w:val="auto"/>
        </w:rPr>
        <w:t xml:space="preserve">Vessel operating and supervision costs increased by 1.1%, or $1.1 million, from $99.0 million during the nine-month period ended September 30, 2018 to $100.1 million during the nine-month period ended September 30, 2019. The increase in vessel operating and supervision costs is mainly attributable to the 2018 and 2019 vessel deliveries, the increased scheduled technical maintenance costs related to engine maintenance and costs related to dry-dockings, partially offset by decreased vessel taxes and the favorable movement of the EUR/USD exchange rate, which decreased by an average of 6.0% in the first nine months of 2019 as compared to the same period in 2018. Daily operating costs per vessel decreased from $14,875 per ownership day (excluding the </w:t>
      </w:r>
      <w:r>
        <w:rPr>
          <w:rFonts w:ascii="Arial" w:cs="Arial" w:eastAsia="Arial" w:hAnsi="Arial"/>
          <w:sz w:val="15"/>
          <w:szCs w:val="15"/>
          <w:i w:val="1"/>
          <w:iCs w:val="1"/>
          <w:color w:val="auto"/>
        </w:rPr>
        <w:t>Solaris</w:t>
      </w:r>
      <w:r>
        <w:rPr>
          <w:rFonts w:ascii="Arial" w:cs="Arial" w:eastAsia="Arial" w:hAnsi="Arial"/>
          <w:sz w:val="15"/>
          <w:szCs w:val="15"/>
          <w:color w:val="auto"/>
        </w:rPr>
        <w:t xml:space="preserve"> managed by Shell) for the nine-month period ended September 30, 2018 to $14,132 per ownership day (excluding the </w:t>
      </w:r>
      <w:r>
        <w:rPr>
          <w:rFonts w:ascii="Arial" w:cs="Arial" w:eastAsia="Arial" w:hAnsi="Arial"/>
          <w:sz w:val="15"/>
          <w:szCs w:val="15"/>
          <w:i w:val="1"/>
          <w:iCs w:val="1"/>
          <w:color w:val="auto"/>
        </w:rPr>
        <w:t>Solaris</w:t>
      </w:r>
      <w:r>
        <w:rPr>
          <w:rFonts w:ascii="Arial" w:cs="Arial" w:eastAsia="Arial" w:hAnsi="Arial"/>
          <w:sz w:val="15"/>
          <w:szCs w:val="15"/>
          <w:color w:val="auto"/>
        </w:rPr>
        <w:t xml:space="preserve"> managed by Shell) for the nine-month period ended September 30, 2019.</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Depreciation:</w:t>
      </w:r>
    </w:p>
    <w:p>
      <w:pPr>
        <w:spacing w:after="0" w:line="235" w:lineRule="exact"/>
        <w:rPr>
          <w:sz w:val="20"/>
          <w:szCs w:val="20"/>
          <w:color w:val="auto"/>
        </w:rPr>
      </w:pPr>
    </w:p>
    <w:p>
      <w:pPr>
        <w:ind w:right="100" w:firstLine="356"/>
        <w:spacing w:after="0" w:line="278" w:lineRule="auto"/>
        <w:rPr>
          <w:sz w:val="20"/>
          <w:szCs w:val="20"/>
          <w:color w:val="auto"/>
        </w:rPr>
      </w:pPr>
      <w:r>
        <w:rPr>
          <w:rFonts w:ascii="Arial" w:cs="Arial" w:eastAsia="Arial" w:hAnsi="Arial"/>
          <w:sz w:val="16"/>
          <w:szCs w:val="16"/>
          <w:color w:val="auto"/>
        </w:rPr>
        <w:t>Depreciation increased by 9.2%, or $10.5 million, from $113.7 million during the nine-month period ended September 30, 2018 to $124.2 million during the nine-month period ended September 30, 2019. The increase in depreciation resulted mainly from the increase in the average number of vessels in our fleet in the nine months ended September 30, 2019, compared to the same period in 2018.</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235" w:lineRule="exact"/>
        <w:rPr>
          <w:sz w:val="20"/>
          <w:szCs w:val="20"/>
          <w:color w:val="auto"/>
        </w:rPr>
      </w:pPr>
    </w:p>
    <w:p>
      <w:pPr>
        <w:ind w:right="140" w:firstLine="356"/>
        <w:spacing w:after="0" w:line="271" w:lineRule="auto"/>
        <w:rPr>
          <w:sz w:val="20"/>
          <w:szCs w:val="20"/>
          <w:color w:val="auto"/>
        </w:rPr>
      </w:pPr>
      <w:r>
        <w:rPr>
          <w:rFonts w:ascii="Arial" w:cs="Arial" w:eastAsia="Arial" w:hAnsi="Arial"/>
          <w:sz w:val="16"/>
          <w:szCs w:val="16"/>
          <w:color w:val="auto"/>
        </w:rPr>
        <w:t>General and administrative expenses increased by 1.9%, or $0.6 million, from $32.3 million during the nine-month period ended September 30, 2018 to $32.9 million during the nine-month period ended September 30, 2019. The increase is mainly attributable to a $1.3 million increase in foreign exchange losses, partially offset by an increase of $1.3 million in employee costs offset by a $1.8 million favorable movement of the EUR/USD exchange rate. Daily general and administrative expenses per vessel decreased from $4,661 per ownership day for the nine-month period ended September 30, 2018 to $4,468 per ownership day for the nine-month period ended September 30, 2019.</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Financial Costs:</w:t>
      </w:r>
    </w:p>
    <w:p>
      <w:pPr>
        <w:spacing w:after="0" w:line="235" w:lineRule="exact"/>
        <w:rPr>
          <w:sz w:val="20"/>
          <w:szCs w:val="20"/>
          <w:color w:val="auto"/>
        </w:rPr>
      </w:pPr>
    </w:p>
    <w:p>
      <w:pPr>
        <w:ind w:right="80" w:firstLine="356"/>
        <w:spacing w:after="0" w:line="269" w:lineRule="auto"/>
        <w:rPr>
          <w:sz w:val="20"/>
          <w:szCs w:val="20"/>
          <w:color w:val="auto"/>
        </w:rPr>
      </w:pPr>
      <w:r>
        <w:rPr>
          <w:rFonts w:ascii="Arial" w:cs="Arial" w:eastAsia="Arial" w:hAnsi="Arial"/>
          <w:sz w:val="16"/>
          <w:szCs w:val="16"/>
          <w:color w:val="auto"/>
        </w:rPr>
        <w:t>Financial costs increased by 13.4%, or $16.4 million, from $122.5 million during the nine-month period ended September 30, 2018 to $138.9 million during the nine-month period ended September 30, 2019. The increase is mainly attributable to an increase of $15.0 million in interest expense on loans, bonds and cash flow hedges and an increase of $1.3 million in amortization of deferred loan fees mainly driven by an increase in write-offs of unamortized loan fees pursuant to the refinancing of the GasLog Partners $450.0 million facility. During the nine-month period ended September 30, 2018, we had an average of $2,882.4 million of outstanding indebtedness having an aggregate weighted average interest rate of 4.7%, while during the nine-month period ended September 30, 2019, we had an average of $3,038.6 million of outstanding indebtedness, with a weighted average interest rate of 5.2%. These weighted average interest rates include interest expense on loans and cash flow hedges and interest expense on senior unsecured notes and cross-currency swaps.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Gain/(loss) on Derivatives:</w:t>
      </w:r>
    </w:p>
    <w:p>
      <w:pPr>
        <w:spacing w:after="0" w:line="235" w:lineRule="exact"/>
        <w:rPr>
          <w:sz w:val="20"/>
          <w:szCs w:val="20"/>
          <w:color w:val="auto"/>
        </w:rPr>
      </w:pPr>
    </w:p>
    <w:p>
      <w:pPr>
        <w:ind w:right="100" w:firstLine="356"/>
        <w:spacing w:after="0" w:line="318" w:lineRule="auto"/>
        <w:rPr>
          <w:sz w:val="20"/>
          <w:szCs w:val="20"/>
          <w:color w:val="auto"/>
        </w:rPr>
      </w:pPr>
      <w:r>
        <w:rPr>
          <w:rFonts w:ascii="Arial" w:cs="Arial" w:eastAsia="Arial" w:hAnsi="Arial"/>
          <w:sz w:val="14"/>
          <w:szCs w:val="14"/>
          <w:color w:val="auto"/>
        </w:rPr>
        <w:t>Gain on derivatives decreased by $94.1 million, from a gain of $26.3 million during the nine-month period ended September 30, 2018 to a loss of $67.8 million during the nine-month period ended September 30, 2019. The decrease is attributable to a decrease of $92.0 million in gain from mark-to-market valuation of our derivative financial instruments carried at fair value through profit or loss, which reflected a gain of $24.2 million for the nine months ended September 30, 2018, as compared to a loss of $67.8 million for the nine months ended September 30, 2019, and a decrease of $4.9 million in realized gain on forward foreign exchange contracts held for trading, partially offset by an increase of $2.3 million in realized gain from interest rate swaps held for trading and a decrease of $0.5 million in the ineffective portion of cash flow hedges.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i w:val="1"/>
          <w:iCs w:val="1"/>
          <w:color w:val="auto"/>
        </w:rPr>
        <w:t>Profit for the Period:</w:t>
      </w:r>
    </w:p>
    <w:p>
      <w:pPr>
        <w:spacing w:after="0" w:line="235" w:lineRule="exact"/>
        <w:rPr>
          <w:sz w:val="20"/>
          <w:szCs w:val="20"/>
          <w:color w:val="auto"/>
        </w:rPr>
      </w:pPr>
    </w:p>
    <w:p>
      <w:pPr>
        <w:ind w:right="240" w:firstLine="356"/>
        <w:spacing w:after="0" w:line="293" w:lineRule="auto"/>
        <w:rPr>
          <w:sz w:val="20"/>
          <w:szCs w:val="20"/>
          <w:color w:val="auto"/>
        </w:rPr>
      </w:pPr>
      <w:r>
        <w:rPr>
          <w:rFonts w:ascii="Arial" w:cs="Arial" w:eastAsia="Arial" w:hAnsi="Arial"/>
          <w:sz w:val="16"/>
          <w:szCs w:val="16"/>
          <w:color w:val="auto"/>
        </w:rPr>
        <w:t>Profit for the period decreased by $91.7 million, or 95.5%, from $96.0 million for the nine-month period ended September 30, 2018 to $4.3 million for the nine-month period ended September 30, 2019, as a result of the aforementioned factors.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Profit/(loss) Attributable to Owners of the Group:</w:t>
      </w:r>
    </w:p>
    <w:p>
      <w:pPr>
        <w:spacing w:after="0" w:line="235" w:lineRule="exact"/>
        <w:rPr>
          <w:sz w:val="20"/>
          <w:szCs w:val="20"/>
          <w:color w:val="auto"/>
        </w:rPr>
      </w:pPr>
    </w:p>
    <w:p>
      <w:pPr>
        <w:ind w:firstLine="356"/>
        <w:spacing w:after="0" w:line="273" w:lineRule="auto"/>
        <w:rPr>
          <w:sz w:val="20"/>
          <w:szCs w:val="20"/>
          <w:color w:val="auto"/>
        </w:rPr>
      </w:pPr>
      <w:r>
        <w:rPr>
          <w:rFonts w:ascii="Arial" w:cs="Arial" w:eastAsia="Arial" w:hAnsi="Arial"/>
          <w:sz w:val="16"/>
          <w:szCs w:val="16"/>
          <w:color w:val="auto"/>
        </w:rPr>
        <w:t>Profit/(loss) attributable to owners of the Group decreased by $84.4 million, from a profit of $33.9 million for the nine-month period ended September 30, 2018 to a $50.5 million loss for the nine-month period ended September 30, 2019. The loss attributable to the owners of GasLog resulted mainly from the decrease in profit mentioned above, partially offset by the decrease in profit attributable to the non-controlling interests (non-controlling unitholders of GasLog Partners) following the decrease in the Partnership’s profit.</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Customers</w:t>
      </w:r>
    </w:p>
    <w:p>
      <w:pPr>
        <w:spacing w:after="0" w:line="239" w:lineRule="exact"/>
        <w:rPr>
          <w:sz w:val="20"/>
          <w:szCs w:val="20"/>
          <w:color w:val="auto"/>
        </w:rPr>
      </w:pPr>
    </w:p>
    <w:p>
      <w:pPr>
        <w:ind w:right="20" w:firstLine="356"/>
        <w:spacing w:after="0" w:line="273" w:lineRule="auto"/>
        <w:rPr>
          <w:sz w:val="20"/>
          <w:szCs w:val="20"/>
          <w:color w:val="auto"/>
        </w:rPr>
      </w:pPr>
      <w:r>
        <w:rPr>
          <w:rFonts w:ascii="Arial" w:cs="Arial" w:eastAsia="Arial" w:hAnsi="Arial"/>
          <w:sz w:val="16"/>
          <w:szCs w:val="16"/>
          <w:color w:val="auto"/>
        </w:rPr>
        <w:t>For the nine-month period ended September 30, 2019, we received 73.4% of our revenues from Shell, 13.7% of our revenues from various charterers in the spot/short-term market, 12.8% of our revenues from major LNG market players and 0.1% of our revenues from Egypt LNG, an entity in which we have a 25% ownership interest. For the nine-month period ended September 30, 2018, we received 81.8% of our revenues from Shell, 10.3% of our revenues from various charterers in the spot/short-term market, 7.8% of our revenues from major LNG producers and 0.1% of our revenues from Egypt LNG.</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39" w:lineRule="exact"/>
        <w:rPr>
          <w:sz w:val="20"/>
          <w:szCs w:val="20"/>
          <w:color w:val="auto"/>
        </w:rPr>
      </w:pPr>
    </w:p>
    <w:p>
      <w:pPr>
        <w:ind w:right="100" w:firstLine="356"/>
        <w:spacing w:after="0" w:line="273" w:lineRule="auto"/>
        <w:rPr>
          <w:sz w:val="20"/>
          <w:szCs w:val="20"/>
          <w:color w:val="auto"/>
        </w:rPr>
      </w:pPr>
      <w:r>
        <w:rPr>
          <w:rFonts w:ascii="Arial" w:cs="Arial" w:eastAsia="Arial" w:hAnsi="Arial"/>
          <w:sz w:val="16"/>
          <w:szCs w:val="16"/>
          <w:color w:val="auto"/>
        </w:rPr>
        <w:t>Our primary liquidity needs are to fund our vessel operating costs and general and administrative expenses, to finance the purchase and construction of our newbuildings and conversions, to purchase secondhand vessels, to service our existing debt and to pay dividends. In monitoring our working capital needs, we project our charter hire income and the vessels’ maintenance and running expenses, as well as debt service obligations, and seek to maintain adequate cash reserves in order to address revenue shortfalls or budget overruns, if any.</w:t>
      </w:r>
    </w:p>
    <w:p>
      <w:pPr>
        <w:spacing w:after="0" w:line="189" w:lineRule="exact"/>
        <w:rPr>
          <w:sz w:val="20"/>
          <w:szCs w:val="20"/>
          <w:color w:val="auto"/>
        </w:rPr>
      </w:pPr>
    </w:p>
    <w:p>
      <w:pPr>
        <w:ind w:right="160" w:firstLine="356"/>
        <w:spacing w:after="0" w:line="305" w:lineRule="auto"/>
        <w:rPr>
          <w:sz w:val="20"/>
          <w:szCs w:val="20"/>
          <w:color w:val="auto"/>
        </w:rPr>
      </w:pPr>
      <w:r>
        <w:rPr>
          <w:rFonts w:ascii="Arial" w:cs="Arial" w:eastAsia="Arial" w:hAnsi="Arial"/>
          <w:sz w:val="15"/>
          <w:szCs w:val="15"/>
          <w:color w:val="auto"/>
        </w:rPr>
        <w:t>We anticipate that our primary sources of funds will be available cash, cash from operations and borrowings under existing and new debt agreements. We may also seek to raise additional common or other forms of equity, subject in each case to market conditions. We believe that these sources of funds will be sufficient to meet our liquidity needs, although there can be no assurance that we will be able to obtain future debt and equity financing on terms acceptable to us.</w:t>
      </w:r>
    </w:p>
    <w:p>
      <w:pPr>
        <w:spacing w:after="0" w:line="166" w:lineRule="exact"/>
        <w:rPr>
          <w:sz w:val="20"/>
          <w:szCs w:val="20"/>
          <w:color w:val="auto"/>
        </w:rPr>
      </w:pPr>
    </w:p>
    <w:p>
      <w:pPr>
        <w:ind w:right="300" w:firstLine="356"/>
        <w:spacing w:after="0" w:line="293" w:lineRule="auto"/>
        <w:rPr>
          <w:sz w:val="20"/>
          <w:szCs w:val="20"/>
          <w:color w:val="auto"/>
        </w:rPr>
      </w:pPr>
      <w:r>
        <w:rPr>
          <w:rFonts w:ascii="Arial" w:cs="Arial" w:eastAsia="Arial" w:hAnsi="Arial"/>
          <w:sz w:val="16"/>
          <w:szCs w:val="16"/>
          <w:color w:val="auto"/>
        </w:rPr>
        <w:t>Our funding and treasury activities are intended to meet our operating and financing requirements while balancing investment returns in order to maintain appropriate liquidity. Cash and cash equivalents are held primarily in USD.</w:t>
      </w:r>
    </w:p>
    <w:p>
      <w:pPr>
        <w:spacing w:after="0" w:line="172" w:lineRule="exact"/>
        <w:rPr>
          <w:sz w:val="20"/>
          <w:szCs w:val="20"/>
          <w:color w:val="auto"/>
        </w:rPr>
      </w:pPr>
    </w:p>
    <w:p>
      <w:pPr>
        <w:ind w:right="100" w:firstLine="356"/>
        <w:spacing w:after="0" w:line="278" w:lineRule="auto"/>
        <w:rPr>
          <w:sz w:val="20"/>
          <w:szCs w:val="20"/>
          <w:color w:val="auto"/>
        </w:rPr>
      </w:pPr>
      <w:r>
        <w:rPr>
          <w:rFonts w:ascii="Arial" w:cs="Arial" w:eastAsia="Arial" w:hAnsi="Arial"/>
          <w:sz w:val="16"/>
          <w:szCs w:val="16"/>
          <w:color w:val="auto"/>
        </w:rPr>
        <w:t>As of September 30, 2019, GasLog had $183.6 million of cash and cash equivalents, of which $112.8 million was held in time deposits and the remaining balance in current accounts. In addition, as of September 30, 2019, GasLog had $24.0 million held in time deposits with an initial duration of more than three months but less than a year that have been classified as short-term investments.</w:t>
      </w:r>
    </w:p>
    <w:p>
      <w:pPr>
        <w:spacing w:after="0" w:line="184" w:lineRule="exact"/>
        <w:rPr>
          <w:sz w:val="20"/>
          <w:szCs w:val="20"/>
          <w:color w:val="auto"/>
        </w:rPr>
      </w:pPr>
    </w:p>
    <w:p>
      <w:pPr>
        <w:ind w:right="100" w:firstLine="356"/>
        <w:spacing w:after="0" w:line="297" w:lineRule="auto"/>
        <w:rPr>
          <w:sz w:val="20"/>
          <w:szCs w:val="20"/>
          <w:color w:val="auto"/>
        </w:rPr>
      </w:pPr>
      <w:r>
        <w:rPr>
          <w:rFonts w:ascii="Arial" w:cs="Arial" w:eastAsia="Arial" w:hAnsi="Arial"/>
          <w:sz w:val="15"/>
          <w:szCs w:val="15"/>
          <w:color w:val="auto"/>
        </w:rPr>
        <w:t xml:space="preserve">On March 6, 2019, the respective subsidiaries of GasLog Partners drew down $360.0 million under a new five-year amortizing revolving credit facility entered into on February 20, 2019 (the “2019 Partnership Facility”) and prepaid in full their aggregate outstanding debt of $354.4 million, which would have been due in November 2019. On April 1, 2019, the Partnership drew down an additional $75.0 million under the 2019 Partnership Facility. In addition, in March 2019 and July 2019, GasLog drew down $165.8 million and $129.5 million to partially finance the deliveries of the </w:t>
      </w:r>
      <w:r>
        <w:rPr>
          <w:rFonts w:ascii="Arial" w:cs="Arial" w:eastAsia="Arial" w:hAnsi="Arial"/>
          <w:sz w:val="15"/>
          <w:szCs w:val="15"/>
          <w:i w:val="1"/>
          <w:iCs w:val="1"/>
          <w:color w:val="auto"/>
        </w:rPr>
        <w:t>GasLog Gladstone</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GasLog Warsaw</w:t>
      </w:r>
      <w:r>
        <w:rPr>
          <w:rFonts w:ascii="Arial" w:cs="Arial" w:eastAsia="Arial" w:hAnsi="Arial"/>
          <w:sz w:val="15"/>
          <w:szCs w:val="15"/>
          <w:color w:val="auto"/>
        </w:rPr>
        <w:t>, respectively.</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5"/>
          <w:szCs w:val="15"/>
          <w:color w:val="auto"/>
        </w:rPr>
        <w:t>On May 16, 2019, GasLog closed a follow-on issue of the 8.875% senior unsecured notes due 2022 (the “8.875% Senior Notes”) with net proceeds of $75.4 million.</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GasLog plans to use these proceeds to partially fund its committed newbuild program and for general corporate purposes, including working capital.</w:t>
      </w:r>
    </w:p>
    <w:p>
      <w:pPr>
        <w:spacing w:after="0" w:line="231" w:lineRule="exact"/>
        <w:rPr>
          <w:sz w:val="20"/>
          <w:szCs w:val="20"/>
          <w:color w:val="auto"/>
        </w:rPr>
      </w:pPr>
    </w:p>
    <w:p>
      <w:pPr>
        <w:ind w:right="140" w:firstLine="356"/>
        <w:spacing w:after="0" w:line="293" w:lineRule="auto"/>
        <w:rPr>
          <w:sz w:val="20"/>
          <w:szCs w:val="20"/>
          <w:color w:val="auto"/>
        </w:rPr>
      </w:pPr>
      <w:r>
        <w:rPr>
          <w:rFonts w:ascii="Arial" w:cs="Arial" w:eastAsia="Arial" w:hAnsi="Arial"/>
          <w:sz w:val="16"/>
          <w:szCs w:val="16"/>
          <w:color w:val="auto"/>
        </w:rPr>
        <w:t>As of September 30, 2019, GasLog had an aggregate of $3.1 billion of indebtedness outstanding under its credit facilities and bond agreements, of which $207.6 million was repayable within one year, and $207.5 million of lease liabilities</w:t>
      </w:r>
      <w:r>
        <w:rPr>
          <w:rFonts w:ascii="Arial" w:cs="Arial" w:eastAsia="Arial" w:hAnsi="Arial"/>
          <w:sz w:val="16"/>
          <w:szCs w:val="16"/>
          <w:i w:val="1"/>
          <w:iCs w:val="1"/>
          <w:color w:val="auto"/>
        </w:rPr>
        <w:t>,</w:t>
      </w:r>
      <w:r>
        <w:rPr>
          <w:rFonts w:ascii="Arial" w:cs="Arial" w:eastAsia="Arial" w:hAnsi="Arial"/>
          <w:sz w:val="16"/>
          <w:szCs w:val="16"/>
          <w:color w:val="auto"/>
        </w:rPr>
        <w:t xml:space="preserve"> of which $9.3 million was payable within one year.</w:t>
      </w:r>
    </w:p>
    <w:p>
      <w:pPr>
        <w:spacing w:after="0" w:line="172" w:lineRule="exact"/>
        <w:rPr>
          <w:sz w:val="20"/>
          <w:szCs w:val="20"/>
          <w:color w:val="auto"/>
        </w:rPr>
      </w:pPr>
    </w:p>
    <w:p>
      <w:pPr>
        <w:ind w:right="60" w:firstLine="356"/>
        <w:spacing w:after="0" w:line="329" w:lineRule="auto"/>
        <w:rPr>
          <w:sz w:val="20"/>
          <w:szCs w:val="20"/>
          <w:color w:val="auto"/>
        </w:rPr>
      </w:pPr>
      <w:r>
        <w:rPr>
          <w:rFonts w:ascii="Arial" w:cs="Arial" w:eastAsia="Arial" w:hAnsi="Arial"/>
          <w:sz w:val="15"/>
          <w:szCs w:val="15"/>
          <w:color w:val="auto"/>
        </w:rPr>
        <w:t>As of September 30, 2019, there was undrawn available capacity of $100.0 million under the revolving credit facility of the credit agreement of up to $1.1 billion entered into on July 19, 2016 (the “Legacy Facility Refinancing”). In addition, there was unused availability of $2.0 million under the 2019 Partnership Facility.</w:t>
      </w:r>
    </w:p>
    <w:p>
      <w:pPr>
        <w:spacing w:after="0" w:line="148" w:lineRule="exact"/>
        <w:rPr>
          <w:sz w:val="20"/>
          <w:szCs w:val="20"/>
          <w:color w:val="auto"/>
        </w:rPr>
      </w:pPr>
    </w:p>
    <w:p>
      <w:pPr>
        <w:ind w:right="480" w:firstLine="356"/>
        <w:spacing w:after="0" w:line="293" w:lineRule="auto"/>
        <w:rPr>
          <w:sz w:val="20"/>
          <w:szCs w:val="20"/>
          <w:color w:val="auto"/>
        </w:rPr>
      </w:pPr>
      <w:r>
        <w:rPr>
          <w:rFonts w:ascii="Arial" w:cs="Arial" w:eastAsia="Arial" w:hAnsi="Arial"/>
          <w:sz w:val="16"/>
          <w:szCs w:val="16"/>
          <w:color w:val="auto"/>
        </w:rPr>
        <w:t>As of September 30, 2019, the total remaining balance of the contract prices of the seven LNG carriers on order was $1,131.6 million, which GasLog expects to be funded with cash balances, cash from operations and borrowings under new debt agreements.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GasLog has hedged 44.4% of its expected floating interest rate exposure on its outstanding debt (excluding the lease liability) as of September 30, 2019.</w:t>
      </w:r>
    </w:p>
    <w:p>
      <w:pPr>
        <w:spacing w:after="0" w:line="235" w:lineRule="exact"/>
        <w:rPr>
          <w:sz w:val="20"/>
          <w:szCs w:val="20"/>
          <w:color w:val="auto"/>
        </w:rPr>
      </w:pPr>
    </w:p>
    <w:p>
      <w:pPr>
        <w:ind w:right="140" w:firstLine="356"/>
        <w:spacing w:after="0" w:line="293" w:lineRule="auto"/>
        <w:rPr>
          <w:sz w:val="20"/>
          <w:szCs w:val="20"/>
          <w:color w:val="auto"/>
        </w:rPr>
      </w:pPr>
      <w:r>
        <w:rPr>
          <w:rFonts w:ascii="Arial" w:cs="Arial" w:eastAsia="Arial" w:hAnsi="Arial"/>
          <w:sz w:val="16"/>
          <w:szCs w:val="16"/>
          <w:color w:val="auto"/>
        </w:rPr>
        <w:t>Our credit facilities are described in Note 13 of our annual audited consolidated financial statements included in our Annual Report on Form 20-F filed with the SEC on March 5, 2019 and Note 7 of our unaudited condensed consolidated financial statements included elsewhere in this report.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color w:val="auto"/>
        </w:rPr>
        <w:t>Working Capital Position</w:t>
      </w:r>
    </w:p>
    <w:p>
      <w:pPr>
        <w:spacing w:after="0" w:line="239" w:lineRule="exact"/>
        <w:rPr>
          <w:sz w:val="20"/>
          <w:szCs w:val="20"/>
          <w:color w:val="auto"/>
        </w:rPr>
      </w:pPr>
    </w:p>
    <w:p>
      <w:pPr>
        <w:ind w:right="80" w:firstLine="383"/>
        <w:spacing w:after="0" w:line="293" w:lineRule="auto"/>
        <w:rPr>
          <w:sz w:val="20"/>
          <w:szCs w:val="20"/>
          <w:color w:val="auto"/>
        </w:rPr>
      </w:pPr>
      <w:r>
        <w:rPr>
          <w:rFonts w:ascii="Arial" w:cs="Arial" w:eastAsia="Arial" w:hAnsi="Arial"/>
          <w:sz w:val="16"/>
          <w:szCs w:val="16"/>
          <w:color w:val="auto"/>
        </w:rPr>
        <w:t>As of September 30, 2019, GasLog’s current assets totaled $247.1 million, while current liabilities totaled $309.2 million, resulting in a negative working capital position of $62.1 million.</w:t>
      </w:r>
    </w:p>
    <w:p>
      <w:pPr>
        <w:spacing w:after="0" w:line="172" w:lineRule="exact"/>
        <w:rPr>
          <w:sz w:val="20"/>
          <w:szCs w:val="20"/>
          <w:color w:val="auto"/>
        </w:rPr>
      </w:pPr>
    </w:p>
    <w:p>
      <w:pPr>
        <w:ind w:right="560" w:firstLine="383"/>
        <w:spacing w:after="0" w:line="369" w:lineRule="auto"/>
        <w:rPr>
          <w:sz w:val="20"/>
          <w:szCs w:val="20"/>
          <w:color w:val="auto"/>
        </w:rPr>
      </w:pPr>
      <w:r>
        <w:rPr>
          <w:rFonts w:ascii="Arial" w:cs="Arial" w:eastAsia="Arial" w:hAnsi="Arial"/>
          <w:sz w:val="14"/>
          <w:szCs w:val="14"/>
          <w:color w:val="auto"/>
        </w:rPr>
        <w:t>Taking into account generally expected market conditions, we anticipate that available cash and cash flow generated from operations will be sufficient to fund our operations, including our working capital requirements, and to make all other required principal and interest payments on our indebtedness during the next 12 months.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Nine-month period ended September 30, 2018, compared to the nine-month period ended September 30, 2019</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summarizes our net cash flows from operating, investing and financing activities for the periods indicated:</w:t>
      </w:r>
    </w:p>
    <w:p>
      <w:pPr>
        <w:spacing w:after="0" w:line="325" w:lineRule="exact"/>
        <w:rPr>
          <w:sz w:val="20"/>
          <w:szCs w:val="20"/>
          <w:color w:val="auto"/>
        </w:rPr>
      </w:pPr>
    </w:p>
    <w:tbl>
      <w:tblPr>
        <w:tblLayout w:type="fixed"/>
        <w:tblInd w:w="1460" w:type="dxa"/>
        <w:tblCellMar>
          <w:top w:w="0" w:type="dxa"/>
          <w:left w:w="0" w:type="dxa"/>
          <w:bottom w:w="0" w:type="dxa"/>
          <w:right w:w="0" w:type="dxa"/>
        </w:tblCellMar>
      </w:tblPr>
      <w:tr>
        <w:trPr>
          <w:trHeight w:val="203"/>
        </w:trPr>
        <w:tc>
          <w:tcPr>
            <w:tcW w:w="4860" w:type="dxa"/>
            <w:vAlign w:val="bottom"/>
          </w:tcPr>
          <w:p>
            <w:pPr>
              <w:spacing w:after="0"/>
              <w:rPr>
                <w:sz w:val="17"/>
                <w:szCs w:val="17"/>
                <w:color w:val="auto"/>
              </w:rPr>
            </w:pPr>
          </w:p>
        </w:tc>
        <w:tc>
          <w:tcPr>
            <w:tcW w:w="3120" w:type="dxa"/>
            <w:vAlign w:val="bottom"/>
            <w:gridSpan w:val="4"/>
          </w:tcPr>
          <w:p>
            <w:pPr>
              <w:jc w:val="right"/>
              <w:ind w:right="680"/>
              <w:spacing w:after="0"/>
              <w:rPr>
                <w:sz w:val="20"/>
                <w:szCs w:val="20"/>
                <w:color w:val="auto"/>
              </w:rPr>
            </w:pPr>
            <w:r>
              <w:rPr>
                <w:rFonts w:ascii="Arial" w:cs="Arial" w:eastAsia="Arial" w:hAnsi="Arial"/>
                <w:sz w:val="16"/>
                <w:szCs w:val="16"/>
                <w:b w:val="1"/>
                <w:bCs w:val="1"/>
                <w:color w:val="auto"/>
              </w:rPr>
              <w:t>For the nine months ended</w:t>
            </w:r>
          </w:p>
        </w:tc>
        <w:tc>
          <w:tcPr>
            <w:tcW w:w="0" w:type="dxa"/>
            <w:vAlign w:val="bottom"/>
          </w:tcPr>
          <w:p>
            <w:pPr>
              <w:spacing w:after="0"/>
              <w:rPr>
                <w:sz w:val="1"/>
                <w:szCs w:val="1"/>
                <w:color w:val="auto"/>
              </w:rPr>
            </w:pPr>
          </w:p>
        </w:tc>
      </w:tr>
      <w:tr>
        <w:trPr>
          <w:trHeight w:val="203"/>
        </w:trPr>
        <w:tc>
          <w:tcPr>
            <w:tcW w:w="4860" w:type="dxa"/>
            <w:vAlign w:val="bottom"/>
          </w:tcPr>
          <w:p>
            <w:pPr>
              <w:spacing w:after="0"/>
              <w:rPr>
                <w:sz w:val="17"/>
                <w:szCs w:val="17"/>
                <w:color w:val="auto"/>
              </w:rPr>
            </w:pPr>
          </w:p>
        </w:tc>
        <w:tc>
          <w:tcPr>
            <w:tcW w:w="166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September 30,</w:t>
            </w:r>
          </w:p>
        </w:tc>
        <w:tc>
          <w:tcPr>
            <w:tcW w:w="14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3"/>
        </w:trPr>
        <w:tc>
          <w:tcPr>
            <w:tcW w:w="486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Amounts in thousands of U.S. Dollars</w:t>
            </w:r>
          </w:p>
        </w:tc>
        <w:tc>
          <w:tcPr>
            <w:tcW w:w="13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280" w:type="dxa"/>
            <w:vAlign w:val="bottom"/>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860" w:type="dxa"/>
            <w:vAlign w:val="bottom"/>
            <w:vMerge w:val="continue"/>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860" w:type="dxa"/>
            <w:vAlign w:val="bottom"/>
            <w:shd w:val="clear" w:color="auto" w:fill="E5FFFF"/>
          </w:tcPr>
          <w:p>
            <w:pPr>
              <w:spacing w:after="0"/>
              <w:rPr>
                <w:sz w:val="20"/>
                <w:szCs w:val="20"/>
                <w:color w:val="auto"/>
              </w:rPr>
            </w:pPr>
            <w:r>
              <w:rPr>
                <w:rFonts w:ascii="Arial" w:cs="Arial" w:eastAsia="Arial" w:hAnsi="Arial"/>
                <w:sz w:val="16"/>
                <w:szCs w:val="16"/>
                <w:color w:val="auto"/>
              </w:rPr>
              <w:t>Net cash provided by operating activities</w:t>
            </w:r>
          </w:p>
        </w:tc>
        <w:tc>
          <w:tcPr>
            <w:tcW w:w="166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172,617</w:t>
            </w:r>
          </w:p>
        </w:tc>
        <w:tc>
          <w:tcPr>
            <w:tcW w:w="146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147,819</w:t>
            </w:r>
          </w:p>
        </w:tc>
        <w:tc>
          <w:tcPr>
            <w:tcW w:w="0" w:type="dxa"/>
            <w:vAlign w:val="bottom"/>
          </w:tcPr>
          <w:p>
            <w:pPr>
              <w:spacing w:after="0"/>
              <w:rPr>
                <w:sz w:val="1"/>
                <w:szCs w:val="1"/>
                <w:color w:val="auto"/>
              </w:rPr>
            </w:pPr>
          </w:p>
        </w:tc>
      </w:tr>
      <w:tr>
        <w:trPr>
          <w:trHeight w:val="203"/>
        </w:trPr>
        <w:tc>
          <w:tcPr>
            <w:tcW w:w="486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1660" w:type="dxa"/>
            <w:vAlign w:val="bottom"/>
            <w:gridSpan w:val="2"/>
          </w:tcPr>
          <w:p>
            <w:pPr>
              <w:jc w:val="right"/>
              <w:ind w:right="240"/>
              <w:spacing w:after="0"/>
              <w:rPr>
                <w:sz w:val="20"/>
                <w:szCs w:val="20"/>
                <w:color w:val="auto"/>
              </w:rPr>
            </w:pPr>
            <w:r>
              <w:rPr>
                <w:rFonts w:ascii="Arial" w:cs="Arial" w:eastAsia="Arial" w:hAnsi="Arial"/>
                <w:sz w:val="16"/>
                <w:szCs w:val="16"/>
                <w:color w:val="auto"/>
              </w:rPr>
              <w:t>(624,631)</w:t>
            </w:r>
          </w:p>
        </w:tc>
        <w:tc>
          <w:tcPr>
            <w:tcW w:w="1460" w:type="dxa"/>
            <w:vAlign w:val="bottom"/>
            <w:gridSpan w:val="2"/>
          </w:tcPr>
          <w:p>
            <w:pPr>
              <w:jc w:val="right"/>
              <w:ind w:right="40"/>
              <w:spacing w:after="0"/>
              <w:rPr>
                <w:sz w:val="20"/>
                <w:szCs w:val="20"/>
                <w:color w:val="auto"/>
              </w:rPr>
            </w:pPr>
            <w:r>
              <w:rPr>
                <w:rFonts w:ascii="Arial" w:cs="Arial" w:eastAsia="Arial" w:hAnsi="Arial"/>
                <w:sz w:val="16"/>
                <w:szCs w:val="16"/>
                <w:color w:val="auto"/>
              </w:rPr>
              <w:t>(430,263)</w:t>
            </w:r>
          </w:p>
        </w:tc>
        <w:tc>
          <w:tcPr>
            <w:tcW w:w="0" w:type="dxa"/>
            <w:vAlign w:val="bottom"/>
          </w:tcPr>
          <w:p>
            <w:pPr>
              <w:spacing w:after="0"/>
              <w:rPr>
                <w:sz w:val="1"/>
                <w:szCs w:val="1"/>
                <w:color w:val="auto"/>
              </w:rPr>
            </w:pPr>
          </w:p>
        </w:tc>
      </w:tr>
      <w:tr>
        <w:trPr>
          <w:trHeight w:val="203"/>
        </w:trPr>
        <w:tc>
          <w:tcPr>
            <w:tcW w:w="4860" w:type="dxa"/>
            <w:vAlign w:val="bottom"/>
            <w:shd w:val="clear" w:color="auto" w:fill="E5FFFF"/>
          </w:tcPr>
          <w:p>
            <w:pPr>
              <w:spacing w:after="0"/>
              <w:rPr>
                <w:sz w:val="20"/>
                <w:szCs w:val="20"/>
                <w:color w:val="auto"/>
              </w:rPr>
            </w:pPr>
            <w:r>
              <w:rPr>
                <w:rFonts w:ascii="Arial" w:cs="Arial" w:eastAsia="Arial" w:hAnsi="Arial"/>
                <w:sz w:val="16"/>
                <w:szCs w:val="16"/>
                <w:color w:val="auto"/>
              </w:rPr>
              <w:t>Net cash provided by financing activities</w:t>
            </w:r>
          </w:p>
        </w:tc>
        <w:tc>
          <w:tcPr>
            <w:tcW w:w="166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361,913</w:t>
            </w:r>
          </w:p>
        </w:tc>
        <w:tc>
          <w:tcPr>
            <w:tcW w:w="146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123,805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Net Cash Provided by Operating Activities</w:t>
      </w:r>
    </w:p>
    <w:p>
      <w:pPr>
        <w:spacing w:after="0" w:line="235" w:lineRule="exact"/>
        <w:rPr>
          <w:sz w:val="20"/>
          <w:szCs w:val="20"/>
          <w:color w:val="auto"/>
        </w:rPr>
      </w:pPr>
    </w:p>
    <w:p>
      <w:pPr>
        <w:ind w:right="60" w:firstLine="198"/>
        <w:spacing w:after="0" w:line="270" w:lineRule="auto"/>
        <w:rPr>
          <w:sz w:val="20"/>
          <w:szCs w:val="20"/>
          <w:color w:val="auto"/>
        </w:rPr>
      </w:pPr>
      <w:r>
        <w:rPr>
          <w:rFonts w:ascii="Arial" w:cs="Arial" w:eastAsia="Arial" w:hAnsi="Arial"/>
          <w:sz w:val="16"/>
          <w:szCs w:val="16"/>
          <w:color w:val="auto"/>
        </w:rPr>
        <w:t>Net cash provided by operating activities decreased by $24.8 million, from $172.6 million during the nine-month period ended September 30, 2018 to $147.8 million during the nine-month period ended September 30, 2019. The decrease was attributable to an increase of $28.3 million in cash paid for interest, including the interest paid for leases, a decrease of $23.3 million caused by movements in working capital accounts, due primarily to (a) an increase in cash collateral on swaps of $33.1 million, (b) a decrease of $30.3 million in deferred revenue movements (the October monthly charter hires collected in October 2019 instead of September 2019), partially offset by (c) increased cash from related parties of $37.7 million (mainly collection of Cool Pool receivables), and a net decrease of $6.1 million from the remaining movements, partially offset by an increase in total revenues (revenues and net pool allocation) of $32.9 million.</w:t>
      </w:r>
    </w:p>
    <w:p>
      <w:pPr>
        <w:spacing w:after="0" w:line="190"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Net Cash Used in Investing Activities</w:t>
      </w:r>
    </w:p>
    <w:p>
      <w:pPr>
        <w:spacing w:after="0" w:line="235" w:lineRule="exact"/>
        <w:rPr>
          <w:sz w:val="20"/>
          <w:szCs w:val="20"/>
          <w:color w:val="auto"/>
        </w:rPr>
      </w:pPr>
    </w:p>
    <w:p>
      <w:pPr>
        <w:ind w:right="160" w:firstLine="229"/>
        <w:spacing w:after="0" w:line="273" w:lineRule="auto"/>
        <w:rPr>
          <w:sz w:val="20"/>
          <w:szCs w:val="20"/>
          <w:color w:val="auto"/>
        </w:rPr>
      </w:pPr>
      <w:r>
        <w:rPr>
          <w:rFonts w:ascii="Arial" w:cs="Arial" w:eastAsia="Arial" w:hAnsi="Arial"/>
          <w:sz w:val="16"/>
          <w:szCs w:val="16"/>
          <w:color w:val="auto"/>
        </w:rPr>
        <w:t>Net cash used in investing activities decreased by $194.3 million, from $624.6 million in the nine-month period ended September 30, 2018 to $430.3 million in the nine-month period ended September 30, 2019. The decrease is mainly attributable to a decrease of $182.0 million in net cash used in payments for the construction costs of newbuildings and other fixed assets, a net increase of $11.0 million in cash from short-term investments in the nine-month period ended September 30, 2019, compared to the same period of 2018 and an increase of $1.3 million in cash from interest income.</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Net Cash Provided by Financing Activities</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Net cash provided by financing activities decreased by $238.1 million, from $361.9 million in the nine-month period ended September 30, 2018 to $123.8 million in the</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nine-month period ended September 30, 2019. The decrease is mainly attributable to an increase of $338.6 million in bank loan repayments, a decrease of $111.5 million in</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proceeds from the GasLog Partners’ issuance of preference units, a decrease of $54.3 million in proceeds from the GasLog Partners’ common unit offerings, an increase of</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$23.7 million in cash used for purchases of treasury shares or common units of GasLog Partners, an increase of $12.2 million in dividend payments on common and preference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shares, an increase of $3.9 million in payments of loan issuance costs, an increase of $1.9 million in payments for lease liabilities and an increase of $0.7 million in payments</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for equity-related costs, partially offset by an increase of $309.0 million in proceeds from borrowings.</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Contracted Charter Revenues</w:t>
      </w:r>
    </w:p>
    <w:p>
      <w:pPr>
        <w:spacing w:after="0" w:line="239" w:lineRule="exact"/>
        <w:rPr>
          <w:sz w:val="20"/>
          <w:szCs w:val="20"/>
          <w:color w:val="auto"/>
        </w:rPr>
      </w:pPr>
    </w:p>
    <w:p>
      <w:pPr>
        <w:ind w:right="880" w:firstLine="356"/>
        <w:spacing w:after="0" w:line="293" w:lineRule="auto"/>
        <w:rPr>
          <w:sz w:val="20"/>
          <w:szCs w:val="20"/>
          <w:color w:val="auto"/>
        </w:rPr>
      </w:pPr>
      <w:r>
        <w:rPr>
          <w:rFonts w:ascii="Arial" w:cs="Arial" w:eastAsia="Arial" w:hAnsi="Arial"/>
          <w:sz w:val="16"/>
          <w:szCs w:val="16"/>
          <w:color w:val="auto"/>
        </w:rPr>
        <w:t>The following table summarizes GasLog’s (including the vessels contributed or sold to GasLog Partners) contracted charter revenues and contract cover after September 30, 2019.</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92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After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80" w:type="dxa"/>
            <w:vAlign w:val="bottom"/>
            <w:gridSpan w:val="5"/>
          </w:tcPr>
          <w:p>
            <w:pPr>
              <w:jc w:val="right"/>
              <w:spacing w:after="0"/>
              <w:rPr>
                <w:sz w:val="20"/>
                <w:szCs w:val="20"/>
                <w:color w:val="auto"/>
              </w:rPr>
            </w:pPr>
            <w:r>
              <w:rPr>
                <w:rFonts w:ascii="Arial" w:cs="Arial" w:eastAsia="Arial" w:hAnsi="Arial"/>
                <w:sz w:val="16"/>
                <w:szCs w:val="16"/>
                <w:b w:val="1"/>
                <w:bCs w:val="1"/>
                <w:color w:val="auto"/>
              </w:rPr>
              <w:t>Contracted Charter Revenues and Days from Time Charters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September</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30,</w:t>
            </w:r>
          </w:p>
        </w:tc>
        <w:tc>
          <w:tcPr>
            <w:tcW w:w="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98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6"/>
                <w:szCs w:val="16"/>
                <w:b w:val="1"/>
                <w:bCs w:val="1"/>
                <w:color w:val="auto"/>
              </w:rPr>
              <w:t>For the years ending December 31,</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00" w:type="dxa"/>
            <w:vAlign w:val="bottom"/>
          </w:tcPr>
          <w:p>
            <w:pPr>
              <w:spacing w:after="0"/>
              <w:rPr>
                <w:sz w:val="17"/>
                <w:szCs w:val="17"/>
                <w:color w:val="auto"/>
              </w:rPr>
            </w:pP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8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12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2024-2032</w:t>
            </w:r>
          </w:p>
        </w:tc>
        <w:tc>
          <w:tcPr>
            <w:tcW w:w="5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80" w:type="dxa"/>
            <w:vAlign w:val="bottom"/>
            <w:gridSpan w:val="5"/>
          </w:tcPr>
          <w:p>
            <w:pPr>
              <w:jc w:val="right"/>
              <w:ind w:right="719"/>
              <w:spacing w:after="0"/>
              <w:rPr>
                <w:sz w:val="20"/>
                <w:szCs w:val="20"/>
                <w:color w:val="auto"/>
              </w:rPr>
            </w:pPr>
            <w:r>
              <w:rPr>
                <w:rFonts w:ascii="Arial" w:cs="Arial" w:eastAsia="Arial" w:hAnsi="Arial"/>
                <w:sz w:val="16"/>
                <w:szCs w:val="16"/>
                <w:b w:val="1"/>
                <w:bCs w:val="1"/>
                <w:color w:val="auto"/>
                <w:w w:val="93"/>
              </w:rPr>
              <w:t>(in millions of U.S. dollars, except days and percentages)</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E5FFFF"/>
          </w:tcPr>
          <w:p>
            <w:pPr>
              <w:spacing w:after="0" w:line="203" w:lineRule="exact"/>
              <w:rPr>
                <w:sz w:val="20"/>
                <w:szCs w:val="20"/>
                <w:color w:val="auto"/>
              </w:rPr>
            </w:pPr>
            <w:r>
              <w:rPr>
                <w:rFonts w:ascii="Arial" w:cs="Arial" w:eastAsia="Arial" w:hAnsi="Arial"/>
                <w:sz w:val="16"/>
                <w:szCs w:val="16"/>
                <w:color w:val="auto"/>
              </w:rPr>
              <w:t>Contracted time charter revenues</w:t>
            </w:r>
            <w:r>
              <w:rPr>
                <w:rFonts w:ascii="Arial" w:cs="Arial" w:eastAsia="Arial" w:hAnsi="Arial"/>
                <w:sz w:val="21"/>
                <w:szCs w:val="21"/>
                <w:color w:val="auto"/>
                <w:vertAlign w:val="superscript"/>
              </w:rPr>
              <w:t>(1)</w:t>
            </w:r>
          </w:p>
        </w:tc>
        <w:tc>
          <w:tcPr>
            <w:tcW w:w="9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163.9</w:t>
            </w:r>
          </w:p>
        </w:tc>
        <w:tc>
          <w:tcPr>
            <w:tcW w:w="1140" w:type="dxa"/>
            <w:vAlign w:val="bottom"/>
            <w:gridSpan w:val="3"/>
            <w:shd w:val="clear" w:color="auto" w:fill="E5FFFF"/>
          </w:tcPr>
          <w:p>
            <w:pPr>
              <w:jc w:val="right"/>
              <w:ind w:right="139"/>
              <w:spacing w:after="0"/>
              <w:rPr>
                <w:sz w:val="20"/>
                <w:szCs w:val="20"/>
                <w:color w:val="auto"/>
              </w:rPr>
            </w:pPr>
            <w:r>
              <w:rPr>
                <w:rFonts w:ascii="Arial" w:cs="Arial" w:eastAsia="Arial" w:hAnsi="Arial"/>
                <w:sz w:val="16"/>
                <w:szCs w:val="16"/>
                <w:color w:val="auto"/>
              </w:rPr>
              <w:t>557.7</w:t>
            </w:r>
          </w:p>
        </w:tc>
        <w:tc>
          <w:tcPr>
            <w:tcW w:w="900" w:type="dxa"/>
            <w:vAlign w:val="bottom"/>
            <w:shd w:val="clear" w:color="auto" w:fill="E5FFFF"/>
          </w:tcPr>
          <w:p>
            <w:pPr>
              <w:jc w:val="right"/>
              <w:ind w:right="119"/>
              <w:spacing w:after="0"/>
              <w:rPr>
                <w:sz w:val="20"/>
                <w:szCs w:val="20"/>
                <w:color w:val="auto"/>
              </w:rPr>
            </w:pPr>
            <w:r>
              <w:rPr>
                <w:rFonts w:ascii="Arial" w:cs="Arial" w:eastAsia="Arial" w:hAnsi="Arial"/>
                <w:sz w:val="16"/>
                <w:szCs w:val="16"/>
                <w:color w:val="auto"/>
              </w:rPr>
              <w:t>551.1</w:t>
            </w:r>
          </w:p>
        </w:tc>
        <w:tc>
          <w:tcPr>
            <w:tcW w:w="920" w:type="dxa"/>
            <w:vAlign w:val="bottom"/>
            <w:shd w:val="clear" w:color="auto" w:fill="E5FFFF"/>
          </w:tcPr>
          <w:p>
            <w:pPr>
              <w:jc w:val="right"/>
              <w:ind w:right="119"/>
              <w:spacing w:after="0"/>
              <w:rPr>
                <w:sz w:val="20"/>
                <w:szCs w:val="20"/>
                <w:color w:val="auto"/>
              </w:rPr>
            </w:pPr>
            <w:r>
              <w:rPr>
                <w:rFonts w:ascii="Arial" w:cs="Arial" w:eastAsia="Arial" w:hAnsi="Arial"/>
                <w:sz w:val="16"/>
                <w:szCs w:val="16"/>
                <w:color w:val="auto"/>
              </w:rPr>
              <w:t>541.0</w:t>
            </w:r>
          </w:p>
        </w:tc>
        <w:tc>
          <w:tcPr>
            <w:tcW w:w="880" w:type="dxa"/>
            <w:vAlign w:val="bottom"/>
            <w:shd w:val="clear" w:color="auto" w:fill="E5FFFF"/>
          </w:tcPr>
          <w:p>
            <w:pPr>
              <w:jc w:val="right"/>
              <w:ind w:right="79"/>
              <w:spacing w:after="0"/>
              <w:rPr>
                <w:sz w:val="20"/>
                <w:szCs w:val="20"/>
                <w:color w:val="auto"/>
              </w:rPr>
            </w:pPr>
            <w:r>
              <w:rPr>
                <w:rFonts w:ascii="Arial" w:cs="Arial" w:eastAsia="Arial" w:hAnsi="Arial"/>
                <w:sz w:val="16"/>
                <w:szCs w:val="16"/>
                <w:color w:val="auto"/>
              </w:rPr>
              <w:t>511.3</w:t>
            </w:r>
          </w:p>
        </w:tc>
        <w:tc>
          <w:tcPr>
            <w:tcW w:w="1280" w:type="dxa"/>
            <w:vAlign w:val="bottom"/>
            <w:shd w:val="clear" w:color="auto" w:fill="E5FFFF"/>
          </w:tcPr>
          <w:p>
            <w:pPr>
              <w:jc w:val="right"/>
              <w:ind w:right="239"/>
              <w:spacing w:after="0"/>
              <w:rPr>
                <w:sz w:val="20"/>
                <w:szCs w:val="20"/>
                <w:color w:val="auto"/>
              </w:rPr>
            </w:pPr>
            <w:r>
              <w:rPr>
                <w:rFonts w:ascii="Arial" w:cs="Arial" w:eastAsia="Arial" w:hAnsi="Arial"/>
                <w:sz w:val="16"/>
                <w:szCs w:val="16"/>
                <w:color w:val="auto"/>
              </w:rPr>
              <w:t>1,773.7</w:t>
            </w:r>
          </w:p>
        </w:tc>
        <w:tc>
          <w:tcPr>
            <w:tcW w:w="6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4,098.7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spacing w:after="0" w:line="203" w:lineRule="exact"/>
              <w:rPr>
                <w:sz w:val="20"/>
                <w:szCs w:val="20"/>
                <w:color w:val="auto"/>
              </w:rPr>
            </w:pPr>
            <w:r>
              <w:rPr>
                <w:rFonts w:ascii="Arial" w:cs="Arial" w:eastAsia="Arial" w:hAnsi="Arial"/>
                <w:sz w:val="16"/>
                <w:szCs w:val="16"/>
                <w:color w:val="auto"/>
              </w:rPr>
              <w:t>Total contracted days</w:t>
            </w:r>
            <w:r>
              <w:rPr>
                <w:rFonts w:ascii="Arial" w:cs="Arial" w:eastAsia="Arial" w:hAnsi="Arial"/>
                <w:sz w:val="21"/>
                <w:szCs w:val="21"/>
                <w:color w:val="auto"/>
                <w:vertAlign w:val="superscript"/>
              </w:rPr>
              <w:t>(1)</w:t>
            </w:r>
          </w:p>
        </w:tc>
        <w:tc>
          <w:tcPr>
            <w:tcW w:w="920" w:type="dxa"/>
            <w:vAlign w:val="bottom"/>
          </w:tcPr>
          <w:p>
            <w:pPr>
              <w:jc w:val="right"/>
              <w:spacing w:after="0"/>
              <w:rPr>
                <w:sz w:val="20"/>
                <w:szCs w:val="20"/>
                <w:color w:val="auto"/>
              </w:rPr>
            </w:pPr>
            <w:r>
              <w:rPr>
                <w:rFonts w:ascii="Arial" w:cs="Arial" w:eastAsia="Arial" w:hAnsi="Arial"/>
                <w:sz w:val="16"/>
                <w:szCs w:val="16"/>
                <w:color w:val="auto"/>
              </w:rPr>
              <w:t>2,370</w:t>
            </w:r>
          </w:p>
        </w:tc>
        <w:tc>
          <w:tcPr>
            <w:tcW w:w="1140" w:type="dxa"/>
            <w:vAlign w:val="bottom"/>
            <w:gridSpan w:val="3"/>
          </w:tcPr>
          <w:p>
            <w:pPr>
              <w:jc w:val="right"/>
              <w:ind w:right="139"/>
              <w:spacing w:after="0"/>
              <w:rPr>
                <w:sz w:val="20"/>
                <w:szCs w:val="20"/>
                <w:color w:val="auto"/>
              </w:rPr>
            </w:pPr>
            <w:r>
              <w:rPr>
                <w:rFonts w:ascii="Arial" w:cs="Arial" w:eastAsia="Arial" w:hAnsi="Arial"/>
                <w:sz w:val="16"/>
                <w:szCs w:val="16"/>
                <w:color w:val="auto"/>
              </w:rPr>
              <w:t>7,776</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7,491</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7,269</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6,692</w:t>
            </w: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23,732</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55,330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E5FFFF"/>
          </w:tcPr>
          <w:p>
            <w:pPr>
              <w:spacing w:after="0" w:line="203" w:lineRule="exact"/>
              <w:rPr>
                <w:sz w:val="20"/>
                <w:szCs w:val="20"/>
                <w:color w:val="auto"/>
              </w:rPr>
            </w:pPr>
            <w:r>
              <w:rPr>
                <w:rFonts w:ascii="Arial" w:cs="Arial" w:eastAsia="Arial" w:hAnsi="Arial"/>
                <w:sz w:val="16"/>
                <w:szCs w:val="16"/>
                <w:color w:val="auto"/>
              </w:rPr>
              <w:t>Total available days</w:t>
            </w:r>
            <w:r>
              <w:rPr>
                <w:rFonts w:ascii="Arial" w:cs="Arial" w:eastAsia="Arial" w:hAnsi="Arial"/>
                <w:sz w:val="21"/>
                <w:szCs w:val="21"/>
                <w:color w:val="auto"/>
                <w:vertAlign w:val="superscript"/>
              </w:rPr>
              <w:t>(2)</w:t>
            </w:r>
          </w:p>
        </w:tc>
        <w:tc>
          <w:tcPr>
            <w:tcW w:w="9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2,516</w:t>
            </w:r>
          </w:p>
        </w:tc>
        <w:tc>
          <w:tcPr>
            <w:tcW w:w="1140" w:type="dxa"/>
            <w:vAlign w:val="bottom"/>
            <w:gridSpan w:val="3"/>
            <w:shd w:val="clear" w:color="auto" w:fill="E5FFFF"/>
          </w:tcPr>
          <w:p>
            <w:pPr>
              <w:jc w:val="right"/>
              <w:ind w:right="139"/>
              <w:spacing w:after="0"/>
              <w:rPr>
                <w:sz w:val="20"/>
                <w:szCs w:val="20"/>
                <w:color w:val="auto"/>
              </w:rPr>
            </w:pPr>
            <w:r>
              <w:rPr>
                <w:rFonts w:ascii="Arial" w:cs="Arial" w:eastAsia="Arial" w:hAnsi="Arial"/>
                <w:sz w:val="16"/>
                <w:szCs w:val="16"/>
                <w:color w:val="auto"/>
              </w:rPr>
              <w:t>10,702</w:t>
            </w:r>
          </w:p>
        </w:tc>
        <w:tc>
          <w:tcPr>
            <w:tcW w:w="900" w:type="dxa"/>
            <w:vAlign w:val="bottom"/>
            <w:shd w:val="clear" w:color="auto" w:fill="E5FFFF"/>
          </w:tcPr>
          <w:p>
            <w:pPr>
              <w:jc w:val="right"/>
              <w:ind w:right="119"/>
              <w:spacing w:after="0"/>
              <w:rPr>
                <w:sz w:val="20"/>
                <w:szCs w:val="20"/>
                <w:color w:val="auto"/>
              </w:rPr>
            </w:pPr>
            <w:r>
              <w:rPr>
                <w:rFonts w:ascii="Arial" w:cs="Arial" w:eastAsia="Arial" w:hAnsi="Arial"/>
                <w:sz w:val="16"/>
                <w:szCs w:val="16"/>
                <w:color w:val="auto"/>
              </w:rPr>
              <w:t>12,234</w:t>
            </w:r>
          </w:p>
        </w:tc>
        <w:tc>
          <w:tcPr>
            <w:tcW w:w="920" w:type="dxa"/>
            <w:vAlign w:val="bottom"/>
            <w:shd w:val="clear" w:color="auto" w:fill="E5FFFF"/>
          </w:tcPr>
          <w:p>
            <w:pPr>
              <w:jc w:val="right"/>
              <w:ind w:right="119"/>
              <w:spacing w:after="0"/>
              <w:rPr>
                <w:sz w:val="20"/>
                <w:szCs w:val="20"/>
                <w:color w:val="auto"/>
              </w:rPr>
            </w:pPr>
            <w:r>
              <w:rPr>
                <w:rFonts w:ascii="Arial" w:cs="Arial" w:eastAsia="Arial" w:hAnsi="Arial"/>
                <w:sz w:val="16"/>
                <w:szCs w:val="16"/>
                <w:color w:val="auto"/>
              </w:rPr>
              <w:t>12,775</w:t>
            </w:r>
          </w:p>
        </w:tc>
        <w:tc>
          <w:tcPr>
            <w:tcW w:w="880" w:type="dxa"/>
            <w:vAlign w:val="bottom"/>
            <w:shd w:val="clear" w:color="auto" w:fill="E5FFFF"/>
          </w:tcPr>
          <w:p>
            <w:pPr>
              <w:jc w:val="right"/>
              <w:ind w:right="79"/>
              <w:spacing w:after="0"/>
              <w:rPr>
                <w:sz w:val="20"/>
                <w:szCs w:val="20"/>
                <w:color w:val="auto"/>
              </w:rPr>
            </w:pPr>
            <w:r>
              <w:rPr>
                <w:rFonts w:ascii="Arial" w:cs="Arial" w:eastAsia="Arial" w:hAnsi="Arial"/>
                <w:sz w:val="16"/>
                <w:szCs w:val="16"/>
                <w:color w:val="auto"/>
              </w:rPr>
              <w:t>12,535</w:t>
            </w:r>
          </w:p>
        </w:tc>
        <w:tc>
          <w:tcPr>
            <w:tcW w:w="1280" w:type="dxa"/>
            <w:vAlign w:val="bottom"/>
            <w:shd w:val="clear" w:color="auto" w:fill="E5FFFF"/>
          </w:tcPr>
          <w:p>
            <w:pPr>
              <w:jc w:val="right"/>
              <w:ind w:right="239"/>
              <w:spacing w:after="0"/>
              <w:rPr>
                <w:sz w:val="20"/>
                <w:szCs w:val="20"/>
                <w:color w:val="auto"/>
              </w:rPr>
            </w:pPr>
            <w:r>
              <w:rPr>
                <w:rFonts w:ascii="Arial" w:cs="Arial" w:eastAsia="Arial" w:hAnsi="Arial"/>
                <w:sz w:val="16"/>
                <w:szCs w:val="16"/>
                <w:color w:val="auto"/>
              </w:rPr>
              <w:t>113,220</w:t>
            </w:r>
          </w:p>
        </w:tc>
        <w:tc>
          <w:tcPr>
            <w:tcW w:w="6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w w:val="96"/>
              </w:rPr>
              <w:t>163,982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4700" w:type="dxa"/>
            <w:vAlign w:val="bottom"/>
          </w:tcPr>
          <w:p>
            <w:pPr>
              <w:spacing w:after="0"/>
              <w:rPr>
                <w:sz w:val="20"/>
                <w:szCs w:val="20"/>
                <w:color w:val="auto"/>
              </w:rPr>
            </w:pPr>
            <w:r>
              <w:rPr>
                <w:rFonts w:ascii="Arial" w:cs="Arial" w:eastAsia="Arial" w:hAnsi="Arial"/>
                <w:sz w:val="16"/>
                <w:szCs w:val="16"/>
                <w:color w:val="auto"/>
              </w:rPr>
              <w:t>Total unfixed days</w:t>
            </w:r>
            <w:r>
              <w:rPr>
                <w:rFonts w:ascii="Arial" w:cs="Arial" w:eastAsia="Arial" w:hAnsi="Arial"/>
                <w:sz w:val="21"/>
                <w:szCs w:val="21"/>
                <w:color w:val="auto"/>
                <w:vertAlign w:val="superscript"/>
              </w:rPr>
              <w:t>(3)</w:t>
            </w:r>
          </w:p>
        </w:tc>
        <w:tc>
          <w:tcPr>
            <w:tcW w:w="920" w:type="dxa"/>
            <w:vAlign w:val="bottom"/>
          </w:tcPr>
          <w:p>
            <w:pPr>
              <w:jc w:val="right"/>
              <w:spacing w:after="0"/>
              <w:rPr>
                <w:sz w:val="20"/>
                <w:szCs w:val="20"/>
                <w:color w:val="auto"/>
              </w:rPr>
            </w:pPr>
            <w:r>
              <w:rPr>
                <w:rFonts w:ascii="Arial" w:cs="Arial" w:eastAsia="Arial" w:hAnsi="Arial"/>
                <w:sz w:val="16"/>
                <w:szCs w:val="16"/>
                <w:color w:val="auto"/>
              </w:rPr>
              <w:t>146</w:t>
            </w:r>
          </w:p>
        </w:tc>
        <w:tc>
          <w:tcPr>
            <w:tcW w:w="1140" w:type="dxa"/>
            <w:vAlign w:val="bottom"/>
            <w:gridSpan w:val="3"/>
          </w:tcPr>
          <w:p>
            <w:pPr>
              <w:jc w:val="right"/>
              <w:ind w:right="139"/>
              <w:spacing w:after="0"/>
              <w:rPr>
                <w:sz w:val="20"/>
                <w:szCs w:val="20"/>
                <w:color w:val="auto"/>
              </w:rPr>
            </w:pPr>
            <w:r>
              <w:rPr>
                <w:rFonts w:ascii="Arial" w:cs="Arial" w:eastAsia="Arial" w:hAnsi="Arial"/>
                <w:sz w:val="16"/>
                <w:szCs w:val="16"/>
                <w:color w:val="auto"/>
              </w:rPr>
              <w:t>2,926</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4,743</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5,506</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5,843</w:t>
            </w: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89,488</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w w:val="96"/>
              </w:rPr>
              <w:t>108,652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4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w w:val="89"/>
              </w:rPr>
              <w:t>24</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7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2" w:right="19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3"/>
        </w:trPr>
        <w:tc>
          <w:tcPr>
            <w:tcW w:w="43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Percentage of total contracted days/total available days</w:t>
            </w:r>
          </w:p>
        </w:tc>
        <w:tc>
          <w:tcPr>
            <w:tcW w:w="1480" w:type="dxa"/>
            <w:vAlign w:val="bottom"/>
            <w:shd w:val="clear" w:color="auto" w:fill="E5FFFF"/>
          </w:tcPr>
          <w:p>
            <w:pPr>
              <w:jc w:val="right"/>
              <w:ind w:right="159"/>
              <w:spacing w:after="0"/>
              <w:rPr>
                <w:sz w:val="20"/>
                <w:szCs w:val="20"/>
                <w:color w:val="auto"/>
              </w:rPr>
            </w:pPr>
            <w:r>
              <w:rPr>
                <w:rFonts w:ascii="Arial" w:cs="Arial" w:eastAsia="Arial" w:hAnsi="Arial"/>
                <w:sz w:val="16"/>
                <w:szCs w:val="16"/>
                <w:color w:val="auto"/>
              </w:rPr>
              <w:t>94.2%</w:t>
            </w:r>
          </w:p>
        </w:tc>
        <w:tc>
          <w:tcPr>
            <w:tcW w:w="920" w:type="dxa"/>
            <w:vAlign w:val="bottom"/>
            <w:shd w:val="clear" w:color="auto" w:fill="E5FFFF"/>
          </w:tcPr>
          <w:p>
            <w:pPr>
              <w:jc w:val="right"/>
              <w:ind w:right="159"/>
              <w:spacing w:after="0"/>
              <w:rPr>
                <w:sz w:val="20"/>
                <w:szCs w:val="20"/>
                <w:color w:val="auto"/>
              </w:rPr>
            </w:pPr>
            <w:r>
              <w:rPr>
                <w:rFonts w:ascii="Arial" w:cs="Arial" w:eastAsia="Arial" w:hAnsi="Arial"/>
                <w:sz w:val="16"/>
                <w:szCs w:val="16"/>
                <w:color w:val="auto"/>
              </w:rPr>
              <w:t>72.7%</w:t>
            </w:r>
          </w:p>
        </w:tc>
        <w:tc>
          <w:tcPr>
            <w:tcW w:w="920" w:type="dxa"/>
            <w:vAlign w:val="bottom"/>
            <w:shd w:val="clear" w:color="auto" w:fill="E5FFFF"/>
          </w:tcPr>
          <w:p>
            <w:pPr>
              <w:jc w:val="right"/>
              <w:ind w:right="179"/>
              <w:spacing w:after="0"/>
              <w:rPr>
                <w:sz w:val="20"/>
                <w:szCs w:val="20"/>
                <w:color w:val="auto"/>
              </w:rPr>
            </w:pPr>
            <w:r>
              <w:rPr>
                <w:rFonts w:ascii="Arial" w:cs="Arial" w:eastAsia="Arial" w:hAnsi="Arial"/>
                <w:sz w:val="16"/>
                <w:szCs w:val="16"/>
                <w:color w:val="auto"/>
              </w:rPr>
              <w:t>61.2%</w:t>
            </w:r>
          </w:p>
        </w:tc>
        <w:tc>
          <w:tcPr>
            <w:tcW w:w="920" w:type="dxa"/>
            <w:vAlign w:val="bottom"/>
            <w:shd w:val="clear" w:color="auto" w:fill="E5FFFF"/>
          </w:tcPr>
          <w:p>
            <w:pPr>
              <w:jc w:val="right"/>
              <w:ind w:right="179"/>
              <w:spacing w:after="0"/>
              <w:rPr>
                <w:sz w:val="20"/>
                <w:szCs w:val="20"/>
                <w:color w:val="auto"/>
              </w:rPr>
            </w:pPr>
            <w:r>
              <w:rPr>
                <w:rFonts w:ascii="Arial" w:cs="Arial" w:eastAsia="Arial" w:hAnsi="Arial"/>
                <w:sz w:val="16"/>
                <w:szCs w:val="16"/>
                <w:color w:val="auto"/>
              </w:rPr>
              <w:t>56.9%</w:t>
            </w:r>
          </w:p>
        </w:tc>
        <w:tc>
          <w:tcPr>
            <w:tcW w:w="1020" w:type="dxa"/>
            <w:vAlign w:val="bottom"/>
            <w:shd w:val="clear" w:color="auto" w:fill="E5FFFF"/>
          </w:tcPr>
          <w:p>
            <w:pPr>
              <w:jc w:val="right"/>
              <w:ind w:right="279"/>
              <w:spacing w:after="0"/>
              <w:rPr>
                <w:sz w:val="20"/>
                <w:szCs w:val="20"/>
                <w:color w:val="auto"/>
              </w:rPr>
            </w:pPr>
            <w:r>
              <w:rPr>
                <w:rFonts w:ascii="Arial" w:cs="Arial" w:eastAsia="Arial" w:hAnsi="Arial"/>
                <w:sz w:val="16"/>
                <w:szCs w:val="16"/>
                <w:color w:val="auto"/>
              </w:rPr>
              <w:t>53.4%</w:t>
            </w:r>
          </w:p>
        </w:tc>
        <w:tc>
          <w:tcPr>
            <w:tcW w:w="1020" w:type="dxa"/>
            <w:vAlign w:val="bottom"/>
            <w:shd w:val="clear" w:color="auto" w:fill="E5FFFF"/>
          </w:tcPr>
          <w:p>
            <w:pPr>
              <w:jc w:val="right"/>
              <w:ind w:right="159"/>
              <w:spacing w:after="0"/>
              <w:rPr>
                <w:sz w:val="20"/>
                <w:szCs w:val="20"/>
                <w:color w:val="auto"/>
              </w:rPr>
            </w:pPr>
            <w:r>
              <w:rPr>
                <w:rFonts w:ascii="Arial" w:cs="Arial" w:eastAsia="Arial" w:hAnsi="Arial"/>
                <w:sz w:val="16"/>
                <w:szCs w:val="16"/>
                <w:color w:val="auto"/>
              </w:rPr>
              <w:t>21.0%</w:t>
            </w:r>
          </w:p>
        </w:tc>
        <w:tc>
          <w:tcPr>
            <w:tcW w:w="760" w:type="dxa"/>
            <w:vAlign w:val="bottom"/>
            <w:shd w:val="clear" w:color="auto" w:fill="E5FFFF"/>
          </w:tcPr>
          <w:p>
            <w:pPr>
              <w:jc w:val="right"/>
              <w:ind w:right="19"/>
              <w:spacing w:after="0"/>
              <w:rPr>
                <w:sz w:val="20"/>
                <w:szCs w:val="20"/>
                <w:color w:val="auto"/>
              </w:rPr>
            </w:pPr>
            <w:r>
              <w:rPr>
                <w:rFonts w:ascii="Arial" w:cs="Arial" w:eastAsia="Arial" w:hAnsi="Arial"/>
                <w:sz w:val="16"/>
                <w:szCs w:val="16"/>
                <w:color w:val="auto"/>
              </w:rPr>
              <w:t>33.7%</w:t>
            </w:r>
          </w:p>
        </w:tc>
      </w:tr>
      <w:tr>
        <w:trPr>
          <w:trHeight w:val="324"/>
        </w:trPr>
        <w:tc>
          <w:tcPr>
            <w:tcW w:w="1180" w:type="dxa"/>
            <w:vAlign w:val="bottom"/>
            <w:tcBorders>
              <w:bottom w:val="single" w:sz="8" w:color="808080"/>
            </w:tcBorders>
          </w:tcPr>
          <w:p>
            <w:pPr>
              <w:spacing w:after="0"/>
              <w:rPr>
                <w:sz w:val="24"/>
                <w:szCs w:val="24"/>
                <w:color w:val="auto"/>
              </w:rPr>
            </w:pPr>
          </w:p>
        </w:tc>
        <w:tc>
          <w:tcPr>
            <w:tcW w:w="3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305" w:lineRule="exact"/>
        <w:rPr>
          <w:sz w:val="20"/>
          <w:szCs w:val="20"/>
          <w:color w:val="auto"/>
        </w:rPr>
      </w:pPr>
    </w:p>
    <w:p>
      <w:pPr>
        <w:ind w:left="200" w:right="100" w:hanging="192"/>
        <w:spacing w:after="0" w:line="238" w:lineRule="auto"/>
        <w:tabs>
          <w:tab w:leader="none" w:pos="191" w:val="left"/>
        </w:tabs>
        <w:numPr>
          <w:ilvl w:val="0"/>
          <w:numId w:val="13"/>
        </w:numPr>
        <w:rPr>
          <w:rFonts w:ascii="Arial" w:cs="Arial" w:eastAsia="Arial" w:hAnsi="Arial"/>
          <w:sz w:val="16"/>
          <w:szCs w:val="16"/>
          <w:color w:val="auto"/>
          <w:vertAlign w:val="superscript"/>
        </w:rPr>
      </w:pPr>
      <w:r>
        <w:rPr>
          <w:rFonts w:ascii="Arial" w:cs="Arial" w:eastAsia="Arial" w:hAnsi="Arial"/>
          <w:sz w:val="13"/>
          <w:szCs w:val="13"/>
          <w:color w:val="auto"/>
        </w:rPr>
        <w:t xml:space="preserve">Reflects time charter revenues and contracted days for our wholly-owned ships, the 15 ships currently owned by the Partnership, the bareboat vessel and the seven newbuildings on order for which we have secured time charters. Does not include charter revenues for the </w:t>
      </w:r>
      <w:r>
        <w:rPr>
          <w:rFonts w:ascii="Arial" w:cs="Arial" w:eastAsia="Arial" w:hAnsi="Arial"/>
          <w:sz w:val="13"/>
          <w:szCs w:val="13"/>
          <w:i w:val="1"/>
          <w:iCs w:val="1"/>
          <w:color w:val="auto"/>
        </w:rPr>
        <w:t>Methane Nile Eagle</w:t>
      </w:r>
      <w:r>
        <w:rPr>
          <w:rFonts w:ascii="Arial" w:cs="Arial" w:eastAsia="Arial" w:hAnsi="Arial"/>
          <w:sz w:val="13"/>
          <w:szCs w:val="13"/>
          <w:color w:val="auto"/>
        </w:rPr>
        <w:t>, in which we hold a 25% minority interest. Contracted revenue calculations assume: (a) 365 revenue days per annum, with 30 off-hire days when the ship undergoes scheduled dry-docking (every five years); (b) all LNG carriers on order are delivered on schedule; and (c) no exercise of any option to extend the terms of charters. For time charters that include a fixed operating cost component subject to annual escalation, revenue calculations include that fixed annual escalation. For time charters that give the charterer the option to set the charter hire rate at prevailing market rates during an initial portion of the time charter’s term, revenue calculations assume that the charterer does not elect such option. Revenue calculations for such charters include an estimate of the amount of the operating cost component and the management fee component. For time charters that are based on a variable rate of hire within an agreed range during the charter period, the lower end of the range is used for this calculation.</w:t>
      </w:r>
    </w:p>
    <w:p>
      <w:pPr>
        <w:spacing w:after="0" w:line="184" w:lineRule="exact"/>
        <w:rPr>
          <w:rFonts w:ascii="Arial" w:cs="Arial" w:eastAsia="Arial" w:hAnsi="Arial"/>
          <w:sz w:val="16"/>
          <w:szCs w:val="16"/>
          <w:color w:val="auto"/>
          <w:vertAlign w:val="superscript"/>
        </w:rPr>
      </w:pPr>
    </w:p>
    <w:p>
      <w:pPr>
        <w:ind w:left="200" w:right="160" w:hanging="192"/>
        <w:spacing w:after="0" w:line="215" w:lineRule="auto"/>
        <w:tabs>
          <w:tab w:leader="none" w:pos="191"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Available days represent total calendar days after deducting 30 off-hire days when the ship undergoes scheduled dry-docking. The available days for the vessels operating in the spot/short-term market are included.</w:t>
      </w:r>
    </w:p>
    <w:p>
      <w:pPr>
        <w:spacing w:after="0" w:line="183" w:lineRule="exact"/>
        <w:rPr>
          <w:rFonts w:ascii="Arial" w:cs="Arial" w:eastAsia="Arial" w:hAnsi="Arial"/>
          <w:sz w:val="18"/>
          <w:szCs w:val="18"/>
          <w:color w:val="auto"/>
          <w:vertAlign w:val="superscript"/>
        </w:rPr>
      </w:pPr>
    </w:p>
    <w:p>
      <w:pPr>
        <w:ind w:left="200" w:right="140" w:hanging="192"/>
        <w:spacing w:after="0" w:line="215" w:lineRule="auto"/>
        <w:tabs>
          <w:tab w:leader="none" w:pos="191"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Represents available days for ships after the expiration of existing charters (assuming charterers do not exercise any option to extend the terms of charters) and the available days for the vessels operating in the spot/short-term market.</w:t>
      </w:r>
    </w:p>
    <w:p>
      <w:pPr>
        <w:spacing w:after="0" w:line="192" w:lineRule="exact"/>
        <w:rPr>
          <w:sz w:val="20"/>
          <w:szCs w:val="20"/>
          <w:color w:val="auto"/>
        </w:rPr>
      </w:pPr>
    </w:p>
    <w:p>
      <w:pPr>
        <w:ind w:firstLine="356"/>
        <w:spacing w:after="0" w:line="284" w:lineRule="auto"/>
        <w:rPr>
          <w:sz w:val="20"/>
          <w:szCs w:val="20"/>
          <w:color w:val="auto"/>
        </w:rPr>
      </w:pPr>
      <w:r>
        <w:rPr>
          <w:rFonts w:ascii="Arial" w:cs="Arial" w:eastAsia="Arial" w:hAnsi="Arial"/>
          <w:sz w:val="15"/>
          <w:szCs w:val="15"/>
          <w:color w:val="auto"/>
        </w:rPr>
        <w:t>Other than the assumptions reflected in the footnotes to the table, including our assumption that our newbuildings are delivered on schedule, the table does not reflect events occurring after September 30, 2019. The table reflects only our contracted charter revenues for the ships in our owned fleet and bareboat fleet for which we have secured time charters, and it does not reflect the costs or expenses we will incur in fulfilling our obligations under the charters, nor does it include other revenues we may earn, such as revenues for technical management of customer-owned ships. In particular, the table does not reflect any revenues from any additional ships we may acquire in the future, nor does it reflect the options under our time charters that permit our charterers to extend the time charter terms for successive multi-year periods. The entry into new time charter contracts for the vessels that are operating in the spot term market and any additional ships we may acquire, or the exercise of options extending the terms of our existing charters, would result in an increase in the number of contracted days and the contracted revenue for our fleet in the future. Although the contracted charter revenues are based on contracted charter hire rate provisions, they reflect certain assumptions, including assumptions relating to future ship operating costs. We consider the assumptions to be reasonable as of the date of this report, but if these assumptions prove to be incorrect, our actual time charter revenues could differ from those reflected in the table. Furthermore, any contract is subject to various risks, including performance by the counterparties or an early termination of the contract pursuant to its terms. If the charterers are unable or unwilling to make charter payments to us, or if we agree to renegotiate charter terms at the request of a charterer or if contracts are prematurely terminated for any reason, we would be exposed to prevailing market conditions at the time and our results of operations and financial condition may be materially adversely affected. Please see the disclosure under the heading “Risk Factors” in our Annual Report on Form 20-F filed with the SEC on March 5, 2019. For these reasons, the contracted charter revenue information presented above is not fact and should not be relied upon as being necessarily indicative of future results and readers are cautioned not to place undue reliance on this information. Neither the Company’s independent auditors, nor any other independent accountants, have compiled, examined or performed any procedures with respect to the information presented in the table, nor have they expressed any opinion or any other form of assurance on such information or its achievability and assume no responsibility for, and disclaim any association with, the information in the table.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Accounting Policies</w:t>
      </w:r>
    </w:p>
    <w:p>
      <w:pPr>
        <w:spacing w:after="0" w:line="239" w:lineRule="exact"/>
        <w:rPr>
          <w:sz w:val="20"/>
          <w:szCs w:val="20"/>
          <w:color w:val="auto"/>
        </w:rPr>
      </w:pPr>
    </w:p>
    <w:p>
      <w:pPr>
        <w:ind w:right="520" w:firstLine="356"/>
        <w:spacing w:after="0" w:line="329" w:lineRule="auto"/>
        <w:rPr>
          <w:sz w:val="20"/>
          <w:szCs w:val="20"/>
          <w:color w:val="auto"/>
        </w:rPr>
      </w:pPr>
      <w:r>
        <w:rPr>
          <w:rFonts w:ascii="Arial" w:cs="Arial" w:eastAsia="Arial" w:hAnsi="Arial"/>
          <w:sz w:val="15"/>
          <w:szCs w:val="15"/>
          <w:color w:val="auto"/>
        </w:rPr>
        <w:t>For a description of all of our significant accounting policies, see Note 2 of our annual audited consolidated financial statements included in our Annual Report on Form 20-F filed on March 5, 2019 and Note 2 of our unaudited condensed consolidated financial statements included elsewhere in this report.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25" w:name="page26"/>
    <w:bookmarkEnd w:id="25"/>
    <w:p>
      <w:pPr>
        <w:jc w:val="center"/>
        <w:ind w:right="40"/>
        <w:spacing w:after="0"/>
        <w:rPr>
          <w:sz w:val="20"/>
          <w:szCs w:val="20"/>
          <w:color w:val="auto"/>
        </w:rPr>
      </w:pPr>
      <w:r>
        <w:rPr>
          <w:rFonts w:ascii="Arial" w:cs="Arial" w:eastAsia="Arial" w:hAnsi="Arial"/>
          <w:sz w:val="16"/>
          <w:szCs w:val="16"/>
          <w:b w:val="1"/>
          <w:bCs w:val="1"/>
          <w:color w:val="auto"/>
        </w:rPr>
        <w:t>GASLOG LTD.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400" w:type="dxa"/>
            <w:vAlign w:val="bottom"/>
            <w:gridSpan w:val="7"/>
          </w:tcPr>
          <w:p>
            <w:pPr>
              <w:ind w:left="3420"/>
              <w:spacing w:after="0"/>
              <w:rPr>
                <w:sz w:val="20"/>
                <w:szCs w:val="20"/>
                <w:color w:val="auto"/>
              </w:rPr>
            </w:pPr>
            <w:r>
              <w:rPr>
                <w:rFonts w:ascii="Arial" w:cs="Arial" w:eastAsia="Arial" w:hAnsi="Arial"/>
                <w:sz w:val="16"/>
                <w:szCs w:val="16"/>
                <w:b w:val="1"/>
                <w:bCs w:val="1"/>
                <w:color w:val="auto"/>
              </w:rPr>
              <w:t>INDEX TO UNAUDITED CONDENSED CONSOLIDATED FINANCIAL STATEMENTS</w:t>
            </w: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00"/>
        </w:trPr>
        <w:tc>
          <w:tcPr>
            <w:tcW w:w="43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Page</w:t>
            </w:r>
          </w:p>
        </w:tc>
        <w:tc>
          <w:tcPr>
            <w:tcW w:w="40" w:type="dxa"/>
            <w:vAlign w:val="bottom"/>
          </w:tcPr>
          <w:p>
            <w:pPr>
              <w:spacing w:after="0"/>
              <w:rPr>
                <w:sz w:val="24"/>
                <w:szCs w:val="24"/>
                <w:color w:val="auto"/>
              </w:rPr>
            </w:pPr>
          </w:p>
        </w:tc>
      </w:tr>
      <w:tr>
        <w:trPr>
          <w:trHeight w:val="361"/>
        </w:trPr>
        <w:tc>
          <w:tcPr>
            <w:tcW w:w="762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90"/>
              </w:rPr>
              <w:t>Unaudited condensed consolidated statements of financial position as of December 31, 2018 and September 30, 2019</w:t>
            </w:r>
          </w:p>
        </w:tc>
        <w:tc>
          <w:tcPr>
            <w:tcW w:w="2780" w:type="dxa"/>
            <w:vAlign w:val="bottom"/>
            <w:gridSpan w:val="4"/>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1"/>
              </w:rPr>
              <w:t>F-2</w:t>
            </w:r>
          </w:p>
        </w:tc>
        <w:tc>
          <w:tcPr>
            <w:tcW w:w="40" w:type="dxa"/>
            <w:vAlign w:val="bottom"/>
          </w:tcPr>
          <w:p>
            <w:pPr>
              <w:spacing w:after="0"/>
              <w:rPr>
                <w:sz w:val="24"/>
                <w:szCs w:val="24"/>
                <w:color w:val="auto"/>
              </w:rPr>
            </w:pPr>
          </w:p>
        </w:tc>
      </w:tr>
      <w:tr>
        <w:trPr>
          <w:trHeight w:val="183"/>
        </w:trPr>
        <w:tc>
          <w:tcPr>
            <w:tcW w:w="10400" w:type="dxa"/>
            <w:vAlign w:val="bottom"/>
            <w:gridSpan w:val="7"/>
          </w:tcPr>
          <w:p>
            <w:pPr>
              <w:spacing w:after="0" w:line="183" w:lineRule="exact"/>
              <w:rPr>
                <w:sz w:val="20"/>
                <w:szCs w:val="20"/>
                <w:color w:val="auto"/>
              </w:rPr>
            </w:pPr>
            <w:r>
              <w:rPr>
                <w:rFonts w:ascii="Arial" w:cs="Arial" w:eastAsia="Arial" w:hAnsi="Arial"/>
                <w:sz w:val="16"/>
                <w:szCs w:val="16"/>
                <w:color w:val="0000FF"/>
              </w:rPr>
              <w:t>Unaudited condensed consolidated statements of profit or loss for the three and nine months ended September 30, 2018 and 2019</w:t>
            </w:r>
          </w:p>
        </w:tc>
        <w:tc>
          <w:tcPr>
            <w:tcW w:w="1020" w:type="dxa"/>
            <w:vAlign w:val="bottom"/>
          </w:tcPr>
          <w:p>
            <w:pPr>
              <w:jc w:val="center"/>
              <w:spacing w:after="0" w:line="183" w:lineRule="exact"/>
              <w:rPr>
                <w:sz w:val="20"/>
                <w:szCs w:val="20"/>
                <w:color w:val="auto"/>
              </w:rPr>
            </w:pPr>
            <w:r>
              <w:rPr>
                <w:rFonts w:ascii="Arial" w:cs="Arial" w:eastAsia="Arial" w:hAnsi="Arial"/>
                <w:sz w:val="16"/>
                <w:szCs w:val="16"/>
                <w:color w:val="auto"/>
                <w:w w:val="91"/>
              </w:rPr>
              <w:t>F-3</w:t>
            </w:r>
          </w:p>
        </w:tc>
        <w:tc>
          <w:tcPr>
            <w:tcW w:w="40" w:type="dxa"/>
            <w:vAlign w:val="bottom"/>
          </w:tcPr>
          <w:p>
            <w:pPr>
              <w:spacing w:after="0"/>
              <w:rPr>
                <w:sz w:val="15"/>
                <w:szCs w:val="15"/>
                <w:color w:val="auto"/>
              </w:rPr>
            </w:pPr>
          </w:p>
        </w:tc>
      </w:tr>
      <w:tr>
        <w:trPr>
          <w:trHeight w:val="20"/>
        </w:trPr>
        <w:tc>
          <w:tcPr>
            <w:tcW w:w="4380" w:type="dxa"/>
            <w:vAlign w:val="bottom"/>
            <w:shd w:val="clear" w:color="auto" w:fill="0000FF"/>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10400" w:type="dxa"/>
            <w:vAlign w:val="bottom"/>
            <w:gridSpan w:val="7"/>
          </w:tcPr>
          <w:p>
            <w:pPr>
              <w:spacing w:after="0" w:line="183" w:lineRule="exact"/>
              <w:rPr>
                <w:sz w:val="20"/>
                <w:szCs w:val="20"/>
                <w:color w:val="auto"/>
              </w:rPr>
            </w:pPr>
            <w:r>
              <w:rPr>
                <w:rFonts w:ascii="Arial" w:cs="Arial" w:eastAsia="Arial" w:hAnsi="Arial"/>
                <w:sz w:val="16"/>
                <w:szCs w:val="16"/>
                <w:color w:val="0000FF"/>
                <w:w w:val="98"/>
              </w:rPr>
              <w:t>Unaudited condensed consolidated statements of comprehensive income or loss for the three and nine months ended September 30, 2018 and 2019</w:t>
            </w:r>
          </w:p>
        </w:tc>
        <w:tc>
          <w:tcPr>
            <w:tcW w:w="1020" w:type="dxa"/>
            <w:vAlign w:val="bottom"/>
          </w:tcPr>
          <w:p>
            <w:pPr>
              <w:jc w:val="center"/>
              <w:spacing w:after="0" w:line="183" w:lineRule="exact"/>
              <w:rPr>
                <w:sz w:val="20"/>
                <w:szCs w:val="20"/>
                <w:color w:val="auto"/>
              </w:rPr>
            </w:pPr>
            <w:r>
              <w:rPr>
                <w:rFonts w:ascii="Arial" w:cs="Arial" w:eastAsia="Arial" w:hAnsi="Arial"/>
                <w:sz w:val="16"/>
                <w:szCs w:val="16"/>
                <w:color w:val="auto"/>
                <w:w w:val="91"/>
              </w:rPr>
              <w:t>F-4</w:t>
            </w:r>
          </w:p>
        </w:tc>
        <w:tc>
          <w:tcPr>
            <w:tcW w:w="40" w:type="dxa"/>
            <w:vAlign w:val="bottom"/>
          </w:tcPr>
          <w:p>
            <w:pPr>
              <w:spacing w:after="0"/>
              <w:rPr>
                <w:sz w:val="15"/>
                <w:szCs w:val="15"/>
                <w:color w:val="auto"/>
              </w:rPr>
            </w:pPr>
          </w:p>
        </w:tc>
      </w:tr>
      <w:tr>
        <w:trPr>
          <w:trHeight w:val="183"/>
        </w:trPr>
        <w:tc>
          <w:tcPr>
            <w:tcW w:w="8060" w:type="dxa"/>
            <w:vAlign w:val="bottom"/>
            <w:tcBorders>
              <w:top w:val="single" w:sz="8" w:color="0000FF"/>
              <w:bottom w:val="single" w:sz="8" w:color="0000FF"/>
            </w:tcBorders>
            <w:gridSpan w:val="4"/>
          </w:tcPr>
          <w:p>
            <w:pPr>
              <w:spacing w:after="0" w:line="183" w:lineRule="exact"/>
              <w:rPr>
                <w:sz w:val="20"/>
                <w:szCs w:val="20"/>
                <w:color w:val="auto"/>
              </w:rPr>
            </w:pPr>
            <w:r>
              <w:rPr>
                <w:rFonts w:ascii="Arial" w:cs="Arial" w:eastAsia="Arial" w:hAnsi="Arial"/>
                <w:sz w:val="16"/>
                <w:szCs w:val="16"/>
                <w:color w:val="0000FF"/>
                <w:w w:val="90"/>
              </w:rPr>
              <w:t>Unaudited condensed consolidated statements of changes in equity for the nine months ended September 30, 2018 and 2019</w:t>
            </w:r>
          </w:p>
        </w:tc>
        <w:tc>
          <w:tcPr>
            <w:tcW w:w="1460" w:type="dxa"/>
            <w:vAlign w:val="bottom"/>
            <w:tcBorders>
              <w:top w:val="single" w:sz="8" w:color="0000FF"/>
            </w:tcBorders>
            <w:gridSpan w:val="2"/>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jc w:val="center"/>
              <w:spacing w:after="0" w:line="183" w:lineRule="exact"/>
              <w:rPr>
                <w:sz w:val="20"/>
                <w:szCs w:val="20"/>
                <w:color w:val="auto"/>
              </w:rPr>
            </w:pPr>
            <w:r>
              <w:rPr>
                <w:rFonts w:ascii="Arial" w:cs="Arial" w:eastAsia="Arial" w:hAnsi="Arial"/>
                <w:sz w:val="16"/>
                <w:szCs w:val="16"/>
                <w:color w:val="auto"/>
                <w:w w:val="91"/>
              </w:rPr>
              <w:t>F-5</w:t>
            </w:r>
          </w:p>
        </w:tc>
        <w:tc>
          <w:tcPr>
            <w:tcW w:w="40" w:type="dxa"/>
            <w:vAlign w:val="bottom"/>
          </w:tcPr>
          <w:p>
            <w:pPr>
              <w:spacing w:after="0"/>
              <w:rPr>
                <w:sz w:val="15"/>
                <w:szCs w:val="15"/>
                <w:color w:val="auto"/>
              </w:rPr>
            </w:pPr>
          </w:p>
        </w:tc>
      </w:tr>
      <w:tr>
        <w:trPr>
          <w:trHeight w:val="183"/>
        </w:trPr>
        <w:tc>
          <w:tcPr>
            <w:tcW w:w="10400" w:type="dxa"/>
            <w:vAlign w:val="bottom"/>
            <w:gridSpan w:val="7"/>
          </w:tcPr>
          <w:p>
            <w:pPr>
              <w:spacing w:after="0" w:line="183" w:lineRule="exact"/>
              <w:rPr>
                <w:sz w:val="20"/>
                <w:szCs w:val="20"/>
                <w:color w:val="auto"/>
              </w:rPr>
            </w:pPr>
            <w:r>
              <w:rPr>
                <w:rFonts w:ascii="Arial" w:cs="Arial" w:eastAsia="Arial" w:hAnsi="Arial"/>
                <w:sz w:val="16"/>
                <w:szCs w:val="16"/>
                <w:color w:val="0000FF"/>
              </w:rPr>
              <w:t>Unaudited condensed consolidated statements of cash flows for the nine months ended September 30, 2018 and 2019</w:t>
            </w:r>
          </w:p>
        </w:tc>
        <w:tc>
          <w:tcPr>
            <w:tcW w:w="1020" w:type="dxa"/>
            <w:vAlign w:val="bottom"/>
          </w:tcPr>
          <w:p>
            <w:pPr>
              <w:jc w:val="center"/>
              <w:spacing w:after="0" w:line="183" w:lineRule="exact"/>
              <w:rPr>
                <w:sz w:val="20"/>
                <w:szCs w:val="20"/>
                <w:color w:val="auto"/>
              </w:rPr>
            </w:pPr>
            <w:r>
              <w:rPr>
                <w:rFonts w:ascii="Arial" w:cs="Arial" w:eastAsia="Arial" w:hAnsi="Arial"/>
                <w:sz w:val="16"/>
                <w:szCs w:val="16"/>
                <w:color w:val="auto"/>
                <w:w w:val="91"/>
              </w:rPr>
              <w:t>F-6</w:t>
            </w:r>
          </w:p>
        </w:tc>
        <w:tc>
          <w:tcPr>
            <w:tcW w:w="40" w:type="dxa"/>
            <w:vAlign w:val="bottom"/>
          </w:tcPr>
          <w:p>
            <w:pPr>
              <w:spacing w:after="0"/>
              <w:rPr>
                <w:sz w:val="15"/>
                <w:szCs w:val="15"/>
                <w:color w:val="auto"/>
              </w:rPr>
            </w:pPr>
          </w:p>
        </w:tc>
      </w:tr>
      <w:tr>
        <w:trPr>
          <w:trHeight w:val="183"/>
        </w:trPr>
        <w:tc>
          <w:tcPr>
            <w:tcW w:w="7600" w:type="dxa"/>
            <w:vAlign w:val="bottom"/>
            <w:tcBorders>
              <w:top w:val="single" w:sz="8" w:color="0000FF"/>
            </w:tcBorders>
            <w:gridSpan w:val="2"/>
          </w:tcPr>
          <w:p>
            <w:pPr>
              <w:spacing w:after="0" w:line="183" w:lineRule="exact"/>
              <w:rPr>
                <w:sz w:val="20"/>
                <w:szCs w:val="20"/>
                <w:color w:val="auto"/>
              </w:rPr>
            </w:pPr>
            <w:r>
              <w:rPr>
                <w:rFonts w:ascii="Arial" w:cs="Arial" w:eastAsia="Arial" w:hAnsi="Arial"/>
                <w:sz w:val="16"/>
                <w:szCs w:val="16"/>
                <w:color w:val="0000FF"/>
              </w:rPr>
              <w:t>Notes to the unaudited condensed consolidated financial statements</w:t>
            </w:r>
          </w:p>
        </w:tc>
        <w:tc>
          <w:tcPr>
            <w:tcW w:w="2800" w:type="dxa"/>
            <w:vAlign w:val="bottom"/>
            <w:gridSpan w:val="5"/>
          </w:tcPr>
          <w:p>
            <w:pPr>
              <w:spacing w:after="0"/>
              <w:rPr>
                <w:sz w:val="15"/>
                <w:szCs w:val="15"/>
                <w:color w:val="auto"/>
              </w:rPr>
            </w:pPr>
          </w:p>
        </w:tc>
        <w:tc>
          <w:tcPr>
            <w:tcW w:w="1020" w:type="dxa"/>
            <w:vAlign w:val="bottom"/>
          </w:tcPr>
          <w:p>
            <w:pPr>
              <w:jc w:val="center"/>
              <w:spacing w:after="0" w:line="183" w:lineRule="exact"/>
              <w:rPr>
                <w:sz w:val="20"/>
                <w:szCs w:val="20"/>
                <w:color w:val="auto"/>
              </w:rPr>
            </w:pPr>
            <w:r>
              <w:rPr>
                <w:rFonts w:ascii="Arial" w:cs="Arial" w:eastAsia="Arial" w:hAnsi="Arial"/>
                <w:sz w:val="16"/>
                <w:szCs w:val="16"/>
                <w:color w:val="auto"/>
                <w:w w:val="91"/>
              </w:rPr>
              <w:t>F-7</w:t>
            </w:r>
          </w:p>
        </w:tc>
        <w:tc>
          <w:tcPr>
            <w:tcW w:w="40" w:type="dxa"/>
            <w:vAlign w:val="bottom"/>
          </w:tcPr>
          <w:p>
            <w:pPr>
              <w:spacing w:after="0"/>
              <w:rPr>
                <w:sz w:val="15"/>
                <w:szCs w:val="15"/>
                <w:color w:val="auto"/>
              </w:rPr>
            </w:pPr>
          </w:p>
        </w:tc>
      </w:tr>
      <w:tr>
        <w:trPr>
          <w:trHeight w:val="420"/>
        </w:trPr>
        <w:tc>
          <w:tcPr>
            <w:tcW w:w="4380" w:type="dxa"/>
            <w:vAlign w:val="bottom"/>
            <w:tcBorders>
              <w:top w:val="single" w:sz="8" w:color="0000FF"/>
            </w:tcBorders>
          </w:tcPr>
          <w:p>
            <w:pPr>
              <w:spacing w:after="0"/>
              <w:rPr>
                <w:sz w:val="24"/>
                <w:szCs w:val="24"/>
                <w:color w:val="auto"/>
              </w:rPr>
            </w:pPr>
          </w:p>
        </w:tc>
        <w:tc>
          <w:tcPr>
            <w:tcW w:w="6020" w:type="dxa"/>
            <w:vAlign w:val="bottom"/>
            <w:gridSpan w:val="6"/>
          </w:tcPr>
          <w:p>
            <w:pPr>
              <w:ind w:left="1220"/>
              <w:spacing w:after="0"/>
              <w:rPr>
                <w:sz w:val="20"/>
                <w:szCs w:val="20"/>
                <w:color w:val="auto"/>
              </w:rPr>
            </w:pPr>
            <w:r>
              <w:rPr>
                <w:rFonts w:ascii="Arial" w:cs="Arial" w:eastAsia="Arial" w:hAnsi="Arial"/>
                <w:sz w:val="16"/>
                <w:szCs w:val="16"/>
                <w:color w:val="auto"/>
              </w:rPr>
              <w:t>F-1</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8"/>
        </w:trPr>
        <w:tc>
          <w:tcPr>
            <w:tcW w:w="4380" w:type="dxa"/>
            <w:vAlign w:val="bottom"/>
            <w:tcBorders>
              <w:bottom w:val="single" w:sz="8" w:color="808080"/>
            </w:tcBorders>
          </w:tcPr>
          <w:p>
            <w:pPr>
              <w:spacing w:after="0"/>
              <w:rPr>
                <w:sz w:val="11"/>
                <w:szCs w:val="11"/>
                <w:color w:val="auto"/>
              </w:rPr>
            </w:pPr>
          </w:p>
        </w:tc>
        <w:tc>
          <w:tcPr>
            <w:tcW w:w="32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8" w:right="19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20"/>
                <w:szCs w:val="20"/>
                <w:color w:val="auto"/>
              </w:rPr>
            </w:pPr>
            <w:r>
              <w:rPr>
                <w:rFonts w:ascii="Arial" w:cs="Arial" w:eastAsia="Arial" w:hAnsi="Arial"/>
                <w:sz w:val="16"/>
                <w:szCs w:val="16"/>
                <w:b w:val="1"/>
                <w:bCs w:val="1"/>
                <w:color w:val="auto"/>
              </w:rPr>
              <w:t>GasLog Ltd. and its Subsidiaries</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640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financial position</w:t>
            </w: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400" w:type="dxa"/>
            <w:vAlign w:val="bottom"/>
          </w:tcPr>
          <w:p>
            <w:pPr>
              <w:spacing w:after="0"/>
              <w:rPr>
                <w:sz w:val="20"/>
                <w:szCs w:val="20"/>
                <w:color w:val="auto"/>
              </w:rPr>
            </w:pPr>
            <w:r>
              <w:rPr>
                <w:rFonts w:ascii="Arial" w:cs="Arial" w:eastAsia="Arial" w:hAnsi="Arial"/>
                <w:sz w:val="16"/>
                <w:szCs w:val="16"/>
                <w:b w:val="1"/>
                <w:bCs w:val="1"/>
                <w:color w:val="auto"/>
              </w:rPr>
              <w:t>As of December 31, 2018 and September 30, 2019</w:t>
            </w: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400" w:type="dxa"/>
            <w:vAlign w:val="bottom"/>
          </w:tcPr>
          <w:p>
            <w:pPr>
              <w:spacing w:after="0"/>
              <w:rPr>
                <w:sz w:val="20"/>
                <w:szCs w:val="20"/>
                <w:color w:val="auto"/>
              </w:rPr>
            </w:pPr>
            <w:r>
              <w:rPr>
                <w:rFonts w:ascii="Arial" w:cs="Arial" w:eastAsia="Arial" w:hAnsi="Arial"/>
                <w:sz w:val="16"/>
                <w:szCs w:val="16"/>
                <w:b w:val="1"/>
                <w:bCs w:val="1"/>
                <w:color w:val="auto"/>
              </w:rPr>
              <w:t>(Amounts expressed in thousands of U.S. Dollars)</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6400" w:type="dxa"/>
            <w:vAlign w:val="bottom"/>
          </w:tcPr>
          <w:p>
            <w:pPr>
              <w:spacing w:after="0"/>
              <w:rPr>
                <w:sz w:val="24"/>
                <w:szCs w:val="24"/>
                <w:color w:val="auto"/>
              </w:rPr>
            </w:pPr>
          </w:p>
        </w:tc>
        <w:tc>
          <w:tcPr>
            <w:tcW w:w="1220" w:type="dxa"/>
            <w:vAlign w:val="bottom"/>
            <w:gridSpan w:val="2"/>
          </w:tcPr>
          <w:p>
            <w:pPr>
              <w:ind w:left="300"/>
              <w:spacing w:after="0"/>
              <w:rPr>
                <w:sz w:val="20"/>
                <w:szCs w:val="20"/>
                <w:color w:val="auto"/>
              </w:rPr>
            </w:pPr>
            <w:r>
              <w:rPr>
                <w:rFonts w:ascii="Arial" w:cs="Arial" w:eastAsia="Arial" w:hAnsi="Arial"/>
                <w:sz w:val="16"/>
                <w:szCs w:val="16"/>
                <w:b w:val="1"/>
                <w:bCs w:val="1"/>
                <w:color w:val="auto"/>
              </w:rPr>
              <w:t>Note</w:t>
            </w:r>
          </w:p>
        </w:tc>
        <w:tc>
          <w:tcPr>
            <w:tcW w:w="200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December 31, 2018</w:t>
            </w:r>
          </w:p>
        </w:tc>
        <w:tc>
          <w:tcPr>
            <w:tcW w:w="1800" w:type="dxa"/>
            <w:vAlign w:val="bottom"/>
            <w:gridSpan w:val="3"/>
          </w:tcPr>
          <w:p>
            <w:pPr>
              <w:jc w:val="right"/>
              <w:ind w:right="280"/>
              <w:spacing w:after="0"/>
              <w:rPr>
                <w:sz w:val="20"/>
                <w:szCs w:val="20"/>
                <w:color w:val="auto"/>
              </w:rPr>
            </w:pPr>
            <w:r>
              <w:rPr>
                <w:rFonts w:ascii="Arial" w:cs="Arial" w:eastAsia="Arial" w:hAnsi="Arial"/>
                <w:sz w:val="16"/>
                <w:szCs w:val="16"/>
                <w:b w:val="1"/>
                <w:bCs w:val="1"/>
                <w:color w:val="auto"/>
              </w:rPr>
              <w:t>September 30, 2019</w:t>
            </w:r>
          </w:p>
        </w:tc>
        <w:tc>
          <w:tcPr>
            <w:tcW w:w="0" w:type="dxa"/>
            <w:vAlign w:val="bottom"/>
          </w:tcPr>
          <w:p>
            <w:pPr>
              <w:spacing w:after="0"/>
              <w:rPr>
                <w:sz w:val="1"/>
                <w:szCs w:val="1"/>
                <w:color w:val="auto"/>
              </w:rPr>
            </w:pPr>
          </w:p>
        </w:tc>
      </w:tr>
      <w:tr>
        <w:trPr>
          <w:trHeight w:val="189"/>
        </w:trPr>
        <w:tc>
          <w:tcPr>
            <w:tcW w:w="64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Assets</w:t>
            </w:r>
          </w:p>
        </w:tc>
        <w:tc>
          <w:tcPr>
            <w:tcW w:w="920" w:type="dxa"/>
            <w:vAlign w:val="bottom"/>
            <w:tcBorders>
              <w:top w:val="single" w:sz="8" w:color="auto"/>
            </w:tcBorders>
            <w:shd w:val="clear" w:color="auto" w:fill="E5FFFF"/>
          </w:tcPr>
          <w:p>
            <w:pPr>
              <w:spacing w:after="0"/>
              <w:rPr>
                <w:sz w:val="16"/>
                <w:szCs w:val="16"/>
                <w:color w:val="auto"/>
              </w:rPr>
            </w:pPr>
          </w:p>
        </w:tc>
        <w:tc>
          <w:tcPr>
            <w:tcW w:w="300" w:type="dxa"/>
            <w:vAlign w:val="bottom"/>
            <w:tcBorders>
              <w:top w:val="single" w:sz="8" w:color="E5FFFF"/>
            </w:tcBorders>
            <w:shd w:val="clear" w:color="auto" w:fill="E5FFFF"/>
          </w:tcPr>
          <w:p>
            <w:pPr>
              <w:spacing w:after="0"/>
              <w:rPr>
                <w:sz w:val="16"/>
                <w:szCs w:val="16"/>
                <w:color w:val="auto"/>
              </w:rPr>
            </w:pPr>
          </w:p>
        </w:tc>
        <w:tc>
          <w:tcPr>
            <w:tcW w:w="1700" w:type="dxa"/>
            <w:vAlign w:val="bottom"/>
            <w:tcBorders>
              <w:top w:val="single" w:sz="8" w:color="auto"/>
            </w:tcBorders>
            <w:shd w:val="clear" w:color="auto" w:fill="E5FFFF"/>
          </w:tcPr>
          <w:p>
            <w:pPr>
              <w:spacing w:after="0"/>
              <w:rPr>
                <w:sz w:val="16"/>
                <w:szCs w:val="16"/>
                <w:color w:val="auto"/>
              </w:rPr>
            </w:pPr>
          </w:p>
        </w:tc>
        <w:tc>
          <w:tcPr>
            <w:tcW w:w="300" w:type="dxa"/>
            <w:vAlign w:val="bottom"/>
            <w:tcBorders>
              <w:top w:val="single" w:sz="8" w:color="E5FFFF"/>
            </w:tcBorders>
            <w:shd w:val="clear" w:color="auto" w:fill="E5FFFF"/>
          </w:tcPr>
          <w:p>
            <w:pPr>
              <w:spacing w:after="0"/>
              <w:rPr>
                <w:sz w:val="16"/>
                <w:szCs w:val="16"/>
                <w:color w:val="auto"/>
              </w:rPr>
            </w:pPr>
          </w:p>
        </w:tc>
        <w:tc>
          <w:tcPr>
            <w:tcW w:w="1700" w:type="dxa"/>
            <w:vAlign w:val="bottom"/>
            <w:tcBorders>
              <w:top w:val="single" w:sz="8" w:color="auto"/>
            </w:tcBorders>
            <w:shd w:val="clear" w:color="auto" w:fill="E5FFFF"/>
          </w:tcPr>
          <w:p>
            <w:pPr>
              <w:spacing w:after="0"/>
              <w:rPr>
                <w:sz w:val="16"/>
                <w:szCs w:val="16"/>
                <w:color w:val="auto"/>
              </w:rPr>
            </w:pPr>
          </w:p>
        </w:tc>
        <w:tc>
          <w:tcPr>
            <w:tcW w:w="20" w:type="dxa"/>
            <w:vAlign w:val="bottom"/>
            <w:tcBorders>
              <w:top w:val="single" w:sz="8" w:color="E5FFFF"/>
            </w:tcBorders>
            <w:shd w:val="clear" w:color="auto" w:fill="E5FFFF"/>
          </w:tcPr>
          <w:p>
            <w:pPr>
              <w:spacing w:after="0"/>
              <w:rPr>
                <w:sz w:val="16"/>
                <w:szCs w:val="16"/>
                <w:color w:val="auto"/>
              </w:rPr>
            </w:pPr>
          </w:p>
        </w:tc>
        <w:tc>
          <w:tcPr>
            <w:tcW w:w="80" w:type="dxa"/>
            <w:vAlign w:val="bottom"/>
            <w:tcBorders>
              <w:top w:val="single" w:sz="8" w:color="E5FFFF"/>
            </w:tcBorders>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40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E5FFFF"/>
          </w:tcPr>
          <w:p>
            <w:pPr>
              <w:spacing w:after="0"/>
              <w:rPr>
                <w:sz w:val="20"/>
                <w:szCs w:val="20"/>
                <w:color w:val="auto"/>
              </w:rPr>
            </w:pPr>
            <w:r>
              <w:rPr>
                <w:rFonts w:ascii="Arial" w:cs="Arial" w:eastAsia="Arial" w:hAnsi="Arial"/>
                <w:sz w:val="16"/>
                <w:szCs w:val="16"/>
                <w:color w:val="auto"/>
              </w:rPr>
              <w:t>Goodwill</w:t>
            </w:r>
          </w:p>
        </w:tc>
        <w:tc>
          <w:tcPr>
            <w:tcW w:w="9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2000" w:type="dxa"/>
            <w:vAlign w:val="bottom"/>
            <w:gridSpan w:val="2"/>
            <w:shd w:val="clear" w:color="auto" w:fill="E5FFFF"/>
          </w:tcPr>
          <w:p>
            <w:pPr>
              <w:jc w:val="right"/>
              <w:ind w:right="300"/>
              <w:spacing w:after="0"/>
              <w:rPr>
                <w:sz w:val="20"/>
                <w:szCs w:val="20"/>
                <w:color w:val="auto"/>
              </w:rPr>
            </w:pPr>
            <w:r>
              <w:rPr>
                <w:rFonts w:ascii="Arial" w:cs="Arial" w:eastAsia="Arial" w:hAnsi="Arial"/>
                <w:sz w:val="16"/>
                <w:szCs w:val="16"/>
                <w:color w:val="auto"/>
              </w:rPr>
              <w:t>9,511</w:t>
            </w:r>
          </w:p>
        </w:tc>
        <w:tc>
          <w:tcPr>
            <w:tcW w:w="172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9,511</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spacing w:after="0"/>
              <w:rPr>
                <w:sz w:val="20"/>
                <w:szCs w:val="20"/>
                <w:color w:val="auto"/>
              </w:rPr>
            </w:pPr>
            <w:r>
              <w:rPr>
                <w:rFonts w:ascii="Arial" w:cs="Arial" w:eastAsia="Arial" w:hAnsi="Arial"/>
                <w:sz w:val="16"/>
                <w:szCs w:val="16"/>
                <w:color w:val="auto"/>
              </w:rPr>
              <w:t>Investment in associates</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3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20,713</w:t>
            </w:r>
          </w:p>
        </w:tc>
        <w:tc>
          <w:tcPr>
            <w:tcW w:w="300" w:type="dxa"/>
            <w:vAlign w:val="bottom"/>
          </w:tcPr>
          <w:p>
            <w:pPr>
              <w:spacing w:after="0"/>
              <w:rPr>
                <w:sz w:val="17"/>
                <w:szCs w:val="17"/>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6"/>
                <w:szCs w:val="16"/>
                <w:color w:val="auto"/>
              </w:rPr>
              <w:t>21,531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E5FFFF"/>
          </w:tcPr>
          <w:p>
            <w:pPr>
              <w:spacing w:after="0"/>
              <w:rPr>
                <w:sz w:val="20"/>
                <w:szCs w:val="20"/>
                <w:color w:val="auto"/>
              </w:rPr>
            </w:pPr>
            <w:r>
              <w:rPr>
                <w:rFonts w:ascii="Arial" w:cs="Arial" w:eastAsia="Arial" w:hAnsi="Arial"/>
                <w:sz w:val="16"/>
                <w:szCs w:val="16"/>
                <w:color w:val="auto"/>
              </w:rPr>
              <w:t>Deferred financing costs</w:t>
            </w:r>
          </w:p>
        </w:tc>
        <w:tc>
          <w:tcPr>
            <w:tcW w:w="9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4,576</w:t>
            </w:r>
          </w:p>
        </w:tc>
        <w:tc>
          <w:tcPr>
            <w:tcW w:w="300" w:type="dxa"/>
            <w:vAlign w:val="bottom"/>
            <w:shd w:val="clear" w:color="auto" w:fill="E5FFFF"/>
          </w:tcPr>
          <w:p>
            <w:pPr>
              <w:spacing w:after="0"/>
              <w:rPr>
                <w:sz w:val="17"/>
                <w:szCs w:val="17"/>
                <w:color w:val="auto"/>
              </w:rPr>
            </w:pPr>
          </w:p>
        </w:tc>
        <w:tc>
          <w:tcPr>
            <w:tcW w:w="172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26</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2,543</w:t>
            </w:r>
          </w:p>
        </w:tc>
        <w:tc>
          <w:tcPr>
            <w:tcW w:w="300" w:type="dxa"/>
            <w:vAlign w:val="bottom"/>
          </w:tcPr>
          <w:p>
            <w:pPr>
              <w:spacing w:after="0"/>
              <w:rPr>
                <w:sz w:val="17"/>
                <w:szCs w:val="17"/>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6"/>
                <w:szCs w:val="16"/>
                <w:color w:val="auto"/>
              </w:rPr>
              <w:t>35,137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w:t>
            </w:r>
          </w:p>
        </w:tc>
        <w:tc>
          <w:tcPr>
            <w:tcW w:w="9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15</w:t>
            </w:r>
          </w:p>
        </w:tc>
        <w:tc>
          <w:tcPr>
            <w:tcW w:w="300" w:type="dxa"/>
            <w:vAlign w:val="bottom"/>
            <w:shd w:val="clear" w:color="auto" w:fill="E5FFFF"/>
          </w:tcPr>
          <w:p>
            <w:pPr>
              <w:spacing w:after="0"/>
              <w:rPr>
                <w:sz w:val="17"/>
                <w:szCs w:val="17"/>
                <w:color w:val="auto"/>
              </w:rPr>
            </w:pP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8,966</w:t>
            </w:r>
          </w:p>
        </w:tc>
        <w:tc>
          <w:tcPr>
            <w:tcW w:w="300" w:type="dxa"/>
            <w:vAlign w:val="bottom"/>
            <w:shd w:val="clear" w:color="auto" w:fill="E5FFFF"/>
          </w:tcPr>
          <w:p>
            <w:pPr>
              <w:spacing w:after="0"/>
              <w:rPr>
                <w:sz w:val="17"/>
                <w:szCs w:val="17"/>
                <w:color w:val="auto"/>
              </w:rPr>
            </w:pPr>
          </w:p>
        </w:tc>
        <w:tc>
          <w:tcPr>
            <w:tcW w:w="1800" w:type="dxa"/>
            <w:vAlign w:val="bottom"/>
            <w:gridSpan w:val="3"/>
            <w:shd w:val="clear" w:color="auto" w:fill="E5FF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400" w:type="dxa"/>
            <w:vAlign w:val="bottom"/>
          </w:tcPr>
          <w:p>
            <w:pPr>
              <w:spacing w:after="0"/>
              <w:rPr>
                <w:sz w:val="20"/>
                <w:szCs w:val="20"/>
                <w:color w:val="auto"/>
              </w:rPr>
            </w:pPr>
            <w:r>
              <w:rPr>
                <w:rFonts w:ascii="Arial" w:cs="Arial" w:eastAsia="Arial" w:hAnsi="Arial"/>
                <w:sz w:val="16"/>
                <w:szCs w:val="16"/>
                <w:color w:val="auto"/>
              </w:rPr>
              <w:t>Tangible fixed assets</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5</w:t>
            </w:r>
          </w:p>
        </w:tc>
        <w:tc>
          <w:tcPr>
            <w:tcW w:w="3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4,323,582</w:t>
            </w:r>
          </w:p>
        </w:tc>
        <w:tc>
          <w:tcPr>
            <w:tcW w:w="300" w:type="dxa"/>
            <w:vAlign w:val="bottom"/>
          </w:tcPr>
          <w:p>
            <w:pPr>
              <w:spacing w:after="0"/>
              <w:rPr>
                <w:sz w:val="17"/>
                <w:szCs w:val="17"/>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6"/>
                <w:szCs w:val="16"/>
                <w:color w:val="auto"/>
              </w:rPr>
              <w:t>4,614,804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E5FFFF"/>
          </w:tcPr>
          <w:p>
            <w:pPr>
              <w:spacing w:after="0"/>
              <w:rPr>
                <w:sz w:val="20"/>
                <w:szCs w:val="20"/>
                <w:color w:val="auto"/>
              </w:rPr>
            </w:pPr>
            <w:r>
              <w:rPr>
                <w:rFonts w:ascii="Arial" w:cs="Arial" w:eastAsia="Arial" w:hAnsi="Arial"/>
                <w:sz w:val="16"/>
                <w:szCs w:val="16"/>
                <w:color w:val="auto"/>
              </w:rPr>
              <w:t>Vessels under construction</w:t>
            </w:r>
          </w:p>
        </w:tc>
        <w:tc>
          <w:tcPr>
            <w:tcW w:w="9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5</w:t>
            </w:r>
          </w:p>
        </w:tc>
        <w:tc>
          <w:tcPr>
            <w:tcW w:w="300" w:type="dxa"/>
            <w:vAlign w:val="bottom"/>
            <w:shd w:val="clear" w:color="auto" w:fill="E5FFFF"/>
          </w:tcPr>
          <w:p>
            <w:pPr>
              <w:spacing w:after="0"/>
              <w:rPr>
                <w:sz w:val="17"/>
                <w:szCs w:val="17"/>
                <w:color w:val="auto"/>
              </w:rPr>
            </w:pP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159,275</w:t>
            </w:r>
          </w:p>
        </w:tc>
        <w:tc>
          <w:tcPr>
            <w:tcW w:w="300" w:type="dxa"/>
            <w:vAlign w:val="bottom"/>
            <w:shd w:val="clear" w:color="auto" w:fill="E5FFFF"/>
          </w:tcPr>
          <w:p>
            <w:pPr>
              <w:spacing w:after="0"/>
              <w:rPr>
                <w:sz w:val="17"/>
                <w:szCs w:val="17"/>
                <w:color w:val="auto"/>
              </w:rPr>
            </w:pPr>
          </w:p>
        </w:tc>
        <w:tc>
          <w:tcPr>
            <w:tcW w:w="172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182,594</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spacing w:after="0"/>
              <w:rPr>
                <w:sz w:val="20"/>
                <w:szCs w:val="20"/>
                <w:color w:val="auto"/>
              </w:rPr>
            </w:pPr>
            <w:r>
              <w:rPr>
                <w:rFonts w:ascii="Arial" w:cs="Arial" w:eastAsia="Arial" w:hAnsi="Arial"/>
                <w:sz w:val="16"/>
                <w:szCs w:val="16"/>
                <w:color w:val="auto"/>
              </w:rPr>
              <w:t>Right-of-use assets</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3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206,753</w:t>
            </w:r>
          </w:p>
        </w:tc>
        <w:tc>
          <w:tcPr>
            <w:tcW w:w="300" w:type="dxa"/>
            <w:vAlign w:val="bottom"/>
          </w:tcPr>
          <w:p>
            <w:pPr>
              <w:spacing w:after="0"/>
              <w:rPr>
                <w:sz w:val="17"/>
                <w:szCs w:val="17"/>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6"/>
                <w:szCs w:val="16"/>
                <w:color w:val="auto"/>
              </w:rPr>
              <w:t>208,645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non-current assets</w:t>
            </w:r>
          </w:p>
        </w:tc>
        <w:tc>
          <w:tcPr>
            <w:tcW w:w="920" w:type="dxa"/>
            <w:vAlign w:val="bottom"/>
            <w:tcBorders>
              <w:top w:val="single" w:sz="8" w:color="E5FFFF"/>
            </w:tcBorders>
            <w:shd w:val="clear" w:color="auto" w:fill="E5FFFF"/>
          </w:tcPr>
          <w:p>
            <w:pPr>
              <w:spacing w:after="0"/>
              <w:rPr>
                <w:sz w:val="17"/>
                <w:szCs w:val="17"/>
                <w:color w:val="auto"/>
              </w:rPr>
            </w:pPr>
          </w:p>
        </w:tc>
        <w:tc>
          <w:tcPr>
            <w:tcW w:w="300" w:type="dxa"/>
            <w:vAlign w:val="bottom"/>
            <w:tcBorders>
              <w:top w:val="single" w:sz="8" w:color="E5FFFF"/>
            </w:tcBorders>
            <w:shd w:val="clear" w:color="auto" w:fill="E5FFFF"/>
          </w:tcPr>
          <w:p>
            <w:pPr>
              <w:spacing w:after="0"/>
              <w:rPr>
                <w:sz w:val="17"/>
                <w:szCs w:val="17"/>
                <w:color w:val="auto"/>
              </w:rPr>
            </w:pP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4,735,919</w:t>
            </w:r>
          </w:p>
        </w:tc>
        <w:tc>
          <w:tcPr>
            <w:tcW w:w="300" w:type="dxa"/>
            <w:vAlign w:val="bottom"/>
            <w:tcBorders>
              <w:top w:val="single" w:sz="8" w:color="E5FFFF"/>
            </w:tcBorders>
            <w:shd w:val="clear" w:color="auto" w:fill="E5FFFF"/>
          </w:tcPr>
          <w:p>
            <w:pPr>
              <w:spacing w:after="0"/>
              <w:rPr>
                <w:sz w:val="17"/>
                <w:szCs w:val="17"/>
                <w:color w:val="auto"/>
              </w:rPr>
            </w:pP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5,072,248</w:t>
            </w:r>
          </w:p>
        </w:tc>
        <w:tc>
          <w:tcPr>
            <w:tcW w:w="2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400" w:type="dxa"/>
            <w:vAlign w:val="bottom"/>
          </w:tcPr>
          <w:p>
            <w:pPr>
              <w:spacing w:after="0" w:line="183" w:lineRule="exact"/>
              <w:rPr>
                <w:sz w:val="20"/>
                <w:szCs w:val="20"/>
                <w:color w:val="auto"/>
              </w:rPr>
            </w:pPr>
            <w:r>
              <w:rPr>
                <w:rFonts w:ascii="Arial" w:cs="Arial" w:eastAsia="Arial" w:hAnsi="Arial"/>
                <w:sz w:val="16"/>
                <w:szCs w:val="16"/>
                <w:b w:val="1"/>
                <w:bCs w:val="1"/>
                <w:color w:val="auto"/>
              </w:rPr>
              <w:t>Current assets</w:t>
            </w: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E5FFFF"/>
          </w:tcPr>
          <w:p>
            <w:pPr>
              <w:spacing w:after="0"/>
              <w:rPr>
                <w:sz w:val="20"/>
                <w:szCs w:val="20"/>
                <w:color w:val="auto"/>
              </w:rPr>
            </w:pPr>
            <w:r>
              <w:rPr>
                <w:rFonts w:ascii="Arial" w:cs="Arial" w:eastAsia="Arial" w:hAnsi="Arial"/>
                <w:sz w:val="16"/>
                <w:szCs w:val="16"/>
                <w:color w:val="auto"/>
              </w:rPr>
              <w:t>Trade and other receivables</w:t>
            </w:r>
          </w:p>
        </w:tc>
        <w:tc>
          <w:tcPr>
            <w:tcW w:w="9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20,244</w:t>
            </w:r>
          </w:p>
        </w:tc>
        <w:tc>
          <w:tcPr>
            <w:tcW w:w="300" w:type="dxa"/>
            <w:vAlign w:val="bottom"/>
            <w:shd w:val="clear" w:color="auto" w:fill="E5FFFF"/>
          </w:tcPr>
          <w:p>
            <w:pPr>
              <w:spacing w:after="0"/>
              <w:rPr>
                <w:sz w:val="17"/>
                <w:szCs w:val="17"/>
                <w:color w:val="auto"/>
              </w:rPr>
            </w:pPr>
          </w:p>
        </w:tc>
        <w:tc>
          <w:tcPr>
            <w:tcW w:w="172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24,476</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spacing w:after="0"/>
              <w:rPr>
                <w:sz w:val="20"/>
                <w:szCs w:val="20"/>
                <w:color w:val="auto"/>
              </w:rPr>
            </w:pPr>
            <w:r>
              <w:rPr>
                <w:rFonts w:ascii="Arial" w:cs="Arial" w:eastAsia="Arial" w:hAnsi="Arial"/>
                <w:sz w:val="16"/>
                <w:szCs w:val="16"/>
                <w:color w:val="auto"/>
              </w:rPr>
              <w:t>Dividends receivable and other amounts due from related parties</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8</w:t>
            </w:r>
          </w:p>
        </w:tc>
        <w:tc>
          <w:tcPr>
            <w:tcW w:w="3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33,395</w:t>
            </w:r>
          </w:p>
        </w:tc>
        <w:tc>
          <w:tcPr>
            <w:tcW w:w="300" w:type="dxa"/>
            <w:vAlign w:val="bottom"/>
          </w:tcPr>
          <w:p>
            <w:pPr>
              <w:spacing w:after="0"/>
              <w:rPr>
                <w:sz w:val="17"/>
                <w:szCs w:val="17"/>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6"/>
                <w:szCs w:val="16"/>
                <w:color w:val="auto"/>
              </w:rPr>
              <w:t>509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w:t>
            </w:r>
          </w:p>
        </w:tc>
        <w:tc>
          <w:tcPr>
            <w:tcW w:w="9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15</w:t>
            </w:r>
          </w:p>
        </w:tc>
        <w:tc>
          <w:tcPr>
            <w:tcW w:w="300" w:type="dxa"/>
            <w:vAlign w:val="bottom"/>
            <w:shd w:val="clear" w:color="auto" w:fill="E5FFFF"/>
          </w:tcPr>
          <w:p>
            <w:pPr>
              <w:spacing w:after="0"/>
              <w:rPr>
                <w:sz w:val="17"/>
                <w:szCs w:val="17"/>
                <w:color w:val="auto"/>
              </w:rPr>
            </w:pP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6,222</w:t>
            </w:r>
          </w:p>
        </w:tc>
        <w:tc>
          <w:tcPr>
            <w:tcW w:w="300" w:type="dxa"/>
            <w:vAlign w:val="bottom"/>
            <w:shd w:val="clear" w:color="auto" w:fill="E5FFFF"/>
          </w:tcPr>
          <w:p>
            <w:pPr>
              <w:spacing w:after="0"/>
              <w:rPr>
                <w:sz w:val="17"/>
                <w:szCs w:val="17"/>
                <w:color w:val="auto"/>
              </w:rPr>
            </w:pPr>
          </w:p>
        </w:tc>
        <w:tc>
          <w:tcPr>
            <w:tcW w:w="172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108</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spacing w:after="0"/>
              <w:rPr>
                <w:sz w:val="20"/>
                <w:szCs w:val="20"/>
                <w:color w:val="auto"/>
              </w:rPr>
            </w:pPr>
            <w:r>
              <w:rPr>
                <w:rFonts w:ascii="Arial" w:cs="Arial" w:eastAsia="Arial" w:hAnsi="Arial"/>
                <w:sz w:val="16"/>
                <w:szCs w:val="16"/>
                <w:color w:val="auto"/>
              </w:rPr>
              <w:t>Inventories</w:t>
            </w: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7,753</w:t>
            </w:r>
          </w:p>
        </w:tc>
        <w:tc>
          <w:tcPr>
            <w:tcW w:w="300" w:type="dxa"/>
            <w:vAlign w:val="bottom"/>
          </w:tcPr>
          <w:p>
            <w:pPr>
              <w:spacing w:after="0"/>
              <w:rPr>
                <w:sz w:val="17"/>
                <w:szCs w:val="17"/>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6"/>
                <w:szCs w:val="16"/>
                <w:color w:val="auto"/>
              </w:rPr>
              <w:t>7,702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E5FFFF"/>
          </w:tcPr>
          <w:p>
            <w:pPr>
              <w:spacing w:after="0"/>
              <w:rPr>
                <w:sz w:val="20"/>
                <w:szCs w:val="20"/>
                <w:color w:val="auto"/>
              </w:rPr>
            </w:pPr>
            <w:r>
              <w:rPr>
                <w:rFonts w:ascii="Arial" w:cs="Arial" w:eastAsia="Arial" w:hAnsi="Arial"/>
                <w:sz w:val="16"/>
                <w:szCs w:val="16"/>
                <w:color w:val="auto"/>
              </w:rPr>
              <w:t>Prepayments and other current assets</w:t>
            </w:r>
          </w:p>
        </w:tc>
        <w:tc>
          <w:tcPr>
            <w:tcW w:w="9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3,680</w:t>
            </w:r>
          </w:p>
        </w:tc>
        <w:tc>
          <w:tcPr>
            <w:tcW w:w="300" w:type="dxa"/>
            <w:vAlign w:val="bottom"/>
            <w:shd w:val="clear" w:color="auto" w:fill="E5FFFF"/>
          </w:tcPr>
          <w:p>
            <w:pPr>
              <w:spacing w:after="0"/>
              <w:rPr>
                <w:sz w:val="17"/>
                <w:szCs w:val="17"/>
                <w:color w:val="auto"/>
              </w:rPr>
            </w:pPr>
          </w:p>
        </w:tc>
        <w:tc>
          <w:tcPr>
            <w:tcW w:w="172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6,759</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spacing w:after="0"/>
              <w:rPr>
                <w:sz w:val="20"/>
                <w:szCs w:val="20"/>
                <w:color w:val="auto"/>
              </w:rPr>
            </w:pPr>
            <w:r>
              <w:rPr>
                <w:rFonts w:ascii="Arial" w:cs="Arial" w:eastAsia="Arial" w:hAnsi="Arial"/>
                <w:sz w:val="16"/>
                <w:szCs w:val="16"/>
                <w:color w:val="auto"/>
              </w:rPr>
              <w:t>Short-term investments</w:t>
            </w: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25,000</w:t>
            </w:r>
          </w:p>
        </w:tc>
        <w:tc>
          <w:tcPr>
            <w:tcW w:w="300" w:type="dxa"/>
            <w:vAlign w:val="bottom"/>
          </w:tcPr>
          <w:p>
            <w:pPr>
              <w:spacing w:after="0"/>
              <w:rPr>
                <w:sz w:val="17"/>
                <w:szCs w:val="17"/>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6"/>
                <w:szCs w:val="16"/>
                <w:color w:val="auto"/>
              </w:rPr>
              <w:t>24,000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E5FFFF"/>
          </w:tcPr>
          <w:p>
            <w:pPr>
              <w:spacing w:after="0"/>
              <w:rPr>
                <w:sz w:val="20"/>
                <w:szCs w:val="20"/>
                <w:color w:val="auto"/>
              </w:rPr>
            </w:pPr>
            <w:r>
              <w:rPr>
                <w:rFonts w:ascii="Arial" w:cs="Arial" w:eastAsia="Arial" w:hAnsi="Arial"/>
                <w:sz w:val="16"/>
                <w:szCs w:val="16"/>
                <w:color w:val="auto"/>
              </w:rPr>
              <w:t>Cash and cash equivalents</w:t>
            </w:r>
          </w:p>
        </w:tc>
        <w:tc>
          <w:tcPr>
            <w:tcW w:w="9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342,594</w:t>
            </w:r>
          </w:p>
        </w:tc>
        <w:tc>
          <w:tcPr>
            <w:tcW w:w="300" w:type="dxa"/>
            <w:vAlign w:val="bottom"/>
            <w:shd w:val="clear" w:color="auto" w:fill="E5FFFF"/>
          </w:tcPr>
          <w:p>
            <w:pPr>
              <w:spacing w:after="0"/>
              <w:rPr>
                <w:sz w:val="17"/>
                <w:szCs w:val="17"/>
                <w:color w:val="auto"/>
              </w:rPr>
            </w:pPr>
          </w:p>
        </w:tc>
        <w:tc>
          <w:tcPr>
            <w:tcW w:w="172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183,582</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current assets</w:t>
            </w:r>
          </w:p>
        </w:tc>
        <w:tc>
          <w:tcPr>
            <w:tcW w:w="920" w:type="dxa"/>
            <w:vAlign w:val="bottom"/>
            <w:tcBorders>
              <w:bottom w:val="single" w:sz="8" w:color="E5FFFF"/>
            </w:tcBorders>
          </w:tcPr>
          <w:p>
            <w:pPr>
              <w:spacing w:after="0"/>
              <w:rPr>
                <w:sz w:val="17"/>
                <w:szCs w:val="17"/>
                <w:color w:val="auto"/>
              </w:rPr>
            </w:pPr>
          </w:p>
        </w:tc>
        <w:tc>
          <w:tcPr>
            <w:tcW w:w="300" w:type="dxa"/>
            <w:vAlign w:val="bottom"/>
            <w:tcBorders>
              <w:bottom w:val="single" w:sz="8" w:color="E5FFFF"/>
            </w:tcBorders>
          </w:tcPr>
          <w:p>
            <w:pPr>
              <w:spacing w:after="0"/>
              <w:rPr>
                <w:sz w:val="17"/>
                <w:szCs w:val="17"/>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438,888</w:t>
            </w:r>
          </w:p>
        </w:tc>
        <w:tc>
          <w:tcPr>
            <w:tcW w:w="300" w:type="dxa"/>
            <w:vAlign w:val="bottom"/>
            <w:tcBorders>
              <w:bottom w:val="single" w:sz="8" w:color="E5FFFF"/>
            </w:tcBorders>
          </w:tcPr>
          <w:p>
            <w:pPr>
              <w:spacing w:after="0"/>
              <w:rPr>
                <w:sz w:val="17"/>
                <w:szCs w:val="17"/>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247,136</w:t>
            </w:r>
          </w:p>
        </w:tc>
        <w:tc>
          <w:tcPr>
            <w:tcW w:w="20" w:type="dxa"/>
            <w:vAlign w:val="bottom"/>
            <w:tcBorders>
              <w:bottom w:val="single" w:sz="8" w:color="E5FFFF"/>
            </w:tcBorders>
          </w:tcPr>
          <w:p>
            <w:pPr>
              <w:spacing w:after="0"/>
              <w:rPr>
                <w:sz w:val="17"/>
                <w:szCs w:val="17"/>
                <w:color w:val="auto"/>
              </w:rPr>
            </w:pPr>
          </w:p>
        </w:tc>
        <w:tc>
          <w:tcPr>
            <w:tcW w:w="8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assets</w:t>
            </w:r>
          </w:p>
        </w:tc>
        <w:tc>
          <w:tcPr>
            <w:tcW w:w="920" w:type="dxa"/>
            <w:vAlign w:val="bottom"/>
            <w:tcBorders>
              <w:bottom w:val="single" w:sz="8" w:color="E5FFFF"/>
            </w:tcBorders>
            <w:shd w:val="clear" w:color="auto" w:fill="E5FFFF"/>
          </w:tcPr>
          <w:p>
            <w:pPr>
              <w:spacing w:after="0"/>
              <w:rPr>
                <w:sz w:val="17"/>
                <w:szCs w:val="17"/>
                <w:color w:val="auto"/>
              </w:rPr>
            </w:pPr>
          </w:p>
        </w:tc>
        <w:tc>
          <w:tcPr>
            <w:tcW w:w="300" w:type="dxa"/>
            <w:vAlign w:val="bottom"/>
            <w:tcBorders>
              <w:bottom w:val="single" w:sz="8" w:color="E5FFFF"/>
            </w:tcBorders>
            <w:shd w:val="clear" w:color="auto" w:fill="E5FFFF"/>
          </w:tcPr>
          <w:p>
            <w:pPr>
              <w:spacing w:after="0"/>
              <w:rPr>
                <w:sz w:val="17"/>
                <w:szCs w:val="17"/>
                <w:color w:val="auto"/>
              </w:rPr>
            </w:pPr>
          </w:p>
        </w:tc>
        <w:tc>
          <w:tcPr>
            <w:tcW w:w="1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5,174,807</w:t>
            </w:r>
          </w:p>
        </w:tc>
        <w:tc>
          <w:tcPr>
            <w:tcW w:w="300" w:type="dxa"/>
            <w:vAlign w:val="bottom"/>
            <w:tcBorders>
              <w:bottom w:val="single" w:sz="8" w:color="E5FFFF"/>
            </w:tcBorders>
            <w:shd w:val="clear" w:color="auto" w:fill="E5FFFF"/>
          </w:tcPr>
          <w:p>
            <w:pPr>
              <w:spacing w:after="0"/>
              <w:rPr>
                <w:sz w:val="17"/>
                <w:szCs w:val="17"/>
                <w:color w:val="auto"/>
              </w:rPr>
            </w:pPr>
          </w:p>
        </w:tc>
        <w:tc>
          <w:tcPr>
            <w:tcW w:w="1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5,319,384</w:t>
            </w:r>
          </w:p>
        </w:tc>
        <w:tc>
          <w:tcPr>
            <w:tcW w:w="20" w:type="dxa"/>
            <w:vAlign w:val="bottom"/>
            <w:tcBorders>
              <w:bottom w:val="single" w:sz="8" w:color="E5FFFF"/>
            </w:tcBorders>
            <w:shd w:val="clear" w:color="auto" w:fill="E5FFFF"/>
          </w:tcPr>
          <w:p>
            <w:pPr>
              <w:spacing w:after="0"/>
              <w:rPr>
                <w:sz w:val="17"/>
                <w:szCs w:val="17"/>
                <w:color w:val="auto"/>
              </w:rPr>
            </w:pPr>
          </w:p>
        </w:tc>
        <w:tc>
          <w:tcPr>
            <w:tcW w:w="80" w:type="dxa"/>
            <w:vAlign w:val="bottom"/>
            <w:tcBorders>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6"/>
                <w:szCs w:val="16"/>
                <w:b w:val="1"/>
                <w:bCs w:val="1"/>
                <w:color w:val="auto"/>
              </w:rPr>
              <w:t>Equity and liabilities</w:t>
            </w: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0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Equity</w:t>
            </w:r>
          </w:p>
        </w:tc>
        <w:tc>
          <w:tcPr>
            <w:tcW w:w="9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70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7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spacing w:after="0"/>
              <w:rPr>
                <w:sz w:val="20"/>
                <w:szCs w:val="20"/>
                <w:color w:val="auto"/>
              </w:rPr>
            </w:pPr>
            <w:r>
              <w:rPr>
                <w:rFonts w:ascii="Arial" w:cs="Arial" w:eastAsia="Arial" w:hAnsi="Arial"/>
                <w:sz w:val="16"/>
                <w:szCs w:val="16"/>
                <w:color w:val="auto"/>
              </w:rPr>
              <w:t>Preference shares</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13</w:t>
            </w:r>
          </w:p>
        </w:tc>
        <w:tc>
          <w:tcPr>
            <w:tcW w:w="3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46</w:t>
            </w:r>
          </w:p>
        </w:tc>
        <w:tc>
          <w:tcPr>
            <w:tcW w:w="300" w:type="dxa"/>
            <w:vAlign w:val="bottom"/>
          </w:tcPr>
          <w:p>
            <w:pPr>
              <w:spacing w:after="0"/>
              <w:rPr>
                <w:sz w:val="17"/>
                <w:szCs w:val="17"/>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6"/>
                <w:szCs w:val="16"/>
                <w:color w:val="auto"/>
              </w:rPr>
              <w:t>46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E5FFFF"/>
          </w:tcPr>
          <w:p>
            <w:pPr>
              <w:spacing w:after="0"/>
              <w:rPr>
                <w:sz w:val="20"/>
                <w:szCs w:val="20"/>
                <w:color w:val="auto"/>
              </w:rPr>
            </w:pPr>
            <w:r>
              <w:rPr>
                <w:rFonts w:ascii="Arial" w:cs="Arial" w:eastAsia="Arial" w:hAnsi="Arial"/>
                <w:sz w:val="16"/>
                <w:szCs w:val="16"/>
                <w:color w:val="auto"/>
              </w:rPr>
              <w:t>Share capital</w:t>
            </w:r>
          </w:p>
        </w:tc>
        <w:tc>
          <w:tcPr>
            <w:tcW w:w="9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13</w:t>
            </w:r>
          </w:p>
        </w:tc>
        <w:tc>
          <w:tcPr>
            <w:tcW w:w="300" w:type="dxa"/>
            <w:vAlign w:val="bottom"/>
            <w:shd w:val="clear" w:color="auto" w:fill="E5FFFF"/>
          </w:tcPr>
          <w:p>
            <w:pPr>
              <w:spacing w:after="0"/>
              <w:rPr>
                <w:sz w:val="17"/>
                <w:szCs w:val="17"/>
                <w:color w:val="auto"/>
              </w:rPr>
            </w:pP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810</w:t>
            </w:r>
          </w:p>
        </w:tc>
        <w:tc>
          <w:tcPr>
            <w:tcW w:w="300" w:type="dxa"/>
            <w:vAlign w:val="bottom"/>
            <w:shd w:val="clear" w:color="auto" w:fill="E5FFFF"/>
          </w:tcPr>
          <w:p>
            <w:pPr>
              <w:spacing w:after="0"/>
              <w:rPr>
                <w:sz w:val="17"/>
                <w:szCs w:val="17"/>
                <w:color w:val="auto"/>
              </w:rPr>
            </w:pPr>
          </w:p>
        </w:tc>
        <w:tc>
          <w:tcPr>
            <w:tcW w:w="172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810</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spacing w:after="0"/>
              <w:rPr>
                <w:sz w:val="20"/>
                <w:szCs w:val="20"/>
                <w:color w:val="auto"/>
              </w:rPr>
            </w:pPr>
            <w:r>
              <w:rPr>
                <w:rFonts w:ascii="Arial" w:cs="Arial" w:eastAsia="Arial" w:hAnsi="Arial"/>
                <w:sz w:val="16"/>
                <w:szCs w:val="16"/>
                <w:color w:val="auto"/>
              </w:rPr>
              <w:t>Contributed surplus</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13</w:t>
            </w:r>
          </w:p>
        </w:tc>
        <w:tc>
          <w:tcPr>
            <w:tcW w:w="3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850,576</w:t>
            </w:r>
          </w:p>
        </w:tc>
        <w:tc>
          <w:tcPr>
            <w:tcW w:w="300" w:type="dxa"/>
            <w:vAlign w:val="bottom"/>
          </w:tcPr>
          <w:p>
            <w:pPr>
              <w:spacing w:after="0"/>
              <w:rPr>
                <w:sz w:val="17"/>
                <w:szCs w:val="17"/>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6"/>
                <w:szCs w:val="16"/>
                <w:color w:val="auto"/>
              </w:rPr>
              <w:t>806,058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E5FFFF"/>
          </w:tcPr>
          <w:p>
            <w:pPr>
              <w:spacing w:after="0"/>
              <w:rPr>
                <w:sz w:val="20"/>
                <w:szCs w:val="20"/>
                <w:color w:val="auto"/>
              </w:rPr>
            </w:pPr>
            <w:r>
              <w:rPr>
                <w:rFonts w:ascii="Arial" w:cs="Arial" w:eastAsia="Arial" w:hAnsi="Arial"/>
                <w:sz w:val="16"/>
                <w:szCs w:val="16"/>
                <w:color w:val="auto"/>
              </w:rPr>
              <w:t>Reserves</w:t>
            </w:r>
          </w:p>
        </w:tc>
        <w:tc>
          <w:tcPr>
            <w:tcW w:w="9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18,962</w:t>
            </w:r>
          </w:p>
        </w:tc>
        <w:tc>
          <w:tcPr>
            <w:tcW w:w="300" w:type="dxa"/>
            <w:vAlign w:val="bottom"/>
            <w:shd w:val="clear" w:color="auto" w:fill="E5FFFF"/>
          </w:tcPr>
          <w:p>
            <w:pPr>
              <w:spacing w:after="0"/>
              <w:rPr>
                <w:sz w:val="17"/>
                <w:szCs w:val="17"/>
                <w:color w:val="auto"/>
              </w:rPr>
            </w:pPr>
          </w:p>
        </w:tc>
        <w:tc>
          <w:tcPr>
            <w:tcW w:w="172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14,369</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spacing w:after="0"/>
              <w:rPr>
                <w:sz w:val="20"/>
                <w:szCs w:val="20"/>
                <w:color w:val="auto"/>
              </w:rPr>
            </w:pPr>
            <w:r>
              <w:rPr>
                <w:rFonts w:ascii="Arial" w:cs="Arial" w:eastAsia="Arial" w:hAnsi="Arial"/>
                <w:sz w:val="16"/>
                <w:szCs w:val="16"/>
                <w:color w:val="auto"/>
              </w:rPr>
              <w:t>Treasury shares</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13</w:t>
            </w:r>
          </w:p>
        </w:tc>
        <w:tc>
          <w:tcPr>
            <w:tcW w:w="300" w:type="dxa"/>
            <w:vAlign w:val="bottom"/>
          </w:tcPr>
          <w:p>
            <w:pPr>
              <w:spacing w:after="0"/>
              <w:rPr>
                <w:sz w:val="17"/>
                <w:szCs w:val="17"/>
                <w:color w:val="auto"/>
              </w:rPr>
            </w:pPr>
          </w:p>
        </w:tc>
        <w:tc>
          <w:tcPr>
            <w:tcW w:w="2000" w:type="dxa"/>
            <w:vAlign w:val="bottom"/>
            <w:gridSpan w:val="2"/>
          </w:tcPr>
          <w:p>
            <w:pPr>
              <w:jc w:val="right"/>
              <w:ind w:right="240"/>
              <w:spacing w:after="0"/>
              <w:rPr>
                <w:sz w:val="20"/>
                <w:szCs w:val="20"/>
                <w:color w:val="auto"/>
              </w:rPr>
            </w:pPr>
            <w:r>
              <w:rPr>
                <w:rFonts w:ascii="Arial" w:cs="Arial" w:eastAsia="Arial" w:hAnsi="Arial"/>
                <w:sz w:val="16"/>
                <w:szCs w:val="16"/>
                <w:color w:val="auto"/>
              </w:rPr>
              <w:t>(3,266)</w:t>
            </w:r>
          </w:p>
        </w:tc>
        <w:tc>
          <w:tcPr>
            <w:tcW w:w="1800" w:type="dxa"/>
            <w:vAlign w:val="bottom"/>
            <w:gridSpan w:val="3"/>
          </w:tcPr>
          <w:p>
            <w:pPr>
              <w:jc w:val="right"/>
              <w:ind w:right="60"/>
              <w:spacing w:after="0"/>
              <w:rPr>
                <w:sz w:val="20"/>
                <w:szCs w:val="20"/>
                <w:color w:val="auto"/>
              </w:rPr>
            </w:pPr>
            <w:r>
              <w:rPr>
                <w:rFonts w:ascii="Arial" w:cs="Arial" w:eastAsia="Arial" w:hAnsi="Arial"/>
                <w:sz w:val="16"/>
                <w:szCs w:val="16"/>
                <w:color w:val="auto"/>
              </w:rPr>
              <w:t>(2,342)</w:t>
            </w:r>
          </w:p>
        </w:tc>
        <w:tc>
          <w:tcPr>
            <w:tcW w:w="0" w:type="dxa"/>
            <w:vAlign w:val="bottom"/>
          </w:tcPr>
          <w:p>
            <w:pPr>
              <w:spacing w:after="0"/>
              <w:rPr>
                <w:sz w:val="1"/>
                <w:szCs w:val="1"/>
                <w:color w:val="auto"/>
              </w:rPr>
            </w:pPr>
          </w:p>
        </w:tc>
      </w:tr>
      <w:tr>
        <w:trPr>
          <w:trHeight w:val="203"/>
        </w:trPr>
        <w:tc>
          <w:tcPr>
            <w:tcW w:w="6400" w:type="dxa"/>
            <w:vAlign w:val="bottom"/>
            <w:shd w:val="clear" w:color="auto" w:fill="E5FFFF"/>
          </w:tcPr>
          <w:p>
            <w:pPr>
              <w:spacing w:after="0"/>
              <w:rPr>
                <w:sz w:val="20"/>
                <w:szCs w:val="20"/>
                <w:color w:val="auto"/>
              </w:rPr>
            </w:pPr>
            <w:r>
              <w:rPr>
                <w:rFonts w:ascii="Arial" w:cs="Arial" w:eastAsia="Arial" w:hAnsi="Arial"/>
                <w:sz w:val="16"/>
                <w:szCs w:val="16"/>
                <w:color w:val="auto"/>
              </w:rPr>
              <w:t>Retained earnings/(Accumulated deficit)</w:t>
            </w:r>
          </w:p>
        </w:tc>
        <w:tc>
          <w:tcPr>
            <w:tcW w:w="9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12,614</w:t>
            </w:r>
          </w:p>
        </w:tc>
        <w:tc>
          <w:tcPr>
            <w:tcW w:w="300" w:type="dxa"/>
            <w:vAlign w:val="bottom"/>
            <w:shd w:val="clear" w:color="auto" w:fill="E5FFFF"/>
          </w:tcPr>
          <w:p>
            <w:pPr>
              <w:spacing w:after="0"/>
              <w:rPr>
                <w:sz w:val="17"/>
                <w:szCs w:val="17"/>
                <w:color w:val="auto"/>
              </w:rPr>
            </w:pPr>
          </w:p>
        </w:tc>
        <w:tc>
          <w:tcPr>
            <w:tcW w:w="1800" w:type="dxa"/>
            <w:vAlign w:val="bottom"/>
            <w:gridSpan w:val="3"/>
            <w:shd w:val="clear" w:color="auto" w:fill="E5FFFF"/>
          </w:tcPr>
          <w:p>
            <w:pPr>
              <w:jc w:val="right"/>
              <w:ind w:right="60"/>
              <w:spacing w:after="0"/>
              <w:rPr>
                <w:sz w:val="20"/>
                <w:szCs w:val="20"/>
                <w:color w:val="auto"/>
              </w:rPr>
            </w:pPr>
            <w:r>
              <w:rPr>
                <w:rFonts w:ascii="Arial" w:cs="Arial" w:eastAsia="Arial" w:hAnsi="Arial"/>
                <w:sz w:val="16"/>
                <w:szCs w:val="16"/>
                <w:color w:val="auto"/>
              </w:rPr>
              <w:t>(37,661)</w:t>
            </w:r>
          </w:p>
        </w:tc>
        <w:tc>
          <w:tcPr>
            <w:tcW w:w="0" w:type="dxa"/>
            <w:vAlign w:val="bottom"/>
          </w:tcPr>
          <w:p>
            <w:pPr>
              <w:spacing w:after="0"/>
              <w:rPr>
                <w:sz w:val="1"/>
                <w:szCs w:val="1"/>
                <w:color w:val="auto"/>
              </w:rPr>
            </w:pPr>
          </w:p>
        </w:tc>
      </w:tr>
      <w:tr>
        <w:trPr>
          <w:trHeight w:val="196"/>
        </w:trPr>
        <w:tc>
          <w:tcPr>
            <w:tcW w:w="6400" w:type="dxa"/>
            <w:vAlign w:val="bottom"/>
          </w:tcPr>
          <w:p>
            <w:pPr>
              <w:spacing w:after="0"/>
              <w:rPr>
                <w:sz w:val="20"/>
                <w:szCs w:val="20"/>
                <w:color w:val="auto"/>
              </w:rPr>
            </w:pPr>
            <w:r>
              <w:rPr>
                <w:rFonts w:ascii="Arial" w:cs="Arial" w:eastAsia="Arial" w:hAnsi="Arial"/>
                <w:sz w:val="16"/>
                <w:szCs w:val="16"/>
                <w:b w:val="1"/>
                <w:bCs w:val="1"/>
                <w:color w:val="auto"/>
              </w:rPr>
              <w:t>Equity attributable to owners of the Group</w:t>
            </w: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879,742</w:t>
            </w:r>
          </w:p>
        </w:tc>
        <w:tc>
          <w:tcPr>
            <w:tcW w:w="300" w:type="dxa"/>
            <w:vAlign w:val="bottom"/>
          </w:tcPr>
          <w:p>
            <w:pPr>
              <w:spacing w:after="0"/>
              <w:rPr>
                <w:sz w:val="17"/>
                <w:szCs w:val="17"/>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781,280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E5FFFF"/>
          </w:tcPr>
          <w:p>
            <w:pPr>
              <w:spacing w:after="0"/>
              <w:rPr>
                <w:sz w:val="20"/>
                <w:szCs w:val="20"/>
                <w:color w:val="auto"/>
              </w:rPr>
            </w:pPr>
            <w:r>
              <w:rPr>
                <w:rFonts w:ascii="Arial" w:cs="Arial" w:eastAsia="Arial" w:hAnsi="Arial"/>
                <w:sz w:val="16"/>
                <w:szCs w:val="16"/>
                <w:color w:val="auto"/>
              </w:rPr>
              <w:t>Non-controlling interests</w:t>
            </w:r>
          </w:p>
        </w:tc>
        <w:tc>
          <w:tcPr>
            <w:tcW w:w="9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1,103,380</w:t>
            </w:r>
          </w:p>
        </w:tc>
        <w:tc>
          <w:tcPr>
            <w:tcW w:w="300" w:type="dxa"/>
            <w:vAlign w:val="bottom"/>
            <w:shd w:val="clear" w:color="auto" w:fill="E5FFFF"/>
          </w:tcPr>
          <w:p>
            <w:pPr>
              <w:spacing w:after="0"/>
              <w:rPr>
                <w:sz w:val="17"/>
                <w:szCs w:val="17"/>
                <w:color w:val="auto"/>
              </w:rPr>
            </w:pPr>
          </w:p>
        </w:tc>
        <w:tc>
          <w:tcPr>
            <w:tcW w:w="172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1,059,720</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equity</w:t>
            </w:r>
          </w:p>
        </w:tc>
        <w:tc>
          <w:tcPr>
            <w:tcW w:w="920" w:type="dxa"/>
            <w:vAlign w:val="bottom"/>
            <w:tcBorders>
              <w:bottom w:val="single" w:sz="8" w:color="E5FFFF"/>
            </w:tcBorders>
          </w:tcPr>
          <w:p>
            <w:pPr>
              <w:spacing w:after="0"/>
              <w:rPr>
                <w:sz w:val="17"/>
                <w:szCs w:val="17"/>
                <w:color w:val="auto"/>
              </w:rPr>
            </w:pPr>
          </w:p>
        </w:tc>
        <w:tc>
          <w:tcPr>
            <w:tcW w:w="300" w:type="dxa"/>
            <w:vAlign w:val="bottom"/>
            <w:tcBorders>
              <w:bottom w:val="single" w:sz="8" w:color="E5FFFF"/>
            </w:tcBorders>
          </w:tcPr>
          <w:p>
            <w:pPr>
              <w:spacing w:after="0"/>
              <w:rPr>
                <w:sz w:val="17"/>
                <w:szCs w:val="17"/>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1,983,122</w:t>
            </w:r>
          </w:p>
        </w:tc>
        <w:tc>
          <w:tcPr>
            <w:tcW w:w="300" w:type="dxa"/>
            <w:vAlign w:val="bottom"/>
            <w:tcBorders>
              <w:bottom w:val="single" w:sz="8" w:color="E5FFFF"/>
            </w:tcBorders>
          </w:tcPr>
          <w:p>
            <w:pPr>
              <w:spacing w:after="0"/>
              <w:rPr>
                <w:sz w:val="17"/>
                <w:szCs w:val="17"/>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1,841,000</w:t>
            </w:r>
          </w:p>
        </w:tc>
        <w:tc>
          <w:tcPr>
            <w:tcW w:w="20" w:type="dxa"/>
            <w:vAlign w:val="bottom"/>
            <w:tcBorders>
              <w:bottom w:val="single" w:sz="8" w:color="E5FFFF"/>
            </w:tcBorders>
          </w:tcPr>
          <w:p>
            <w:pPr>
              <w:spacing w:after="0"/>
              <w:rPr>
                <w:sz w:val="17"/>
                <w:szCs w:val="17"/>
                <w:color w:val="auto"/>
              </w:rPr>
            </w:pPr>
          </w:p>
        </w:tc>
        <w:tc>
          <w:tcPr>
            <w:tcW w:w="8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400" w:type="dxa"/>
            <w:vAlign w:val="bottom"/>
            <w:shd w:val="clear" w:color="auto" w:fill="E5FFFF"/>
          </w:tcPr>
          <w:p>
            <w:pPr>
              <w:spacing w:after="0" w:line="183" w:lineRule="exact"/>
              <w:rPr>
                <w:sz w:val="20"/>
                <w:szCs w:val="20"/>
                <w:color w:val="auto"/>
              </w:rPr>
            </w:pPr>
            <w:r>
              <w:rPr>
                <w:rFonts w:ascii="Arial" w:cs="Arial" w:eastAsia="Arial" w:hAnsi="Arial"/>
                <w:sz w:val="16"/>
                <w:szCs w:val="16"/>
                <w:b w:val="1"/>
                <w:bCs w:val="1"/>
                <w:color w:val="auto"/>
              </w:rPr>
              <w:t>Current liabilities</w:t>
            </w:r>
          </w:p>
        </w:tc>
        <w:tc>
          <w:tcPr>
            <w:tcW w:w="920" w:type="dxa"/>
            <w:vAlign w:val="bottom"/>
            <w:shd w:val="clear" w:color="auto" w:fill="E5FFFF"/>
          </w:tcPr>
          <w:p>
            <w:pPr>
              <w:spacing w:after="0"/>
              <w:rPr>
                <w:sz w:val="15"/>
                <w:szCs w:val="15"/>
                <w:color w:val="auto"/>
              </w:rPr>
            </w:pPr>
          </w:p>
        </w:tc>
        <w:tc>
          <w:tcPr>
            <w:tcW w:w="300" w:type="dxa"/>
            <w:vAlign w:val="bottom"/>
            <w:shd w:val="clear" w:color="auto" w:fill="E5FFFF"/>
          </w:tcPr>
          <w:p>
            <w:pPr>
              <w:spacing w:after="0"/>
              <w:rPr>
                <w:sz w:val="15"/>
                <w:szCs w:val="15"/>
                <w:color w:val="auto"/>
              </w:rPr>
            </w:pPr>
          </w:p>
        </w:tc>
        <w:tc>
          <w:tcPr>
            <w:tcW w:w="1700" w:type="dxa"/>
            <w:vAlign w:val="bottom"/>
            <w:shd w:val="clear" w:color="auto" w:fill="E5FFFF"/>
          </w:tcPr>
          <w:p>
            <w:pPr>
              <w:spacing w:after="0"/>
              <w:rPr>
                <w:sz w:val="15"/>
                <w:szCs w:val="15"/>
                <w:color w:val="auto"/>
              </w:rPr>
            </w:pPr>
          </w:p>
        </w:tc>
        <w:tc>
          <w:tcPr>
            <w:tcW w:w="300" w:type="dxa"/>
            <w:vAlign w:val="bottom"/>
            <w:shd w:val="clear" w:color="auto" w:fill="E5FFFF"/>
          </w:tcPr>
          <w:p>
            <w:pPr>
              <w:spacing w:after="0"/>
              <w:rPr>
                <w:sz w:val="15"/>
                <w:szCs w:val="15"/>
                <w:color w:val="auto"/>
              </w:rPr>
            </w:pPr>
          </w:p>
        </w:tc>
        <w:tc>
          <w:tcPr>
            <w:tcW w:w="1700" w:type="dxa"/>
            <w:vAlign w:val="bottom"/>
            <w:shd w:val="clear" w:color="auto" w:fill="E5FFFF"/>
          </w:tcPr>
          <w:p>
            <w:pPr>
              <w:spacing w:after="0"/>
              <w:rPr>
                <w:sz w:val="15"/>
                <w:szCs w:val="15"/>
                <w:color w:val="auto"/>
              </w:rPr>
            </w:pPr>
          </w:p>
        </w:tc>
        <w:tc>
          <w:tcPr>
            <w:tcW w:w="20" w:type="dxa"/>
            <w:vAlign w:val="bottom"/>
            <w:shd w:val="clear" w:color="auto" w:fill="E5FFFF"/>
          </w:tcPr>
          <w:p>
            <w:pPr>
              <w:spacing w:after="0"/>
              <w:rPr>
                <w:sz w:val="15"/>
                <w:szCs w:val="15"/>
                <w:color w:val="auto"/>
              </w:rPr>
            </w:pPr>
          </w:p>
        </w:tc>
        <w:tc>
          <w:tcPr>
            <w:tcW w:w="80" w:type="dxa"/>
            <w:vAlign w:val="bottom"/>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400" w:type="dxa"/>
            <w:vAlign w:val="bottom"/>
          </w:tcPr>
          <w:p>
            <w:pPr>
              <w:spacing w:after="0"/>
              <w:rPr>
                <w:sz w:val="20"/>
                <w:szCs w:val="20"/>
                <w:color w:val="auto"/>
              </w:rPr>
            </w:pPr>
            <w:r>
              <w:rPr>
                <w:rFonts w:ascii="Arial" w:cs="Arial" w:eastAsia="Arial" w:hAnsi="Arial"/>
                <w:sz w:val="16"/>
                <w:szCs w:val="16"/>
                <w:color w:val="auto"/>
              </w:rPr>
              <w:t>Trade accounts payable</w:t>
            </w: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0" w:type="dxa"/>
            <w:vAlign w:val="bottom"/>
            <w:gridSpan w:val="2"/>
          </w:tcPr>
          <w:p>
            <w:pPr>
              <w:jc w:val="right"/>
              <w:ind w:right="300"/>
              <w:spacing w:after="0"/>
              <w:rPr>
                <w:sz w:val="20"/>
                <w:szCs w:val="20"/>
                <w:color w:val="auto"/>
              </w:rPr>
            </w:pPr>
            <w:r>
              <w:rPr>
                <w:rFonts w:ascii="Arial" w:cs="Arial" w:eastAsia="Arial" w:hAnsi="Arial"/>
                <w:sz w:val="16"/>
                <w:szCs w:val="16"/>
                <w:color w:val="auto"/>
              </w:rPr>
              <w:t>11,890</w:t>
            </w:r>
          </w:p>
        </w:tc>
        <w:tc>
          <w:tcPr>
            <w:tcW w:w="1720" w:type="dxa"/>
            <w:vAlign w:val="bottom"/>
            <w:gridSpan w:val="2"/>
          </w:tcPr>
          <w:p>
            <w:pPr>
              <w:jc w:val="right"/>
              <w:ind w:right="20"/>
              <w:spacing w:after="0"/>
              <w:rPr>
                <w:sz w:val="20"/>
                <w:szCs w:val="20"/>
                <w:color w:val="auto"/>
              </w:rPr>
            </w:pPr>
            <w:r>
              <w:rPr>
                <w:rFonts w:ascii="Arial" w:cs="Arial" w:eastAsia="Arial" w:hAnsi="Arial"/>
                <w:sz w:val="16"/>
                <w:szCs w:val="16"/>
                <w:color w:val="auto"/>
              </w:rPr>
              <w:t>22,175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E5FFFF"/>
          </w:tcPr>
          <w:p>
            <w:pPr>
              <w:spacing w:after="0"/>
              <w:rPr>
                <w:sz w:val="20"/>
                <w:szCs w:val="20"/>
                <w:color w:val="auto"/>
              </w:rPr>
            </w:pPr>
            <w:r>
              <w:rPr>
                <w:rFonts w:ascii="Arial" w:cs="Arial" w:eastAsia="Arial" w:hAnsi="Arial"/>
                <w:sz w:val="16"/>
                <w:szCs w:val="16"/>
                <w:color w:val="auto"/>
              </w:rPr>
              <w:t>Ship management creditors</w:t>
            </w:r>
          </w:p>
        </w:tc>
        <w:tc>
          <w:tcPr>
            <w:tcW w:w="9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580</w:t>
            </w:r>
          </w:p>
        </w:tc>
        <w:tc>
          <w:tcPr>
            <w:tcW w:w="300" w:type="dxa"/>
            <w:vAlign w:val="bottom"/>
            <w:shd w:val="clear" w:color="auto" w:fill="E5FFFF"/>
          </w:tcPr>
          <w:p>
            <w:pPr>
              <w:spacing w:after="0"/>
              <w:rPr>
                <w:sz w:val="17"/>
                <w:szCs w:val="17"/>
                <w:color w:val="auto"/>
              </w:rPr>
            </w:pPr>
          </w:p>
        </w:tc>
        <w:tc>
          <w:tcPr>
            <w:tcW w:w="172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788</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spacing w:after="0"/>
              <w:rPr>
                <w:sz w:val="20"/>
                <w:szCs w:val="20"/>
                <w:color w:val="auto"/>
              </w:rPr>
            </w:pPr>
            <w:r>
              <w:rPr>
                <w:rFonts w:ascii="Arial" w:cs="Arial" w:eastAsia="Arial" w:hAnsi="Arial"/>
                <w:sz w:val="16"/>
                <w:szCs w:val="16"/>
                <w:color w:val="auto"/>
              </w:rPr>
              <w:t>Amounts due to related parties</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8</w:t>
            </w:r>
          </w:p>
        </w:tc>
        <w:tc>
          <w:tcPr>
            <w:tcW w:w="3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169</w:t>
            </w:r>
          </w:p>
        </w:tc>
        <w:tc>
          <w:tcPr>
            <w:tcW w:w="300" w:type="dxa"/>
            <w:vAlign w:val="bottom"/>
          </w:tcPr>
          <w:p>
            <w:pPr>
              <w:spacing w:after="0"/>
              <w:rPr>
                <w:sz w:val="17"/>
                <w:szCs w:val="17"/>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6"/>
                <w:szCs w:val="16"/>
                <w:color w:val="auto"/>
              </w:rPr>
              <w:t>264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w:t>
            </w:r>
          </w:p>
        </w:tc>
        <w:tc>
          <w:tcPr>
            <w:tcW w:w="9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15</w:t>
            </w:r>
          </w:p>
        </w:tc>
        <w:tc>
          <w:tcPr>
            <w:tcW w:w="300" w:type="dxa"/>
            <w:vAlign w:val="bottom"/>
            <w:shd w:val="clear" w:color="auto" w:fill="E5FFFF"/>
          </w:tcPr>
          <w:p>
            <w:pPr>
              <w:spacing w:after="0"/>
              <w:rPr>
                <w:sz w:val="17"/>
                <w:szCs w:val="17"/>
                <w:color w:val="auto"/>
              </w:rPr>
            </w:pP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2,091</w:t>
            </w:r>
          </w:p>
        </w:tc>
        <w:tc>
          <w:tcPr>
            <w:tcW w:w="300" w:type="dxa"/>
            <w:vAlign w:val="bottom"/>
            <w:shd w:val="clear" w:color="auto" w:fill="E5FFFF"/>
          </w:tcPr>
          <w:p>
            <w:pPr>
              <w:spacing w:after="0"/>
              <w:rPr>
                <w:sz w:val="17"/>
                <w:szCs w:val="17"/>
                <w:color w:val="auto"/>
              </w:rPr>
            </w:pPr>
          </w:p>
        </w:tc>
        <w:tc>
          <w:tcPr>
            <w:tcW w:w="172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7,535</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spacing w:after="0"/>
              <w:rPr>
                <w:sz w:val="20"/>
                <w:szCs w:val="20"/>
                <w:color w:val="auto"/>
              </w:rPr>
            </w:pPr>
            <w:r>
              <w:rPr>
                <w:rFonts w:ascii="Arial" w:cs="Arial" w:eastAsia="Arial" w:hAnsi="Arial"/>
                <w:sz w:val="16"/>
                <w:szCs w:val="16"/>
                <w:color w:val="auto"/>
              </w:rPr>
              <w:t>Other payables and accruals</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12</w:t>
            </w:r>
          </w:p>
        </w:tc>
        <w:tc>
          <w:tcPr>
            <w:tcW w:w="3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127,450</w:t>
            </w:r>
          </w:p>
        </w:tc>
        <w:tc>
          <w:tcPr>
            <w:tcW w:w="300" w:type="dxa"/>
            <w:vAlign w:val="bottom"/>
          </w:tcPr>
          <w:p>
            <w:pPr>
              <w:spacing w:after="0"/>
              <w:rPr>
                <w:sz w:val="17"/>
                <w:szCs w:val="17"/>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6"/>
                <w:szCs w:val="16"/>
                <w:color w:val="auto"/>
              </w:rPr>
              <w:t>61,496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E5FFFF"/>
          </w:tcPr>
          <w:p>
            <w:pPr>
              <w:spacing w:after="0"/>
              <w:rPr>
                <w:sz w:val="20"/>
                <w:szCs w:val="20"/>
                <w:color w:val="auto"/>
              </w:rPr>
            </w:pPr>
            <w:r>
              <w:rPr>
                <w:rFonts w:ascii="Arial" w:cs="Arial" w:eastAsia="Arial" w:hAnsi="Arial"/>
                <w:sz w:val="16"/>
                <w:szCs w:val="16"/>
                <w:color w:val="auto"/>
              </w:rPr>
              <w:t>Borrowings, current portion</w:t>
            </w:r>
          </w:p>
        </w:tc>
        <w:tc>
          <w:tcPr>
            <w:tcW w:w="9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7</w:t>
            </w:r>
          </w:p>
        </w:tc>
        <w:tc>
          <w:tcPr>
            <w:tcW w:w="300" w:type="dxa"/>
            <w:vAlign w:val="bottom"/>
            <w:shd w:val="clear" w:color="auto" w:fill="E5FFFF"/>
          </w:tcPr>
          <w:p>
            <w:pPr>
              <w:spacing w:after="0"/>
              <w:rPr>
                <w:sz w:val="17"/>
                <w:szCs w:val="17"/>
                <w:color w:val="auto"/>
              </w:rPr>
            </w:pP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520,550</w:t>
            </w:r>
          </w:p>
        </w:tc>
        <w:tc>
          <w:tcPr>
            <w:tcW w:w="300" w:type="dxa"/>
            <w:vAlign w:val="bottom"/>
            <w:shd w:val="clear" w:color="auto" w:fill="E5FFFF"/>
          </w:tcPr>
          <w:p>
            <w:pPr>
              <w:spacing w:after="0"/>
              <w:rPr>
                <w:sz w:val="17"/>
                <w:szCs w:val="17"/>
                <w:color w:val="auto"/>
              </w:rPr>
            </w:pPr>
          </w:p>
        </w:tc>
        <w:tc>
          <w:tcPr>
            <w:tcW w:w="172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207,624</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spacing w:after="0"/>
              <w:rPr>
                <w:sz w:val="20"/>
                <w:szCs w:val="20"/>
                <w:color w:val="auto"/>
              </w:rPr>
            </w:pPr>
            <w:r>
              <w:rPr>
                <w:rFonts w:ascii="Arial" w:cs="Arial" w:eastAsia="Arial" w:hAnsi="Arial"/>
                <w:sz w:val="16"/>
                <w:szCs w:val="16"/>
                <w:color w:val="auto"/>
              </w:rPr>
              <w:t>Lease liability, current portion</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3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6,675</w:t>
            </w:r>
          </w:p>
        </w:tc>
        <w:tc>
          <w:tcPr>
            <w:tcW w:w="300" w:type="dxa"/>
            <w:vAlign w:val="bottom"/>
          </w:tcPr>
          <w:p>
            <w:pPr>
              <w:spacing w:after="0"/>
              <w:rPr>
                <w:sz w:val="17"/>
                <w:szCs w:val="17"/>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6"/>
                <w:szCs w:val="16"/>
                <w:color w:val="auto"/>
              </w:rPr>
              <w:t>9,280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current liabilities</w:t>
            </w:r>
          </w:p>
        </w:tc>
        <w:tc>
          <w:tcPr>
            <w:tcW w:w="920" w:type="dxa"/>
            <w:vAlign w:val="bottom"/>
            <w:tcBorders>
              <w:top w:val="single" w:sz="8" w:color="E5FFFF"/>
            </w:tcBorders>
            <w:shd w:val="clear" w:color="auto" w:fill="E5FFFF"/>
          </w:tcPr>
          <w:p>
            <w:pPr>
              <w:spacing w:after="0"/>
              <w:rPr>
                <w:sz w:val="17"/>
                <w:szCs w:val="17"/>
                <w:color w:val="auto"/>
              </w:rPr>
            </w:pPr>
          </w:p>
        </w:tc>
        <w:tc>
          <w:tcPr>
            <w:tcW w:w="300" w:type="dxa"/>
            <w:vAlign w:val="bottom"/>
            <w:tcBorders>
              <w:top w:val="single" w:sz="8" w:color="E5FFFF"/>
            </w:tcBorders>
            <w:shd w:val="clear" w:color="auto" w:fill="E5FFFF"/>
          </w:tcPr>
          <w:p>
            <w:pPr>
              <w:spacing w:after="0"/>
              <w:rPr>
                <w:sz w:val="17"/>
                <w:szCs w:val="17"/>
                <w:color w:val="auto"/>
              </w:rPr>
            </w:pP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669,405</w:t>
            </w:r>
          </w:p>
        </w:tc>
        <w:tc>
          <w:tcPr>
            <w:tcW w:w="300" w:type="dxa"/>
            <w:vAlign w:val="bottom"/>
            <w:tcBorders>
              <w:top w:val="single" w:sz="8" w:color="E5FFFF"/>
            </w:tcBorders>
            <w:shd w:val="clear" w:color="auto" w:fill="E5FFFF"/>
          </w:tcPr>
          <w:p>
            <w:pPr>
              <w:spacing w:after="0"/>
              <w:rPr>
                <w:sz w:val="17"/>
                <w:szCs w:val="17"/>
                <w:color w:val="auto"/>
              </w:rPr>
            </w:pP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309,162</w:t>
            </w:r>
          </w:p>
        </w:tc>
        <w:tc>
          <w:tcPr>
            <w:tcW w:w="2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400" w:type="dxa"/>
            <w:vAlign w:val="bottom"/>
          </w:tcPr>
          <w:p>
            <w:pPr>
              <w:spacing w:after="0" w:line="183" w:lineRule="exact"/>
              <w:rPr>
                <w:sz w:val="20"/>
                <w:szCs w:val="20"/>
                <w:color w:val="auto"/>
              </w:rPr>
            </w:pPr>
            <w:r>
              <w:rPr>
                <w:rFonts w:ascii="Arial" w:cs="Arial" w:eastAsia="Arial" w:hAnsi="Arial"/>
                <w:sz w:val="16"/>
                <w:szCs w:val="16"/>
                <w:b w:val="1"/>
                <w:bCs w:val="1"/>
                <w:color w:val="auto"/>
              </w:rPr>
              <w:t>Non-current liabilities</w:t>
            </w: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w:t>
            </w:r>
          </w:p>
        </w:tc>
        <w:tc>
          <w:tcPr>
            <w:tcW w:w="9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15</w:t>
            </w:r>
          </w:p>
        </w:tc>
        <w:tc>
          <w:tcPr>
            <w:tcW w:w="300" w:type="dxa"/>
            <w:vAlign w:val="bottom"/>
            <w:shd w:val="clear" w:color="auto" w:fill="E5FFFF"/>
          </w:tcPr>
          <w:p>
            <w:pPr>
              <w:spacing w:after="0"/>
              <w:rPr>
                <w:sz w:val="17"/>
                <w:szCs w:val="17"/>
                <w:color w:val="auto"/>
              </w:rPr>
            </w:pP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10,001</w:t>
            </w:r>
          </w:p>
        </w:tc>
        <w:tc>
          <w:tcPr>
            <w:tcW w:w="300" w:type="dxa"/>
            <w:vAlign w:val="bottom"/>
            <w:shd w:val="clear" w:color="auto" w:fill="E5FFFF"/>
          </w:tcPr>
          <w:p>
            <w:pPr>
              <w:spacing w:after="0"/>
              <w:rPr>
                <w:sz w:val="17"/>
                <w:szCs w:val="17"/>
                <w:color w:val="auto"/>
              </w:rPr>
            </w:pPr>
          </w:p>
        </w:tc>
        <w:tc>
          <w:tcPr>
            <w:tcW w:w="172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64,033</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spacing w:after="0"/>
              <w:rPr>
                <w:sz w:val="20"/>
                <w:szCs w:val="20"/>
                <w:color w:val="auto"/>
              </w:rPr>
            </w:pPr>
            <w:r>
              <w:rPr>
                <w:rFonts w:ascii="Arial" w:cs="Arial" w:eastAsia="Arial" w:hAnsi="Arial"/>
                <w:sz w:val="16"/>
                <w:szCs w:val="16"/>
                <w:color w:val="auto"/>
              </w:rPr>
              <w:t>Borrowings, non-current portion</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7</w:t>
            </w:r>
          </w:p>
        </w:tc>
        <w:tc>
          <w:tcPr>
            <w:tcW w:w="3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2,307,909</w:t>
            </w:r>
          </w:p>
        </w:tc>
        <w:tc>
          <w:tcPr>
            <w:tcW w:w="300" w:type="dxa"/>
            <w:vAlign w:val="bottom"/>
          </w:tcPr>
          <w:p>
            <w:pPr>
              <w:spacing w:after="0"/>
              <w:rPr>
                <w:sz w:val="17"/>
                <w:szCs w:val="17"/>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6"/>
                <w:szCs w:val="16"/>
                <w:color w:val="auto"/>
              </w:rPr>
              <w:t>2,900,165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E5FFFF"/>
          </w:tcPr>
          <w:p>
            <w:pPr>
              <w:spacing w:after="0"/>
              <w:rPr>
                <w:sz w:val="20"/>
                <w:szCs w:val="20"/>
                <w:color w:val="auto"/>
              </w:rPr>
            </w:pPr>
            <w:r>
              <w:rPr>
                <w:rFonts w:ascii="Arial" w:cs="Arial" w:eastAsia="Arial" w:hAnsi="Arial"/>
                <w:sz w:val="16"/>
                <w:szCs w:val="16"/>
                <w:color w:val="auto"/>
              </w:rPr>
              <w:t>Lease liability, non-current portion</w:t>
            </w:r>
          </w:p>
        </w:tc>
        <w:tc>
          <w:tcPr>
            <w:tcW w:w="9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6</w:t>
            </w:r>
          </w:p>
        </w:tc>
        <w:tc>
          <w:tcPr>
            <w:tcW w:w="300" w:type="dxa"/>
            <w:vAlign w:val="bottom"/>
            <w:shd w:val="clear" w:color="auto" w:fill="E5FFFF"/>
          </w:tcPr>
          <w:p>
            <w:pPr>
              <w:spacing w:after="0"/>
              <w:rPr>
                <w:sz w:val="17"/>
                <w:szCs w:val="17"/>
                <w:color w:val="auto"/>
              </w:rPr>
            </w:pP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199,424</w:t>
            </w:r>
          </w:p>
        </w:tc>
        <w:tc>
          <w:tcPr>
            <w:tcW w:w="300" w:type="dxa"/>
            <w:vAlign w:val="bottom"/>
            <w:shd w:val="clear" w:color="auto" w:fill="E5FFFF"/>
          </w:tcPr>
          <w:p>
            <w:pPr>
              <w:spacing w:after="0"/>
              <w:rPr>
                <w:sz w:val="17"/>
                <w:szCs w:val="17"/>
                <w:color w:val="auto"/>
              </w:rPr>
            </w:pPr>
          </w:p>
        </w:tc>
        <w:tc>
          <w:tcPr>
            <w:tcW w:w="172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198,194</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4,946</w:t>
            </w:r>
          </w:p>
        </w:tc>
        <w:tc>
          <w:tcPr>
            <w:tcW w:w="300" w:type="dxa"/>
            <w:vAlign w:val="bottom"/>
          </w:tcPr>
          <w:p>
            <w:pPr>
              <w:spacing w:after="0"/>
              <w:rPr>
                <w:sz w:val="17"/>
                <w:szCs w:val="17"/>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6"/>
                <w:szCs w:val="16"/>
                <w:color w:val="auto"/>
              </w:rPr>
              <w:t>6,830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non-current liabilities</w:t>
            </w:r>
          </w:p>
        </w:tc>
        <w:tc>
          <w:tcPr>
            <w:tcW w:w="920" w:type="dxa"/>
            <w:vAlign w:val="bottom"/>
            <w:tcBorders>
              <w:top w:val="single" w:sz="8" w:color="E5FFFF"/>
            </w:tcBorders>
            <w:shd w:val="clear" w:color="auto" w:fill="E5FFFF"/>
          </w:tcPr>
          <w:p>
            <w:pPr>
              <w:spacing w:after="0"/>
              <w:rPr>
                <w:sz w:val="17"/>
                <w:szCs w:val="17"/>
                <w:color w:val="auto"/>
              </w:rPr>
            </w:pPr>
          </w:p>
        </w:tc>
        <w:tc>
          <w:tcPr>
            <w:tcW w:w="300" w:type="dxa"/>
            <w:vAlign w:val="bottom"/>
            <w:tcBorders>
              <w:top w:val="single" w:sz="8" w:color="E5FFFF"/>
            </w:tcBorders>
            <w:shd w:val="clear" w:color="auto" w:fill="E5FFFF"/>
          </w:tcPr>
          <w:p>
            <w:pPr>
              <w:spacing w:after="0"/>
              <w:rPr>
                <w:sz w:val="17"/>
                <w:szCs w:val="17"/>
                <w:color w:val="auto"/>
              </w:rPr>
            </w:pP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2,522,280</w:t>
            </w:r>
          </w:p>
        </w:tc>
        <w:tc>
          <w:tcPr>
            <w:tcW w:w="300" w:type="dxa"/>
            <w:vAlign w:val="bottom"/>
            <w:tcBorders>
              <w:top w:val="single" w:sz="8" w:color="E5FFFF"/>
            </w:tcBorders>
            <w:shd w:val="clear" w:color="auto" w:fill="E5FFFF"/>
          </w:tcPr>
          <w:p>
            <w:pPr>
              <w:spacing w:after="0"/>
              <w:rPr>
                <w:sz w:val="17"/>
                <w:szCs w:val="17"/>
                <w:color w:val="auto"/>
              </w:rPr>
            </w:pP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3,169,222</w:t>
            </w:r>
          </w:p>
        </w:tc>
        <w:tc>
          <w:tcPr>
            <w:tcW w:w="2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0" w:type="dxa"/>
            <w:vAlign w:val="bottom"/>
          </w:tcPr>
          <w:p>
            <w:pPr>
              <w:spacing w:after="0"/>
              <w:rPr>
                <w:sz w:val="20"/>
                <w:szCs w:val="20"/>
                <w:color w:val="auto"/>
              </w:rPr>
            </w:pPr>
            <w:r>
              <w:rPr>
                <w:rFonts w:ascii="Arial" w:cs="Arial" w:eastAsia="Arial" w:hAnsi="Arial"/>
                <w:sz w:val="16"/>
                <w:szCs w:val="16"/>
                <w:b w:val="1"/>
                <w:bCs w:val="1"/>
                <w:color w:val="auto"/>
              </w:rPr>
              <w:t>Total equity and liabilities</w:t>
            </w: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5,174,807</w:t>
            </w:r>
          </w:p>
        </w:tc>
        <w:tc>
          <w:tcPr>
            <w:tcW w:w="300" w:type="dxa"/>
            <w:vAlign w:val="bottom"/>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5,319,384</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color w:val="auto"/>
        </w:rPr>
        <w:t>GasLog Ltd. and its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 condensed consolidated statements of profit or loss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three and nine months ended September 30, 2018 and 2019</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 except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4"/>
          </w:tcPr>
          <w:p>
            <w:pPr>
              <w:jc w:val="right"/>
              <w:ind w:right="600"/>
              <w:spacing w:after="0"/>
              <w:rPr>
                <w:sz w:val="20"/>
                <w:szCs w:val="20"/>
                <w:color w:val="auto"/>
              </w:rPr>
            </w:pPr>
            <w:r>
              <w:rPr>
                <w:rFonts w:ascii="Arial" w:cs="Arial" w:eastAsia="Arial" w:hAnsi="Arial"/>
                <w:sz w:val="16"/>
                <w:szCs w:val="16"/>
                <w:b w:val="1"/>
                <w:bCs w:val="1"/>
                <w:color w:val="auto"/>
              </w:rPr>
              <w:t>For the three months ended</w:t>
            </w:r>
          </w:p>
        </w:tc>
        <w:tc>
          <w:tcPr>
            <w:tcW w:w="2660" w:type="dxa"/>
            <w:vAlign w:val="bottom"/>
            <w:gridSpan w:val="4"/>
          </w:tcPr>
          <w:p>
            <w:pPr>
              <w:jc w:val="right"/>
              <w:ind w:right="460"/>
              <w:spacing w:after="0"/>
              <w:rPr>
                <w:sz w:val="20"/>
                <w:szCs w:val="20"/>
                <w:color w:val="auto"/>
              </w:rPr>
            </w:pPr>
            <w:r>
              <w:rPr>
                <w:rFonts w:ascii="Arial" w:cs="Arial" w:eastAsia="Arial" w:hAnsi="Arial"/>
                <w:sz w:val="16"/>
                <w:szCs w:val="16"/>
                <w:b w:val="1"/>
                <w:bCs w:val="1"/>
                <w:color w:val="auto"/>
              </w:rPr>
              <w:t>For the nine months ended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5"/>
              </w:rPr>
              <w:t>September 30,</w:t>
            </w:r>
          </w:p>
        </w:tc>
        <w:tc>
          <w:tcPr>
            <w:tcW w:w="14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5"/>
              </w:rPr>
              <w:t>September 30,</w:t>
            </w:r>
          </w:p>
        </w:tc>
        <w:tc>
          <w:tcPr>
            <w:tcW w:w="14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5"/>
              </w:rPr>
              <w:t>September 30,</w:t>
            </w:r>
          </w:p>
        </w:tc>
        <w:tc>
          <w:tcPr>
            <w:tcW w:w="12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5"/>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440" w:type="dxa"/>
            <w:vAlign w:val="bottom"/>
            <w:gridSpan w:val="2"/>
          </w:tcPr>
          <w:p>
            <w:pPr>
              <w:ind w:left="420"/>
              <w:spacing w:after="0"/>
              <w:rPr>
                <w:sz w:val="20"/>
                <w:szCs w:val="20"/>
                <w:color w:val="auto"/>
              </w:rPr>
            </w:pPr>
            <w:r>
              <w:rPr>
                <w:rFonts w:ascii="Arial" w:cs="Arial" w:eastAsia="Arial" w:hAnsi="Arial"/>
                <w:sz w:val="16"/>
                <w:szCs w:val="16"/>
                <w:b w:val="1"/>
                <w:bCs w:val="1"/>
                <w:color w:val="auto"/>
              </w:rPr>
              <w:t>Note</w:t>
            </w:r>
          </w:p>
        </w:tc>
        <w:tc>
          <w:tcPr>
            <w:tcW w:w="114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280" w:type="dxa"/>
            <w:vAlign w:val="bottom"/>
          </w:tcPr>
          <w:p>
            <w:pPr>
              <w:spacing w:after="0"/>
              <w:rPr>
                <w:sz w:val="18"/>
                <w:szCs w:val="18"/>
                <w:color w:val="auto"/>
              </w:rPr>
            </w:pPr>
          </w:p>
        </w:tc>
        <w:tc>
          <w:tcPr>
            <w:tcW w:w="1140" w:type="dxa"/>
            <w:vAlign w:val="bottom"/>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280" w:type="dxa"/>
            <w:vAlign w:val="bottom"/>
          </w:tcPr>
          <w:p>
            <w:pPr>
              <w:spacing w:after="0"/>
              <w:rPr>
                <w:sz w:val="18"/>
                <w:szCs w:val="18"/>
                <w:color w:val="auto"/>
              </w:rPr>
            </w:pPr>
          </w:p>
        </w:tc>
        <w:tc>
          <w:tcPr>
            <w:tcW w:w="1140" w:type="dxa"/>
            <w:vAlign w:val="bottom"/>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280" w:type="dxa"/>
            <w:vAlign w:val="bottom"/>
          </w:tcPr>
          <w:p>
            <w:pPr>
              <w:spacing w:after="0"/>
              <w:rPr>
                <w:sz w:val="18"/>
                <w:szCs w:val="18"/>
                <w:color w:val="auto"/>
              </w:rPr>
            </w:pPr>
          </w:p>
        </w:tc>
        <w:tc>
          <w:tcPr>
            <w:tcW w:w="1140" w:type="dxa"/>
            <w:vAlign w:val="bottom"/>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w:t>
            </w:r>
          </w:p>
        </w:tc>
        <w:tc>
          <w:tcPr>
            <w:tcW w:w="11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9</w:t>
            </w:r>
          </w:p>
        </w:tc>
        <w:tc>
          <w:tcPr>
            <w:tcW w:w="30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158,398</w:t>
            </w:r>
          </w:p>
        </w:tc>
        <w:tc>
          <w:tcPr>
            <w:tcW w:w="28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165,586</w:t>
            </w:r>
          </w:p>
        </w:tc>
        <w:tc>
          <w:tcPr>
            <w:tcW w:w="28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429,700</w:t>
            </w:r>
          </w:p>
        </w:tc>
        <w:tc>
          <w:tcPr>
            <w:tcW w:w="28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486,384</w:t>
            </w:r>
          </w:p>
        </w:tc>
        <w:tc>
          <w:tcPr>
            <w:tcW w:w="10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Arial" w:cs="Arial" w:eastAsia="Arial" w:hAnsi="Arial"/>
                <w:sz w:val="16"/>
                <w:szCs w:val="16"/>
                <w:color w:val="auto"/>
              </w:rPr>
              <w:t>Net pool allocation</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9</w:t>
            </w:r>
          </w:p>
        </w:tc>
        <w:tc>
          <w:tcPr>
            <w:tcW w:w="300" w:type="dxa"/>
            <w:vAlign w:val="bottom"/>
          </w:tcPr>
          <w:p>
            <w:pPr>
              <w:spacing w:after="0"/>
              <w:rPr>
                <w:sz w:val="17"/>
                <w:szCs w:val="17"/>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6"/>
                <w:szCs w:val="16"/>
                <w:color w:val="auto"/>
              </w:rPr>
              <w:t>3,882</w:t>
            </w: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(184)</w:t>
            </w:r>
          </w:p>
        </w:tc>
        <w:tc>
          <w:tcPr>
            <w:tcW w:w="1140" w:type="dxa"/>
            <w:vAlign w:val="bottom"/>
          </w:tcPr>
          <w:p>
            <w:pPr>
              <w:jc w:val="right"/>
              <w:spacing w:after="0"/>
              <w:rPr>
                <w:sz w:val="20"/>
                <w:szCs w:val="20"/>
                <w:color w:val="auto"/>
              </w:rPr>
            </w:pPr>
            <w:r>
              <w:rPr>
                <w:rFonts w:ascii="Arial" w:cs="Arial" w:eastAsia="Arial" w:hAnsi="Arial"/>
                <w:sz w:val="16"/>
                <w:szCs w:val="16"/>
                <w:color w:val="auto"/>
              </w:rPr>
              <w:t>19,493</w:t>
            </w:r>
          </w:p>
        </w:tc>
        <w:tc>
          <w:tcPr>
            <w:tcW w:w="28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(4,264)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shd w:val="clear" w:color="auto" w:fill="E5FFFF"/>
          </w:tcPr>
          <w:p>
            <w:pPr>
              <w:spacing w:after="0"/>
              <w:rPr>
                <w:sz w:val="20"/>
                <w:szCs w:val="20"/>
                <w:color w:val="auto"/>
              </w:rPr>
            </w:pPr>
            <w:r>
              <w:rPr>
                <w:rFonts w:ascii="Arial" w:cs="Arial" w:eastAsia="Arial" w:hAnsi="Arial"/>
                <w:sz w:val="16"/>
                <w:szCs w:val="16"/>
                <w:color w:val="auto"/>
              </w:rPr>
              <w:t>Voyage expenses and commissions</w:t>
            </w:r>
          </w:p>
        </w:tc>
        <w:tc>
          <w:tcPr>
            <w:tcW w:w="11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4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(6,828)</w:t>
            </w:r>
          </w:p>
        </w:tc>
        <w:tc>
          <w:tcPr>
            <w:tcW w:w="142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(6,656)</w:t>
            </w:r>
          </w:p>
        </w:tc>
        <w:tc>
          <w:tcPr>
            <w:tcW w:w="142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(16,743)</w:t>
            </w:r>
          </w:p>
        </w:tc>
        <w:tc>
          <w:tcPr>
            <w:tcW w:w="124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(19,440)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Arial" w:cs="Arial" w:eastAsia="Arial" w:hAnsi="Arial"/>
                <w:sz w:val="16"/>
                <w:szCs w:val="16"/>
                <w:color w:val="auto"/>
              </w:rPr>
              <w:t>Vessel operating and supervision costs</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11</w:t>
            </w:r>
          </w:p>
        </w:tc>
        <w:tc>
          <w:tcPr>
            <w:tcW w:w="300" w:type="dxa"/>
            <w:vAlign w:val="bottom"/>
          </w:tcPr>
          <w:p>
            <w:pPr>
              <w:spacing w:after="0"/>
              <w:rPr>
                <w:sz w:val="17"/>
                <w:szCs w:val="17"/>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(31,948)</w:t>
            </w: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(33,796)</w:t>
            </w: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(98,964)</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(100,124)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shd w:val="clear" w:color="auto" w:fill="E5FFFF"/>
          </w:tcPr>
          <w:p>
            <w:pPr>
              <w:spacing w:after="0"/>
              <w:rPr>
                <w:sz w:val="20"/>
                <w:szCs w:val="20"/>
                <w:color w:val="auto"/>
              </w:rPr>
            </w:pPr>
            <w:r>
              <w:rPr>
                <w:rFonts w:ascii="Arial" w:cs="Arial" w:eastAsia="Arial" w:hAnsi="Arial"/>
                <w:sz w:val="16"/>
                <w:szCs w:val="16"/>
                <w:color w:val="auto"/>
              </w:rPr>
              <w:t>Depreciation</w:t>
            </w:r>
          </w:p>
        </w:tc>
        <w:tc>
          <w:tcPr>
            <w:tcW w:w="11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5,6</w:t>
            </w:r>
          </w:p>
        </w:tc>
        <w:tc>
          <w:tcPr>
            <w:tcW w:w="300" w:type="dxa"/>
            <w:vAlign w:val="bottom"/>
            <w:shd w:val="clear" w:color="auto" w:fill="E5FFFF"/>
          </w:tcPr>
          <w:p>
            <w:pPr>
              <w:spacing w:after="0"/>
              <w:rPr>
                <w:sz w:val="17"/>
                <w:szCs w:val="17"/>
                <w:color w:val="auto"/>
              </w:rPr>
            </w:pPr>
          </w:p>
        </w:tc>
        <w:tc>
          <w:tcPr>
            <w:tcW w:w="14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(39,341)</w:t>
            </w:r>
          </w:p>
        </w:tc>
        <w:tc>
          <w:tcPr>
            <w:tcW w:w="142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(43,237)</w:t>
            </w:r>
          </w:p>
        </w:tc>
        <w:tc>
          <w:tcPr>
            <w:tcW w:w="142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(113,683)</w:t>
            </w:r>
          </w:p>
        </w:tc>
        <w:tc>
          <w:tcPr>
            <w:tcW w:w="124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(124,186)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10</w:t>
            </w:r>
          </w:p>
        </w:tc>
        <w:tc>
          <w:tcPr>
            <w:tcW w:w="300" w:type="dxa"/>
            <w:vAlign w:val="bottom"/>
          </w:tcPr>
          <w:p>
            <w:pPr>
              <w:spacing w:after="0"/>
              <w:rPr>
                <w:sz w:val="17"/>
                <w:szCs w:val="17"/>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(9,917)</w:t>
            </w: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(11,324)</w:t>
            </w: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(32,282)</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(32,873)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from operations</w:t>
            </w:r>
          </w:p>
        </w:tc>
        <w:tc>
          <w:tcPr>
            <w:tcW w:w="1140" w:type="dxa"/>
            <w:vAlign w:val="bottom"/>
            <w:tcBorders>
              <w:top w:val="single" w:sz="8" w:color="E5FFFF"/>
            </w:tcBorders>
            <w:shd w:val="clear" w:color="auto" w:fill="E5FFFF"/>
          </w:tcPr>
          <w:p>
            <w:pPr>
              <w:spacing w:after="0"/>
              <w:rPr>
                <w:sz w:val="17"/>
                <w:szCs w:val="17"/>
                <w:color w:val="auto"/>
              </w:rPr>
            </w:pPr>
          </w:p>
        </w:tc>
        <w:tc>
          <w:tcPr>
            <w:tcW w:w="30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74,246</w:t>
            </w:r>
          </w:p>
        </w:tc>
        <w:tc>
          <w:tcPr>
            <w:tcW w:w="28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70,389</w:t>
            </w:r>
          </w:p>
        </w:tc>
        <w:tc>
          <w:tcPr>
            <w:tcW w:w="28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187,521</w:t>
            </w:r>
          </w:p>
        </w:tc>
        <w:tc>
          <w:tcPr>
            <w:tcW w:w="28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205,497</w:t>
            </w:r>
          </w:p>
        </w:tc>
        <w:tc>
          <w:tcPr>
            <w:tcW w:w="10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Arial" w:cs="Arial" w:eastAsia="Arial" w:hAnsi="Arial"/>
                <w:sz w:val="16"/>
                <w:szCs w:val="16"/>
                <w:color w:val="auto"/>
              </w:rPr>
              <w:t>Financial costs</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16</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(43,908)</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(46,461)</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(122,505)</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(138,865)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11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42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1,057</w:t>
            </w:r>
          </w:p>
        </w:tc>
        <w:tc>
          <w:tcPr>
            <w:tcW w:w="11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1,189</w:t>
            </w:r>
          </w:p>
        </w:tc>
        <w:tc>
          <w:tcPr>
            <w:tcW w:w="280" w:type="dxa"/>
            <w:vAlign w:val="bottom"/>
            <w:shd w:val="clear" w:color="auto" w:fill="E5FFFF"/>
          </w:tcPr>
          <w:p>
            <w:pPr>
              <w:spacing w:after="0"/>
              <w:rPr>
                <w:sz w:val="17"/>
                <w:szCs w:val="17"/>
                <w:color w:val="auto"/>
              </w:rPr>
            </w:pPr>
          </w:p>
        </w:tc>
        <w:tc>
          <w:tcPr>
            <w:tcW w:w="11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3,367</w:t>
            </w:r>
          </w:p>
        </w:tc>
        <w:tc>
          <w:tcPr>
            <w:tcW w:w="280" w:type="dxa"/>
            <w:vAlign w:val="bottom"/>
            <w:shd w:val="clear" w:color="auto" w:fill="E5FFFF"/>
          </w:tcPr>
          <w:p>
            <w:pPr>
              <w:spacing w:after="0"/>
              <w:rPr>
                <w:sz w:val="17"/>
                <w:szCs w:val="17"/>
                <w:color w:val="auto"/>
              </w:rPr>
            </w:pPr>
          </w:p>
        </w:tc>
        <w:tc>
          <w:tcPr>
            <w:tcW w:w="12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4,357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Arial" w:cs="Arial" w:eastAsia="Arial" w:hAnsi="Arial"/>
                <w:sz w:val="16"/>
                <w:szCs w:val="16"/>
                <w:color w:val="auto"/>
              </w:rPr>
              <w:t>Gain/(loss) on derivatives</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16</w:t>
            </w:r>
          </w:p>
        </w:tc>
        <w:tc>
          <w:tcPr>
            <w:tcW w:w="300" w:type="dxa"/>
            <w:vAlign w:val="bottom"/>
          </w:tcPr>
          <w:p>
            <w:pPr>
              <w:spacing w:after="0"/>
              <w:rPr>
                <w:sz w:val="17"/>
                <w:szCs w:val="17"/>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6"/>
                <w:szCs w:val="16"/>
                <w:color w:val="auto"/>
              </w:rPr>
              <w:t>7,368</w:t>
            </w: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(16,758)</w:t>
            </w:r>
          </w:p>
        </w:tc>
        <w:tc>
          <w:tcPr>
            <w:tcW w:w="1140" w:type="dxa"/>
            <w:vAlign w:val="bottom"/>
          </w:tcPr>
          <w:p>
            <w:pPr>
              <w:jc w:val="right"/>
              <w:spacing w:after="0"/>
              <w:rPr>
                <w:sz w:val="20"/>
                <w:szCs w:val="20"/>
                <w:color w:val="auto"/>
              </w:rPr>
            </w:pPr>
            <w:r>
              <w:rPr>
                <w:rFonts w:ascii="Arial" w:cs="Arial" w:eastAsia="Arial" w:hAnsi="Arial"/>
                <w:sz w:val="16"/>
                <w:szCs w:val="16"/>
                <w:color w:val="auto"/>
              </w:rPr>
              <w:t>26,306</w:t>
            </w:r>
          </w:p>
        </w:tc>
        <w:tc>
          <w:tcPr>
            <w:tcW w:w="28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(67,801)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shd w:val="clear" w:color="auto" w:fill="E5FFFF"/>
          </w:tcPr>
          <w:p>
            <w:pPr>
              <w:spacing w:after="0"/>
              <w:rPr>
                <w:sz w:val="20"/>
                <w:szCs w:val="20"/>
                <w:color w:val="auto"/>
              </w:rPr>
            </w:pPr>
            <w:r>
              <w:rPr>
                <w:rFonts w:ascii="Arial" w:cs="Arial" w:eastAsia="Arial" w:hAnsi="Arial"/>
                <w:sz w:val="16"/>
                <w:szCs w:val="16"/>
                <w:color w:val="auto"/>
              </w:rPr>
              <w:t>Share of profit of associates</w:t>
            </w:r>
          </w:p>
        </w:tc>
        <w:tc>
          <w:tcPr>
            <w:tcW w:w="11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4</w:t>
            </w:r>
          </w:p>
        </w:tc>
        <w:tc>
          <w:tcPr>
            <w:tcW w:w="300" w:type="dxa"/>
            <w:vAlign w:val="bottom"/>
            <w:shd w:val="clear" w:color="auto" w:fill="E5FFFF"/>
          </w:tcPr>
          <w:p>
            <w:pPr>
              <w:spacing w:after="0"/>
              <w:rPr>
                <w:sz w:val="17"/>
                <w:szCs w:val="17"/>
                <w:color w:val="auto"/>
              </w:rPr>
            </w:pPr>
          </w:p>
        </w:tc>
        <w:tc>
          <w:tcPr>
            <w:tcW w:w="142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498</w:t>
            </w:r>
          </w:p>
        </w:tc>
        <w:tc>
          <w:tcPr>
            <w:tcW w:w="11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530</w:t>
            </w:r>
          </w:p>
        </w:tc>
        <w:tc>
          <w:tcPr>
            <w:tcW w:w="280" w:type="dxa"/>
            <w:vAlign w:val="bottom"/>
            <w:shd w:val="clear" w:color="auto" w:fill="E5FFFF"/>
          </w:tcPr>
          <w:p>
            <w:pPr>
              <w:spacing w:after="0"/>
              <w:rPr>
                <w:sz w:val="17"/>
                <w:szCs w:val="17"/>
                <w:color w:val="auto"/>
              </w:rPr>
            </w:pPr>
          </w:p>
        </w:tc>
        <w:tc>
          <w:tcPr>
            <w:tcW w:w="11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1,325</w:t>
            </w:r>
          </w:p>
        </w:tc>
        <w:tc>
          <w:tcPr>
            <w:tcW w:w="280" w:type="dxa"/>
            <w:vAlign w:val="bottom"/>
            <w:shd w:val="clear" w:color="auto" w:fill="E5FFFF"/>
          </w:tcPr>
          <w:p>
            <w:pPr>
              <w:spacing w:after="0"/>
              <w:rPr>
                <w:sz w:val="17"/>
                <w:szCs w:val="17"/>
                <w:color w:val="auto"/>
              </w:rPr>
            </w:pPr>
          </w:p>
        </w:tc>
        <w:tc>
          <w:tcPr>
            <w:tcW w:w="12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1,088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other expenses, net</w:t>
            </w:r>
          </w:p>
        </w:tc>
        <w:tc>
          <w:tcPr>
            <w:tcW w:w="1140" w:type="dxa"/>
            <w:vAlign w:val="bottom"/>
            <w:tcBorders>
              <w:bottom w:val="single" w:sz="8" w:color="E5FFFF"/>
            </w:tcBorders>
          </w:tcPr>
          <w:p>
            <w:pPr>
              <w:spacing w:after="0"/>
              <w:rPr>
                <w:sz w:val="17"/>
                <w:szCs w:val="17"/>
                <w:color w:val="auto"/>
              </w:rPr>
            </w:pPr>
          </w:p>
        </w:tc>
        <w:tc>
          <w:tcPr>
            <w:tcW w:w="300" w:type="dxa"/>
            <w:vAlign w:val="bottom"/>
            <w:tcBorders>
              <w:bottom w:val="single" w:sz="8" w:color="E5FF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(34,985)</w:t>
            </w:r>
          </w:p>
        </w:tc>
        <w:tc>
          <w:tcPr>
            <w:tcW w:w="280" w:type="dxa"/>
            <w:vAlign w:val="bottom"/>
            <w:tcBorders>
              <w:bottom w:val="single" w:sz="8" w:color="E5FF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(61,500)</w:t>
            </w:r>
          </w:p>
        </w:tc>
        <w:tc>
          <w:tcPr>
            <w:tcW w:w="280" w:type="dxa"/>
            <w:vAlign w:val="bottom"/>
            <w:tcBorders>
              <w:bottom w:val="single" w:sz="8" w:color="E5FF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(91,507)</w:t>
            </w:r>
          </w:p>
        </w:tc>
        <w:tc>
          <w:tcPr>
            <w:tcW w:w="280" w:type="dxa"/>
            <w:vAlign w:val="bottom"/>
            <w:tcBorders>
              <w:bottom w:val="single" w:sz="8" w:color="E5FF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(201,221)</w:t>
            </w:r>
          </w:p>
        </w:tc>
        <w:tc>
          <w:tcPr>
            <w:tcW w:w="10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6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for the period</w:t>
            </w:r>
          </w:p>
        </w:tc>
        <w:tc>
          <w:tcPr>
            <w:tcW w:w="1140" w:type="dxa"/>
            <w:vAlign w:val="bottom"/>
            <w:tcBorders>
              <w:bottom w:val="single" w:sz="8" w:color="E5FFFF"/>
            </w:tcBorders>
            <w:shd w:val="clear" w:color="auto" w:fill="E5FFFF"/>
          </w:tcPr>
          <w:p>
            <w:pPr>
              <w:spacing w:after="0"/>
              <w:rPr>
                <w:sz w:val="17"/>
                <w:szCs w:val="17"/>
                <w:color w:val="auto"/>
              </w:rPr>
            </w:pPr>
          </w:p>
        </w:tc>
        <w:tc>
          <w:tcPr>
            <w:tcW w:w="300" w:type="dxa"/>
            <w:vAlign w:val="bottom"/>
            <w:tcBorders>
              <w:bottom w:val="single" w:sz="8" w:color="E5FFFF"/>
            </w:tcBorders>
            <w:shd w:val="clear" w:color="auto" w:fill="E5FFFF"/>
          </w:tcPr>
          <w:p>
            <w:pPr>
              <w:spacing w:after="0"/>
              <w:rPr>
                <w:sz w:val="17"/>
                <w:szCs w:val="17"/>
                <w:color w:val="auto"/>
              </w:rPr>
            </w:pPr>
          </w:p>
        </w:tc>
        <w:tc>
          <w:tcPr>
            <w:tcW w:w="1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39,261</w:t>
            </w:r>
          </w:p>
        </w:tc>
        <w:tc>
          <w:tcPr>
            <w:tcW w:w="280" w:type="dxa"/>
            <w:vAlign w:val="bottom"/>
            <w:tcBorders>
              <w:bottom w:val="single" w:sz="8" w:color="E5FFFF"/>
            </w:tcBorders>
            <w:shd w:val="clear" w:color="auto" w:fill="E5FFFF"/>
          </w:tcPr>
          <w:p>
            <w:pPr>
              <w:spacing w:after="0"/>
              <w:rPr>
                <w:sz w:val="17"/>
                <w:szCs w:val="17"/>
                <w:color w:val="auto"/>
              </w:rPr>
            </w:pPr>
          </w:p>
        </w:tc>
        <w:tc>
          <w:tcPr>
            <w:tcW w:w="1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8,889</w:t>
            </w:r>
          </w:p>
        </w:tc>
        <w:tc>
          <w:tcPr>
            <w:tcW w:w="280" w:type="dxa"/>
            <w:vAlign w:val="bottom"/>
            <w:tcBorders>
              <w:bottom w:val="single" w:sz="8" w:color="E5FFFF"/>
            </w:tcBorders>
            <w:shd w:val="clear" w:color="auto" w:fill="E5FFFF"/>
          </w:tcPr>
          <w:p>
            <w:pPr>
              <w:spacing w:after="0"/>
              <w:rPr>
                <w:sz w:val="17"/>
                <w:szCs w:val="17"/>
                <w:color w:val="auto"/>
              </w:rPr>
            </w:pPr>
          </w:p>
        </w:tc>
        <w:tc>
          <w:tcPr>
            <w:tcW w:w="1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96,014</w:t>
            </w:r>
          </w:p>
        </w:tc>
        <w:tc>
          <w:tcPr>
            <w:tcW w:w="280" w:type="dxa"/>
            <w:vAlign w:val="bottom"/>
            <w:tcBorders>
              <w:bottom w:val="single" w:sz="8" w:color="E5FFFF"/>
            </w:tcBorders>
            <w:shd w:val="clear" w:color="auto" w:fill="E5FFFF"/>
          </w:tcPr>
          <w:p>
            <w:pPr>
              <w:spacing w:after="0"/>
              <w:rPr>
                <w:sz w:val="17"/>
                <w:szCs w:val="17"/>
                <w:color w:val="auto"/>
              </w:rPr>
            </w:pPr>
          </w:p>
        </w:tc>
        <w:tc>
          <w:tcPr>
            <w:tcW w:w="1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4,276</w:t>
            </w:r>
          </w:p>
        </w:tc>
        <w:tc>
          <w:tcPr>
            <w:tcW w:w="100" w:type="dxa"/>
            <w:vAlign w:val="bottom"/>
            <w:tcBorders>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vMerge w:val="restart"/>
          </w:tcPr>
          <w:p>
            <w:pPr>
              <w:spacing w:after="0"/>
              <w:rPr>
                <w:sz w:val="20"/>
                <w:szCs w:val="20"/>
                <w:color w:val="auto"/>
              </w:rPr>
            </w:pPr>
            <w:r>
              <w:rPr>
                <w:rFonts w:ascii="Arial" w:cs="Arial" w:eastAsia="Arial" w:hAnsi="Arial"/>
                <w:sz w:val="16"/>
                <w:szCs w:val="16"/>
                <w:color w:val="auto"/>
              </w:rPr>
              <w:t>Attributable to:</w:t>
            </w: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46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shd w:val="clear" w:color="auto" w:fill="E5FFFF"/>
          </w:tcPr>
          <w:p>
            <w:pPr>
              <w:spacing w:after="0"/>
              <w:rPr>
                <w:sz w:val="20"/>
                <w:szCs w:val="20"/>
                <w:color w:val="auto"/>
              </w:rPr>
            </w:pPr>
            <w:r>
              <w:rPr>
                <w:rFonts w:ascii="Arial" w:cs="Arial" w:eastAsia="Arial" w:hAnsi="Arial"/>
                <w:sz w:val="16"/>
                <w:szCs w:val="16"/>
                <w:color w:val="auto"/>
              </w:rPr>
              <w:t>Owners of the Group</w:t>
            </w:r>
          </w:p>
        </w:tc>
        <w:tc>
          <w:tcPr>
            <w:tcW w:w="11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42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18,214</w:t>
            </w:r>
          </w:p>
        </w:tc>
        <w:tc>
          <w:tcPr>
            <w:tcW w:w="142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(13,545)</w:t>
            </w:r>
          </w:p>
        </w:tc>
        <w:tc>
          <w:tcPr>
            <w:tcW w:w="11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33,898</w:t>
            </w:r>
          </w:p>
        </w:tc>
        <w:tc>
          <w:tcPr>
            <w:tcW w:w="280" w:type="dxa"/>
            <w:vAlign w:val="bottom"/>
            <w:shd w:val="clear" w:color="auto" w:fill="E5FFFF"/>
          </w:tcPr>
          <w:p>
            <w:pPr>
              <w:spacing w:after="0"/>
              <w:rPr>
                <w:sz w:val="17"/>
                <w:szCs w:val="17"/>
                <w:color w:val="auto"/>
              </w:rPr>
            </w:pPr>
          </w:p>
        </w:tc>
        <w:tc>
          <w:tcPr>
            <w:tcW w:w="124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(50,490)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Arial" w:cs="Arial" w:eastAsia="Arial" w:hAnsi="Arial"/>
                <w:sz w:val="16"/>
                <w:szCs w:val="16"/>
                <w:color w:val="auto"/>
              </w:rPr>
              <w:t>Non-controlling interests</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300" w:type="dxa"/>
            <w:vAlign w:val="bottom"/>
          </w:tcPr>
          <w:p>
            <w:pPr>
              <w:spacing w:after="0"/>
              <w:rPr>
                <w:sz w:val="17"/>
                <w:szCs w:val="17"/>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6"/>
                <w:szCs w:val="16"/>
                <w:color w:val="auto"/>
              </w:rPr>
              <w:t>21,047</w:t>
            </w:r>
          </w:p>
        </w:tc>
        <w:tc>
          <w:tcPr>
            <w:tcW w:w="1140" w:type="dxa"/>
            <w:vAlign w:val="bottom"/>
          </w:tcPr>
          <w:p>
            <w:pPr>
              <w:jc w:val="right"/>
              <w:spacing w:after="0"/>
              <w:rPr>
                <w:sz w:val="20"/>
                <w:szCs w:val="20"/>
                <w:color w:val="auto"/>
              </w:rPr>
            </w:pPr>
            <w:r>
              <w:rPr>
                <w:rFonts w:ascii="Arial" w:cs="Arial" w:eastAsia="Arial" w:hAnsi="Arial"/>
                <w:sz w:val="16"/>
                <w:szCs w:val="16"/>
                <w:color w:val="auto"/>
              </w:rPr>
              <w:t>22,434</w:t>
            </w:r>
          </w:p>
        </w:tc>
        <w:tc>
          <w:tcPr>
            <w:tcW w:w="280" w:type="dxa"/>
            <w:vAlign w:val="bottom"/>
          </w:tcPr>
          <w:p>
            <w:pPr>
              <w:spacing w:after="0"/>
              <w:rPr>
                <w:sz w:val="17"/>
                <w:szCs w:val="17"/>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6"/>
                <w:szCs w:val="16"/>
                <w:color w:val="auto"/>
              </w:rPr>
              <w:t>62,116</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54,766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60" w:type="dxa"/>
            <w:vAlign w:val="bottom"/>
            <w:tcBorders>
              <w:top w:val="single" w:sz="8" w:color="E5FFFF"/>
              <w:bottom w:val="single" w:sz="8" w:color="E5FFFF"/>
            </w:tcBorders>
            <w:shd w:val="clear" w:color="auto" w:fill="E5FFFF"/>
          </w:tcPr>
          <w:p>
            <w:pPr>
              <w:spacing w:after="0"/>
              <w:rPr>
                <w:sz w:val="17"/>
                <w:szCs w:val="17"/>
                <w:color w:val="auto"/>
              </w:rPr>
            </w:pPr>
          </w:p>
        </w:tc>
        <w:tc>
          <w:tcPr>
            <w:tcW w:w="1140" w:type="dxa"/>
            <w:vAlign w:val="bottom"/>
            <w:tcBorders>
              <w:top w:val="single" w:sz="8" w:color="E5FFFF"/>
              <w:bottom w:val="single" w:sz="8" w:color="E5FFFF"/>
            </w:tcBorders>
            <w:shd w:val="clear" w:color="auto" w:fill="E5FFFF"/>
          </w:tcPr>
          <w:p>
            <w:pPr>
              <w:spacing w:after="0"/>
              <w:rPr>
                <w:sz w:val="17"/>
                <w:szCs w:val="17"/>
                <w:color w:val="auto"/>
              </w:rPr>
            </w:pPr>
          </w:p>
        </w:tc>
        <w:tc>
          <w:tcPr>
            <w:tcW w:w="300" w:type="dxa"/>
            <w:vAlign w:val="bottom"/>
            <w:tcBorders>
              <w:top w:val="single" w:sz="8" w:color="E5FFFF"/>
              <w:bottom w:val="single" w:sz="8" w:color="E5FFFF"/>
            </w:tcBorders>
            <w:shd w:val="clear" w:color="auto" w:fill="E5FFFF"/>
          </w:tcPr>
          <w:p>
            <w:pPr>
              <w:spacing w:after="0"/>
              <w:rPr>
                <w:sz w:val="17"/>
                <w:szCs w:val="17"/>
                <w:color w:val="auto"/>
              </w:rPr>
            </w:pPr>
          </w:p>
        </w:tc>
        <w:tc>
          <w:tcPr>
            <w:tcW w:w="1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39,261</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8,889</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96,014</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4,276</w:t>
            </w: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4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Earnings/(loss) per share – basic</w:t>
            </w:r>
          </w:p>
        </w:tc>
        <w:tc>
          <w:tcPr>
            <w:tcW w:w="11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19</w:t>
            </w:r>
          </w:p>
        </w:tc>
        <w:tc>
          <w:tcPr>
            <w:tcW w:w="300" w:type="dxa"/>
            <w:vAlign w:val="bottom"/>
            <w:shd w:val="clear" w:color="auto" w:fill="E5FFFF"/>
          </w:tcPr>
          <w:p>
            <w:pPr>
              <w:spacing w:after="0"/>
              <w:rPr>
                <w:sz w:val="17"/>
                <w:szCs w:val="17"/>
                <w:color w:val="auto"/>
              </w:rPr>
            </w:pPr>
          </w:p>
        </w:tc>
        <w:tc>
          <w:tcPr>
            <w:tcW w:w="142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b w:val="1"/>
                <w:bCs w:val="1"/>
                <w:color w:val="auto"/>
              </w:rPr>
              <w:t>0.19</w:t>
            </w:r>
          </w:p>
        </w:tc>
        <w:tc>
          <w:tcPr>
            <w:tcW w:w="142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b w:val="1"/>
                <w:bCs w:val="1"/>
                <w:color w:val="auto"/>
              </w:rPr>
              <w:t>(0.20)</w:t>
            </w:r>
          </w:p>
        </w:tc>
        <w:tc>
          <w:tcPr>
            <w:tcW w:w="114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0.33</w:t>
            </w:r>
          </w:p>
        </w:tc>
        <w:tc>
          <w:tcPr>
            <w:tcW w:w="280" w:type="dxa"/>
            <w:vAlign w:val="bottom"/>
            <w:shd w:val="clear" w:color="auto" w:fill="E5FFFF"/>
          </w:tcPr>
          <w:p>
            <w:pPr>
              <w:spacing w:after="0"/>
              <w:rPr>
                <w:sz w:val="17"/>
                <w:szCs w:val="17"/>
                <w:color w:val="auto"/>
              </w:rPr>
            </w:pPr>
          </w:p>
        </w:tc>
        <w:tc>
          <w:tcPr>
            <w:tcW w:w="124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b w:val="1"/>
                <w:bCs w:val="1"/>
                <w:color w:val="auto"/>
              </w:rPr>
              <w:t>(0.72)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6"/>
                <w:szCs w:val="16"/>
                <w:b w:val="1"/>
                <w:bCs w:val="1"/>
                <w:color w:val="auto"/>
              </w:rPr>
              <w:t>Earnings/(loss) per share –diluted</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19</w:t>
            </w:r>
          </w:p>
        </w:tc>
        <w:tc>
          <w:tcPr>
            <w:tcW w:w="3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0.19</w:t>
            </w:r>
          </w:p>
        </w:tc>
        <w:tc>
          <w:tcPr>
            <w:tcW w:w="14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(0.20)</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0.32</w:t>
            </w:r>
          </w:p>
        </w:tc>
        <w:tc>
          <w:tcPr>
            <w:tcW w:w="2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(0.72)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color w:val="auto"/>
        </w:rPr>
        <w:t>GasLog Ltd. and its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 condensed consolidated statements of comprehensive income or loss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three and nine months ended September 30, 2018 and 2019</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40" w:type="dxa"/>
            <w:vAlign w:val="bottom"/>
            <w:gridSpan w:val="4"/>
          </w:tcPr>
          <w:p>
            <w:pPr>
              <w:jc w:val="right"/>
              <w:ind w:right="700"/>
              <w:spacing w:after="0"/>
              <w:rPr>
                <w:sz w:val="20"/>
                <w:szCs w:val="20"/>
                <w:color w:val="auto"/>
              </w:rPr>
            </w:pPr>
            <w:r>
              <w:rPr>
                <w:rFonts w:ascii="Arial" w:cs="Arial" w:eastAsia="Arial" w:hAnsi="Arial"/>
                <w:sz w:val="16"/>
                <w:szCs w:val="16"/>
                <w:b w:val="1"/>
                <w:bCs w:val="1"/>
                <w:color w:val="auto"/>
              </w:rPr>
              <w:t>For the three months ended</w:t>
            </w:r>
          </w:p>
        </w:tc>
        <w:tc>
          <w:tcPr>
            <w:tcW w:w="2680" w:type="dxa"/>
            <w:vAlign w:val="bottom"/>
            <w:gridSpan w:val="5"/>
          </w:tcPr>
          <w:p>
            <w:pPr>
              <w:jc w:val="right"/>
              <w:ind w:right="480"/>
              <w:spacing w:after="0"/>
              <w:rPr>
                <w:sz w:val="20"/>
                <w:szCs w:val="20"/>
                <w:color w:val="auto"/>
              </w:rPr>
            </w:pPr>
            <w:r>
              <w:rPr>
                <w:rFonts w:ascii="Arial" w:cs="Arial" w:eastAsia="Arial" w:hAnsi="Arial"/>
                <w:sz w:val="16"/>
                <w:szCs w:val="16"/>
                <w:b w:val="1"/>
                <w:bCs w:val="1"/>
                <w:color w:val="auto"/>
              </w:rPr>
              <w:t>For the nine months ended</w:t>
            </w:r>
          </w:p>
        </w:tc>
      </w:tr>
      <w:tr>
        <w:trPr>
          <w:trHeight w:val="208"/>
        </w:trPr>
        <w:tc>
          <w:tcPr>
            <w:tcW w:w="4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144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5"/>
              </w:rPr>
              <w:t>September 30,</w:t>
            </w:r>
          </w:p>
        </w:tc>
        <w:tc>
          <w:tcPr>
            <w:tcW w:w="14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5"/>
              </w:rPr>
              <w:t>September 30,</w:t>
            </w:r>
          </w:p>
        </w:tc>
        <w:tc>
          <w:tcPr>
            <w:tcW w:w="126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6"/>
              </w:rPr>
              <w:t>September 30,</w:t>
            </w:r>
          </w:p>
        </w:tc>
      </w:tr>
      <w:tr>
        <w:trPr>
          <w:trHeight w:val="210"/>
        </w:trPr>
        <w:tc>
          <w:tcPr>
            <w:tcW w:w="466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Note</w:t>
            </w:r>
          </w:p>
        </w:tc>
        <w:tc>
          <w:tcPr>
            <w:tcW w:w="13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280" w:type="dxa"/>
            <w:vAlign w:val="bottom"/>
          </w:tcPr>
          <w:p>
            <w:pPr>
              <w:spacing w:after="0"/>
              <w:rPr>
                <w:sz w:val="18"/>
                <w:szCs w:val="18"/>
                <w:color w:val="auto"/>
              </w:rPr>
            </w:pPr>
          </w:p>
        </w:tc>
        <w:tc>
          <w:tcPr>
            <w:tcW w:w="1140" w:type="dxa"/>
            <w:vAlign w:val="bottom"/>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300" w:type="dxa"/>
            <w:vAlign w:val="bottom"/>
          </w:tcPr>
          <w:p>
            <w:pPr>
              <w:spacing w:after="0"/>
              <w:rPr>
                <w:sz w:val="18"/>
                <w:szCs w:val="18"/>
                <w:color w:val="auto"/>
              </w:rPr>
            </w:pPr>
          </w:p>
        </w:tc>
        <w:tc>
          <w:tcPr>
            <w:tcW w:w="1140" w:type="dxa"/>
            <w:vAlign w:val="bottom"/>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280" w:type="dxa"/>
            <w:vAlign w:val="bottom"/>
          </w:tcPr>
          <w:p>
            <w:pPr>
              <w:spacing w:after="0"/>
              <w:rPr>
                <w:sz w:val="18"/>
                <w:szCs w:val="18"/>
                <w:color w:val="auto"/>
              </w:rPr>
            </w:pPr>
          </w:p>
        </w:tc>
        <w:tc>
          <w:tcPr>
            <w:tcW w:w="1160" w:type="dxa"/>
            <w:vAlign w:val="bottom"/>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46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for the period</w:t>
            </w:r>
          </w:p>
        </w:tc>
        <w:tc>
          <w:tcPr>
            <w:tcW w:w="760" w:type="dxa"/>
            <w:vAlign w:val="bottom"/>
            <w:tcBorders>
              <w:top w:val="single" w:sz="8" w:color="auto"/>
            </w:tcBorders>
            <w:shd w:val="clear" w:color="auto" w:fill="E5FFFF"/>
          </w:tcPr>
          <w:p>
            <w:pPr>
              <w:spacing w:after="0"/>
              <w:rPr>
                <w:sz w:val="17"/>
                <w:szCs w:val="17"/>
                <w:color w:val="auto"/>
              </w:rPr>
            </w:pPr>
          </w:p>
        </w:tc>
        <w:tc>
          <w:tcPr>
            <w:tcW w:w="28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39,261</w:t>
            </w:r>
          </w:p>
        </w:tc>
        <w:tc>
          <w:tcPr>
            <w:tcW w:w="28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8,889</w:t>
            </w:r>
          </w:p>
        </w:tc>
        <w:tc>
          <w:tcPr>
            <w:tcW w:w="30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96,014</w:t>
            </w:r>
          </w:p>
        </w:tc>
        <w:tc>
          <w:tcPr>
            <w:tcW w:w="280" w:type="dxa"/>
            <w:vAlign w:val="bottom"/>
            <w:tcBorders>
              <w:top w:val="single" w:sz="8" w:color="E5FFFF"/>
            </w:tcBorders>
            <w:shd w:val="clear" w:color="auto" w:fill="E5FFFF"/>
          </w:tcPr>
          <w:p>
            <w:pPr>
              <w:spacing w:after="0"/>
              <w:rPr>
                <w:sz w:val="17"/>
                <w:szCs w:val="17"/>
                <w:color w:val="auto"/>
              </w:rPr>
            </w:pPr>
          </w:p>
        </w:tc>
        <w:tc>
          <w:tcPr>
            <w:tcW w:w="11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4,276</w:t>
            </w:r>
          </w:p>
        </w:tc>
        <w:tc>
          <w:tcPr>
            <w:tcW w:w="2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r>
      <w:tr>
        <w:trPr>
          <w:trHeight w:val="203"/>
        </w:trPr>
        <w:tc>
          <w:tcPr>
            <w:tcW w:w="4660" w:type="dxa"/>
            <w:vAlign w:val="bottom"/>
          </w:tcPr>
          <w:p>
            <w:pPr>
              <w:spacing w:after="0"/>
              <w:rPr>
                <w:sz w:val="20"/>
                <w:szCs w:val="20"/>
                <w:color w:val="auto"/>
              </w:rPr>
            </w:pPr>
            <w:r>
              <w:rPr>
                <w:rFonts w:ascii="Arial" w:cs="Arial" w:eastAsia="Arial" w:hAnsi="Arial"/>
                <w:sz w:val="16"/>
                <w:szCs w:val="16"/>
                <w:b w:val="1"/>
                <w:bCs w:val="1"/>
                <w:color w:val="auto"/>
              </w:rPr>
              <w:t>Other comprehensive income/(loss):</w:t>
            </w: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46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Items that may be reclassified subsequently to profit or loss:</w:t>
            </w:r>
          </w:p>
        </w:tc>
        <w:tc>
          <w:tcPr>
            <w:tcW w:w="76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3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1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r>
      <w:tr>
        <w:trPr>
          <w:trHeight w:val="193"/>
        </w:trPr>
        <w:tc>
          <w:tcPr>
            <w:tcW w:w="4660" w:type="dxa"/>
            <w:vAlign w:val="bottom"/>
          </w:tcPr>
          <w:p>
            <w:pPr>
              <w:spacing w:after="0"/>
              <w:rPr>
                <w:sz w:val="20"/>
                <w:szCs w:val="20"/>
                <w:color w:val="auto"/>
              </w:rPr>
            </w:pPr>
            <w:r>
              <w:rPr>
                <w:rFonts w:ascii="Arial" w:cs="Arial" w:eastAsia="Arial" w:hAnsi="Arial"/>
                <w:sz w:val="16"/>
                <w:szCs w:val="16"/>
                <w:color w:val="auto"/>
              </w:rPr>
              <w:t>Effective portion of changes in fair value of cash flow hedges, net</w:t>
            </w: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6"/>
        </w:trPr>
        <w:tc>
          <w:tcPr>
            <w:tcW w:w="4660" w:type="dxa"/>
            <w:vAlign w:val="bottom"/>
          </w:tcPr>
          <w:p>
            <w:pPr>
              <w:ind w:left="180"/>
              <w:spacing w:after="0"/>
              <w:rPr>
                <w:sz w:val="20"/>
                <w:szCs w:val="20"/>
                <w:color w:val="auto"/>
              </w:rPr>
            </w:pPr>
            <w:r>
              <w:rPr>
                <w:rFonts w:ascii="Arial" w:cs="Arial" w:eastAsia="Arial" w:hAnsi="Arial"/>
                <w:sz w:val="16"/>
                <w:szCs w:val="16"/>
                <w:color w:val="auto"/>
              </w:rPr>
              <w:t>of amounts recycled to profit or loss</w:t>
            </w:r>
          </w:p>
        </w:tc>
        <w:tc>
          <w:tcPr>
            <w:tcW w:w="760" w:type="dxa"/>
            <w:vAlign w:val="bottom"/>
          </w:tcPr>
          <w:p>
            <w:pPr>
              <w:jc w:val="right"/>
              <w:ind w:right="219"/>
              <w:spacing w:after="0"/>
              <w:rPr>
                <w:sz w:val="20"/>
                <w:szCs w:val="20"/>
                <w:color w:val="auto"/>
              </w:rPr>
            </w:pPr>
            <w:r>
              <w:rPr>
                <w:rFonts w:ascii="Arial" w:cs="Arial" w:eastAsia="Arial" w:hAnsi="Arial"/>
                <w:sz w:val="16"/>
                <w:szCs w:val="16"/>
                <w:color w:val="auto"/>
              </w:rPr>
              <w:t>15</w:t>
            </w:r>
          </w:p>
        </w:tc>
        <w:tc>
          <w:tcPr>
            <w:tcW w:w="2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77</w:t>
            </w:r>
          </w:p>
        </w:tc>
        <w:tc>
          <w:tcPr>
            <w:tcW w:w="280" w:type="dxa"/>
            <w:vAlign w:val="bottom"/>
          </w:tcPr>
          <w:p>
            <w:pPr>
              <w:spacing w:after="0"/>
              <w:rPr>
                <w:sz w:val="17"/>
                <w:szCs w:val="17"/>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(833)</w:t>
            </w:r>
          </w:p>
        </w:tc>
        <w:tc>
          <w:tcPr>
            <w:tcW w:w="1420" w:type="dxa"/>
            <w:vAlign w:val="bottom"/>
            <w:gridSpan w:val="2"/>
          </w:tcPr>
          <w:p>
            <w:pPr>
              <w:jc w:val="right"/>
              <w:ind w:right="280"/>
              <w:spacing w:after="0"/>
              <w:rPr>
                <w:sz w:val="20"/>
                <w:szCs w:val="20"/>
                <w:color w:val="auto"/>
              </w:rPr>
            </w:pPr>
            <w:r>
              <w:rPr>
                <w:rFonts w:ascii="Arial" w:cs="Arial" w:eastAsia="Arial" w:hAnsi="Arial"/>
                <w:sz w:val="16"/>
                <w:szCs w:val="16"/>
                <w:color w:val="auto"/>
              </w:rPr>
              <w:t>1,287</w:t>
            </w:r>
          </w:p>
        </w:tc>
        <w:tc>
          <w:tcPr>
            <w:tcW w:w="1260" w:type="dxa"/>
            <w:vAlign w:val="bottom"/>
            <w:gridSpan w:val="3"/>
          </w:tcPr>
          <w:p>
            <w:pPr>
              <w:jc w:val="right"/>
              <w:ind w:right="60"/>
              <w:spacing w:after="0"/>
              <w:rPr>
                <w:sz w:val="20"/>
                <w:szCs w:val="20"/>
                <w:color w:val="auto"/>
              </w:rPr>
            </w:pPr>
            <w:r>
              <w:rPr>
                <w:rFonts w:ascii="Arial" w:cs="Arial" w:eastAsia="Arial" w:hAnsi="Arial"/>
                <w:sz w:val="16"/>
                <w:szCs w:val="16"/>
                <w:color w:val="auto"/>
              </w:rPr>
              <w:t>(3,297)</w:t>
            </w:r>
          </w:p>
        </w:tc>
      </w:tr>
      <w:tr>
        <w:trPr>
          <w:trHeight w:val="202"/>
        </w:trPr>
        <w:tc>
          <w:tcPr>
            <w:tcW w:w="46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Other comprehensive income/(loss) for the period</w:t>
            </w:r>
          </w:p>
        </w:tc>
        <w:tc>
          <w:tcPr>
            <w:tcW w:w="76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77</w:t>
            </w:r>
          </w:p>
        </w:tc>
        <w:tc>
          <w:tcPr>
            <w:tcW w:w="28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(833)</w:t>
            </w:r>
          </w:p>
        </w:tc>
        <w:tc>
          <w:tcPr>
            <w:tcW w:w="30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1,287</w:t>
            </w:r>
          </w:p>
        </w:tc>
        <w:tc>
          <w:tcPr>
            <w:tcW w:w="280" w:type="dxa"/>
            <w:vAlign w:val="bottom"/>
            <w:tcBorders>
              <w:top w:val="single" w:sz="8" w:color="E5FFFF"/>
            </w:tcBorders>
            <w:shd w:val="clear" w:color="auto" w:fill="E5FFFF"/>
          </w:tcPr>
          <w:p>
            <w:pPr>
              <w:spacing w:after="0"/>
              <w:rPr>
                <w:sz w:val="17"/>
                <w:szCs w:val="17"/>
                <w:color w:val="auto"/>
              </w:rPr>
            </w:pPr>
          </w:p>
        </w:tc>
        <w:tc>
          <w:tcPr>
            <w:tcW w:w="11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(3,297)</w:t>
            </w:r>
          </w:p>
        </w:tc>
        <w:tc>
          <w:tcPr>
            <w:tcW w:w="100" w:type="dxa"/>
            <w:vAlign w:val="bottom"/>
            <w:tcBorders>
              <w:top w:val="single" w:sz="8" w:color="E5FFFF"/>
            </w:tcBorders>
            <w:gridSpan w:val="2"/>
            <w:shd w:val="clear" w:color="auto" w:fill="E5FFFF"/>
          </w:tcPr>
          <w:p>
            <w:pPr>
              <w:spacing w:after="0"/>
              <w:rPr>
                <w:sz w:val="17"/>
                <w:szCs w:val="17"/>
                <w:color w:val="auto"/>
              </w:rPr>
            </w:pPr>
          </w:p>
        </w:tc>
      </w:tr>
      <w:tr>
        <w:trPr>
          <w:trHeight w:val="236"/>
        </w:trPr>
        <w:tc>
          <w:tcPr>
            <w:tcW w:w="46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comprehensive income for the period</w:t>
            </w:r>
          </w:p>
        </w:tc>
        <w:tc>
          <w:tcPr>
            <w:tcW w:w="760" w:type="dxa"/>
            <w:vAlign w:val="bottom"/>
            <w:tcBorders>
              <w:bottom w:val="single" w:sz="8" w:color="E5FFFF"/>
            </w:tcBorders>
          </w:tcPr>
          <w:p>
            <w:pPr>
              <w:spacing w:after="0"/>
              <w:rPr>
                <w:sz w:val="20"/>
                <w:szCs w:val="20"/>
                <w:color w:val="auto"/>
              </w:rPr>
            </w:pPr>
          </w:p>
        </w:tc>
        <w:tc>
          <w:tcPr>
            <w:tcW w:w="280" w:type="dxa"/>
            <w:vAlign w:val="bottom"/>
            <w:tcBorders>
              <w:bottom w:val="single" w:sz="8" w:color="E5FFFF"/>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39,338</w:t>
            </w:r>
          </w:p>
        </w:tc>
        <w:tc>
          <w:tcPr>
            <w:tcW w:w="280" w:type="dxa"/>
            <w:vAlign w:val="bottom"/>
            <w:tcBorders>
              <w:bottom w:val="single" w:sz="8" w:color="E5FFFF"/>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8,056</w:t>
            </w:r>
          </w:p>
        </w:tc>
        <w:tc>
          <w:tcPr>
            <w:tcW w:w="300" w:type="dxa"/>
            <w:vAlign w:val="bottom"/>
            <w:tcBorders>
              <w:bottom w:val="single" w:sz="8" w:color="E5FFFF"/>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97,301</w:t>
            </w:r>
          </w:p>
        </w:tc>
        <w:tc>
          <w:tcPr>
            <w:tcW w:w="280" w:type="dxa"/>
            <w:vAlign w:val="bottom"/>
            <w:tcBorders>
              <w:bottom w:val="single" w:sz="8" w:color="E5FFFF"/>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979</w:t>
            </w:r>
          </w:p>
        </w:tc>
        <w:tc>
          <w:tcPr>
            <w:tcW w:w="20" w:type="dxa"/>
            <w:vAlign w:val="bottom"/>
            <w:tcBorders>
              <w:bottom w:val="single" w:sz="8" w:color="E5FFFF"/>
            </w:tcBorders>
          </w:tcPr>
          <w:p>
            <w:pPr>
              <w:spacing w:after="0"/>
              <w:rPr>
                <w:sz w:val="20"/>
                <w:szCs w:val="20"/>
                <w:color w:val="auto"/>
              </w:rPr>
            </w:pPr>
          </w:p>
        </w:tc>
        <w:tc>
          <w:tcPr>
            <w:tcW w:w="80" w:type="dxa"/>
            <w:vAlign w:val="bottom"/>
            <w:tcBorders>
              <w:bottom w:val="single" w:sz="8" w:color="E5FFFF"/>
            </w:tcBorders>
          </w:tcPr>
          <w:p>
            <w:pPr>
              <w:spacing w:after="0"/>
              <w:rPr>
                <w:sz w:val="20"/>
                <w:szCs w:val="20"/>
                <w:color w:val="auto"/>
              </w:rPr>
            </w:pPr>
          </w:p>
        </w:tc>
      </w:tr>
      <w:tr>
        <w:trPr>
          <w:trHeight w:val="156"/>
        </w:trPr>
        <w:tc>
          <w:tcPr>
            <w:tcW w:w="4660" w:type="dxa"/>
            <w:vAlign w:val="bottom"/>
            <w:shd w:val="clear" w:color="auto" w:fill="E5FFFF"/>
          </w:tcPr>
          <w:p>
            <w:pPr>
              <w:spacing w:after="0" w:line="156" w:lineRule="exact"/>
              <w:rPr>
                <w:sz w:val="20"/>
                <w:szCs w:val="20"/>
                <w:color w:val="auto"/>
              </w:rPr>
            </w:pPr>
            <w:r>
              <w:rPr>
                <w:rFonts w:ascii="Arial" w:cs="Arial" w:eastAsia="Arial" w:hAnsi="Arial"/>
                <w:sz w:val="16"/>
                <w:szCs w:val="16"/>
                <w:color w:val="auto"/>
              </w:rPr>
              <w:t>Attributable to:</w:t>
            </w:r>
          </w:p>
        </w:tc>
        <w:tc>
          <w:tcPr>
            <w:tcW w:w="760" w:type="dxa"/>
            <w:vAlign w:val="bottom"/>
            <w:shd w:val="clear" w:color="auto" w:fill="E5FFFF"/>
          </w:tcPr>
          <w:p>
            <w:pPr>
              <w:spacing w:after="0"/>
              <w:rPr>
                <w:sz w:val="13"/>
                <w:szCs w:val="13"/>
                <w:color w:val="auto"/>
              </w:rPr>
            </w:pPr>
          </w:p>
        </w:tc>
        <w:tc>
          <w:tcPr>
            <w:tcW w:w="280" w:type="dxa"/>
            <w:vAlign w:val="bottom"/>
            <w:shd w:val="clear" w:color="auto" w:fill="E5FFFF"/>
          </w:tcPr>
          <w:p>
            <w:pPr>
              <w:spacing w:after="0"/>
              <w:rPr>
                <w:sz w:val="13"/>
                <w:szCs w:val="13"/>
                <w:color w:val="auto"/>
              </w:rPr>
            </w:pPr>
          </w:p>
        </w:tc>
        <w:tc>
          <w:tcPr>
            <w:tcW w:w="1320" w:type="dxa"/>
            <w:vAlign w:val="bottom"/>
            <w:shd w:val="clear" w:color="auto" w:fill="E5FFFF"/>
          </w:tcPr>
          <w:p>
            <w:pPr>
              <w:spacing w:after="0"/>
              <w:rPr>
                <w:sz w:val="13"/>
                <w:szCs w:val="13"/>
                <w:color w:val="auto"/>
              </w:rPr>
            </w:pPr>
          </w:p>
        </w:tc>
        <w:tc>
          <w:tcPr>
            <w:tcW w:w="280" w:type="dxa"/>
            <w:vAlign w:val="bottom"/>
            <w:shd w:val="clear" w:color="auto" w:fill="E5FFFF"/>
          </w:tcPr>
          <w:p>
            <w:pPr>
              <w:spacing w:after="0"/>
              <w:rPr>
                <w:sz w:val="13"/>
                <w:szCs w:val="13"/>
                <w:color w:val="auto"/>
              </w:rPr>
            </w:pPr>
          </w:p>
        </w:tc>
        <w:tc>
          <w:tcPr>
            <w:tcW w:w="1140" w:type="dxa"/>
            <w:vAlign w:val="bottom"/>
            <w:shd w:val="clear" w:color="auto" w:fill="E5FFFF"/>
          </w:tcPr>
          <w:p>
            <w:pPr>
              <w:spacing w:after="0"/>
              <w:rPr>
                <w:sz w:val="13"/>
                <w:szCs w:val="13"/>
                <w:color w:val="auto"/>
              </w:rPr>
            </w:pPr>
          </w:p>
        </w:tc>
        <w:tc>
          <w:tcPr>
            <w:tcW w:w="300" w:type="dxa"/>
            <w:vAlign w:val="bottom"/>
            <w:shd w:val="clear" w:color="auto" w:fill="E5FFFF"/>
          </w:tcPr>
          <w:p>
            <w:pPr>
              <w:spacing w:after="0"/>
              <w:rPr>
                <w:sz w:val="13"/>
                <w:szCs w:val="13"/>
                <w:color w:val="auto"/>
              </w:rPr>
            </w:pPr>
          </w:p>
        </w:tc>
        <w:tc>
          <w:tcPr>
            <w:tcW w:w="1140" w:type="dxa"/>
            <w:vAlign w:val="bottom"/>
            <w:shd w:val="clear" w:color="auto" w:fill="E5FFFF"/>
          </w:tcPr>
          <w:p>
            <w:pPr>
              <w:spacing w:after="0"/>
              <w:rPr>
                <w:sz w:val="13"/>
                <w:szCs w:val="13"/>
                <w:color w:val="auto"/>
              </w:rPr>
            </w:pPr>
          </w:p>
        </w:tc>
        <w:tc>
          <w:tcPr>
            <w:tcW w:w="280" w:type="dxa"/>
            <w:vAlign w:val="bottom"/>
            <w:shd w:val="clear" w:color="auto" w:fill="E5FFFF"/>
          </w:tcPr>
          <w:p>
            <w:pPr>
              <w:spacing w:after="0"/>
              <w:rPr>
                <w:sz w:val="13"/>
                <w:szCs w:val="13"/>
                <w:color w:val="auto"/>
              </w:rPr>
            </w:pPr>
          </w:p>
        </w:tc>
        <w:tc>
          <w:tcPr>
            <w:tcW w:w="1160" w:type="dxa"/>
            <w:vAlign w:val="bottom"/>
            <w:shd w:val="clear" w:color="auto" w:fill="E5FFFF"/>
          </w:tcPr>
          <w:p>
            <w:pPr>
              <w:spacing w:after="0"/>
              <w:rPr>
                <w:sz w:val="13"/>
                <w:szCs w:val="13"/>
                <w:color w:val="auto"/>
              </w:rPr>
            </w:pPr>
          </w:p>
        </w:tc>
        <w:tc>
          <w:tcPr>
            <w:tcW w:w="20" w:type="dxa"/>
            <w:vAlign w:val="bottom"/>
            <w:shd w:val="clear" w:color="auto" w:fill="E5FFFF"/>
          </w:tcPr>
          <w:p>
            <w:pPr>
              <w:spacing w:after="0"/>
              <w:rPr>
                <w:sz w:val="13"/>
                <w:szCs w:val="13"/>
                <w:color w:val="auto"/>
              </w:rPr>
            </w:pPr>
          </w:p>
        </w:tc>
        <w:tc>
          <w:tcPr>
            <w:tcW w:w="80" w:type="dxa"/>
            <w:vAlign w:val="bottom"/>
            <w:shd w:val="clear" w:color="auto" w:fill="E5FFFF"/>
          </w:tcPr>
          <w:p>
            <w:pPr>
              <w:spacing w:after="0"/>
              <w:rPr>
                <w:sz w:val="13"/>
                <w:szCs w:val="13"/>
                <w:color w:val="auto"/>
              </w:rPr>
            </w:pPr>
          </w:p>
        </w:tc>
      </w:tr>
      <w:tr>
        <w:trPr>
          <w:trHeight w:val="203"/>
        </w:trPr>
        <w:tc>
          <w:tcPr>
            <w:tcW w:w="4660" w:type="dxa"/>
            <w:vAlign w:val="bottom"/>
          </w:tcPr>
          <w:p>
            <w:pPr>
              <w:spacing w:after="0"/>
              <w:rPr>
                <w:sz w:val="20"/>
                <w:szCs w:val="20"/>
                <w:color w:val="auto"/>
              </w:rPr>
            </w:pPr>
            <w:r>
              <w:rPr>
                <w:rFonts w:ascii="Arial" w:cs="Arial" w:eastAsia="Arial" w:hAnsi="Arial"/>
                <w:sz w:val="16"/>
                <w:szCs w:val="16"/>
                <w:color w:val="auto"/>
              </w:rPr>
              <w:t>Owners of the Group</w:t>
            </w: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18,291</w:t>
            </w:r>
          </w:p>
        </w:tc>
        <w:tc>
          <w:tcPr>
            <w:tcW w:w="280" w:type="dxa"/>
            <w:vAlign w:val="bottom"/>
          </w:tcPr>
          <w:p>
            <w:pPr>
              <w:spacing w:after="0"/>
              <w:rPr>
                <w:sz w:val="17"/>
                <w:szCs w:val="17"/>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(14,378)</w:t>
            </w:r>
          </w:p>
        </w:tc>
        <w:tc>
          <w:tcPr>
            <w:tcW w:w="1420" w:type="dxa"/>
            <w:vAlign w:val="bottom"/>
            <w:gridSpan w:val="2"/>
          </w:tcPr>
          <w:p>
            <w:pPr>
              <w:jc w:val="right"/>
              <w:ind w:right="280"/>
              <w:spacing w:after="0"/>
              <w:rPr>
                <w:sz w:val="20"/>
                <w:szCs w:val="20"/>
                <w:color w:val="auto"/>
              </w:rPr>
            </w:pPr>
            <w:r>
              <w:rPr>
                <w:rFonts w:ascii="Arial" w:cs="Arial" w:eastAsia="Arial" w:hAnsi="Arial"/>
                <w:sz w:val="16"/>
                <w:szCs w:val="16"/>
                <w:color w:val="auto"/>
              </w:rPr>
              <w:t>35,185</w:t>
            </w:r>
          </w:p>
        </w:tc>
        <w:tc>
          <w:tcPr>
            <w:tcW w:w="1260" w:type="dxa"/>
            <w:vAlign w:val="bottom"/>
            <w:gridSpan w:val="3"/>
          </w:tcPr>
          <w:p>
            <w:pPr>
              <w:jc w:val="right"/>
              <w:ind w:right="60"/>
              <w:spacing w:after="0"/>
              <w:rPr>
                <w:sz w:val="20"/>
                <w:szCs w:val="20"/>
                <w:color w:val="auto"/>
              </w:rPr>
            </w:pPr>
            <w:r>
              <w:rPr>
                <w:rFonts w:ascii="Arial" w:cs="Arial" w:eastAsia="Arial" w:hAnsi="Arial"/>
                <w:sz w:val="16"/>
                <w:szCs w:val="16"/>
                <w:color w:val="auto"/>
              </w:rPr>
              <w:t>(53,787)</w:t>
            </w:r>
          </w:p>
        </w:tc>
      </w:tr>
      <w:tr>
        <w:trPr>
          <w:trHeight w:val="203"/>
        </w:trPr>
        <w:tc>
          <w:tcPr>
            <w:tcW w:w="4660" w:type="dxa"/>
            <w:vAlign w:val="bottom"/>
            <w:shd w:val="clear" w:color="auto" w:fill="E5FFFF"/>
          </w:tcPr>
          <w:p>
            <w:pPr>
              <w:spacing w:after="0"/>
              <w:rPr>
                <w:sz w:val="20"/>
                <w:szCs w:val="20"/>
                <w:color w:val="auto"/>
              </w:rPr>
            </w:pPr>
            <w:r>
              <w:rPr>
                <w:rFonts w:ascii="Arial" w:cs="Arial" w:eastAsia="Arial" w:hAnsi="Arial"/>
                <w:sz w:val="16"/>
                <w:szCs w:val="16"/>
                <w:color w:val="auto"/>
              </w:rPr>
              <w:t>Non-controlling interests</w:t>
            </w:r>
          </w:p>
        </w:tc>
        <w:tc>
          <w:tcPr>
            <w:tcW w:w="76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21,047</w:t>
            </w:r>
          </w:p>
        </w:tc>
        <w:tc>
          <w:tcPr>
            <w:tcW w:w="280" w:type="dxa"/>
            <w:vAlign w:val="bottom"/>
            <w:shd w:val="clear" w:color="auto" w:fill="E5FFFF"/>
          </w:tcPr>
          <w:p>
            <w:pPr>
              <w:spacing w:after="0"/>
              <w:rPr>
                <w:sz w:val="17"/>
                <w:szCs w:val="17"/>
                <w:color w:val="auto"/>
              </w:rPr>
            </w:pPr>
          </w:p>
        </w:tc>
        <w:tc>
          <w:tcPr>
            <w:tcW w:w="11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22,434</w:t>
            </w:r>
          </w:p>
        </w:tc>
        <w:tc>
          <w:tcPr>
            <w:tcW w:w="300" w:type="dxa"/>
            <w:vAlign w:val="bottom"/>
            <w:shd w:val="clear" w:color="auto" w:fill="E5FFFF"/>
          </w:tcPr>
          <w:p>
            <w:pPr>
              <w:spacing w:after="0"/>
              <w:rPr>
                <w:sz w:val="17"/>
                <w:szCs w:val="17"/>
                <w:color w:val="auto"/>
              </w:rPr>
            </w:pPr>
          </w:p>
        </w:tc>
        <w:tc>
          <w:tcPr>
            <w:tcW w:w="142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62,116</w:t>
            </w:r>
          </w:p>
        </w:tc>
        <w:tc>
          <w:tcPr>
            <w:tcW w:w="118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54,766</w:t>
            </w:r>
          </w:p>
        </w:tc>
        <w:tc>
          <w:tcPr>
            <w:tcW w:w="80" w:type="dxa"/>
            <w:vAlign w:val="bottom"/>
            <w:shd w:val="clear" w:color="auto" w:fill="E5FFFF"/>
          </w:tcPr>
          <w:p>
            <w:pPr>
              <w:spacing w:after="0"/>
              <w:rPr>
                <w:sz w:val="17"/>
                <w:szCs w:val="17"/>
                <w:color w:val="auto"/>
              </w:rPr>
            </w:pPr>
          </w:p>
        </w:tc>
      </w:tr>
      <w:tr>
        <w:trPr>
          <w:trHeight w:val="196"/>
        </w:trPr>
        <w:tc>
          <w:tcPr>
            <w:tcW w:w="4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39,338</w:t>
            </w:r>
          </w:p>
        </w:tc>
        <w:tc>
          <w:tcPr>
            <w:tcW w:w="28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8,056</w:t>
            </w:r>
          </w:p>
        </w:tc>
        <w:tc>
          <w:tcPr>
            <w:tcW w:w="30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97,301</w:t>
            </w:r>
          </w:p>
        </w:tc>
        <w:tc>
          <w:tcPr>
            <w:tcW w:w="28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979</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4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color w:val="auto"/>
        </w:rPr>
        <w:t>GasLog Ltd. and its Subsidiaries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 condensed consolidated statements of changes in equity</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nine months ended September 30, 2018 and 2019</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Share</w:t>
            </w:r>
          </w:p>
        </w:tc>
        <w:tc>
          <w:tcPr>
            <w:tcW w:w="9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Preference</w:t>
            </w: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Contributed</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jc w:val="center"/>
              <w:ind w:right="48"/>
              <w:spacing w:after="0"/>
              <w:rPr>
                <w:sz w:val="20"/>
                <w:szCs w:val="20"/>
                <w:color w:val="auto"/>
              </w:rPr>
            </w:pPr>
            <w:r>
              <w:rPr>
                <w:rFonts w:ascii="Arial" w:cs="Arial" w:eastAsia="Arial" w:hAnsi="Arial"/>
                <w:sz w:val="14"/>
                <w:szCs w:val="14"/>
                <w:b w:val="1"/>
                <w:bCs w:val="1"/>
                <w:color w:val="auto"/>
                <w:w w:val="91"/>
              </w:rPr>
              <w:t>Treasury</w:t>
            </w:r>
          </w:p>
        </w:tc>
        <w:tc>
          <w:tcPr>
            <w:tcW w:w="1180" w:type="dxa"/>
            <w:vAlign w:val="bottom"/>
            <w:gridSpan w:val="2"/>
            <w:vMerge w:val="restart"/>
          </w:tcPr>
          <w:p>
            <w:pPr>
              <w:jc w:val="center"/>
              <w:ind w:right="79"/>
              <w:spacing w:after="0"/>
              <w:rPr>
                <w:sz w:val="20"/>
                <w:szCs w:val="20"/>
                <w:color w:val="auto"/>
              </w:rPr>
            </w:pPr>
            <w:r>
              <w:rPr>
                <w:rFonts w:ascii="Arial" w:cs="Arial" w:eastAsia="Arial" w:hAnsi="Arial"/>
                <w:sz w:val="14"/>
                <w:szCs w:val="14"/>
                <w:b w:val="1"/>
                <w:bCs w:val="1"/>
                <w:color w:val="auto"/>
                <w:w w:val="92"/>
              </w:rPr>
              <w:t>(Accumulated</w:t>
            </w:r>
          </w:p>
        </w:tc>
        <w:tc>
          <w:tcPr>
            <w:tcW w:w="10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Attributable</w:t>
            </w: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Non -</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capital</w:t>
            </w:r>
          </w:p>
        </w:tc>
        <w:tc>
          <w:tcPr>
            <w:tcW w:w="92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(Note</w:t>
            </w: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shares</w:t>
            </w: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surplus</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Reserves</w:t>
            </w:r>
          </w:p>
        </w:tc>
        <w:tc>
          <w:tcPr>
            <w:tcW w:w="900" w:type="dxa"/>
            <w:vAlign w:val="bottom"/>
            <w:gridSpan w:val="2"/>
          </w:tcPr>
          <w:p>
            <w:pPr>
              <w:jc w:val="center"/>
              <w:ind w:right="48"/>
              <w:spacing w:after="0" w:line="149" w:lineRule="exact"/>
              <w:rPr>
                <w:sz w:val="20"/>
                <w:szCs w:val="20"/>
                <w:color w:val="auto"/>
              </w:rPr>
            </w:pPr>
            <w:r>
              <w:rPr>
                <w:rFonts w:ascii="Arial" w:cs="Arial" w:eastAsia="Arial" w:hAnsi="Arial"/>
                <w:sz w:val="14"/>
                <w:szCs w:val="14"/>
                <w:b w:val="1"/>
                <w:bCs w:val="1"/>
                <w:color w:val="auto"/>
                <w:w w:val="84"/>
              </w:rPr>
              <w:t>shares</w:t>
            </w:r>
          </w:p>
        </w:tc>
        <w:tc>
          <w:tcPr>
            <w:tcW w:w="1180" w:type="dxa"/>
            <w:vAlign w:val="bottom"/>
            <w:gridSpan w:val="2"/>
          </w:tcPr>
          <w:p>
            <w:pPr>
              <w:jc w:val="center"/>
              <w:ind w:right="79"/>
              <w:spacing w:after="0" w:line="149" w:lineRule="exact"/>
              <w:rPr>
                <w:sz w:val="20"/>
                <w:szCs w:val="20"/>
                <w:color w:val="auto"/>
              </w:rPr>
            </w:pPr>
            <w:r>
              <w:rPr>
                <w:rFonts w:ascii="Arial" w:cs="Arial" w:eastAsia="Arial" w:hAnsi="Arial"/>
                <w:sz w:val="14"/>
                <w:szCs w:val="14"/>
                <w:b w:val="1"/>
                <w:bCs w:val="1"/>
                <w:color w:val="auto"/>
                <w:w w:val="93"/>
              </w:rPr>
              <w:t>deficit)/retained</w:t>
            </w: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to owners of</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9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8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8"/>
              </w:rPr>
              <w:t>13)</w:t>
            </w:r>
          </w:p>
        </w:tc>
        <w:tc>
          <w:tcPr>
            <w:tcW w:w="12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(Note 13)</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(Note 13)</w:t>
            </w:r>
          </w:p>
        </w:tc>
        <w:tc>
          <w:tcPr>
            <w:tcW w:w="920" w:type="dxa"/>
            <w:vAlign w:val="bottom"/>
            <w:gridSpan w:val="2"/>
            <w:vMerge w:val="continue"/>
          </w:tcPr>
          <w:p>
            <w:pPr>
              <w:spacing w:after="0"/>
              <w:rPr>
                <w:sz w:val="14"/>
                <w:szCs w:val="14"/>
                <w:color w:val="auto"/>
              </w:rPr>
            </w:pPr>
          </w:p>
        </w:tc>
        <w:tc>
          <w:tcPr>
            <w:tcW w:w="900" w:type="dxa"/>
            <w:vAlign w:val="bottom"/>
            <w:gridSpan w:val="2"/>
          </w:tcPr>
          <w:p>
            <w:pPr>
              <w:jc w:val="center"/>
              <w:ind w:right="48"/>
              <w:spacing w:after="0"/>
              <w:rPr>
                <w:sz w:val="20"/>
                <w:szCs w:val="20"/>
                <w:color w:val="auto"/>
              </w:rPr>
            </w:pPr>
            <w:r>
              <w:rPr>
                <w:rFonts w:ascii="Arial" w:cs="Arial" w:eastAsia="Arial" w:hAnsi="Arial"/>
                <w:sz w:val="14"/>
                <w:szCs w:val="14"/>
                <w:b w:val="1"/>
                <w:bCs w:val="1"/>
                <w:color w:val="auto"/>
                <w:w w:val="96"/>
              </w:rPr>
              <w:t>(Note 13)</w:t>
            </w:r>
          </w:p>
        </w:tc>
        <w:tc>
          <w:tcPr>
            <w:tcW w:w="1180" w:type="dxa"/>
            <w:vAlign w:val="bottom"/>
            <w:gridSpan w:val="2"/>
          </w:tcPr>
          <w:p>
            <w:pPr>
              <w:jc w:val="center"/>
              <w:ind w:right="59"/>
              <w:spacing w:after="0"/>
              <w:rPr>
                <w:sz w:val="20"/>
                <w:szCs w:val="20"/>
                <w:color w:val="auto"/>
              </w:rPr>
            </w:pPr>
            <w:r>
              <w:rPr>
                <w:rFonts w:ascii="Arial" w:cs="Arial" w:eastAsia="Arial" w:hAnsi="Arial"/>
                <w:sz w:val="14"/>
                <w:szCs w:val="14"/>
                <w:b w:val="1"/>
                <w:bCs w:val="1"/>
                <w:color w:val="auto"/>
                <w:w w:val="89"/>
              </w:rPr>
              <w:t>earnings</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the Group</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interests</w:t>
            </w: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20" w:type="dxa"/>
            <w:vAlign w:val="bottom"/>
            <w:tcBorders>
              <w:top w:val="single" w:sz="8" w:color="E5FFFF"/>
            </w:tcBorders>
            <w:shd w:val="clear" w:color="auto" w:fill="E5FFFF"/>
          </w:tcPr>
          <w:p>
            <w:pPr>
              <w:spacing w:after="0" w:line="142" w:lineRule="exact"/>
              <w:rPr>
                <w:sz w:val="20"/>
                <w:szCs w:val="20"/>
                <w:color w:val="auto"/>
              </w:rPr>
            </w:pPr>
            <w:r>
              <w:rPr>
                <w:rFonts w:ascii="Arial" w:cs="Arial" w:eastAsia="Arial" w:hAnsi="Arial"/>
                <w:sz w:val="14"/>
                <w:szCs w:val="14"/>
                <w:b w:val="1"/>
                <w:bCs w:val="1"/>
                <w:color w:val="auto"/>
              </w:rPr>
              <w:t>Balance as of December 31, 2017</w:t>
            </w:r>
          </w:p>
        </w:tc>
        <w:tc>
          <w:tcPr>
            <w:tcW w:w="64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810</w:t>
            </w:r>
          </w:p>
        </w:tc>
        <w:tc>
          <w:tcPr>
            <w:tcW w:w="120" w:type="dxa"/>
            <w:vAlign w:val="bottom"/>
            <w:tcBorders>
              <w:top w:val="single" w:sz="8" w:color="E5FFFF"/>
            </w:tcBorders>
            <w:shd w:val="clear" w:color="auto" w:fill="E5FFFF"/>
          </w:tcPr>
          <w:p>
            <w:pPr>
              <w:spacing w:after="0"/>
              <w:rPr>
                <w:sz w:val="12"/>
                <w:szCs w:val="12"/>
                <w:color w:val="auto"/>
              </w:rPr>
            </w:pPr>
          </w:p>
        </w:tc>
        <w:tc>
          <w:tcPr>
            <w:tcW w:w="80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46</w:t>
            </w:r>
          </w:p>
        </w:tc>
        <w:tc>
          <w:tcPr>
            <w:tcW w:w="120" w:type="dxa"/>
            <w:vAlign w:val="bottom"/>
            <w:tcBorders>
              <w:top w:val="single" w:sz="8" w:color="E5FFFF"/>
            </w:tcBorders>
            <w:shd w:val="clear" w:color="auto" w:fill="E5FFFF"/>
          </w:tcPr>
          <w:p>
            <w:pPr>
              <w:spacing w:after="0"/>
              <w:rPr>
                <w:sz w:val="12"/>
                <w:szCs w:val="12"/>
                <w:color w:val="auto"/>
              </w:rPr>
            </w:pPr>
          </w:p>
        </w:tc>
        <w:tc>
          <w:tcPr>
            <w:tcW w:w="92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911,766</w:t>
            </w:r>
          </w:p>
        </w:tc>
        <w:tc>
          <w:tcPr>
            <w:tcW w:w="120" w:type="dxa"/>
            <w:vAlign w:val="bottom"/>
            <w:tcBorders>
              <w:top w:val="single" w:sz="8" w:color="E5FFFF"/>
            </w:tcBorders>
            <w:shd w:val="clear" w:color="auto" w:fill="E5FFFF"/>
          </w:tcPr>
          <w:p>
            <w:pPr>
              <w:spacing w:after="0"/>
              <w:rPr>
                <w:sz w:val="12"/>
                <w:szCs w:val="12"/>
                <w:color w:val="auto"/>
              </w:rPr>
            </w:pPr>
          </w:p>
        </w:tc>
        <w:tc>
          <w:tcPr>
            <w:tcW w:w="80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18,347</w:t>
            </w:r>
          </w:p>
        </w:tc>
        <w:tc>
          <w:tcPr>
            <w:tcW w:w="120" w:type="dxa"/>
            <w:vAlign w:val="bottom"/>
            <w:tcBorders>
              <w:top w:val="single" w:sz="8" w:color="E5FFFF"/>
            </w:tcBorders>
            <w:shd w:val="clear" w:color="auto" w:fill="E5FFFF"/>
          </w:tcPr>
          <w:p>
            <w:pPr>
              <w:spacing w:after="0"/>
              <w:rPr>
                <w:sz w:val="12"/>
                <w:szCs w:val="12"/>
                <w:color w:val="auto"/>
              </w:rPr>
            </w:pPr>
          </w:p>
        </w:tc>
        <w:tc>
          <w:tcPr>
            <w:tcW w:w="78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(6,960)</w:t>
            </w:r>
          </w:p>
        </w:tc>
        <w:tc>
          <w:tcPr>
            <w:tcW w:w="120" w:type="dxa"/>
            <w:vAlign w:val="bottom"/>
            <w:tcBorders>
              <w:top w:val="single" w:sz="8" w:color="E5FFFF"/>
            </w:tcBorders>
            <w:shd w:val="clear" w:color="auto" w:fill="E5FFFF"/>
          </w:tcPr>
          <w:p>
            <w:pPr>
              <w:spacing w:after="0"/>
              <w:rPr>
                <w:sz w:val="12"/>
                <w:szCs w:val="12"/>
                <w:color w:val="auto"/>
              </w:rPr>
            </w:pPr>
          </w:p>
        </w:tc>
        <w:tc>
          <w:tcPr>
            <w:tcW w:w="108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(5,980)</w:t>
            </w:r>
          </w:p>
        </w:tc>
        <w:tc>
          <w:tcPr>
            <w:tcW w:w="100" w:type="dxa"/>
            <w:vAlign w:val="bottom"/>
            <w:tcBorders>
              <w:top w:val="single" w:sz="8" w:color="E5FFFF"/>
            </w:tcBorders>
            <w:shd w:val="clear" w:color="auto" w:fill="E5FFFF"/>
          </w:tcPr>
          <w:p>
            <w:pPr>
              <w:spacing w:after="0"/>
              <w:rPr>
                <w:sz w:val="12"/>
                <w:szCs w:val="12"/>
                <w:color w:val="auto"/>
              </w:rPr>
            </w:pPr>
          </w:p>
        </w:tc>
        <w:tc>
          <w:tcPr>
            <w:tcW w:w="96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918,029</w:t>
            </w:r>
          </w:p>
        </w:tc>
        <w:tc>
          <w:tcPr>
            <w:tcW w:w="120" w:type="dxa"/>
            <w:vAlign w:val="bottom"/>
            <w:tcBorders>
              <w:top w:val="single" w:sz="8" w:color="E5FFFF"/>
            </w:tcBorders>
            <w:shd w:val="clear" w:color="auto" w:fill="E5FFFF"/>
          </w:tcPr>
          <w:p>
            <w:pPr>
              <w:spacing w:after="0"/>
              <w:rPr>
                <w:sz w:val="12"/>
                <w:szCs w:val="12"/>
                <w:color w:val="auto"/>
              </w:rPr>
            </w:pPr>
          </w:p>
        </w:tc>
        <w:tc>
          <w:tcPr>
            <w:tcW w:w="78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845,105</w:t>
            </w:r>
          </w:p>
        </w:tc>
        <w:tc>
          <w:tcPr>
            <w:tcW w:w="120" w:type="dxa"/>
            <w:vAlign w:val="bottom"/>
            <w:tcBorders>
              <w:top w:val="single" w:sz="8" w:color="E5FFFF"/>
            </w:tcBorders>
            <w:shd w:val="clear" w:color="auto" w:fill="E5FFFF"/>
          </w:tcPr>
          <w:p>
            <w:pPr>
              <w:spacing w:after="0"/>
              <w:rPr>
                <w:sz w:val="12"/>
                <w:szCs w:val="12"/>
                <w:color w:val="auto"/>
              </w:rPr>
            </w:pPr>
          </w:p>
        </w:tc>
        <w:tc>
          <w:tcPr>
            <w:tcW w:w="80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1,763,134</w:t>
            </w:r>
          </w:p>
        </w:tc>
        <w:tc>
          <w:tcPr>
            <w:tcW w:w="100" w:type="dxa"/>
            <w:vAlign w:val="bottom"/>
            <w:tcBorders>
              <w:top w:val="single" w:sz="8" w:color="E5FFFF"/>
            </w:tcBorders>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20" w:type="dxa"/>
            <w:vAlign w:val="bottom"/>
            <w:tcBorders>
              <w:bottom w:val="single" w:sz="8" w:color="E5FFFF"/>
            </w:tcBorders>
          </w:tcPr>
          <w:p>
            <w:pPr>
              <w:spacing w:after="0" w:line="142" w:lineRule="exact"/>
              <w:rPr>
                <w:sz w:val="20"/>
                <w:szCs w:val="20"/>
                <w:color w:val="auto"/>
              </w:rPr>
            </w:pPr>
            <w:r>
              <w:rPr>
                <w:rFonts w:ascii="Arial" w:cs="Arial" w:eastAsia="Arial" w:hAnsi="Arial"/>
                <w:sz w:val="14"/>
                <w:szCs w:val="14"/>
                <w:color w:val="auto"/>
              </w:rPr>
              <w:t>Opening adjustment</w:t>
            </w:r>
            <w:r>
              <w:rPr>
                <w:rFonts w:ascii="Arial" w:cs="Arial" w:eastAsia="Arial" w:hAnsi="Arial"/>
                <w:sz w:val="16"/>
                <w:szCs w:val="16"/>
                <w:color w:val="auto"/>
                <w:vertAlign w:val="superscript"/>
              </w:rPr>
              <w:t>(1)</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E5FF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E5FFFF"/>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E5FF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(436)</w:t>
            </w:r>
          </w:p>
        </w:tc>
        <w:tc>
          <w:tcPr>
            <w:tcW w:w="120" w:type="dxa"/>
            <w:vAlign w:val="bottom"/>
            <w:tcBorders>
              <w:bottom w:val="single" w:sz="8" w:color="E5FF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E5FFFF"/>
            </w:tcBorders>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190</w:t>
            </w:r>
          </w:p>
        </w:tc>
        <w:tc>
          <w:tcPr>
            <w:tcW w:w="100" w:type="dxa"/>
            <w:vAlign w:val="bottom"/>
            <w:tcBorders>
              <w:bottom w:val="single" w:sz="8" w:color="E5FFFF"/>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(246)</w:t>
            </w:r>
          </w:p>
        </w:tc>
        <w:tc>
          <w:tcPr>
            <w:tcW w:w="120" w:type="dxa"/>
            <w:vAlign w:val="bottom"/>
            <w:tcBorders>
              <w:bottom w:val="single" w:sz="8" w:color="E5FF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E5FF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(246)</w:t>
            </w:r>
          </w:p>
        </w:tc>
        <w:tc>
          <w:tcPr>
            <w:tcW w:w="100" w:type="dxa"/>
            <w:vAlign w:val="bottom"/>
            <w:tcBorders>
              <w:bottom w:val="single" w:sz="8" w:color="E5FF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20" w:type="dxa"/>
            <w:vAlign w:val="bottom"/>
            <w:shd w:val="clear" w:color="auto" w:fill="E5FFFF"/>
          </w:tcPr>
          <w:p>
            <w:pPr>
              <w:spacing w:after="0" w:line="142" w:lineRule="exact"/>
              <w:rPr>
                <w:sz w:val="20"/>
                <w:szCs w:val="20"/>
                <w:color w:val="auto"/>
              </w:rPr>
            </w:pPr>
            <w:r>
              <w:rPr>
                <w:rFonts w:ascii="Arial" w:cs="Arial" w:eastAsia="Arial" w:hAnsi="Arial"/>
                <w:sz w:val="14"/>
                <w:szCs w:val="14"/>
                <w:b w:val="1"/>
                <w:bCs w:val="1"/>
                <w:color w:val="auto"/>
              </w:rPr>
              <w:t>Balance as of January 1, 2018</w:t>
            </w:r>
          </w:p>
        </w:tc>
        <w:tc>
          <w:tcPr>
            <w:tcW w:w="640" w:type="dxa"/>
            <w:vAlign w:val="bottom"/>
            <w:tcBorders>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810</w:t>
            </w:r>
          </w:p>
        </w:tc>
        <w:tc>
          <w:tcPr>
            <w:tcW w:w="120" w:type="dxa"/>
            <w:vAlign w:val="bottom"/>
            <w:shd w:val="clear" w:color="auto" w:fill="E5FFFF"/>
          </w:tcPr>
          <w:p>
            <w:pPr>
              <w:spacing w:after="0"/>
              <w:rPr>
                <w:sz w:val="12"/>
                <w:szCs w:val="12"/>
                <w:color w:val="auto"/>
              </w:rPr>
            </w:pPr>
          </w:p>
        </w:tc>
        <w:tc>
          <w:tcPr>
            <w:tcW w:w="800" w:type="dxa"/>
            <w:vAlign w:val="bottom"/>
            <w:tcBorders>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46</w:t>
            </w:r>
          </w:p>
        </w:tc>
        <w:tc>
          <w:tcPr>
            <w:tcW w:w="120" w:type="dxa"/>
            <w:vAlign w:val="bottom"/>
            <w:shd w:val="clear" w:color="auto" w:fill="E5FFFF"/>
          </w:tcPr>
          <w:p>
            <w:pPr>
              <w:spacing w:after="0"/>
              <w:rPr>
                <w:sz w:val="12"/>
                <w:szCs w:val="12"/>
                <w:color w:val="auto"/>
              </w:rPr>
            </w:pPr>
          </w:p>
        </w:tc>
        <w:tc>
          <w:tcPr>
            <w:tcW w:w="920" w:type="dxa"/>
            <w:vAlign w:val="bottom"/>
            <w:tcBorders>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911,766</w:t>
            </w:r>
          </w:p>
        </w:tc>
        <w:tc>
          <w:tcPr>
            <w:tcW w:w="120" w:type="dxa"/>
            <w:vAlign w:val="bottom"/>
            <w:shd w:val="clear" w:color="auto" w:fill="E5FFFF"/>
          </w:tcPr>
          <w:p>
            <w:pPr>
              <w:spacing w:after="0"/>
              <w:rPr>
                <w:sz w:val="12"/>
                <w:szCs w:val="12"/>
                <w:color w:val="auto"/>
              </w:rPr>
            </w:pPr>
          </w:p>
        </w:tc>
        <w:tc>
          <w:tcPr>
            <w:tcW w:w="800" w:type="dxa"/>
            <w:vAlign w:val="bottom"/>
            <w:tcBorders>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17,911</w:t>
            </w:r>
          </w:p>
        </w:tc>
        <w:tc>
          <w:tcPr>
            <w:tcW w:w="120" w:type="dxa"/>
            <w:vAlign w:val="bottom"/>
            <w:shd w:val="clear" w:color="auto" w:fill="E5FFFF"/>
          </w:tcPr>
          <w:p>
            <w:pPr>
              <w:spacing w:after="0"/>
              <w:rPr>
                <w:sz w:val="12"/>
                <w:szCs w:val="12"/>
                <w:color w:val="auto"/>
              </w:rPr>
            </w:pPr>
          </w:p>
        </w:tc>
        <w:tc>
          <w:tcPr>
            <w:tcW w:w="780" w:type="dxa"/>
            <w:vAlign w:val="bottom"/>
            <w:tcBorders>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(6,960)</w:t>
            </w:r>
          </w:p>
        </w:tc>
        <w:tc>
          <w:tcPr>
            <w:tcW w:w="120" w:type="dxa"/>
            <w:vAlign w:val="bottom"/>
            <w:shd w:val="clear" w:color="auto" w:fill="E5FFFF"/>
          </w:tcPr>
          <w:p>
            <w:pPr>
              <w:spacing w:after="0"/>
              <w:rPr>
                <w:sz w:val="12"/>
                <w:szCs w:val="12"/>
                <w:color w:val="auto"/>
              </w:rPr>
            </w:pPr>
          </w:p>
        </w:tc>
        <w:tc>
          <w:tcPr>
            <w:tcW w:w="1080" w:type="dxa"/>
            <w:vAlign w:val="bottom"/>
            <w:tcBorders>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(5,790)</w:t>
            </w:r>
          </w:p>
        </w:tc>
        <w:tc>
          <w:tcPr>
            <w:tcW w:w="100" w:type="dxa"/>
            <w:vAlign w:val="bottom"/>
            <w:shd w:val="clear" w:color="auto" w:fill="E5FFFF"/>
          </w:tcPr>
          <w:p>
            <w:pPr>
              <w:spacing w:after="0"/>
              <w:rPr>
                <w:sz w:val="12"/>
                <w:szCs w:val="12"/>
                <w:color w:val="auto"/>
              </w:rPr>
            </w:pPr>
          </w:p>
        </w:tc>
        <w:tc>
          <w:tcPr>
            <w:tcW w:w="960" w:type="dxa"/>
            <w:vAlign w:val="bottom"/>
            <w:tcBorders>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917,783</w:t>
            </w:r>
          </w:p>
        </w:tc>
        <w:tc>
          <w:tcPr>
            <w:tcW w:w="120" w:type="dxa"/>
            <w:vAlign w:val="bottom"/>
            <w:shd w:val="clear" w:color="auto" w:fill="E5FFFF"/>
          </w:tcPr>
          <w:p>
            <w:pPr>
              <w:spacing w:after="0"/>
              <w:rPr>
                <w:sz w:val="12"/>
                <w:szCs w:val="12"/>
                <w:color w:val="auto"/>
              </w:rPr>
            </w:pPr>
          </w:p>
        </w:tc>
        <w:tc>
          <w:tcPr>
            <w:tcW w:w="780" w:type="dxa"/>
            <w:vAlign w:val="bottom"/>
            <w:tcBorders>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845,105</w:t>
            </w:r>
          </w:p>
        </w:tc>
        <w:tc>
          <w:tcPr>
            <w:tcW w:w="120" w:type="dxa"/>
            <w:vAlign w:val="bottom"/>
            <w:shd w:val="clear" w:color="auto" w:fill="E5FFFF"/>
          </w:tcPr>
          <w:p>
            <w:pPr>
              <w:spacing w:after="0"/>
              <w:rPr>
                <w:sz w:val="12"/>
                <w:szCs w:val="12"/>
                <w:color w:val="auto"/>
              </w:rPr>
            </w:pPr>
          </w:p>
        </w:tc>
        <w:tc>
          <w:tcPr>
            <w:tcW w:w="800" w:type="dxa"/>
            <w:vAlign w:val="bottom"/>
            <w:tcBorders>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1,762,888</w:t>
            </w: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820" w:type="dxa"/>
            <w:vAlign w:val="bottom"/>
          </w:tcPr>
          <w:p>
            <w:pPr>
              <w:spacing w:after="0" w:line="110" w:lineRule="exact"/>
              <w:rPr>
                <w:sz w:val="20"/>
                <w:szCs w:val="20"/>
                <w:color w:val="auto"/>
              </w:rPr>
            </w:pPr>
            <w:r>
              <w:rPr>
                <w:rFonts w:ascii="Arial" w:cs="Arial" w:eastAsia="Arial" w:hAnsi="Arial"/>
                <w:sz w:val="12"/>
                <w:szCs w:val="12"/>
                <w:color w:val="auto"/>
              </w:rPr>
              <w:t>Net proceeds from GasLog Partners’ public</w:t>
            </w: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820" w:type="dxa"/>
            <w:vAlign w:val="bottom"/>
          </w:tcPr>
          <w:p>
            <w:pPr>
              <w:ind w:left="160"/>
              <w:spacing w:after="0"/>
              <w:rPr>
                <w:sz w:val="20"/>
                <w:szCs w:val="20"/>
                <w:color w:val="auto"/>
              </w:rPr>
            </w:pPr>
            <w:r>
              <w:rPr>
                <w:rFonts w:ascii="Arial" w:cs="Arial" w:eastAsia="Arial" w:hAnsi="Arial"/>
                <w:sz w:val="14"/>
                <w:szCs w:val="14"/>
                <w:color w:val="auto"/>
              </w:rPr>
              <w:t>offerings</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165,151</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165,151</w:t>
            </w:r>
          </w:p>
        </w:tc>
        <w:tc>
          <w:tcPr>
            <w:tcW w:w="0" w:type="dxa"/>
            <w:vAlign w:val="bottom"/>
          </w:tcPr>
          <w:p>
            <w:pPr>
              <w:spacing w:after="0"/>
              <w:rPr>
                <w:sz w:val="1"/>
                <w:szCs w:val="1"/>
                <w:color w:val="auto"/>
              </w:rPr>
            </w:pPr>
          </w:p>
        </w:tc>
      </w:tr>
      <w:tr>
        <w:trPr>
          <w:trHeight w:val="130"/>
        </w:trPr>
        <w:tc>
          <w:tcPr>
            <w:tcW w:w="2820" w:type="dxa"/>
            <w:vAlign w:val="bottom"/>
            <w:shd w:val="clear" w:color="auto" w:fill="E5FFFF"/>
          </w:tcPr>
          <w:p>
            <w:pPr>
              <w:spacing w:after="0" w:line="130" w:lineRule="exact"/>
              <w:rPr>
                <w:sz w:val="20"/>
                <w:szCs w:val="20"/>
                <w:color w:val="auto"/>
              </w:rPr>
            </w:pPr>
            <w:r>
              <w:rPr>
                <w:rFonts w:ascii="Arial" w:cs="Arial" w:eastAsia="Arial" w:hAnsi="Arial"/>
                <w:sz w:val="14"/>
                <w:szCs w:val="14"/>
                <w:color w:val="auto"/>
              </w:rPr>
              <w:t>Dividend declared (common and preference</w:t>
            </w:r>
          </w:p>
        </w:tc>
        <w:tc>
          <w:tcPr>
            <w:tcW w:w="6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9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78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108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96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78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20" w:type="dxa"/>
            <w:vAlign w:val="bottom"/>
            <w:shd w:val="clear" w:color="auto" w:fill="E5FFFF"/>
          </w:tcPr>
          <w:p>
            <w:pPr>
              <w:ind w:left="160"/>
              <w:spacing w:after="0"/>
              <w:rPr>
                <w:sz w:val="20"/>
                <w:szCs w:val="20"/>
                <w:color w:val="auto"/>
              </w:rPr>
            </w:pPr>
            <w:r>
              <w:rPr>
                <w:rFonts w:ascii="Arial" w:cs="Arial" w:eastAsia="Arial" w:hAnsi="Arial"/>
                <w:sz w:val="14"/>
                <w:szCs w:val="14"/>
                <w:color w:val="auto"/>
              </w:rPr>
              <w:t>shares)</w:t>
            </w:r>
          </w:p>
        </w:tc>
        <w:tc>
          <w:tcPr>
            <w:tcW w:w="76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E5FFFF"/>
          </w:tcPr>
          <w:p>
            <w:pPr>
              <w:jc w:val="right"/>
              <w:ind w:right="60"/>
              <w:spacing w:after="0"/>
              <w:rPr>
                <w:sz w:val="20"/>
                <w:szCs w:val="20"/>
                <w:color w:val="auto"/>
              </w:rPr>
            </w:pPr>
            <w:r>
              <w:rPr>
                <w:rFonts w:ascii="Arial" w:cs="Arial" w:eastAsia="Arial" w:hAnsi="Arial"/>
                <w:sz w:val="14"/>
                <w:szCs w:val="14"/>
                <w:color w:val="auto"/>
              </w:rPr>
              <w:t>(28,452)</w:t>
            </w:r>
          </w:p>
        </w:tc>
        <w:tc>
          <w:tcPr>
            <w:tcW w:w="92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E5FFFF"/>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E5FFFF"/>
          </w:tcPr>
          <w:p>
            <w:pPr>
              <w:jc w:val="right"/>
              <w:ind w:right="19"/>
              <w:spacing w:after="0"/>
              <w:rPr>
                <w:sz w:val="20"/>
                <w:szCs w:val="20"/>
                <w:color w:val="auto"/>
              </w:rPr>
            </w:pPr>
            <w:r>
              <w:rPr>
                <w:rFonts w:ascii="Arial" w:cs="Arial" w:eastAsia="Arial" w:hAnsi="Arial"/>
                <w:sz w:val="14"/>
                <w:szCs w:val="14"/>
                <w:color w:val="auto"/>
              </w:rPr>
              <w:t>(14,638)</w:t>
            </w:r>
          </w:p>
        </w:tc>
        <w:tc>
          <w:tcPr>
            <w:tcW w:w="1080" w:type="dxa"/>
            <w:vAlign w:val="bottom"/>
            <w:gridSpan w:val="2"/>
            <w:shd w:val="clear" w:color="auto" w:fill="E5FFFF"/>
          </w:tcPr>
          <w:p>
            <w:pPr>
              <w:jc w:val="right"/>
              <w:ind w:right="60"/>
              <w:spacing w:after="0"/>
              <w:rPr>
                <w:sz w:val="20"/>
                <w:szCs w:val="20"/>
                <w:color w:val="auto"/>
              </w:rPr>
            </w:pPr>
            <w:r>
              <w:rPr>
                <w:rFonts w:ascii="Arial" w:cs="Arial" w:eastAsia="Arial" w:hAnsi="Arial"/>
                <w:sz w:val="14"/>
                <w:szCs w:val="14"/>
                <w:color w:val="auto"/>
              </w:rPr>
              <w:t>(43,090)</w:t>
            </w:r>
          </w:p>
        </w:tc>
        <w:tc>
          <w:tcPr>
            <w:tcW w:w="900" w:type="dxa"/>
            <w:vAlign w:val="bottom"/>
            <w:gridSpan w:val="2"/>
            <w:shd w:val="clear" w:color="auto" w:fill="E5FFFF"/>
          </w:tcPr>
          <w:p>
            <w:pPr>
              <w:jc w:val="right"/>
              <w:ind w:right="60"/>
              <w:spacing w:after="0"/>
              <w:rPr>
                <w:sz w:val="20"/>
                <w:szCs w:val="20"/>
                <w:color w:val="auto"/>
              </w:rPr>
            </w:pPr>
            <w:r>
              <w:rPr>
                <w:rFonts w:ascii="Arial" w:cs="Arial" w:eastAsia="Arial" w:hAnsi="Arial"/>
                <w:sz w:val="14"/>
                <w:szCs w:val="14"/>
                <w:color w:val="auto"/>
              </w:rPr>
              <w:t>(64,686)</w:t>
            </w:r>
          </w:p>
        </w:tc>
        <w:tc>
          <w:tcPr>
            <w:tcW w:w="900" w:type="dxa"/>
            <w:vAlign w:val="bottom"/>
            <w:gridSpan w:val="2"/>
            <w:shd w:val="clear" w:color="auto" w:fill="E5FFFF"/>
          </w:tcPr>
          <w:p>
            <w:pPr>
              <w:jc w:val="right"/>
              <w:ind w:right="60"/>
              <w:spacing w:after="0"/>
              <w:rPr>
                <w:sz w:val="20"/>
                <w:szCs w:val="20"/>
                <w:color w:val="auto"/>
              </w:rPr>
            </w:pPr>
            <w:r>
              <w:rPr>
                <w:rFonts w:ascii="Arial" w:cs="Arial" w:eastAsia="Arial" w:hAnsi="Arial"/>
                <w:sz w:val="14"/>
                <w:szCs w:val="14"/>
                <w:color w:val="auto"/>
              </w:rPr>
              <w:t>(107,776)</w:t>
            </w:r>
          </w:p>
        </w:tc>
        <w:tc>
          <w:tcPr>
            <w:tcW w:w="0" w:type="dxa"/>
            <w:vAlign w:val="bottom"/>
          </w:tcPr>
          <w:p>
            <w:pPr>
              <w:spacing w:after="0"/>
              <w:rPr>
                <w:sz w:val="1"/>
                <w:szCs w:val="1"/>
                <w:color w:val="auto"/>
              </w:rPr>
            </w:pPr>
          </w:p>
        </w:tc>
      </w:tr>
      <w:tr>
        <w:trPr>
          <w:trHeight w:val="130"/>
        </w:trPr>
        <w:tc>
          <w:tcPr>
            <w:tcW w:w="2820" w:type="dxa"/>
            <w:vAlign w:val="bottom"/>
          </w:tcPr>
          <w:p>
            <w:pPr>
              <w:spacing w:after="0" w:line="130" w:lineRule="exact"/>
              <w:rPr>
                <w:sz w:val="20"/>
                <w:szCs w:val="20"/>
                <w:color w:val="auto"/>
              </w:rPr>
            </w:pPr>
            <w:r>
              <w:rPr>
                <w:rFonts w:ascii="Arial" w:cs="Arial" w:eastAsia="Arial" w:hAnsi="Arial"/>
                <w:sz w:val="14"/>
                <w:szCs w:val="14"/>
                <w:color w:val="auto"/>
              </w:rPr>
              <w:t>Share-based compensation, net of accrued</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20" w:type="dxa"/>
            <w:vAlign w:val="bottom"/>
          </w:tcPr>
          <w:p>
            <w:pPr>
              <w:ind w:left="160"/>
              <w:spacing w:after="0"/>
              <w:rPr>
                <w:sz w:val="20"/>
                <w:szCs w:val="20"/>
                <w:color w:val="auto"/>
              </w:rPr>
            </w:pPr>
            <w:r>
              <w:rPr>
                <w:rFonts w:ascii="Arial" w:cs="Arial" w:eastAsia="Arial" w:hAnsi="Arial"/>
                <w:sz w:val="14"/>
                <w:szCs w:val="14"/>
                <w:color w:val="auto"/>
              </w:rPr>
              <w:t>dividend</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3,431</w:t>
            </w:r>
          </w:p>
        </w:tc>
        <w:tc>
          <w:tcPr>
            <w:tcW w:w="9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3,431</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3,431</w:t>
            </w:r>
          </w:p>
        </w:tc>
        <w:tc>
          <w:tcPr>
            <w:tcW w:w="0" w:type="dxa"/>
            <w:vAlign w:val="bottom"/>
          </w:tcPr>
          <w:p>
            <w:pPr>
              <w:spacing w:after="0"/>
              <w:rPr>
                <w:sz w:val="1"/>
                <w:szCs w:val="1"/>
                <w:color w:val="auto"/>
              </w:rPr>
            </w:pPr>
          </w:p>
        </w:tc>
      </w:tr>
      <w:tr>
        <w:trPr>
          <w:trHeight w:val="149"/>
        </w:trPr>
        <w:tc>
          <w:tcPr>
            <w:tcW w:w="282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Settlement of share-based compensation</w:t>
            </w:r>
          </w:p>
        </w:tc>
        <w:tc>
          <w:tcPr>
            <w:tcW w:w="760" w:type="dxa"/>
            <w:vAlign w:val="bottom"/>
            <w:gridSpan w:val="2"/>
            <w:shd w:val="clear" w:color="auto" w:fill="E5FF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E5FF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E5FF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E5FFFF"/>
          </w:tcPr>
          <w:p>
            <w:pPr>
              <w:jc w:val="right"/>
              <w:ind w:right="60"/>
              <w:spacing w:after="0" w:line="149" w:lineRule="exact"/>
              <w:rPr>
                <w:sz w:val="20"/>
                <w:szCs w:val="20"/>
                <w:color w:val="auto"/>
              </w:rPr>
            </w:pPr>
            <w:r>
              <w:rPr>
                <w:rFonts w:ascii="Arial" w:cs="Arial" w:eastAsia="Arial" w:hAnsi="Arial"/>
                <w:sz w:val="14"/>
                <w:szCs w:val="14"/>
                <w:color w:val="auto"/>
              </w:rPr>
              <w:t>(2,495)</w:t>
            </w:r>
          </w:p>
        </w:tc>
        <w:tc>
          <w:tcPr>
            <w:tcW w:w="900" w:type="dxa"/>
            <w:vAlign w:val="bottom"/>
            <w:gridSpan w:val="2"/>
            <w:shd w:val="clear" w:color="auto" w:fill="E5FFFF"/>
          </w:tcPr>
          <w:p>
            <w:pPr>
              <w:jc w:val="right"/>
              <w:ind w:right="48"/>
              <w:spacing w:after="0" w:line="149" w:lineRule="exact"/>
              <w:rPr>
                <w:sz w:val="20"/>
                <w:szCs w:val="20"/>
                <w:color w:val="auto"/>
              </w:rPr>
            </w:pPr>
            <w:r>
              <w:rPr>
                <w:rFonts w:ascii="Arial" w:cs="Arial" w:eastAsia="Arial" w:hAnsi="Arial"/>
                <w:sz w:val="14"/>
                <w:szCs w:val="14"/>
                <w:color w:val="auto"/>
              </w:rPr>
              <w:t>2,598</w:t>
            </w:r>
          </w:p>
        </w:tc>
        <w:tc>
          <w:tcPr>
            <w:tcW w:w="1180" w:type="dxa"/>
            <w:vAlign w:val="bottom"/>
            <w:gridSpan w:val="2"/>
            <w:shd w:val="clear" w:color="auto" w:fill="E5FFFF"/>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E5FFFF"/>
          </w:tcPr>
          <w:p>
            <w:pPr>
              <w:jc w:val="right"/>
              <w:spacing w:after="0" w:line="149" w:lineRule="exact"/>
              <w:rPr>
                <w:sz w:val="20"/>
                <w:szCs w:val="20"/>
                <w:color w:val="auto"/>
              </w:rPr>
            </w:pPr>
            <w:r>
              <w:rPr>
                <w:rFonts w:ascii="Arial" w:cs="Arial" w:eastAsia="Arial" w:hAnsi="Arial"/>
                <w:sz w:val="14"/>
                <w:szCs w:val="14"/>
                <w:color w:val="auto"/>
              </w:rPr>
              <w:t>103</w:t>
            </w:r>
          </w:p>
        </w:tc>
        <w:tc>
          <w:tcPr>
            <w:tcW w:w="120" w:type="dxa"/>
            <w:vAlign w:val="bottom"/>
            <w:shd w:val="clear" w:color="auto" w:fill="E5FFFF"/>
          </w:tcPr>
          <w:p>
            <w:pPr>
              <w:spacing w:after="0"/>
              <w:rPr>
                <w:sz w:val="12"/>
                <w:szCs w:val="12"/>
                <w:color w:val="auto"/>
              </w:rPr>
            </w:pPr>
          </w:p>
        </w:tc>
        <w:tc>
          <w:tcPr>
            <w:tcW w:w="900" w:type="dxa"/>
            <w:vAlign w:val="bottom"/>
            <w:gridSpan w:val="2"/>
            <w:shd w:val="clear" w:color="auto" w:fill="E5FF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49"/>
        </w:trPr>
        <w:tc>
          <w:tcPr>
            <w:tcW w:w="2820" w:type="dxa"/>
            <w:vAlign w:val="bottom"/>
          </w:tcPr>
          <w:p>
            <w:pPr>
              <w:spacing w:after="0" w:line="149" w:lineRule="exact"/>
              <w:rPr>
                <w:sz w:val="20"/>
                <w:szCs w:val="20"/>
                <w:color w:val="auto"/>
              </w:rPr>
            </w:pPr>
            <w:r>
              <w:rPr>
                <w:rFonts w:ascii="Arial" w:cs="Arial" w:eastAsia="Arial" w:hAnsi="Arial"/>
                <w:sz w:val="14"/>
                <w:szCs w:val="14"/>
                <w:color w:val="auto"/>
              </w:rPr>
              <w:t>Treasury shares, net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w:t>
            </w:r>
          </w:p>
        </w:tc>
        <w:tc>
          <w:tcPr>
            <w:tcW w:w="118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(62)</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49"/>
        </w:trPr>
        <w:tc>
          <w:tcPr>
            <w:tcW w:w="282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Profit for the period</w:t>
            </w:r>
          </w:p>
        </w:tc>
        <w:tc>
          <w:tcPr>
            <w:tcW w:w="760" w:type="dxa"/>
            <w:vAlign w:val="bottom"/>
            <w:gridSpan w:val="2"/>
            <w:shd w:val="clear" w:color="auto" w:fill="E5FF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E5FF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E5FF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E5FF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E5FF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E5FFFF"/>
          </w:tcPr>
          <w:p>
            <w:pPr>
              <w:jc w:val="right"/>
              <w:ind w:right="59"/>
              <w:spacing w:after="0" w:line="149" w:lineRule="exact"/>
              <w:rPr>
                <w:sz w:val="20"/>
                <w:szCs w:val="20"/>
                <w:color w:val="auto"/>
              </w:rPr>
            </w:pPr>
            <w:r>
              <w:rPr>
                <w:rFonts w:ascii="Arial" w:cs="Arial" w:eastAsia="Arial" w:hAnsi="Arial"/>
                <w:sz w:val="14"/>
                <w:szCs w:val="14"/>
                <w:color w:val="auto"/>
              </w:rPr>
              <w:t>33,898</w:t>
            </w:r>
          </w:p>
        </w:tc>
        <w:tc>
          <w:tcPr>
            <w:tcW w:w="1080" w:type="dxa"/>
            <w:vAlign w:val="bottom"/>
            <w:gridSpan w:val="2"/>
            <w:shd w:val="clear" w:color="auto" w:fill="E5FFFF"/>
          </w:tcPr>
          <w:p>
            <w:pPr>
              <w:jc w:val="right"/>
              <w:ind w:right="120"/>
              <w:spacing w:after="0" w:line="149" w:lineRule="exact"/>
              <w:rPr>
                <w:sz w:val="20"/>
                <w:szCs w:val="20"/>
                <w:color w:val="auto"/>
              </w:rPr>
            </w:pPr>
            <w:r>
              <w:rPr>
                <w:rFonts w:ascii="Arial" w:cs="Arial" w:eastAsia="Arial" w:hAnsi="Arial"/>
                <w:sz w:val="14"/>
                <w:szCs w:val="14"/>
                <w:color w:val="auto"/>
              </w:rPr>
              <w:t>33,898</w:t>
            </w:r>
          </w:p>
        </w:tc>
        <w:tc>
          <w:tcPr>
            <w:tcW w:w="900" w:type="dxa"/>
            <w:vAlign w:val="bottom"/>
            <w:gridSpan w:val="2"/>
            <w:shd w:val="clear" w:color="auto" w:fill="E5FFFF"/>
          </w:tcPr>
          <w:p>
            <w:pPr>
              <w:jc w:val="right"/>
              <w:ind w:right="120"/>
              <w:spacing w:after="0" w:line="149" w:lineRule="exact"/>
              <w:rPr>
                <w:sz w:val="20"/>
                <w:szCs w:val="20"/>
                <w:color w:val="auto"/>
              </w:rPr>
            </w:pPr>
            <w:r>
              <w:rPr>
                <w:rFonts w:ascii="Arial" w:cs="Arial" w:eastAsia="Arial" w:hAnsi="Arial"/>
                <w:sz w:val="14"/>
                <w:szCs w:val="14"/>
                <w:color w:val="auto"/>
              </w:rPr>
              <w:t>62,116</w:t>
            </w:r>
          </w:p>
        </w:tc>
        <w:tc>
          <w:tcPr>
            <w:tcW w:w="900" w:type="dxa"/>
            <w:vAlign w:val="bottom"/>
            <w:gridSpan w:val="2"/>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96,014</w:t>
            </w:r>
          </w:p>
        </w:tc>
        <w:tc>
          <w:tcPr>
            <w:tcW w:w="0" w:type="dxa"/>
            <w:vAlign w:val="bottom"/>
          </w:tcPr>
          <w:p>
            <w:pPr>
              <w:spacing w:after="0"/>
              <w:rPr>
                <w:sz w:val="1"/>
                <w:szCs w:val="1"/>
                <w:color w:val="auto"/>
              </w:rPr>
            </w:pPr>
          </w:p>
        </w:tc>
      </w:tr>
      <w:tr>
        <w:trPr>
          <w:trHeight w:val="149"/>
        </w:trPr>
        <w:tc>
          <w:tcPr>
            <w:tcW w:w="2820" w:type="dxa"/>
            <w:vAlign w:val="bottom"/>
          </w:tcPr>
          <w:p>
            <w:pPr>
              <w:spacing w:after="0" w:line="149" w:lineRule="exact"/>
              <w:rPr>
                <w:sz w:val="20"/>
                <w:szCs w:val="20"/>
                <w:color w:val="auto"/>
              </w:rPr>
            </w:pPr>
            <w:r>
              <w:rPr>
                <w:rFonts w:ascii="Arial" w:cs="Arial" w:eastAsia="Arial" w:hAnsi="Arial"/>
                <w:sz w:val="14"/>
                <w:szCs w:val="14"/>
                <w:color w:val="auto"/>
              </w:rPr>
              <w:t>Other comprehensive income for the period</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1,287</w:t>
            </w:r>
          </w:p>
        </w:tc>
        <w:tc>
          <w:tcPr>
            <w:tcW w:w="9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1,287</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1,287</w:t>
            </w:r>
          </w:p>
        </w:tc>
        <w:tc>
          <w:tcPr>
            <w:tcW w:w="0" w:type="dxa"/>
            <w:vAlign w:val="bottom"/>
          </w:tcPr>
          <w:p>
            <w:pPr>
              <w:spacing w:after="0"/>
              <w:rPr>
                <w:sz w:val="1"/>
                <w:szCs w:val="1"/>
                <w:color w:val="auto"/>
              </w:rPr>
            </w:pPr>
          </w:p>
        </w:tc>
      </w:tr>
      <w:tr>
        <w:trPr>
          <w:trHeight w:val="142"/>
        </w:trPr>
        <w:tc>
          <w:tcPr>
            <w:tcW w:w="2820" w:type="dxa"/>
            <w:vAlign w:val="bottom"/>
            <w:tcBorders>
              <w:top w:val="single" w:sz="8" w:color="E5FFFF"/>
            </w:tcBorders>
            <w:shd w:val="clear" w:color="auto" w:fill="E5FFFF"/>
          </w:tcPr>
          <w:p>
            <w:pPr>
              <w:spacing w:after="0" w:line="142" w:lineRule="exact"/>
              <w:rPr>
                <w:sz w:val="20"/>
                <w:szCs w:val="20"/>
                <w:color w:val="auto"/>
              </w:rPr>
            </w:pPr>
            <w:r>
              <w:rPr>
                <w:rFonts w:ascii="Arial" w:cs="Arial" w:eastAsia="Arial" w:hAnsi="Arial"/>
                <w:sz w:val="14"/>
                <w:szCs w:val="14"/>
                <w:b w:val="1"/>
                <w:bCs w:val="1"/>
                <w:color w:val="auto"/>
                <w:w w:val="97"/>
              </w:rPr>
              <w:t>Total comprehensive income for the period</w:t>
            </w:r>
          </w:p>
        </w:tc>
        <w:tc>
          <w:tcPr>
            <w:tcW w:w="64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E5FFFF"/>
            </w:tcBorders>
            <w:shd w:val="clear" w:color="auto" w:fill="E5FFFF"/>
          </w:tcPr>
          <w:p>
            <w:pPr>
              <w:spacing w:after="0"/>
              <w:rPr>
                <w:sz w:val="12"/>
                <w:szCs w:val="12"/>
                <w:color w:val="auto"/>
              </w:rPr>
            </w:pPr>
          </w:p>
        </w:tc>
        <w:tc>
          <w:tcPr>
            <w:tcW w:w="80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E5FFFF"/>
            </w:tcBorders>
            <w:shd w:val="clear" w:color="auto" w:fill="E5FFFF"/>
          </w:tcPr>
          <w:p>
            <w:pPr>
              <w:spacing w:after="0"/>
              <w:rPr>
                <w:sz w:val="12"/>
                <w:szCs w:val="12"/>
                <w:color w:val="auto"/>
              </w:rPr>
            </w:pPr>
          </w:p>
        </w:tc>
        <w:tc>
          <w:tcPr>
            <w:tcW w:w="92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E5FFFF"/>
            </w:tcBorders>
            <w:shd w:val="clear" w:color="auto" w:fill="E5FFFF"/>
          </w:tcPr>
          <w:p>
            <w:pPr>
              <w:spacing w:after="0"/>
              <w:rPr>
                <w:sz w:val="12"/>
                <w:szCs w:val="12"/>
                <w:color w:val="auto"/>
              </w:rPr>
            </w:pPr>
          </w:p>
        </w:tc>
        <w:tc>
          <w:tcPr>
            <w:tcW w:w="80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1,287</w:t>
            </w:r>
          </w:p>
        </w:tc>
        <w:tc>
          <w:tcPr>
            <w:tcW w:w="120" w:type="dxa"/>
            <w:vAlign w:val="bottom"/>
            <w:tcBorders>
              <w:top w:val="single" w:sz="8" w:color="E5FFFF"/>
            </w:tcBorders>
            <w:shd w:val="clear" w:color="auto" w:fill="E5FFFF"/>
          </w:tcPr>
          <w:p>
            <w:pPr>
              <w:spacing w:after="0"/>
              <w:rPr>
                <w:sz w:val="12"/>
                <w:szCs w:val="12"/>
                <w:color w:val="auto"/>
              </w:rPr>
            </w:pPr>
          </w:p>
        </w:tc>
        <w:tc>
          <w:tcPr>
            <w:tcW w:w="78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E5FFFF"/>
            </w:tcBorders>
            <w:shd w:val="clear" w:color="auto" w:fill="E5FFFF"/>
          </w:tcPr>
          <w:p>
            <w:pPr>
              <w:spacing w:after="0"/>
              <w:rPr>
                <w:sz w:val="12"/>
                <w:szCs w:val="12"/>
                <w:color w:val="auto"/>
              </w:rPr>
            </w:pPr>
          </w:p>
        </w:tc>
        <w:tc>
          <w:tcPr>
            <w:tcW w:w="108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33,898</w:t>
            </w:r>
          </w:p>
        </w:tc>
        <w:tc>
          <w:tcPr>
            <w:tcW w:w="100" w:type="dxa"/>
            <w:vAlign w:val="bottom"/>
            <w:tcBorders>
              <w:top w:val="single" w:sz="8" w:color="E5FFFF"/>
            </w:tcBorders>
            <w:shd w:val="clear" w:color="auto" w:fill="E5FFFF"/>
          </w:tcPr>
          <w:p>
            <w:pPr>
              <w:spacing w:after="0"/>
              <w:rPr>
                <w:sz w:val="12"/>
                <w:szCs w:val="12"/>
                <w:color w:val="auto"/>
              </w:rPr>
            </w:pPr>
          </w:p>
        </w:tc>
        <w:tc>
          <w:tcPr>
            <w:tcW w:w="96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35,185</w:t>
            </w:r>
          </w:p>
        </w:tc>
        <w:tc>
          <w:tcPr>
            <w:tcW w:w="120" w:type="dxa"/>
            <w:vAlign w:val="bottom"/>
            <w:tcBorders>
              <w:top w:val="single" w:sz="8" w:color="E5FFFF"/>
            </w:tcBorders>
            <w:shd w:val="clear" w:color="auto" w:fill="E5FFFF"/>
          </w:tcPr>
          <w:p>
            <w:pPr>
              <w:spacing w:after="0"/>
              <w:rPr>
                <w:sz w:val="12"/>
                <w:szCs w:val="12"/>
                <w:color w:val="auto"/>
              </w:rPr>
            </w:pPr>
          </w:p>
        </w:tc>
        <w:tc>
          <w:tcPr>
            <w:tcW w:w="78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62,116</w:t>
            </w:r>
          </w:p>
        </w:tc>
        <w:tc>
          <w:tcPr>
            <w:tcW w:w="120" w:type="dxa"/>
            <w:vAlign w:val="bottom"/>
            <w:tcBorders>
              <w:top w:val="single" w:sz="8" w:color="E5FFFF"/>
            </w:tcBorders>
            <w:shd w:val="clear" w:color="auto" w:fill="E5FFFF"/>
          </w:tcPr>
          <w:p>
            <w:pPr>
              <w:spacing w:after="0"/>
              <w:rPr>
                <w:sz w:val="12"/>
                <w:szCs w:val="12"/>
                <w:color w:val="auto"/>
              </w:rPr>
            </w:pPr>
          </w:p>
        </w:tc>
        <w:tc>
          <w:tcPr>
            <w:tcW w:w="80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97,301</w:t>
            </w:r>
          </w:p>
        </w:tc>
        <w:tc>
          <w:tcPr>
            <w:tcW w:w="100" w:type="dxa"/>
            <w:vAlign w:val="bottom"/>
            <w:tcBorders>
              <w:top w:val="single" w:sz="8" w:color="E5FFFF"/>
            </w:tcBorders>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20" w:type="dxa"/>
            <w:vAlign w:val="bottom"/>
            <w:tcBorders>
              <w:bottom w:val="single" w:sz="8" w:color="E5FFFF"/>
            </w:tcBorders>
          </w:tcPr>
          <w:p>
            <w:pPr>
              <w:spacing w:after="0" w:line="142" w:lineRule="exact"/>
              <w:rPr>
                <w:sz w:val="20"/>
                <w:szCs w:val="20"/>
                <w:color w:val="auto"/>
              </w:rPr>
            </w:pPr>
            <w:r>
              <w:rPr>
                <w:rFonts w:ascii="Arial" w:cs="Arial" w:eastAsia="Arial" w:hAnsi="Arial"/>
                <w:sz w:val="14"/>
                <w:szCs w:val="14"/>
                <w:b w:val="1"/>
                <w:bCs w:val="1"/>
                <w:color w:val="auto"/>
              </w:rPr>
              <w:t>Balance as of September 30, 2018</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810</w:t>
            </w:r>
          </w:p>
        </w:tc>
        <w:tc>
          <w:tcPr>
            <w:tcW w:w="120" w:type="dxa"/>
            <w:vAlign w:val="bottom"/>
            <w:tcBorders>
              <w:bottom w:val="single" w:sz="8" w:color="E5FF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46</w:t>
            </w:r>
          </w:p>
        </w:tc>
        <w:tc>
          <w:tcPr>
            <w:tcW w:w="120" w:type="dxa"/>
            <w:vAlign w:val="bottom"/>
            <w:tcBorders>
              <w:bottom w:val="single" w:sz="8" w:color="E5FFFF"/>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883,314</w:t>
            </w:r>
          </w:p>
        </w:tc>
        <w:tc>
          <w:tcPr>
            <w:tcW w:w="120" w:type="dxa"/>
            <w:vAlign w:val="bottom"/>
            <w:tcBorders>
              <w:bottom w:val="single" w:sz="8" w:color="E5FF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20,134</w:t>
            </w:r>
          </w:p>
        </w:tc>
        <w:tc>
          <w:tcPr>
            <w:tcW w:w="120" w:type="dxa"/>
            <w:vAlign w:val="bottom"/>
            <w:tcBorders>
              <w:bottom w:val="single" w:sz="8" w:color="E5FF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(4,424)</w:t>
            </w:r>
          </w:p>
        </w:tc>
        <w:tc>
          <w:tcPr>
            <w:tcW w:w="120" w:type="dxa"/>
            <w:vAlign w:val="bottom"/>
            <w:tcBorders>
              <w:bottom w:val="single" w:sz="8" w:color="E5FFFF"/>
            </w:tcBorders>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13,470</w:t>
            </w:r>
          </w:p>
        </w:tc>
        <w:tc>
          <w:tcPr>
            <w:tcW w:w="100" w:type="dxa"/>
            <w:vAlign w:val="bottom"/>
            <w:tcBorders>
              <w:bottom w:val="single" w:sz="8" w:color="E5FFFF"/>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913,350</w:t>
            </w:r>
          </w:p>
        </w:tc>
        <w:tc>
          <w:tcPr>
            <w:tcW w:w="120" w:type="dxa"/>
            <w:vAlign w:val="bottom"/>
            <w:tcBorders>
              <w:bottom w:val="single" w:sz="8" w:color="E5FF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1,007,686</w:t>
            </w:r>
          </w:p>
        </w:tc>
        <w:tc>
          <w:tcPr>
            <w:tcW w:w="120" w:type="dxa"/>
            <w:vAlign w:val="bottom"/>
            <w:tcBorders>
              <w:bottom w:val="single" w:sz="8" w:color="E5FF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1,921,036</w:t>
            </w:r>
          </w:p>
        </w:tc>
        <w:tc>
          <w:tcPr>
            <w:tcW w:w="100" w:type="dxa"/>
            <w:vAlign w:val="bottom"/>
            <w:tcBorders>
              <w:bottom w:val="single" w:sz="8" w:color="E5FF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20" w:type="dxa"/>
            <w:vAlign w:val="bottom"/>
            <w:shd w:val="clear" w:color="auto" w:fill="E5FFFF"/>
          </w:tcPr>
          <w:p>
            <w:pPr>
              <w:spacing w:after="0"/>
              <w:rPr>
                <w:sz w:val="12"/>
                <w:szCs w:val="12"/>
                <w:color w:val="auto"/>
              </w:rPr>
            </w:pPr>
          </w:p>
        </w:tc>
        <w:tc>
          <w:tcPr>
            <w:tcW w:w="640" w:type="dxa"/>
            <w:vAlign w:val="bottom"/>
            <w:tcBorders>
              <w:bottom w:val="single" w:sz="8" w:color="auto"/>
            </w:tcBorders>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800" w:type="dxa"/>
            <w:vAlign w:val="bottom"/>
            <w:tcBorders>
              <w:bottom w:val="single" w:sz="8" w:color="auto"/>
            </w:tcBorders>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920" w:type="dxa"/>
            <w:vAlign w:val="bottom"/>
            <w:tcBorders>
              <w:bottom w:val="single" w:sz="8" w:color="auto"/>
            </w:tcBorders>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800" w:type="dxa"/>
            <w:vAlign w:val="bottom"/>
            <w:tcBorders>
              <w:bottom w:val="single" w:sz="8" w:color="auto"/>
            </w:tcBorders>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780" w:type="dxa"/>
            <w:vAlign w:val="bottom"/>
            <w:tcBorders>
              <w:bottom w:val="single" w:sz="8" w:color="auto"/>
            </w:tcBorders>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1080" w:type="dxa"/>
            <w:vAlign w:val="bottom"/>
            <w:tcBorders>
              <w:bottom w:val="single" w:sz="8" w:color="auto"/>
            </w:tcBorders>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960" w:type="dxa"/>
            <w:vAlign w:val="bottom"/>
            <w:tcBorders>
              <w:bottom w:val="single" w:sz="8" w:color="auto"/>
            </w:tcBorders>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780" w:type="dxa"/>
            <w:vAlign w:val="bottom"/>
            <w:tcBorders>
              <w:bottom w:val="single" w:sz="8" w:color="auto"/>
            </w:tcBorders>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800" w:type="dxa"/>
            <w:vAlign w:val="bottom"/>
            <w:tcBorders>
              <w:bottom w:val="single" w:sz="8" w:color="auto"/>
            </w:tcBorders>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20" w:type="dxa"/>
            <w:vAlign w:val="bottom"/>
            <w:tcBorders>
              <w:bottom w:val="single" w:sz="8" w:color="E5FFFF"/>
            </w:tcBorders>
          </w:tcPr>
          <w:p>
            <w:pPr>
              <w:spacing w:after="0" w:line="142" w:lineRule="exact"/>
              <w:rPr>
                <w:sz w:val="20"/>
                <w:szCs w:val="20"/>
                <w:color w:val="auto"/>
              </w:rPr>
            </w:pPr>
            <w:r>
              <w:rPr>
                <w:rFonts w:ascii="Arial" w:cs="Arial" w:eastAsia="Arial" w:hAnsi="Arial"/>
                <w:sz w:val="14"/>
                <w:szCs w:val="14"/>
                <w:b w:val="1"/>
                <w:bCs w:val="1"/>
                <w:color w:val="auto"/>
              </w:rPr>
              <w:t>Balance as of December 31, 2018</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810</w:t>
            </w:r>
          </w:p>
        </w:tc>
        <w:tc>
          <w:tcPr>
            <w:tcW w:w="120" w:type="dxa"/>
            <w:vAlign w:val="bottom"/>
            <w:tcBorders>
              <w:bottom w:val="single" w:sz="8" w:color="E5FF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46</w:t>
            </w:r>
          </w:p>
        </w:tc>
        <w:tc>
          <w:tcPr>
            <w:tcW w:w="120" w:type="dxa"/>
            <w:vAlign w:val="bottom"/>
            <w:tcBorders>
              <w:bottom w:val="single" w:sz="8" w:color="E5FFFF"/>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850,576</w:t>
            </w:r>
          </w:p>
        </w:tc>
        <w:tc>
          <w:tcPr>
            <w:tcW w:w="120" w:type="dxa"/>
            <w:vAlign w:val="bottom"/>
            <w:tcBorders>
              <w:bottom w:val="single" w:sz="8" w:color="E5FF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18,962</w:t>
            </w:r>
          </w:p>
        </w:tc>
        <w:tc>
          <w:tcPr>
            <w:tcW w:w="120" w:type="dxa"/>
            <w:vAlign w:val="bottom"/>
            <w:tcBorders>
              <w:bottom w:val="single" w:sz="8" w:color="E5FF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(3,266)</w:t>
            </w:r>
          </w:p>
        </w:tc>
        <w:tc>
          <w:tcPr>
            <w:tcW w:w="120" w:type="dxa"/>
            <w:vAlign w:val="bottom"/>
            <w:tcBorders>
              <w:bottom w:val="single" w:sz="8" w:color="E5FFFF"/>
            </w:tcBorders>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12,614</w:t>
            </w:r>
          </w:p>
        </w:tc>
        <w:tc>
          <w:tcPr>
            <w:tcW w:w="100" w:type="dxa"/>
            <w:vAlign w:val="bottom"/>
            <w:tcBorders>
              <w:bottom w:val="single" w:sz="8" w:color="E5FFFF"/>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879,742</w:t>
            </w:r>
          </w:p>
        </w:tc>
        <w:tc>
          <w:tcPr>
            <w:tcW w:w="120" w:type="dxa"/>
            <w:vAlign w:val="bottom"/>
            <w:tcBorders>
              <w:bottom w:val="single" w:sz="8" w:color="E5FF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1,103,380</w:t>
            </w:r>
          </w:p>
        </w:tc>
        <w:tc>
          <w:tcPr>
            <w:tcW w:w="120" w:type="dxa"/>
            <w:vAlign w:val="bottom"/>
            <w:tcBorders>
              <w:bottom w:val="single" w:sz="8" w:color="E5FF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1,983,122</w:t>
            </w:r>
          </w:p>
        </w:tc>
        <w:tc>
          <w:tcPr>
            <w:tcW w:w="100" w:type="dxa"/>
            <w:vAlign w:val="bottom"/>
            <w:tcBorders>
              <w:bottom w:val="single" w:sz="8" w:color="E5FF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20" w:type="dxa"/>
            <w:vAlign w:val="bottom"/>
            <w:shd w:val="clear" w:color="auto" w:fill="E5FFFF"/>
          </w:tcPr>
          <w:p>
            <w:pPr>
              <w:spacing w:after="0" w:line="142" w:lineRule="exact"/>
              <w:rPr>
                <w:sz w:val="20"/>
                <w:szCs w:val="20"/>
                <w:color w:val="auto"/>
              </w:rPr>
            </w:pPr>
            <w:r>
              <w:rPr>
                <w:rFonts w:ascii="Arial" w:cs="Arial" w:eastAsia="Arial" w:hAnsi="Arial"/>
                <w:sz w:val="14"/>
                <w:szCs w:val="14"/>
                <w:color w:val="auto"/>
              </w:rPr>
              <w:t>Opening adjustment</w:t>
            </w:r>
            <w:r>
              <w:rPr>
                <w:rFonts w:ascii="Arial" w:cs="Arial" w:eastAsia="Arial" w:hAnsi="Arial"/>
                <w:sz w:val="16"/>
                <w:szCs w:val="16"/>
                <w:color w:val="auto"/>
                <w:vertAlign w:val="superscript"/>
              </w:rPr>
              <w:t>(2)</w:t>
            </w:r>
          </w:p>
        </w:tc>
        <w:tc>
          <w:tcPr>
            <w:tcW w:w="640" w:type="dxa"/>
            <w:vAlign w:val="bottom"/>
            <w:tcBorders>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shd w:val="clear" w:color="auto" w:fill="E5FFFF"/>
          </w:tcPr>
          <w:p>
            <w:pPr>
              <w:spacing w:after="0"/>
              <w:rPr>
                <w:sz w:val="12"/>
                <w:szCs w:val="12"/>
                <w:color w:val="auto"/>
              </w:rPr>
            </w:pPr>
          </w:p>
        </w:tc>
        <w:tc>
          <w:tcPr>
            <w:tcW w:w="800" w:type="dxa"/>
            <w:vAlign w:val="bottom"/>
            <w:tcBorders>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shd w:val="clear" w:color="auto" w:fill="E5FFFF"/>
          </w:tcPr>
          <w:p>
            <w:pPr>
              <w:spacing w:after="0"/>
              <w:rPr>
                <w:sz w:val="12"/>
                <w:szCs w:val="12"/>
                <w:color w:val="auto"/>
              </w:rPr>
            </w:pPr>
          </w:p>
        </w:tc>
        <w:tc>
          <w:tcPr>
            <w:tcW w:w="920" w:type="dxa"/>
            <w:vAlign w:val="bottom"/>
            <w:tcBorders>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shd w:val="clear" w:color="auto" w:fill="E5FFFF"/>
          </w:tcPr>
          <w:p>
            <w:pPr>
              <w:spacing w:after="0"/>
              <w:rPr>
                <w:sz w:val="12"/>
                <w:szCs w:val="12"/>
                <w:color w:val="auto"/>
              </w:rPr>
            </w:pPr>
          </w:p>
        </w:tc>
        <w:tc>
          <w:tcPr>
            <w:tcW w:w="800" w:type="dxa"/>
            <w:vAlign w:val="bottom"/>
            <w:tcBorders>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shd w:val="clear" w:color="auto" w:fill="E5FFFF"/>
          </w:tcPr>
          <w:p>
            <w:pPr>
              <w:spacing w:after="0"/>
              <w:rPr>
                <w:sz w:val="12"/>
                <w:szCs w:val="12"/>
                <w:color w:val="auto"/>
              </w:rPr>
            </w:pPr>
          </w:p>
        </w:tc>
        <w:tc>
          <w:tcPr>
            <w:tcW w:w="780" w:type="dxa"/>
            <w:vAlign w:val="bottom"/>
            <w:tcBorders>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shd w:val="clear" w:color="auto" w:fill="E5FFFF"/>
          </w:tcPr>
          <w:p>
            <w:pPr>
              <w:spacing w:after="0"/>
              <w:rPr>
                <w:sz w:val="12"/>
                <w:szCs w:val="12"/>
                <w:color w:val="auto"/>
              </w:rPr>
            </w:pPr>
          </w:p>
        </w:tc>
        <w:tc>
          <w:tcPr>
            <w:tcW w:w="1080" w:type="dxa"/>
            <w:vAlign w:val="bottom"/>
            <w:tcBorders>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color w:val="auto"/>
              </w:rPr>
              <w:t>215</w:t>
            </w:r>
          </w:p>
        </w:tc>
        <w:tc>
          <w:tcPr>
            <w:tcW w:w="100" w:type="dxa"/>
            <w:vAlign w:val="bottom"/>
            <w:shd w:val="clear" w:color="auto" w:fill="E5FFFF"/>
          </w:tcPr>
          <w:p>
            <w:pPr>
              <w:spacing w:after="0"/>
              <w:rPr>
                <w:sz w:val="12"/>
                <w:szCs w:val="12"/>
                <w:color w:val="auto"/>
              </w:rPr>
            </w:pPr>
          </w:p>
        </w:tc>
        <w:tc>
          <w:tcPr>
            <w:tcW w:w="960" w:type="dxa"/>
            <w:vAlign w:val="bottom"/>
            <w:tcBorders>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color w:val="auto"/>
              </w:rPr>
              <w:t>215</w:t>
            </w:r>
          </w:p>
        </w:tc>
        <w:tc>
          <w:tcPr>
            <w:tcW w:w="120" w:type="dxa"/>
            <w:vAlign w:val="bottom"/>
            <w:shd w:val="clear" w:color="auto" w:fill="E5FFFF"/>
          </w:tcPr>
          <w:p>
            <w:pPr>
              <w:spacing w:after="0"/>
              <w:rPr>
                <w:sz w:val="12"/>
                <w:szCs w:val="12"/>
                <w:color w:val="auto"/>
              </w:rPr>
            </w:pPr>
          </w:p>
        </w:tc>
        <w:tc>
          <w:tcPr>
            <w:tcW w:w="780" w:type="dxa"/>
            <w:vAlign w:val="bottom"/>
            <w:tcBorders>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color w:val="auto"/>
              </w:rPr>
              <w:t>128</w:t>
            </w:r>
          </w:p>
        </w:tc>
        <w:tc>
          <w:tcPr>
            <w:tcW w:w="120" w:type="dxa"/>
            <w:vAlign w:val="bottom"/>
            <w:shd w:val="clear" w:color="auto" w:fill="E5FFFF"/>
          </w:tcPr>
          <w:p>
            <w:pPr>
              <w:spacing w:after="0"/>
              <w:rPr>
                <w:sz w:val="12"/>
                <w:szCs w:val="12"/>
                <w:color w:val="auto"/>
              </w:rPr>
            </w:pPr>
          </w:p>
        </w:tc>
        <w:tc>
          <w:tcPr>
            <w:tcW w:w="800" w:type="dxa"/>
            <w:vAlign w:val="bottom"/>
            <w:tcBorders>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color w:val="auto"/>
              </w:rPr>
              <w:t>343</w:t>
            </w: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20" w:type="dxa"/>
            <w:vAlign w:val="bottom"/>
            <w:tcBorders>
              <w:bottom w:val="single" w:sz="8" w:color="E5FFFF"/>
            </w:tcBorders>
          </w:tcPr>
          <w:p>
            <w:pPr>
              <w:spacing w:after="0" w:line="142" w:lineRule="exact"/>
              <w:rPr>
                <w:sz w:val="20"/>
                <w:szCs w:val="20"/>
                <w:color w:val="auto"/>
              </w:rPr>
            </w:pPr>
            <w:r>
              <w:rPr>
                <w:rFonts w:ascii="Arial" w:cs="Arial" w:eastAsia="Arial" w:hAnsi="Arial"/>
                <w:sz w:val="14"/>
                <w:szCs w:val="14"/>
                <w:b w:val="1"/>
                <w:bCs w:val="1"/>
                <w:color w:val="auto"/>
              </w:rPr>
              <w:t>Balance as of January 1, 2019</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810</w:t>
            </w:r>
          </w:p>
        </w:tc>
        <w:tc>
          <w:tcPr>
            <w:tcW w:w="120" w:type="dxa"/>
            <w:vAlign w:val="bottom"/>
            <w:tcBorders>
              <w:bottom w:val="single" w:sz="8" w:color="E5FF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46</w:t>
            </w:r>
          </w:p>
        </w:tc>
        <w:tc>
          <w:tcPr>
            <w:tcW w:w="120" w:type="dxa"/>
            <w:vAlign w:val="bottom"/>
            <w:tcBorders>
              <w:bottom w:val="single" w:sz="8" w:color="E5FFFF"/>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850,576</w:t>
            </w:r>
          </w:p>
        </w:tc>
        <w:tc>
          <w:tcPr>
            <w:tcW w:w="120" w:type="dxa"/>
            <w:vAlign w:val="bottom"/>
            <w:tcBorders>
              <w:bottom w:val="single" w:sz="8" w:color="E5FF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18,962</w:t>
            </w:r>
          </w:p>
        </w:tc>
        <w:tc>
          <w:tcPr>
            <w:tcW w:w="120" w:type="dxa"/>
            <w:vAlign w:val="bottom"/>
            <w:tcBorders>
              <w:bottom w:val="single" w:sz="8" w:color="E5FF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(3,266)</w:t>
            </w:r>
          </w:p>
        </w:tc>
        <w:tc>
          <w:tcPr>
            <w:tcW w:w="120" w:type="dxa"/>
            <w:vAlign w:val="bottom"/>
            <w:tcBorders>
              <w:bottom w:val="single" w:sz="8" w:color="E5FFFF"/>
            </w:tcBorders>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12,829</w:t>
            </w:r>
          </w:p>
        </w:tc>
        <w:tc>
          <w:tcPr>
            <w:tcW w:w="100" w:type="dxa"/>
            <w:vAlign w:val="bottom"/>
            <w:tcBorders>
              <w:bottom w:val="single" w:sz="8" w:color="E5FFFF"/>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879,957</w:t>
            </w:r>
          </w:p>
        </w:tc>
        <w:tc>
          <w:tcPr>
            <w:tcW w:w="120" w:type="dxa"/>
            <w:vAlign w:val="bottom"/>
            <w:tcBorders>
              <w:bottom w:val="single" w:sz="8" w:color="E5FF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1,103,508</w:t>
            </w:r>
          </w:p>
        </w:tc>
        <w:tc>
          <w:tcPr>
            <w:tcW w:w="120" w:type="dxa"/>
            <w:vAlign w:val="bottom"/>
            <w:tcBorders>
              <w:bottom w:val="single" w:sz="8" w:color="E5FF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1,983,465</w:t>
            </w:r>
          </w:p>
        </w:tc>
        <w:tc>
          <w:tcPr>
            <w:tcW w:w="100" w:type="dxa"/>
            <w:vAlign w:val="bottom"/>
            <w:tcBorders>
              <w:bottom w:val="single" w:sz="8" w:color="E5FF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20" w:type="dxa"/>
            <w:vAlign w:val="bottom"/>
            <w:shd w:val="clear" w:color="auto" w:fill="E5FFFF"/>
          </w:tcPr>
          <w:p>
            <w:pPr>
              <w:spacing w:after="0" w:line="142" w:lineRule="exact"/>
              <w:rPr>
                <w:sz w:val="20"/>
                <w:szCs w:val="20"/>
                <w:color w:val="auto"/>
              </w:rPr>
            </w:pPr>
            <w:r>
              <w:rPr>
                <w:rFonts w:ascii="Arial" w:cs="Arial" w:eastAsia="Arial" w:hAnsi="Arial"/>
                <w:sz w:val="14"/>
                <w:szCs w:val="14"/>
                <w:color w:val="auto"/>
              </w:rPr>
              <w:t>Equity offering costs</w:t>
            </w:r>
          </w:p>
        </w:tc>
        <w:tc>
          <w:tcPr>
            <w:tcW w:w="640" w:type="dxa"/>
            <w:vAlign w:val="bottom"/>
            <w:shd w:val="clear" w:color="auto" w:fill="E5FF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shd w:val="clear" w:color="auto" w:fill="E5FFFF"/>
          </w:tcPr>
          <w:p>
            <w:pPr>
              <w:spacing w:after="0"/>
              <w:rPr>
                <w:sz w:val="12"/>
                <w:szCs w:val="12"/>
                <w:color w:val="auto"/>
              </w:rPr>
            </w:pPr>
          </w:p>
        </w:tc>
        <w:tc>
          <w:tcPr>
            <w:tcW w:w="800" w:type="dxa"/>
            <w:vAlign w:val="bottom"/>
            <w:shd w:val="clear" w:color="auto" w:fill="E5FF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shd w:val="clear" w:color="auto" w:fill="E5FFFF"/>
          </w:tcPr>
          <w:p>
            <w:pPr>
              <w:spacing w:after="0"/>
              <w:rPr>
                <w:sz w:val="12"/>
                <w:szCs w:val="12"/>
                <w:color w:val="auto"/>
              </w:rPr>
            </w:pPr>
          </w:p>
        </w:tc>
        <w:tc>
          <w:tcPr>
            <w:tcW w:w="920" w:type="dxa"/>
            <w:vAlign w:val="bottom"/>
            <w:shd w:val="clear" w:color="auto" w:fill="E5FFFF"/>
          </w:tcPr>
          <w:p>
            <w:pPr>
              <w:jc w:val="right"/>
              <w:spacing w:after="0" w:line="142" w:lineRule="exact"/>
              <w:rPr>
                <w:sz w:val="20"/>
                <w:szCs w:val="20"/>
                <w:color w:val="auto"/>
              </w:rPr>
            </w:pPr>
            <w:r>
              <w:rPr>
                <w:rFonts w:ascii="Arial" w:cs="Arial" w:eastAsia="Arial" w:hAnsi="Arial"/>
                <w:sz w:val="14"/>
                <w:szCs w:val="14"/>
                <w:color w:val="auto"/>
              </w:rPr>
              <w:t>(584)</w:t>
            </w:r>
          </w:p>
        </w:tc>
        <w:tc>
          <w:tcPr>
            <w:tcW w:w="120" w:type="dxa"/>
            <w:vAlign w:val="bottom"/>
            <w:shd w:val="clear" w:color="auto" w:fill="E5FFFF"/>
          </w:tcPr>
          <w:p>
            <w:pPr>
              <w:spacing w:after="0"/>
              <w:rPr>
                <w:sz w:val="12"/>
                <w:szCs w:val="12"/>
                <w:color w:val="auto"/>
              </w:rPr>
            </w:pPr>
          </w:p>
        </w:tc>
        <w:tc>
          <w:tcPr>
            <w:tcW w:w="800" w:type="dxa"/>
            <w:vAlign w:val="bottom"/>
            <w:shd w:val="clear" w:color="auto" w:fill="E5FF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shd w:val="clear" w:color="auto" w:fill="E5FFFF"/>
          </w:tcPr>
          <w:p>
            <w:pPr>
              <w:spacing w:after="0"/>
              <w:rPr>
                <w:sz w:val="12"/>
                <w:szCs w:val="12"/>
                <w:color w:val="auto"/>
              </w:rPr>
            </w:pPr>
          </w:p>
        </w:tc>
        <w:tc>
          <w:tcPr>
            <w:tcW w:w="780" w:type="dxa"/>
            <w:vAlign w:val="bottom"/>
            <w:shd w:val="clear" w:color="auto" w:fill="E5FF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shd w:val="clear" w:color="auto" w:fill="E5FFFF"/>
          </w:tcPr>
          <w:p>
            <w:pPr>
              <w:spacing w:after="0"/>
              <w:rPr>
                <w:sz w:val="12"/>
                <w:szCs w:val="12"/>
                <w:color w:val="auto"/>
              </w:rPr>
            </w:pPr>
          </w:p>
        </w:tc>
        <w:tc>
          <w:tcPr>
            <w:tcW w:w="1080" w:type="dxa"/>
            <w:vAlign w:val="bottom"/>
            <w:shd w:val="clear" w:color="auto" w:fill="E5FF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E5FFFF"/>
          </w:tcPr>
          <w:p>
            <w:pPr>
              <w:spacing w:after="0"/>
              <w:rPr>
                <w:sz w:val="12"/>
                <w:szCs w:val="12"/>
                <w:color w:val="auto"/>
              </w:rPr>
            </w:pPr>
          </w:p>
        </w:tc>
        <w:tc>
          <w:tcPr>
            <w:tcW w:w="960" w:type="dxa"/>
            <w:vAlign w:val="bottom"/>
            <w:shd w:val="clear" w:color="auto" w:fill="E5FFFF"/>
          </w:tcPr>
          <w:p>
            <w:pPr>
              <w:jc w:val="right"/>
              <w:spacing w:after="0" w:line="142" w:lineRule="exact"/>
              <w:rPr>
                <w:sz w:val="20"/>
                <w:szCs w:val="20"/>
                <w:color w:val="auto"/>
              </w:rPr>
            </w:pPr>
            <w:r>
              <w:rPr>
                <w:rFonts w:ascii="Arial" w:cs="Arial" w:eastAsia="Arial" w:hAnsi="Arial"/>
                <w:sz w:val="14"/>
                <w:szCs w:val="14"/>
                <w:color w:val="auto"/>
              </w:rPr>
              <w:t>(584)</w:t>
            </w:r>
          </w:p>
        </w:tc>
        <w:tc>
          <w:tcPr>
            <w:tcW w:w="120" w:type="dxa"/>
            <w:vAlign w:val="bottom"/>
            <w:shd w:val="clear" w:color="auto" w:fill="E5FFFF"/>
          </w:tcPr>
          <w:p>
            <w:pPr>
              <w:spacing w:after="0"/>
              <w:rPr>
                <w:sz w:val="12"/>
                <w:szCs w:val="12"/>
                <w:color w:val="auto"/>
              </w:rPr>
            </w:pPr>
          </w:p>
        </w:tc>
        <w:tc>
          <w:tcPr>
            <w:tcW w:w="780" w:type="dxa"/>
            <w:vAlign w:val="bottom"/>
            <w:shd w:val="clear" w:color="auto" w:fill="E5FFFF"/>
          </w:tcPr>
          <w:p>
            <w:pPr>
              <w:jc w:val="right"/>
              <w:spacing w:after="0" w:line="142" w:lineRule="exact"/>
              <w:rPr>
                <w:sz w:val="20"/>
                <w:szCs w:val="20"/>
                <w:color w:val="auto"/>
              </w:rPr>
            </w:pPr>
            <w:r>
              <w:rPr>
                <w:rFonts w:ascii="Arial" w:cs="Arial" w:eastAsia="Arial" w:hAnsi="Arial"/>
                <w:sz w:val="14"/>
                <w:szCs w:val="14"/>
                <w:color w:val="auto"/>
              </w:rPr>
              <w:t>51</w:t>
            </w:r>
          </w:p>
        </w:tc>
        <w:tc>
          <w:tcPr>
            <w:tcW w:w="120" w:type="dxa"/>
            <w:vAlign w:val="bottom"/>
            <w:shd w:val="clear" w:color="auto" w:fill="E5FFFF"/>
          </w:tcPr>
          <w:p>
            <w:pPr>
              <w:spacing w:after="0"/>
              <w:rPr>
                <w:sz w:val="12"/>
                <w:szCs w:val="12"/>
                <w:color w:val="auto"/>
              </w:rPr>
            </w:pPr>
          </w:p>
        </w:tc>
        <w:tc>
          <w:tcPr>
            <w:tcW w:w="800" w:type="dxa"/>
            <w:vAlign w:val="bottom"/>
            <w:shd w:val="clear" w:color="auto" w:fill="E5FFFF"/>
          </w:tcPr>
          <w:p>
            <w:pPr>
              <w:jc w:val="right"/>
              <w:spacing w:after="0" w:line="142" w:lineRule="exact"/>
              <w:rPr>
                <w:sz w:val="20"/>
                <w:szCs w:val="20"/>
                <w:color w:val="auto"/>
              </w:rPr>
            </w:pPr>
            <w:r>
              <w:rPr>
                <w:rFonts w:ascii="Arial" w:cs="Arial" w:eastAsia="Arial" w:hAnsi="Arial"/>
                <w:sz w:val="14"/>
                <w:szCs w:val="14"/>
                <w:color w:val="auto"/>
              </w:rPr>
              <w:t>(533)</w:t>
            </w: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20" w:type="dxa"/>
            <w:vAlign w:val="bottom"/>
          </w:tcPr>
          <w:p>
            <w:pPr>
              <w:spacing w:after="0" w:line="130" w:lineRule="exact"/>
              <w:rPr>
                <w:sz w:val="20"/>
                <w:szCs w:val="20"/>
                <w:color w:val="auto"/>
              </w:rPr>
            </w:pPr>
            <w:r>
              <w:rPr>
                <w:rFonts w:ascii="Arial" w:cs="Arial" w:eastAsia="Arial" w:hAnsi="Arial"/>
                <w:sz w:val="14"/>
                <w:szCs w:val="14"/>
                <w:color w:val="auto"/>
              </w:rPr>
              <w:t>Dividend declared (common and preference</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20" w:type="dxa"/>
            <w:vAlign w:val="bottom"/>
          </w:tcPr>
          <w:p>
            <w:pPr>
              <w:ind w:left="160"/>
              <w:spacing w:after="0"/>
              <w:rPr>
                <w:sz w:val="20"/>
                <w:szCs w:val="20"/>
                <w:color w:val="auto"/>
              </w:rPr>
            </w:pPr>
            <w:r>
              <w:rPr>
                <w:rFonts w:ascii="Arial" w:cs="Arial" w:eastAsia="Arial" w:hAnsi="Arial"/>
                <w:sz w:val="14"/>
                <w:szCs w:val="14"/>
                <w:color w:val="auto"/>
              </w:rPr>
              <w:t>shares) (Notes 3, 13)</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(43,934)</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(43,934)</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(78,575)</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(122,509)</w:t>
            </w:r>
          </w:p>
        </w:tc>
        <w:tc>
          <w:tcPr>
            <w:tcW w:w="0" w:type="dxa"/>
            <w:vAlign w:val="bottom"/>
          </w:tcPr>
          <w:p>
            <w:pPr>
              <w:spacing w:after="0"/>
              <w:rPr>
                <w:sz w:val="1"/>
                <w:szCs w:val="1"/>
                <w:color w:val="auto"/>
              </w:rPr>
            </w:pPr>
          </w:p>
        </w:tc>
      </w:tr>
      <w:tr>
        <w:trPr>
          <w:trHeight w:val="130"/>
        </w:trPr>
        <w:tc>
          <w:tcPr>
            <w:tcW w:w="2820" w:type="dxa"/>
            <w:vAlign w:val="bottom"/>
            <w:shd w:val="clear" w:color="auto" w:fill="E5FFFF"/>
          </w:tcPr>
          <w:p>
            <w:pPr>
              <w:spacing w:after="0" w:line="130" w:lineRule="exact"/>
              <w:rPr>
                <w:sz w:val="20"/>
                <w:szCs w:val="20"/>
                <w:color w:val="auto"/>
              </w:rPr>
            </w:pPr>
            <w:r>
              <w:rPr>
                <w:rFonts w:ascii="Arial" w:cs="Arial" w:eastAsia="Arial" w:hAnsi="Arial"/>
                <w:sz w:val="14"/>
                <w:szCs w:val="14"/>
                <w:color w:val="auto"/>
              </w:rPr>
              <w:t>Share-based compensation, net of accrued</w:t>
            </w:r>
          </w:p>
        </w:tc>
        <w:tc>
          <w:tcPr>
            <w:tcW w:w="6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9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78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108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96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78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20" w:type="dxa"/>
            <w:vAlign w:val="bottom"/>
            <w:shd w:val="clear" w:color="auto" w:fill="E5FFFF"/>
          </w:tcPr>
          <w:p>
            <w:pPr>
              <w:ind w:left="160"/>
              <w:spacing w:after="0"/>
              <w:rPr>
                <w:sz w:val="20"/>
                <w:szCs w:val="20"/>
                <w:color w:val="auto"/>
              </w:rPr>
            </w:pPr>
            <w:r>
              <w:rPr>
                <w:rFonts w:ascii="Arial" w:cs="Arial" w:eastAsia="Arial" w:hAnsi="Arial"/>
                <w:sz w:val="14"/>
                <w:szCs w:val="14"/>
                <w:color w:val="auto"/>
              </w:rPr>
              <w:t>dividend (Note 18)</w:t>
            </w:r>
          </w:p>
        </w:tc>
        <w:tc>
          <w:tcPr>
            <w:tcW w:w="76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3,334</w:t>
            </w:r>
          </w:p>
        </w:tc>
        <w:tc>
          <w:tcPr>
            <w:tcW w:w="900" w:type="dxa"/>
            <w:vAlign w:val="bottom"/>
            <w:gridSpan w:val="2"/>
            <w:shd w:val="clear" w:color="auto" w:fill="E5FFFF"/>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E5FFFF"/>
          </w:tcPr>
          <w:p>
            <w:pPr>
              <w:jc w:val="right"/>
              <w:ind w:right="59"/>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3,334</w:t>
            </w:r>
          </w:p>
        </w:tc>
        <w:tc>
          <w:tcPr>
            <w:tcW w:w="90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3,334</w:t>
            </w:r>
          </w:p>
        </w:tc>
        <w:tc>
          <w:tcPr>
            <w:tcW w:w="0" w:type="dxa"/>
            <w:vAlign w:val="bottom"/>
          </w:tcPr>
          <w:p>
            <w:pPr>
              <w:spacing w:after="0"/>
              <w:rPr>
                <w:sz w:val="1"/>
                <w:szCs w:val="1"/>
                <w:color w:val="auto"/>
              </w:rPr>
            </w:pPr>
          </w:p>
        </w:tc>
      </w:tr>
      <w:tr>
        <w:trPr>
          <w:trHeight w:val="149"/>
        </w:trPr>
        <w:tc>
          <w:tcPr>
            <w:tcW w:w="2820" w:type="dxa"/>
            <w:vAlign w:val="bottom"/>
          </w:tcPr>
          <w:p>
            <w:pPr>
              <w:spacing w:after="0" w:line="149" w:lineRule="exact"/>
              <w:rPr>
                <w:sz w:val="20"/>
                <w:szCs w:val="20"/>
                <w:color w:val="auto"/>
              </w:rPr>
            </w:pPr>
            <w:r>
              <w:rPr>
                <w:rFonts w:ascii="Arial" w:cs="Arial" w:eastAsia="Arial" w:hAnsi="Arial"/>
                <w:sz w:val="14"/>
                <w:szCs w:val="14"/>
                <w:color w:val="auto"/>
              </w:rPr>
              <w:t>Settlement of share-based compensation</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(4,630)</w:t>
            </w:r>
          </w:p>
        </w:tc>
        <w:tc>
          <w:tcPr>
            <w:tcW w:w="9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4,676</w:t>
            </w:r>
          </w:p>
        </w:tc>
        <w:tc>
          <w:tcPr>
            <w:tcW w:w="118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46</w:t>
            </w:r>
          </w:p>
        </w:tc>
        <w:tc>
          <w:tcPr>
            <w:tcW w:w="12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9"/>
        </w:trPr>
        <w:tc>
          <w:tcPr>
            <w:tcW w:w="282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Treasury shares, net</w:t>
            </w:r>
          </w:p>
        </w:tc>
        <w:tc>
          <w:tcPr>
            <w:tcW w:w="760" w:type="dxa"/>
            <w:vAlign w:val="bottom"/>
            <w:gridSpan w:val="2"/>
            <w:shd w:val="clear" w:color="auto" w:fill="E5FF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E5FF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E5FF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E5FF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E5FFFF"/>
          </w:tcPr>
          <w:p>
            <w:pPr>
              <w:jc w:val="right"/>
              <w:spacing w:after="0" w:line="149" w:lineRule="exact"/>
              <w:rPr>
                <w:sz w:val="20"/>
                <w:szCs w:val="20"/>
                <w:color w:val="auto"/>
              </w:rPr>
            </w:pPr>
            <w:r>
              <w:rPr>
                <w:rFonts w:ascii="Arial" w:cs="Arial" w:eastAsia="Arial" w:hAnsi="Arial"/>
                <w:sz w:val="14"/>
                <w:szCs w:val="14"/>
                <w:color w:val="auto"/>
              </w:rPr>
              <w:t>(3,752)</w:t>
            </w:r>
          </w:p>
        </w:tc>
        <w:tc>
          <w:tcPr>
            <w:tcW w:w="1180" w:type="dxa"/>
            <w:vAlign w:val="bottom"/>
            <w:gridSpan w:val="2"/>
            <w:shd w:val="clear" w:color="auto" w:fill="E5FFFF"/>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E5FFFF"/>
          </w:tcPr>
          <w:p>
            <w:pPr>
              <w:jc w:val="right"/>
              <w:ind w:right="60"/>
              <w:spacing w:after="0" w:line="149" w:lineRule="exact"/>
              <w:rPr>
                <w:sz w:val="20"/>
                <w:szCs w:val="20"/>
                <w:color w:val="auto"/>
              </w:rPr>
            </w:pPr>
            <w:r>
              <w:rPr>
                <w:rFonts w:ascii="Arial" w:cs="Arial" w:eastAsia="Arial" w:hAnsi="Arial"/>
                <w:sz w:val="14"/>
                <w:szCs w:val="14"/>
                <w:color w:val="auto"/>
              </w:rPr>
              <w:t>(3,752)</w:t>
            </w:r>
          </w:p>
        </w:tc>
        <w:tc>
          <w:tcPr>
            <w:tcW w:w="900" w:type="dxa"/>
            <w:vAlign w:val="bottom"/>
            <w:gridSpan w:val="2"/>
            <w:shd w:val="clear" w:color="auto" w:fill="E5FFFF"/>
          </w:tcPr>
          <w:p>
            <w:pPr>
              <w:jc w:val="right"/>
              <w:ind w:right="60"/>
              <w:spacing w:after="0" w:line="149" w:lineRule="exact"/>
              <w:rPr>
                <w:sz w:val="20"/>
                <w:szCs w:val="20"/>
                <w:color w:val="auto"/>
              </w:rPr>
            </w:pPr>
            <w:r>
              <w:rPr>
                <w:rFonts w:ascii="Arial" w:cs="Arial" w:eastAsia="Arial" w:hAnsi="Arial"/>
                <w:sz w:val="14"/>
                <w:szCs w:val="14"/>
                <w:color w:val="auto"/>
              </w:rPr>
              <w:t>(20,030)</w:t>
            </w:r>
          </w:p>
        </w:tc>
        <w:tc>
          <w:tcPr>
            <w:tcW w:w="900" w:type="dxa"/>
            <w:vAlign w:val="bottom"/>
            <w:gridSpan w:val="2"/>
            <w:shd w:val="clear" w:color="auto" w:fill="E5FFFF"/>
          </w:tcPr>
          <w:p>
            <w:pPr>
              <w:jc w:val="right"/>
              <w:ind w:right="60"/>
              <w:spacing w:after="0" w:line="149" w:lineRule="exact"/>
              <w:rPr>
                <w:sz w:val="20"/>
                <w:szCs w:val="20"/>
                <w:color w:val="auto"/>
              </w:rPr>
            </w:pPr>
            <w:r>
              <w:rPr>
                <w:rFonts w:ascii="Arial" w:cs="Arial" w:eastAsia="Arial" w:hAnsi="Arial"/>
                <w:sz w:val="14"/>
                <w:szCs w:val="14"/>
                <w:color w:val="auto"/>
              </w:rPr>
              <w:t>(23,782)</w:t>
            </w:r>
          </w:p>
        </w:tc>
        <w:tc>
          <w:tcPr>
            <w:tcW w:w="0" w:type="dxa"/>
            <w:vAlign w:val="bottom"/>
          </w:tcPr>
          <w:p>
            <w:pPr>
              <w:spacing w:after="0"/>
              <w:rPr>
                <w:sz w:val="1"/>
                <w:szCs w:val="1"/>
                <w:color w:val="auto"/>
              </w:rPr>
            </w:pPr>
          </w:p>
        </w:tc>
      </w:tr>
      <w:tr>
        <w:trPr>
          <w:trHeight w:val="149"/>
        </w:trPr>
        <w:tc>
          <w:tcPr>
            <w:tcW w:w="2820" w:type="dxa"/>
            <w:vAlign w:val="bottom"/>
          </w:tcPr>
          <w:p>
            <w:pPr>
              <w:spacing w:after="0" w:line="149" w:lineRule="exact"/>
              <w:rPr>
                <w:sz w:val="20"/>
                <w:szCs w:val="20"/>
                <w:color w:val="auto"/>
              </w:rPr>
            </w:pPr>
            <w:r>
              <w:rPr>
                <w:rFonts w:ascii="Arial" w:cs="Arial" w:eastAsia="Arial" w:hAnsi="Arial"/>
                <w:sz w:val="14"/>
                <w:szCs w:val="14"/>
                <w:color w:val="auto"/>
              </w:rPr>
              <w:t>(Loss)/profit for the period</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(50,490)</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(50,490)</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54,766</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4,276</w:t>
            </w:r>
          </w:p>
        </w:tc>
        <w:tc>
          <w:tcPr>
            <w:tcW w:w="0" w:type="dxa"/>
            <w:vAlign w:val="bottom"/>
          </w:tcPr>
          <w:p>
            <w:pPr>
              <w:spacing w:after="0"/>
              <w:rPr>
                <w:sz w:val="1"/>
                <w:szCs w:val="1"/>
                <w:color w:val="auto"/>
              </w:rPr>
            </w:pPr>
          </w:p>
        </w:tc>
      </w:tr>
      <w:tr>
        <w:trPr>
          <w:trHeight w:val="149"/>
        </w:trPr>
        <w:tc>
          <w:tcPr>
            <w:tcW w:w="282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Other comprehensive loss for the period</w:t>
            </w:r>
          </w:p>
        </w:tc>
        <w:tc>
          <w:tcPr>
            <w:tcW w:w="640" w:type="dxa"/>
            <w:vAlign w:val="bottom"/>
            <w:shd w:val="clear" w:color="auto" w:fill="E5FF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5FFFF"/>
          </w:tcPr>
          <w:p>
            <w:pPr>
              <w:spacing w:after="0"/>
              <w:rPr>
                <w:sz w:val="12"/>
                <w:szCs w:val="12"/>
                <w:color w:val="auto"/>
              </w:rPr>
            </w:pPr>
          </w:p>
        </w:tc>
        <w:tc>
          <w:tcPr>
            <w:tcW w:w="920" w:type="dxa"/>
            <w:vAlign w:val="bottom"/>
            <w:gridSpan w:val="2"/>
            <w:shd w:val="clear" w:color="auto" w:fill="E5FF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E5FF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E5FFFF"/>
          </w:tcPr>
          <w:p>
            <w:pPr>
              <w:jc w:val="right"/>
              <w:ind w:right="60"/>
              <w:spacing w:after="0" w:line="149" w:lineRule="exact"/>
              <w:rPr>
                <w:sz w:val="20"/>
                <w:szCs w:val="20"/>
                <w:color w:val="auto"/>
              </w:rPr>
            </w:pPr>
            <w:r>
              <w:rPr>
                <w:rFonts w:ascii="Arial" w:cs="Arial" w:eastAsia="Arial" w:hAnsi="Arial"/>
                <w:sz w:val="14"/>
                <w:szCs w:val="14"/>
                <w:color w:val="auto"/>
              </w:rPr>
              <w:t>(3,297)</w:t>
            </w:r>
          </w:p>
        </w:tc>
        <w:tc>
          <w:tcPr>
            <w:tcW w:w="900" w:type="dxa"/>
            <w:vAlign w:val="bottom"/>
            <w:gridSpan w:val="2"/>
            <w:shd w:val="clear" w:color="auto" w:fill="E5FF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E5FFFF"/>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E5FFFF"/>
          </w:tcPr>
          <w:p>
            <w:pPr>
              <w:jc w:val="right"/>
              <w:ind w:right="60"/>
              <w:spacing w:after="0" w:line="149" w:lineRule="exact"/>
              <w:rPr>
                <w:sz w:val="20"/>
                <w:szCs w:val="20"/>
                <w:color w:val="auto"/>
              </w:rPr>
            </w:pPr>
            <w:r>
              <w:rPr>
                <w:rFonts w:ascii="Arial" w:cs="Arial" w:eastAsia="Arial" w:hAnsi="Arial"/>
                <w:sz w:val="14"/>
                <w:szCs w:val="14"/>
                <w:color w:val="auto"/>
              </w:rPr>
              <w:t>(3,297)</w:t>
            </w:r>
          </w:p>
        </w:tc>
        <w:tc>
          <w:tcPr>
            <w:tcW w:w="900" w:type="dxa"/>
            <w:vAlign w:val="bottom"/>
            <w:gridSpan w:val="2"/>
            <w:shd w:val="clear" w:color="auto" w:fill="E5FF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E5FFFF"/>
          </w:tcPr>
          <w:p>
            <w:pPr>
              <w:jc w:val="right"/>
              <w:ind w:right="60"/>
              <w:spacing w:after="0" w:line="149" w:lineRule="exact"/>
              <w:rPr>
                <w:sz w:val="20"/>
                <w:szCs w:val="20"/>
                <w:color w:val="auto"/>
              </w:rPr>
            </w:pPr>
            <w:r>
              <w:rPr>
                <w:rFonts w:ascii="Arial" w:cs="Arial" w:eastAsia="Arial" w:hAnsi="Arial"/>
                <w:sz w:val="14"/>
                <w:szCs w:val="14"/>
                <w:color w:val="auto"/>
              </w:rPr>
              <w:t>(3,297)</w:t>
            </w:r>
          </w:p>
        </w:tc>
        <w:tc>
          <w:tcPr>
            <w:tcW w:w="0" w:type="dxa"/>
            <w:vAlign w:val="bottom"/>
          </w:tcPr>
          <w:p>
            <w:pPr>
              <w:spacing w:after="0"/>
              <w:rPr>
                <w:sz w:val="1"/>
                <w:szCs w:val="1"/>
                <w:color w:val="auto"/>
              </w:rPr>
            </w:pPr>
          </w:p>
        </w:tc>
      </w:tr>
      <w:tr>
        <w:trPr>
          <w:trHeight w:val="20"/>
        </w:trPr>
        <w:tc>
          <w:tcPr>
            <w:tcW w:w="2820" w:type="dxa"/>
            <w:vAlign w:val="bottom"/>
            <w:vMerge w:val="restart"/>
          </w:tcPr>
          <w:p>
            <w:pPr>
              <w:spacing w:after="0" w:line="126" w:lineRule="exact"/>
              <w:rPr>
                <w:sz w:val="20"/>
                <w:szCs w:val="20"/>
                <w:color w:val="auto"/>
              </w:rPr>
            </w:pPr>
            <w:r>
              <w:rPr>
                <w:rFonts w:ascii="Arial" w:cs="Arial" w:eastAsia="Arial" w:hAnsi="Arial"/>
                <w:sz w:val="14"/>
                <w:szCs w:val="14"/>
                <w:b w:val="1"/>
                <w:bCs w:val="1"/>
                <w:color w:val="auto"/>
                <w:w w:val="99"/>
              </w:rPr>
              <w:t>Total comprehensive (loss)/income for the</w:t>
            </w: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820" w:type="dxa"/>
            <w:vAlign w:val="bottom"/>
            <w:vMerge w:val="continue"/>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vMerge w:val="restart"/>
          </w:tcPr>
          <w:p>
            <w:pPr>
              <w:spacing w:after="0"/>
              <w:rPr>
                <w:sz w:val="9"/>
                <w:szCs w:val="9"/>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(3,297)</w:t>
            </w:r>
          </w:p>
        </w:tc>
        <w:tc>
          <w:tcPr>
            <w:tcW w:w="900" w:type="dxa"/>
            <w:vAlign w:val="bottom"/>
            <w:gridSpan w:val="2"/>
            <w:vMerge w:val="restart"/>
          </w:tcPr>
          <w:p>
            <w:pPr>
              <w:jc w:val="right"/>
              <w:ind w:right="48"/>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vMerge w:val="restart"/>
          </w:tcPr>
          <w:p>
            <w:pPr>
              <w:jc w:val="right"/>
              <w:ind w:right="19"/>
              <w:spacing w:after="0"/>
              <w:rPr>
                <w:sz w:val="20"/>
                <w:szCs w:val="20"/>
                <w:color w:val="auto"/>
              </w:rPr>
            </w:pPr>
            <w:r>
              <w:rPr>
                <w:rFonts w:ascii="Arial" w:cs="Arial" w:eastAsia="Arial" w:hAnsi="Arial"/>
                <w:sz w:val="14"/>
                <w:szCs w:val="14"/>
                <w:b w:val="1"/>
                <w:bCs w:val="1"/>
                <w:color w:val="auto"/>
              </w:rPr>
              <w:t>(50,490)</w:t>
            </w:r>
          </w:p>
        </w:tc>
        <w:tc>
          <w:tcPr>
            <w:tcW w:w="10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(53,787)</w:t>
            </w: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54,766</w:t>
            </w: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979</w:t>
            </w:r>
          </w:p>
        </w:tc>
        <w:tc>
          <w:tcPr>
            <w:tcW w:w="0" w:type="dxa"/>
            <w:vAlign w:val="bottom"/>
          </w:tcPr>
          <w:p>
            <w:pPr>
              <w:spacing w:after="0"/>
              <w:rPr>
                <w:sz w:val="1"/>
                <w:szCs w:val="1"/>
                <w:color w:val="auto"/>
              </w:rPr>
            </w:pPr>
          </w:p>
        </w:tc>
      </w:tr>
      <w:tr>
        <w:trPr>
          <w:trHeight w:val="171"/>
        </w:trPr>
        <w:tc>
          <w:tcPr>
            <w:tcW w:w="2820" w:type="dxa"/>
            <w:vAlign w:val="bottom"/>
          </w:tcPr>
          <w:p>
            <w:pPr>
              <w:ind w:left="160"/>
              <w:spacing w:after="0"/>
              <w:rPr>
                <w:sz w:val="20"/>
                <w:szCs w:val="20"/>
                <w:color w:val="auto"/>
              </w:rPr>
            </w:pPr>
            <w:r>
              <w:rPr>
                <w:rFonts w:ascii="Arial" w:cs="Arial" w:eastAsia="Arial" w:hAnsi="Arial"/>
                <w:sz w:val="14"/>
                <w:szCs w:val="14"/>
                <w:b w:val="1"/>
                <w:bCs w:val="1"/>
                <w:color w:val="auto"/>
              </w:rPr>
              <w:t>period</w:t>
            </w:r>
          </w:p>
        </w:tc>
        <w:tc>
          <w:tcPr>
            <w:tcW w:w="64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820" w:type="dxa"/>
            <w:vAlign w:val="bottom"/>
            <w:tcBorders>
              <w:top w:val="single" w:sz="8" w:color="E5FFFF"/>
              <w:bottom w:val="single" w:sz="8" w:color="E5FFFF"/>
            </w:tcBorders>
            <w:shd w:val="clear" w:color="auto" w:fill="E5FFFF"/>
          </w:tcPr>
          <w:p>
            <w:pPr>
              <w:spacing w:after="0" w:line="155" w:lineRule="exact"/>
              <w:rPr>
                <w:sz w:val="20"/>
                <w:szCs w:val="20"/>
                <w:color w:val="auto"/>
              </w:rPr>
            </w:pPr>
            <w:r>
              <w:rPr>
                <w:rFonts w:ascii="Arial" w:cs="Arial" w:eastAsia="Arial" w:hAnsi="Arial"/>
                <w:sz w:val="14"/>
                <w:szCs w:val="14"/>
                <w:b w:val="1"/>
                <w:bCs w:val="1"/>
                <w:color w:val="auto"/>
              </w:rPr>
              <w:t>Balance as of September 30, 2019</w:t>
            </w:r>
          </w:p>
        </w:tc>
        <w:tc>
          <w:tcPr>
            <w:tcW w:w="640" w:type="dxa"/>
            <w:vAlign w:val="bottom"/>
            <w:tcBorders>
              <w:top w:val="single" w:sz="8" w:color="auto"/>
              <w:bottom w:val="single" w:sz="8" w:color="auto"/>
            </w:tcBorders>
            <w:shd w:val="clear" w:color="auto" w:fill="E5FFFF"/>
          </w:tcPr>
          <w:p>
            <w:pPr>
              <w:jc w:val="right"/>
              <w:spacing w:after="0" w:line="155" w:lineRule="exact"/>
              <w:rPr>
                <w:sz w:val="20"/>
                <w:szCs w:val="20"/>
                <w:color w:val="auto"/>
              </w:rPr>
            </w:pPr>
            <w:r>
              <w:rPr>
                <w:rFonts w:ascii="Arial" w:cs="Arial" w:eastAsia="Arial" w:hAnsi="Arial"/>
                <w:sz w:val="14"/>
                <w:szCs w:val="14"/>
                <w:b w:val="1"/>
                <w:bCs w:val="1"/>
                <w:color w:val="auto"/>
              </w:rPr>
              <w:t>810</w:t>
            </w:r>
          </w:p>
        </w:tc>
        <w:tc>
          <w:tcPr>
            <w:tcW w:w="120" w:type="dxa"/>
            <w:vAlign w:val="bottom"/>
            <w:tcBorders>
              <w:top w:val="single" w:sz="8" w:color="E5FFFF"/>
              <w:bottom w:val="single" w:sz="8" w:color="E5FFFF"/>
            </w:tcBorders>
            <w:shd w:val="clear" w:color="auto" w:fill="E5FFFF"/>
          </w:tcPr>
          <w:p>
            <w:pPr>
              <w:spacing w:after="0"/>
              <w:rPr>
                <w:sz w:val="13"/>
                <w:szCs w:val="13"/>
                <w:color w:val="auto"/>
              </w:rPr>
            </w:pPr>
          </w:p>
        </w:tc>
        <w:tc>
          <w:tcPr>
            <w:tcW w:w="800" w:type="dxa"/>
            <w:vAlign w:val="bottom"/>
            <w:tcBorders>
              <w:top w:val="single" w:sz="8" w:color="auto"/>
              <w:bottom w:val="single" w:sz="8" w:color="auto"/>
            </w:tcBorders>
            <w:shd w:val="clear" w:color="auto" w:fill="E5FFFF"/>
          </w:tcPr>
          <w:p>
            <w:pPr>
              <w:jc w:val="right"/>
              <w:spacing w:after="0" w:line="155" w:lineRule="exact"/>
              <w:rPr>
                <w:sz w:val="20"/>
                <w:szCs w:val="20"/>
                <w:color w:val="auto"/>
              </w:rPr>
            </w:pPr>
            <w:r>
              <w:rPr>
                <w:rFonts w:ascii="Arial" w:cs="Arial" w:eastAsia="Arial" w:hAnsi="Arial"/>
                <w:sz w:val="14"/>
                <w:szCs w:val="14"/>
                <w:b w:val="1"/>
                <w:bCs w:val="1"/>
                <w:color w:val="auto"/>
              </w:rPr>
              <w:t>46</w:t>
            </w:r>
          </w:p>
        </w:tc>
        <w:tc>
          <w:tcPr>
            <w:tcW w:w="120" w:type="dxa"/>
            <w:vAlign w:val="bottom"/>
            <w:tcBorders>
              <w:top w:val="single" w:sz="8" w:color="E5FFFF"/>
              <w:bottom w:val="single" w:sz="8" w:color="E5FFFF"/>
            </w:tcBorders>
            <w:shd w:val="clear" w:color="auto" w:fill="E5FFFF"/>
          </w:tcPr>
          <w:p>
            <w:pPr>
              <w:spacing w:after="0"/>
              <w:rPr>
                <w:sz w:val="13"/>
                <w:szCs w:val="13"/>
                <w:color w:val="auto"/>
              </w:rPr>
            </w:pPr>
          </w:p>
        </w:tc>
        <w:tc>
          <w:tcPr>
            <w:tcW w:w="920" w:type="dxa"/>
            <w:vAlign w:val="bottom"/>
            <w:tcBorders>
              <w:top w:val="single" w:sz="8" w:color="auto"/>
              <w:bottom w:val="single" w:sz="8" w:color="auto"/>
            </w:tcBorders>
            <w:shd w:val="clear" w:color="auto" w:fill="E5FFFF"/>
          </w:tcPr>
          <w:p>
            <w:pPr>
              <w:jc w:val="right"/>
              <w:spacing w:after="0" w:line="155" w:lineRule="exact"/>
              <w:rPr>
                <w:sz w:val="20"/>
                <w:szCs w:val="20"/>
                <w:color w:val="auto"/>
              </w:rPr>
            </w:pPr>
            <w:r>
              <w:rPr>
                <w:rFonts w:ascii="Arial" w:cs="Arial" w:eastAsia="Arial" w:hAnsi="Arial"/>
                <w:sz w:val="14"/>
                <w:szCs w:val="14"/>
                <w:b w:val="1"/>
                <w:bCs w:val="1"/>
                <w:color w:val="auto"/>
              </w:rPr>
              <w:t>806,058</w:t>
            </w:r>
          </w:p>
        </w:tc>
        <w:tc>
          <w:tcPr>
            <w:tcW w:w="120" w:type="dxa"/>
            <w:vAlign w:val="bottom"/>
            <w:tcBorders>
              <w:top w:val="single" w:sz="8" w:color="E5FFFF"/>
              <w:bottom w:val="single" w:sz="8" w:color="E5FFFF"/>
            </w:tcBorders>
            <w:shd w:val="clear" w:color="auto" w:fill="E5FFFF"/>
          </w:tcPr>
          <w:p>
            <w:pPr>
              <w:spacing w:after="0"/>
              <w:rPr>
                <w:sz w:val="13"/>
                <w:szCs w:val="13"/>
                <w:color w:val="auto"/>
              </w:rPr>
            </w:pPr>
          </w:p>
        </w:tc>
        <w:tc>
          <w:tcPr>
            <w:tcW w:w="800" w:type="dxa"/>
            <w:vAlign w:val="bottom"/>
            <w:tcBorders>
              <w:top w:val="single" w:sz="8" w:color="auto"/>
              <w:bottom w:val="single" w:sz="8" w:color="auto"/>
            </w:tcBorders>
            <w:shd w:val="clear" w:color="auto" w:fill="E5FFFF"/>
          </w:tcPr>
          <w:p>
            <w:pPr>
              <w:jc w:val="right"/>
              <w:spacing w:after="0" w:line="155" w:lineRule="exact"/>
              <w:rPr>
                <w:sz w:val="20"/>
                <w:szCs w:val="20"/>
                <w:color w:val="auto"/>
              </w:rPr>
            </w:pPr>
            <w:r>
              <w:rPr>
                <w:rFonts w:ascii="Arial" w:cs="Arial" w:eastAsia="Arial" w:hAnsi="Arial"/>
                <w:sz w:val="14"/>
                <w:szCs w:val="14"/>
                <w:b w:val="1"/>
                <w:bCs w:val="1"/>
                <w:color w:val="auto"/>
              </w:rPr>
              <w:t>14,369</w:t>
            </w:r>
          </w:p>
        </w:tc>
        <w:tc>
          <w:tcPr>
            <w:tcW w:w="120" w:type="dxa"/>
            <w:vAlign w:val="bottom"/>
            <w:tcBorders>
              <w:top w:val="single" w:sz="8" w:color="E5FFFF"/>
              <w:bottom w:val="single" w:sz="8" w:color="E5FFFF"/>
            </w:tcBorders>
            <w:shd w:val="clear" w:color="auto" w:fill="E5FFFF"/>
          </w:tcPr>
          <w:p>
            <w:pPr>
              <w:spacing w:after="0"/>
              <w:rPr>
                <w:sz w:val="13"/>
                <w:szCs w:val="13"/>
                <w:color w:val="auto"/>
              </w:rPr>
            </w:pPr>
          </w:p>
        </w:tc>
        <w:tc>
          <w:tcPr>
            <w:tcW w:w="780" w:type="dxa"/>
            <w:vAlign w:val="bottom"/>
            <w:tcBorders>
              <w:top w:val="single" w:sz="8" w:color="auto"/>
              <w:bottom w:val="single" w:sz="8" w:color="auto"/>
            </w:tcBorders>
            <w:shd w:val="clear" w:color="auto" w:fill="E5FFFF"/>
          </w:tcPr>
          <w:p>
            <w:pPr>
              <w:jc w:val="right"/>
              <w:spacing w:after="0" w:line="155" w:lineRule="exact"/>
              <w:rPr>
                <w:sz w:val="20"/>
                <w:szCs w:val="20"/>
                <w:color w:val="auto"/>
              </w:rPr>
            </w:pPr>
            <w:r>
              <w:rPr>
                <w:rFonts w:ascii="Arial" w:cs="Arial" w:eastAsia="Arial" w:hAnsi="Arial"/>
                <w:sz w:val="14"/>
                <w:szCs w:val="14"/>
                <w:b w:val="1"/>
                <w:bCs w:val="1"/>
                <w:color w:val="auto"/>
              </w:rPr>
              <w:t>(2,342</w:t>
            </w:r>
          </w:p>
        </w:tc>
        <w:tc>
          <w:tcPr>
            <w:tcW w:w="120" w:type="dxa"/>
            <w:vAlign w:val="bottom"/>
            <w:tcBorders>
              <w:top w:val="single" w:sz="8" w:color="E5FFFF"/>
              <w:bottom w:val="single" w:sz="8" w:color="E5FFFF"/>
            </w:tcBorders>
            <w:shd w:val="clear" w:color="auto" w:fill="E5FFFF"/>
          </w:tcPr>
          <w:p>
            <w:pPr>
              <w:jc w:val="right"/>
              <w:spacing w:after="0" w:line="155" w:lineRule="exact"/>
              <w:rPr>
                <w:sz w:val="20"/>
                <w:szCs w:val="20"/>
                <w:color w:val="auto"/>
              </w:rPr>
            </w:pPr>
            <w:r>
              <w:rPr>
                <w:rFonts w:ascii="Arial" w:cs="Arial" w:eastAsia="Arial" w:hAnsi="Arial"/>
                <w:sz w:val="14"/>
                <w:szCs w:val="14"/>
                <w:b w:val="1"/>
                <w:bCs w:val="1"/>
                <w:color w:val="auto"/>
                <w:w w:val="84"/>
              </w:rPr>
              <w:t>)</w:t>
            </w:r>
          </w:p>
        </w:tc>
        <w:tc>
          <w:tcPr>
            <w:tcW w:w="1080" w:type="dxa"/>
            <w:vAlign w:val="bottom"/>
            <w:tcBorders>
              <w:top w:val="single" w:sz="8" w:color="auto"/>
              <w:bottom w:val="single" w:sz="8" w:color="auto"/>
            </w:tcBorders>
            <w:shd w:val="clear" w:color="auto" w:fill="E5FFFF"/>
          </w:tcPr>
          <w:p>
            <w:pPr>
              <w:jc w:val="right"/>
              <w:spacing w:after="0" w:line="155" w:lineRule="exact"/>
              <w:rPr>
                <w:sz w:val="20"/>
                <w:szCs w:val="20"/>
                <w:color w:val="auto"/>
              </w:rPr>
            </w:pPr>
            <w:r>
              <w:rPr>
                <w:rFonts w:ascii="Arial" w:cs="Arial" w:eastAsia="Arial" w:hAnsi="Arial"/>
                <w:sz w:val="14"/>
                <w:szCs w:val="14"/>
                <w:b w:val="1"/>
                <w:bCs w:val="1"/>
                <w:color w:val="auto"/>
              </w:rPr>
              <w:t>(37,661</w:t>
            </w:r>
          </w:p>
        </w:tc>
        <w:tc>
          <w:tcPr>
            <w:tcW w:w="100" w:type="dxa"/>
            <w:vAlign w:val="bottom"/>
            <w:tcBorders>
              <w:top w:val="single" w:sz="8" w:color="E5FFFF"/>
              <w:bottom w:val="single" w:sz="8" w:color="E5FFFF"/>
            </w:tcBorders>
            <w:shd w:val="clear" w:color="auto" w:fill="E5FFFF"/>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960" w:type="dxa"/>
            <w:vAlign w:val="bottom"/>
            <w:tcBorders>
              <w:top w:val="single" w:sz="8" w:color="auto"/>
              <w:bottom w:val="single" w:sz="8" w:color="auto"/>
            </w:tcBorders>
            <w:shd w:val="clear" w:color="auto" w:fill="E5FFFF"/>
          </w:tcPr>
          <w:p>
            <w:pPr>
              <w:jc w:val="right"/>
              <w:spacing w:after="0" w:line="155" w:lineRule="exact"/>
              <w:rPr>
                <w:sz w:val="20"/>
                <w:szCs w:val="20"/>
                <w:color w:val="auto"/>
              </w:rPr>
            </w:pPr>
            <w:r>
              <w:rPr>
                <w:rFonts w:ascii="Arial" w:cs="Arial" w:eastAsia="Arial" w:hAnsi="Arial"/>
                <w:sz w:val="14"/>
                <w:szCs w:val="14"/>
                <w:b w:val="1"/>
                <w:bCs w:val="1"/>
                <w:color w:val="auto"/>
              </w:rPr>
              <w:t>781,280</w:t>
            </w:r>
          </w:p>
        </w:tc>
        <w:tc>
          <w:tcPr>
            <w:tcW w:w="120" w:type="dxa"/>
            <w:vAlign w:val="bottom"/>
            <w:tcBorders>
              <w:top w:val="single" w:sz="8" w:color="E5FFFF"/>
              <w:bottom w:val="single" w:sz="8" w:color="E5FFFF"/>
            </w:tcBorders>
            <w:shd w:val="clear" w:color="auto" w:fill="E5FFFF"/>
          </w:tcPr>
          <w:p>
            <w:pPr>
              <w:spacing w:after="0"/>
              <w:rPr>
                <w:sz w:val="13"/>
                <w:szCs w:val="13"/>
                <w:color w:val="auto"/>
              </w:rPr>
            </w:pPr>
          </w:p>
        </w:tc>
        <w:tc>
          <w:tcPr>
            <w:tcW w:w="780" w:type="dxa"/>
            <w:vAlign w:val="bottom"/>
            <w:tcBorders>
              <w:top w:val="single" w:sz="8" w:color="auto"/>
              <w:bottom w:val="single" w:sz="8" w:color="auto"/>
            </w:tcBorders>
            <w:shd w:val="clear" w:color="auto" w:fill="E5FFFF"/>
          </w:tcPr>
          <w:p>
            <w:pPr>
              <w:jc w:val="right"/>
              <w:spacing w:after="0" w:line="155" w:lineRule="exact"/>
              <w:rPr>
                <w:sz w:val="20"/>
                <w:szCs w:val="20"/>
                <w:color w:val="auto"/>
              </w:rPr>
            </w:pPr>
            <w:r>
              <w:rPr>
                <w:rFonts w:ascii="Arial" w:cs="Arial" w:eastAsia="Arial" w:hAnsi="Arial"/>
                <w:sz w:val="14"/>
                <w:szCs w:val="14"/>
                <w:b w:val="1"/>
                <w:bCs w:val="1"/>
                <w:color w:val="auto"/>
              </w:rPr>
              <w:t>1,059,720</w:t>
            </w:r>
          </w:p>
        </w:tc>
        <w:tc>
          <w:tcPr>
            <w:tcW w:w="120" w:type="dxa"/>
            <w:vAlign w:val="bottom"/>
            <w:tcBorders>
              <w:top w:val="single" w:sz="8" w:color="E5FFFF"/>
              <w:bottom w:val="single" w:sz="8" w:color="E5FFFF"/>
            </w:tcBorders>
            <w:shd w:val="clear" w:color="auto" w:fill="E5FFFF"/>
          </w:tcPr>
          <w:p>
            <w:pPr>
              <w:spacing w:after="0"/>
              <w:rPr>
                <w:sz w:val="13"/>
                <w:szCs w:val="13"/>
                <w:color w:val="auto"/>
              </w:rPr>
            </w:pPr>
          </w:p>
        </w:tc>
        <w:tc>
          <w:tcPr>
            <w:tcW w:w="800" w:type="dxa"/>
            <w:vAlign w:val="bottom"/>
            <w:tcBorders>
              <w:top w:val="single" w:sz="8" w:color="auto"/>
              <w:bottom w:val="single" w:sz="8" w:color="auto"/>
            </w:tcBorders>
            <w:shd w:val="clear" w:color="auto" w:fill="E5FFFF"/>
          </w:tcPr>
          <w:p>
            <w:pPr>
              <w:jc w:val="right"/>
              <w:spacing w:after="0" w:line="155" w:lineRule="exact"/>
              <w:rPr>
                <w:sz w:val="20"/>
                <w:szCs w:val="20"/>
                <w:color w:val="auto"/>
              </w:rPr>
            </w:pPr>
            <w:r>
              <w:rPr>
                <w:rFonts w:ascii="Arial" w:cs="Arial" w:eastAsia="Arial" w:hAnsi="Arial"/>
                <w:sz w:val="14"/>
                <w:szCs w:val="14"/>
                <w:b w:val="1"/>
                <w:bCs w:val="1"/>
                <w:color w:val="auto"/>
              </w:rPr>
              <w:t>1,841,000</w:t>
            </w:r>
          </w:p>
        </w:tc>
        <w:tc>
          <w:tcPr>
            <w:tcW w:w="100" w:type="dxa"/>
            <w:vAlign w:val="bottom"/>
            <w:tcBorders>
              <w:top w:val="single" w:sz="8" w:color="E5FFFF"/>
              <w:bottom w:val="single" w:sz="8" w:color="E5FFFF"/>
            </w:tcBorders>
            <w:shd w:val="clear" w:color="auto" w:fill="E5FF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300" w:right="300" w:hanging="292"/>
        <w:spacing w:after="0" w:line="253" w:lineRule="auto"/>
        <w:tabs>
          <w:tab w:leader="none" w:pos="300" w:val="left"/>
        </w:tabs>
        <w:numPr>
          <w:ilvl w:val="0"/>
          <w:numId w:val="14"/>
        </w:numPr>
        <w:rPr>
          <w:rFonts w:ascii="Arial" w:cs="Arial" w:eastAsia="Arial" w:hAnsi="Arial"/>
          <w:sz w:val="9"/>
          <w:szCs w:val="9"/>
          <w:color w:val="auto"/>
        </w:rPr>
      </w:pPr>
      <w:r>
        <w:rPr>
          <w:rFonts w:ascii="Arial" w:cs="Arial" w:eastAsia="Arial" w:hAnsi="Arial"/>
          <w:sz w:val="14"/>
          <w:szCs w:val="14"/>
          <w:color w:val="auto"/>
        </w:rPr>
        <w:t xml:space="preserve">Adjusted so as to reflect certain amendments introduced due to the adoption of International Financial Reporting Standard (“IFRS”) 15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xml:space="preserve"> and IFRS 9 </w:t>
      </w:r>
      <w:r>
        <w:rPr>
          <w:rFonts w:ascii="Arial" w:cs="Arial" w:eastAsia="Arial" w:hAnsi="Arial"/>
          <w:sz w:val="14"/>
          <w:szCs w:val="14"/>
          <w:i w:val="1"/>
          <w:iCs w:val="1"/>
          <w:color w:val="auto"/>
        </w:rPr>
        <w:t>Financial Instruments</w:t>
      </w:r>
      <w:r>
        <w:rPr>
          <w:rFonts w:ascii="Arial" w:cs="Arial" w:eastAsia="Arial" w:hAnsi="Arial"/>
          <w:sz w:val="14"/>
          <w:szCs w:val="14"/>
          <w:color w:val="auto"/>
        </w:rPr>
        <w:t>, which became effective on January 1, 2018.</w:t>
      </w:r>
    </w:p>
    <w:p>
      <w:pPr>
        <w:spacing w:after="0" w:line="92" w:lineRule="exact"/>
        <w:rPr>
          <w:rFonts w:ascii="Arial" w:cs="Arial" w:eastAsia="Arial" w:hAnsi="Arial"/>
          <w:sz w:val="9"/>
          <w:szCs w:val="9"/>
          <w:color w:val="auto"/>
        </w:rPr>
      </w:pPr>
    </w:p>
    <w:p>
      <w:pPr>
        <w:ind w:left="300" w:hanging="292"/>
        <w:spacing w:after="0"/>
        <w:tabs>
          <w:tab w:leader="none" w:pos="300" w:val="left"/>
        </w:tabs>
        <w:numPr>
          <w:ilvl w:val="0"/>
          <w:numId w:val="14"/>
        </w:numPr>
        <w:rPr>
          <w:rFonts w:ascii="Arial" w:cs="Arial" w:eastAsia="Arial" w:hAnsi="Arial"/>
          <w:sz w:val="9"/>
          <w:szCs w:val="9"/>
          <w:color w:val="auto"/>
        </w:rPr>
      </w:pPr>
      <w:r>
        <w:rPr>
          <w:rFonts w:ascii="Arial" w:cs="Arial" w:eastAsia="Arial" w:hAnsi="Arial"/>
          <w:sz w:val="14"/>
          <w:szCs w:val="14"/>
          <w:color w:val="auto"/>
        </w:rPr>
        <w:t xml:space="preserve">Restated so as to reflect an adjustment introduced due to the adoption of IFRS 16 </w:t>
      </w:r>
      <w:r>
        <w:rPr>
          <w:rFonts w:ascii="Arial" w:cs="Arial" w:eastAsia="Arial" w:hAnsi="Arial"/>
          <w:sz w:val="14"/>
          <w:szCs w:val="14"/>
          <w:i w:val="1"/>
          <w:iCs w:val="1"/>
          <w:color w:val="auto"/>
        </w:rPr>
        <w:t>Leases</w:t>
      </w:r>
      <w:r>
        <w:rPr>
          <w:rFonts w:ascii="Arial" w:cs="Arial" w:eastAsia="Arial" w:hAnsi="Arial"/>
          <w:sz w:val="14"/>
          <w:szCs w:val="14"/>
          <w:color w:val="auto"/>
        </w:rPr>
        <w:t xml:space="preserve"> on January 1, 2019 (Note 2(a)).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10"/>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GasLog Ltd. and its Subsidiaries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Unaudited condensed consolidated statements of cash flows</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For the nine months ended September 30, 2018 and 2019</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(Amounts expressed in thousands of U.S. Dollars)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00" w:type="dxa"/>
            <w:vAlign w:val="bottom"/>
            <w:gridSpan w:val="4"/>
          </w:tcPr>
          <w:p>
            <w:pPr>
              <w:jc w:val="right"/>
              <w:ind w:right="680"/>
              <w:spacing w:after="0"/>
              <w:rPr>
                <w:sz w:val="20"/>
                <w:szCs w:val="20"/>
                <w:color w:val="auto"/>
              </w:rPr>
            </w:pPr>
            <w:r>
              <w:rPr>
                <w:rFonts w:ascii="Arial" w:cs="Arial" w:eastAsia="Arial" w:hAnsi="Arial"/>
                <w:sz w:val="16"/>
                <w:szCs w:val="16"/>
                <w:b w:val="1"/>
                <w:bCs w:val="1"/>
                <w:color w:val="auto"/>
              </w:rPr>
              <w:t>For the nine months ended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1040" w:type="dxa"/>
            <w:vAlign w:val="bottom"/>
            <w:gridSpan w:val="2"/>
            <w:vMerge w:val="restart"/>
          </w:tcPr>
          <w:p>
            <w:pPr>
              <w:ind w:left="280"/>
              <w:spacing w:after="0"/>
              <w:rPr>
                <w:sz w:val="20"/>
                <w:szCs w:val="20"/>
                <w:color w:val="auto"/>
              </w:rPr>
            </w:pPr>
            <w:r>
              <w:rPr>
                <w:rFonts w:ascii="Arial" w:cs="Arial" w:eastAsia="Arial" w:hAnsi="Arial"/>
                <w:sz w:val="18"/>
                <w:szCs w:val="18"/>
                <w:b w:val="1"/>
                <w:bCs w:val="1"/>
                <w:color w:val="auto"/>
              </w:rPr>
              <w:t>Note</w:t>
            </w:r>
          </w:p>
        </w:tc>
        <w:tc>
          <w:tcPr>
            <w:tcW w:w="162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September 30,</w:t>
            </w:r>
          </w:p>
        </w:tc>
        <w:tc>
          <w:tcPr>
            <w:tcW w:w="14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40" w:type="dxa"/>
            <w:vAlign w:val="bottom"/>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80" w:type="dxa"/>
            <w:vAlign w:val="bottom"/>
          </w:tcPr>
          <w:p>
            <w:pPr>
              <w:spacing w:after="0"/>
              <w:rPr>
                <w:sz w:val="18"/>
                <w:szCs w:val="18"/>
                <w:color w:val="auto"/>
              </w:rPr>
            </w:pPr>
          </w:p>
        </w:tc>
        <w:tc>
          <w:tcPr>
            <w:tcW w:w="13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60" w:type="dxa"/>
            <w:vAlign w:val="bottom"/>
            <w:tcBorders>
              <w:top w:val="single" w:sz="8" w:color="E5FFFF"/>
            </w:tcBorders>
            <w:shd w:val="clear" w:color="auto" w:fill="E5FFFF"/>
          </w:tcPr>
          <w:p>
            <w:pPr>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920" w:type="dxa"/>
            <w:vAlign w:val="bottom"/>
            <w:tcBorders>
              <w:top w:val="single" w:sz="8" w:color="auto"/>
            </w:tcBorders>
            <w:shd w:val="clear" w:color="auto" w:fill="E5FFFF"/>
          </w:tcPr>
          <w:p>
            <w:pPr>
              <w:spacing w:after="0"/>
              <w:rPr>
                <w:sz w:val="15"/>
                <w:szCs w:val="15"/>
                <w:color w:val="auto"/>
              </w:rPr>
            </w:pPr>
          </w:p>
        </w:tc>
        <w:tc>
          <w:tcPr>
            <w:tcW w:w="120" w:type="dxa"/>
            <w:vAlign w:val="bottom"/>
            <w:tcBorders>
              <w:top w:val="single" w:sz="8" w:color="E5FFFF"/>
            </w:tcBorders>
            <w:shd w:val="clear" w:color="auto" w:fill="E5FFFF"/>
          </w:tcPr>
          <w:p>
            <w:pPr>
              <w:spacing w:after="0"/>
              <w:rPr>
                <w:sz w:val="15"/>
                <w:szCs w:val="15"/>
                <w:color w:val="auto"/>
              </w:rPr>
            </w:pPr>
          </w:p>
        </w:tc>
        <w:tc>
          <w:tcPr>
            <w:tcW w:w="1440" w:type="dxa"/>
            <w:vAlign w:val="bottom"/>
            <w:tcBorders>
              <w:top w:val="single" w:sz="8" w:color="auto"/>
            </w:tcBorders>
            <w:shd w:val="clear" w:color="auto" w:fill="E5FFFF"/>
          </w:tcPr>
          <w:p>
            <w:pPr>
              <w:spacing w:after="0"/>
              <w:rPr>
                <w:sz w:val="15"/>
                <w:szCs w:val="15"/>
                <w:color w:val="auto"/>
              </w:rPr>
            </w:pPr>
          </w:p>
        </w:tc>
        <w:tc>
          <w:tcPr>
            <w:tcW w:w="180" w:type="dxa"/>
            <w:vAlign w:val="bottom"/>
            <w:tcBorders>
              <w:top w:val="single" w:sz="8" w:color="E5FFFF"/>
            </w:tcBorders>
            <w:shd w:val="clear" w:color="auto" w:fill="E5FFFF"/>
          </w:tcPr>
          <w:p>
            <w:pPr>
              <w:spacing w:after="0"/>
              <w:rPr>
                <w:sz w:val="15"/>
                <w:szCs w:val="15"/>
                <w:color w:val="auto"/>
              </w:rPr>
            </w:pPr>
          </w:p>
        </w:tc>
        <w:tc>
          <w:tcPr>
            <w:tcW w:w="138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tcPr>
          <w:p>
            <w:pPr>
              <w:spacing w:after="0"/>
              <w:rPr>
                <w:sz w:val="20"/>
                <w:szCs w:val="20"/>
                <w:color w:val="auto"/>
              </w:rPr>
            </w:pPr>
            <w:r>
              <w:rPr>
                <w:rFonts w:ascii="Arial" w:cs="Arial" w:eastAsia="Arial" w:hAnsi="Arial"/>
                <w:sz w:val="16"/>
                <w:szCs w:val="16"/>
                <w:color w:val="auto"/>
              </w:rPr>
              <w:t>Profit for the period</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96,014</w:t>
            </w:r>
          </w:p>
        </w:tc>
        <w:tc>
          <w:tcPr>
            <w:tcW w:w="18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4,276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E5FFFF"/>
          </w:tcPr>
          <w:p>
            <w:pPr>
              <w:spacing w:after="0"/>
              <w:rPr>
                <w:sz w:val="20"/>
                <w:szCs w:val="20"/>
                <w:color w:val="auto"/>
              </w:rPr>
            </w:pPr>
            <w:r>
              <w:rPr>
                <w:rFonts w:ascii="Arial" w:cs="Arial" w:eastAsia="Arial" w:hAnsi="Arial"/>
                <w:sz w:val="16"/>
                <w:szCs w:val="16"/>
                <w:color w:val="auto"/>
              </w:rPr>
              <w:t>Adjustments for:</w:t>
            </w:r>
          </w:p>
        </w:tc>
        <w:tc>
          <w:tcPr>
            <w:tcW w:w="9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4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3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tcPr>
          <w:p>
            <w:pPr>
              <w:spacing w:after="0"/>
              <w:rPr>
                <w:sz w:val="20"/>
                <w:szCs w:val="20"/>
                <w:color w:val="auto"/>
              </w:rPr>
            </w:pPr>
            <w:r>
              <w:rPr>
                <w:rFonts w:ascii="Arial" w:cs="Arial" w:eastAsia="Arial" w:hAnsi="Arial"/>
                <w:sz w:val="16"/>
                <w:szCs w:val="16"/>
                <w:color w:val="auto"/>
              </w:rPr>
              <w:t>Depreciation</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113,683</w:t>
            </w: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124,186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E5FFFF"/>
          </w:tcPr>
          <w:p>
            <w:pPr>
              <w:spacing w:after="0"/>
              <w:rPr>
                <w:sz w:val="20"/>
                <w:szCs w:val="20"/>
                <w:color w:val="auto"/>
              </w:rPr>
            </w:pPr>
            <w:r>
              <w:rPr>
                <w:rFonts w:ascii="Arial" w:cs="Arial" w:eastAsia="Arial" w:hAnsi="Arial"/>
                <w:sz w:val="16"/>
                <w:szCs w:val="16"/>
                <w:color w:val="auto"/>
              </w:rPr>
              <w:t>Share of profit of associates</w:t>
            </w:r>
          </w:p>
        </w:tc>
        <w:tc>
          <w:tcPr>
            <w:tcW w:w="9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62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(1,325)</w:t>
            </w:r>
          </w:p>
        </w:tc>
        <w:tc>
          <w:tcPr>
            <w:tcW w:w="148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(1,088)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tcPr>
          <w:p>
            <w:pPr>
              <w:spacing w:after="0"/>
              <w:rPr>
                <w:sz w:val="20"/>
                <w:szCs w:val="20"/>
                <w:color w:val="auto"/>
              </w:rPr>
            </w:pPr>
            <w:r>
              <w:rPr>
                <w:rFonts w:ascii="Arial" w:cs="Arial" w:eastAsia="Arial" w:hAnsi="Arial"/>
                <w:sz w:val="16"/>
                <w:szCs w:val="16"/>
                <w:color w:val="auto"/>
              </w:rPr>
              <w:t>Financial income</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6"/>
                <w:szCs w:val="16"/>
                <w:color w:val="auto"/>
              </w:rPr>
              <w:t>(3,367)</w:t>
            </w: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(4,357)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9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4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122,505</w:t>
            </w:r>
          </w:p>
        </w:tc>
        <w:tc>
          <w:tcPr>
            <w:tcW w:w="18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138,865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tcPr>
          <w:p>
            <w:pPr>
              <w:spacing w:after="0"/>
              <w:rPr>
                <w:sz w:val="20"/>
                <w:szCs w:val="20"/>
                <w:color w:val="auto"/>
              </w:rPr>
            </w:pPr>
            <w:r>
              <w:rPr>
                <w:rFonts w:ascii="Arial" w:cs="Arial" w:eastAsia="Arial" w:hAnsi="Arial"/>
                <w:sz w:val="16"/>
                <w:szCs w:val="16"/>
                <w:color w:val="auto"/>
              </w:rPr>
              <w:t>Unrealized foreign exchange losses on cash and cash equivalents</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137</w:t>
            </w:r>
          </w:p>
        </w:tc>
        <w:tc>
          <w:tcPr>
            <w:tcW w:w="18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373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E5FFFF"/>
          </w:tcPr>
          <w:p>
            <w:pPr>
              <w:spacing w:after="0"/>
              <w:rPr>
                <w:sz w:val="20"/>
                <w:szCs w:val="20"/>
                <w:color w:val="auto"/>
              </w:rPr>
            </w:pPr>
            <w:r>
              <w:rPr>
                <w:rFonts w:ascii="Arial" w:cs="Arial" w:eastAsia="Arial" w:hAnsi="Arial"/>
                <w:sz w:val="16"/>
                <w:szCs w:val="16"/>
                <w:color w:val="auto"/>
              </w:rPr>
              <w:t>Realized foreign exchange losses</w:t>
            </w:r>
          </w:p>
        </w:tc>
        <w:tc>
          <w:tcPr>
            <w:tcW w:w="9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62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773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260" w:type="dxa"/>
            <w:vAlign w:val="bottom"/>
          </w:tcPr>
          <w:p>
            <w:pPr>
              <w:spacing w:after="0"/>
              <w:rPr>
                <w:sz w:val="20"/>
                <w:szCs w:val="20"/>
                <w:color w:val="auto"/>
              </w:rPr>
            </w:pPr>
            <w:r>
              <w:rPr>
                <w:rFonts w:ascii="Arial" w:cs="Arial" w:eastAsia="Arial" w:hAnsi="Arial"/>
                <w:sz w:val="16"/>
                <w:szCs w:val="16"/>
                <w:color w:val="auto"/>
                <w:w w:val="99"/>
              </w:rPr>
              <w:t>Unrealized (gain)/loss on derivative financial instruments held for trading including ineffective portion of</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60" w:type="dxa"/>
            <w:vAlign w:val="bottom"/>
          </w:tcPr>
          <w:p>
            <w:pPr>
              <w:ind w:left="140"/>
              <w:spacing w:after="0"/>
              <w:rPr>
                <w:sz w:val="20"/>
                <w:szCs w:val="20"/>
                <w:color w:val="auto"/>
              </w:rPr>
            </w:pPr>
            <w:r>
              <w:rPr>
                <w:rFonts w:ascii="Arial" w:cs="Arial" w:eastAsia="Arial" w:hAnsi="Arial"/>
                <w:sz w:val="16"/>
                <w:szCs w:val="16"/>
                <w:color w:val="auto"/>
              </w:rPr>
              <w:t>cash flow hedges</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16</w:t>
            </w:r>
          </w:p>
        </w:tc>
        <w:tc>
          <w:tcPr>
            <w:tcW w:w="120" w:type="dxa"/>
            <w:vAlign w:val="bottom"/>
          </w:tcPr>
          <w:p>
            <w:pPr>
              <w:spacing w:after="0"/>
              <w:rPr>
                <w:sz w:val="17"/>
                <w:szCs w:val="17"/>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6"/>
                <w:szCs w:val="16"/>
                <w:color w:val="auto"/>
              </w:rPr>
              <w:t>(23,878)</w:t>
            </w: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67,643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60" w:type="dxa"/>
            <w:vAlign w:val="bottom"/>
            <w:shd w:val="clear" w:color="auto" w:fill="E5FFFF"/>
          </w:tcPr>
          <w:p>
            <w:pPr>
              <w:spacing w:after="0"/>
              <w:rPr>
                <w:sz w:val="20"/>
                <w:szCs w:val="20"/>
                <w:color w:val="auto"/>
              </w:rPr>
            </w:pPr>
            <w:r>
              <w:rPr>
                <w:rFonts w:ascii="Arial" w:cs="Arial" w:eastAsia="Arial" w:hAnsi="Arial"/>
                <w:sz w:val="16"/>
                <w:szCs w:val="16"/>
                <w:color w:val="auto"/>
              </w:rPr>
              <w:t>Share-based compensation</w:t>
            </w:r>
          </w:p>
        </w:tc>
        <w:tc>
          <w:tcPr>
            <w:tcW w:w="9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18</w:t>
            </w:r>
          </w:p>
        </w:tc>
        <w:tc>
          <w:tcPr>
            <w:tcW w:w="120" w:type="dxa"/>
            <w:vAlign w:val="bottom"/>
            <w:shd w:val="clear" w:color="auto" w:fill="E5FFFF"/>
          </w:tcPr>
          <w:p>
            <w:pPr>
              <w:spacing w:after="0"/>
              <w:rPr>
                <w:sz w:val="18"/>
                <w:szCs w:val="18"/>
                <w:color w:val="auto"/>
              </w:rPr>
            </w:pPr>
          </w:p>
        </w:tc>
        <w:tc>
          <w:tcPr>
            <w:tcW w:w="14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3,865</w:t>
            </w:r>
          </w:p>
        </w:tc>
        <w:tc>
          <w:tcPr>
            <w:tcW w:w="180" w:type="dxa"/>
            <w:vAlign w:val="bottom"/>
            <w:shd w:val="clear" w:color="auto" w:fill="E5FFFF"/>
          </w:tcPr>
          <w:p>
            <w:pPr>
              <w:spacing w:after="0"/>
              <w:rPr>
                <w:sz w:val="18"/>
                <w:szCs w:val="18"/>
                <w:color w:val="auto"/>
              </w:rPr>
            </w:pPr>
          </w:p>
        </w:tc>
        <w:tc>
          <w:tcPr>
            <w:tcW w:w="14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3,728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60" w:type="dxa"/>
            <w:vAlign w:val="bottom"/>
            <w:tcBorders>
              <w:bottom w:val="single" w:sz="8" w:color="E5FFFF"/>
            </w:tcBorders>
          </w:tcPr>
          <w:p>
            <w:pPr>
              <w:spacing w:after="0"/>
              <w:rPr>
                <w:sz w:val="17"/>
                <w:szCs w:val="17"/>
                <w:color w:val="auto"/>
              </w:rPr>
            </w:pPr>
          </w:p>
        </w:tc>
        <w:tc>
          <w:tcPr>
            <w:tcW w:w="920" w:type="dxa"/>
            <w:vAlign w:val="bottom"/>
            <w:tcBorders>
              <w:bottom w:val="single" w:sz="8" w:color="E5FFFF"/>
            </w:tcBorders>
          </w:tcPr>
          <w:p>
            <w:pPr>
              <w:spacing w:after="0"/>
              <w:rPr>
                <w:sz w:val="17"/>
                <w:szCs w:val="17"/>
                <w:color w:val="auto"/>
              </w:rPr>
            </w:pPr>
          </w:p>
        </w:tc>
        <w:tc>
          <w:tcPr>
            <w:tcW w:w="120" w:type="dxa"/>
            <w:vAlign w:val="bottom"/>
            <w:tcBorders>
              <w:bottom w:val="single" w:sz="8" w:color="E5FFFF"/>
            </w:tcBorders>
          </w:tcPr>
          <w:p>
            <w:pPr>
              <w:spacing w:after="0"/>
              <w:rPr>
                <w:sz w:val="17"/>
                <w:szCs w:val="17"/>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307,634</w:t>
            </w:r>
          </w:p>
        </w:tc>
        <w:tc>
          <w:tcPr>
            <w:tcW w:w="180" w:type="dxa"/>
            <w:vAlign w:val="bottom"/>
            <w:tcBorders>
              <w:bottom w:val="single" w:sz="8" w:color="E5FFFF"/>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334,399</w:t>
            </w:r>
          </w:p>
        </w:tc>
        <w:tc>
          <w:tcPr>
            <w:tcW w:w="10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60" w:type="dxa"/>
            <w:vAlign w:val="bottom"/>
            <w:shd w:val="clear" w:color="auto" w:fill="E5FFFF"/>
          </w:tcPr>
          <w:p>
            <w:pPr>
              <w:spacing w:after="0"/>
              <w:rPr>
                <w:sz w:val="20"/>
                <w:szCs w:val="20"/>
                <w:color w:val="auto"/>
              </w:rPr>
            </w:pPr>
            <w:r>
              <w:rPr>
                <w:rFonts w:ascii="Arial" w:cs="Arial" w:eastAsia="Arial" w:hAnsi="Arial"/>
                <w:sz w:val="16"/>
                <w:szCs w:val="16"/>
                <w:color w:val="auto"/>
              </w:rPr>
              <w:t>Movements in working capital</w:t>
            </w:r>
          </w:p>
        </w:tc>
        <w:tc>
          <w:tcPr>
            <w:tcW w:w="9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4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(18,246)</w:t>
            </w:r>
          </w:p>
        </w:tc>
        <w:tc>
          <w:tcPr>
            <w:tcW w:w="180" w:type="dxa"/>
            <w:vAlign w:val="bottom"/>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(41,514)</w:t>
            </w: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Cash provided by operations</w:t>
            </w:r>
          </w:p>
        </w:tc>
        <w:tc>
          <w:tcPr>
            <w:tcW w:w="920" w:type="dxa"/>
            <w:vAlign w:val="bottom"/>
            <w:tcBorders>
              <w:bottom w:val="single" w:sz="8" w:color="E5FFFF"/>
            </w:tcBorders>
          </w:tcPr>
          <w:p>
            <w:pPr>
              <w:spacing w:after="0"/>
              <w:rPr>
                <w:sz w:val="17"/>
                <w:szCs w:val="17"/>
                <w:color w:val="auto"/>
              </w:rPr>
            </w:pPr>
          </w:p>
        </w:tc>
        <w:tc>
          <w:tcPr>
            <w:tcW w:w="120" w:type="dxa"/>
            <w:vAlign w:val="bottom"/>
            <w:tcBorders>
              <w:bottom w:val="single" w:sz="8" w:color="E5FFFF"/>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289,388</w:t>
            </w:r>
          </w:p>
        </w:tc>
        <w:tc>
          <w:tcPr>
            <w:tcW w:w="180" w:type="dxa"/>
            <w:vAlign w:val="bottom"/>
            <w:tcBorders>
              <w:bottom w:val="single" w:sz="8" w:color="E5FFFF"/>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292,885</w:t>
            </w:r>
          </w:p>
        </w:tc>
        <w:tc>
          <w:tcPr>
            <w:tcW w:w="10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60" w:type="dxa"/>
            <w:vAlign w:val="bottom"/>
            <w:shd w:val="clear" w:color="auto" w:fill="E5FFFF"/>
          </w:tcPr>
          <w:p>
            <w:pPr>
              <w:spacing w:after="0"/>
              <w:rPr>
                <w:sz w:val="20"/>
                <w:szCs w:val="20"/>
                <w:color w:val="auto"/>
              </w:rPr>
            </w:pPr>
            <w:r>
              <w:rPr>
                <w:rFonts w:ascii="Arial" w:cs="Arial" w:eastAsia="Arial" w:hAnsi="Arial"/>
                <w:sz w:val="16"/>
                <w:szCs w:val="16"/>
                <w:color w:val="auto"/>
              </w:rPr>
              <w:t>Interest paid</w:t>
            </w:r>
          </w:p>
        </w:tc>
        <w:tc>
          <w:tcPr>
            <w:tcW w:w="9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4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(116,771)</w:t>
            </w:r>
          </w:p>
        </w:tc>
        <w:tc>
          <w:tcPr>
            <w:tcW w:w="180" w:type="dxa"/>
            <w:vAlign w:val="bottom"/>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(145,066)</w:t>
            </w: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920" w:type="dxa"/>
            <w:vAlign w:val="bottom"/>
            <w:tcBorders>
              <w:bottom w:val="single" w:sz="8" w:color="E5FFFF"/>
            </w:tcBorders>
          </w:tcPr>
          <w:p>
            <w:pPr>
              <w:spacing w:after="0"/>
              <w:rPr>
                <w:sz w:val="17"/>
                <w:szCs w:val="17"/>
                <w:color w:val="auto"/>
              </w:rPr>
            </w:pPr>
          </w:p>
        </w:tc>
        <w:tc>
          <w:tcPr>
            <w:tcW w:w="120" w:type="dxa"/>
            <w:vAlign w:val="bottom"/>
            <w:tcBorders>
              <w:bottom w:val="single" w:sz="8" w:color="E5FFFF"/>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172,617</w:t>
            </w:r>
          </w:p>
        </w:tc>
        <w:tc>
          <w:tcPr>
            <w:tcW w:w="180" w:type="dxa"/>
            <w:vAlign w:val="bottom"/>
            <w:tcBorders>
              <w:bottom w:val="single" w:sz="8" w:color="E5FFFF"/>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147,819</w:t>
            </w:r>
          </w:p>
        </w:tc>
        <w:tc>
          <w:tcPr>
            <w:tcW w:w="10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60" w:type="dxa"/>
            <w:vAlign w:val="bottom"/>
            <w:shd w:val="clear" w:color="auto" w:fill="E5FFFF"/>
          </w:tcPr>
          <w:p>
            <w:pPr>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920" w:type="dxa"/>
            <w:vAlign w:val="bottom"/>
            <w:shd w:val="clear" w:color="auto" w:fill="E5FFFF"/>
          </w:tcPr>
          <w:p>
            <w:pPr>
              <w:spacing w:after="0"/>
              <w:rPr>
                <w:sz w:val="15"/>
                <w:szCs w:val="15"/>
                <w:color w:val="auto"/>
              </w:rPr>
            </w:pPr>
          </w:p>
        </w:tc>
        <w:tc>
          <w:tcPr>
            <w:tcW w:w="120" w:type="dxa"/>
            <w:vAlign w:val="bottom"/>
            <w:shd w:val="clear" w:color="auto" w:fill="E5FFFF"/>
          </w:tcPr>
          <w:p>
            <w:pPr>
              <w:spacing w:after="0"/>
              <w:rPr>
                <w:sz w:val="15"/>
                <w:szCs w:val="15"/>
                <w:color w:val="auto"/>
              </w:rPr>
            </w:pPr>
          </w:p>
        </w:tc>
        <w:tc>
          <w:tcPr>
            <w:tcW w:w="1440" w:type="dxa"/>
            <w:vAlign w:val="bottom"/>
            <w:shd w:val="clear" w:color="auto" w:fill="E5FFFF"/>
          </w:tcPr>
          <w:p>
            <w:pPr>
              <w:spacing w:after="0"/>
              <w:rPr>
                <w:sz w:val="15"/>
                <w:szCs w:val="15"/>
                <w:color w:val="auto"/>
              </w:rPr>
            </w:pPr>
          </w:p>
        </w:tc>
        <w:tc>
          <w:tcPr>
            <w:tcW w:w="180" w:type="dxa"/>
            <w:vAlign w:val="bottom"/>
            <w:shd w:val="clear" w:color="auto" w:fill="E5FFFF"/>
          </w:tcPr>
          <w:p>
            <w:pPr>
              <w:spacing w:after="0"/>
              <w:rPr>
                <w:sz w:val="15"/>
                <w:szCs w:val="15"/>
                <w:color w:val="auto"/>
              </w:rPr>
            </w:pPr>
          </w:p>
        </w:tc>
        <w:tc>
          <w:tcPr>
            <w:tcW w:w="138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tcPr>
          <w:p>
            <w:pPr>
              <w:spacing w:after="0"/>
              <w:rPr>
                <w:sz w:val="20"/>
                <w:szCs w:val="20"/>
                <w:color w:val="auto"/>
              </w:rPr>
            </w:pPr>
            <w:r>
              <w:rPr>
                <w:rFonts w:ascii="Arial" w:cs="Arial" w:eastAsia="Arial" w:hAnsi="Arial"/>
                <w:sz w:val="16"/>
                <w:szCs w:val="16"/>
                <w:color w:val="auto"/>
              </w:rPr>
              <w:t>Payments for tangible fixed assets and vessels under construction</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17</w:t>
            </w:r>
          </w:p>
        </w:tc>
        <w:tc>
          <w:tcPr>
            <w:tcW w:w="120" w:type="dxa"/>
            <w:vAlign w:val="bottom"/>
          </w:tcPr>
          <w:p>
            <w:pPr>
              <w:spacing w:after="0"/>
              <w:rPr>
                <w:sz w:val="17"/>
                <w:szCs w:val="17"/>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6"/>
                <w:szCs w:val="16"/>
                <w:color w:val="auto"/>
              </w:rPr>
              <w:t>(618,565)</w:t>
            </w: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(446,529)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E5FFFF"/>
          </w:tcPr>
          <w:p>
            <w:pPr>
              <w:spacing w:after="0"/>
              <w:rPr>
                <w:sz w:val="20"/>
                <w:szCs w:val="20"/>
                <w:color w:val="auto"/>
              </w:rPr>
            </w:pPr>
            <w:r>
              <w:rPr>
                <w:rFonts w:ascii="Arial" w:cs="Arial" w:eastAsia="Arial" w:hAnsi="Arial"/>
                <w:sz w:val="16"/>
                <w:szCs w:val="16"/>
                <w:color w:val="auto"/>
              </w:rPr>
              <w:t>Return of capital expenditures</w:t>
            </w:r>
          </w:p>
        </w:tc>
        <w:tc>
          <w:tcPr>
            <w:tcW w:w="9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5</w:t>
            </w:r>
          </w:p>
        </w:tc>
        <w:tc>
          <w:tcPr>
            <w:tcW w:w="120" w:type="dxa"/>
            <w:vAlign w:val="bottom"/>
            <w:shd w:val="clear" w:color="auto" w:fill="E5FFFF"/>
          </w:tcPr>
          <w:p>
            <w:pPr>
              <w:spacing w:after="0"/>
              <w:rPr>
                <w:sz w:val="17"/>
                <w:szCs w:val="17"/>
                <w:color w:val="auto"/>
              </w:rPr>
            </w:pPr>
          </w:p>
        </w:tc>
        <w:tc>
          <w:tcPr>
            <w:tcW w:w="162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10,451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tcPr>
          <w:p>
            <w:pPr>
              <w:spacing w:after="0"/>
              <w:rPr>
                <w:sz w:val="20"/>
                <w:szCs w:val="20"/>
                <w:color w:val="auto"/>
              </w:rPr>
            </w:pPr>
            <w:r>
              <w:rPr>
                <w:rFonts w:ascii="Arial" w:cs="Arial" w:eastAsia="Arial" w:hAnsi="Arial"/>
                <w:sz w:val="16"/>
                <w:szCs w:val="16"/>
                <w:color w:val="auto"/>
              </w:rPr>
              <w:t>Other investments</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6"/>
                <w:szCs w:val="16"/>
                <w:color w:val="auto"/>
              </w:rPr>
              <w:t>(136)</w:t>
            </w: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E5FFFF"/>
          </w:tcPr>
          <w:p>
            <w:pPr>
              <w:spacing w:after="0"/>
              <w:rPr>
                <w:sz w:val="20"/>
                <w:szCs w:val="20"/>
                <w:color w:val="auto"/>
              </w:rPr>
            </w:pPr>
            <w:r>
              <w:rPr>
                <w:rFonts w:ascii="Arial" w:cs="Arial" w:eastAsia="Arial" w:hAnsi="Arial"/>
                <w:sz w:val="16"/>
                <w:szCs w:val="16"/>
                <w:color w:val="auto"/>
              </w:rPr>
              <w:t>Payments for right-of-use assets</w:t>
            </w:r>
          </w:p>
        </w:tc>
        <w:tc>
          <w:tcPr>
            <w:tcW w:w="9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62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(36)</w:t>
            </w:r>
          </w:p>
        </w:tc>
        <w:tc>
          <w:tcPr>
            <w:tcW w:w="148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(488)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tcPr>
          <w:p>
            <w:pPr>
              <w:spacing w:after="0"/>
              <w:rPr>
                <w:sz w:val="20"/>
                <w:szCs w:val="20"/>
                <w:color w:val="auto"/>
              </w:rPr>
            </w:pPr>
            <w:r>
              <w:rPr>
                <w:rFonts w:ascii="Arial" w:cs="Arial" w:eastAsia="Arial" w:hAnsi="Arial"/>
                <w:sz w:val="16"/>
                <w:szCs w:val="16"/>
                <w:color w:val="auto"/>
              </w:rPr>
              <w:t>Dividends received from associate</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869</w:t>
            </w:r>
          </w:p>
        </w:tc>
        <w:tc>
          <w:tcPr>
            <w:tcW w:w="18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938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E5FFFF"/>
          </w:tcPr>
          <w:p>
            <w:pPr>
              <w:spacing w:after="0"/>
              <w:rPr>
                <w:sz w:val="20"/>
                <w:szCs w:val="20"/>
                <w:color w:val="auto"/>
              </w:rPr>
            </w:pPr>
            <w:r>
              <w:rPr>
                <w:rFonts w:ascii="Arial" w:cs="Arial" w:eastAsia="Arial" w:hAnsi="Arial"/>
                <w:sz w:val="16"/>
                <w:szCs w:val="16"/>
                <w:color w:val="auto"/>
              </w:rPr>
              <w:t>Purchase of short-term investments</w:t>
            </w:r>
          </w:p>
        </w:tc>
        <w:tc>
          <w:tcPr>
            <w:tcW w:w="9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62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(46,000)</w:t>
            </w:r>
          </w:p>
        </w:tc>
        <w:tc>
          <w:tcPr>
            <w:tcW w:w="148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(78,000)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tcPr>
          <w:p>
            <w:pPr>
              <w:spacing w:after="0"/>
              <w:rPr>
                <w:sz w:val="20"/>
                <w:szCs w:val="20"/>
                <w:color w:val="auto"/>
              </w:rPr>
            </w:pPr>
            <w:r>
              <w:rPr>
                <w:rFonts w:ascii="Arial" w:cs="Arial" w:eastAsia="Arial" w:hAnsi="Arial"/>
                <w:sz w:val="16"/>
                <w:szCs w:val="16"/>
                <w:color w:val="auto"/>
              </w:rPr>
              <w:t>Maturity of short-term investments</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36,000</w:t>
            </w:r>
          </w:p>
        </w:tc>
        <w:tc>
          <w:tcPr>
            <w:tcW w:w="18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79,000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 received</w:t>
            </w:r>
          </w:p>
        </w:tc>
        <w:tc>
          <w:tcPr>
            <w:tcW w:w="9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4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3,237</w:t>
            </w:r>
          </w:p>
        </w:tc>
        <w:tc>
          <w:tcPr>
            <w:tcW w:w="18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4,523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Net cash used in investing activities</w:t>
            </w:r>
          </w:p>
        </w:tc>
        <w:tc>
          <w:tcPr>
            <w:tcW w:w="920" w:type="dxa"/>
            <w:vAlign w:val="bottom"/>
            <w:tcBorders>
              <w:bottom w:val="single" w:sz="8" w:color="E5FFFF"/>
            </w:tcBorders>
          </w:tcPr>
          <w:p>
            <w:pPr>
              <w:spacing w:after="0"/>
              <w:rPr>
                <w:sz w:val="17"/>
                <w:szCs w:val="17"/>
                <w:color w:val="auto"/>
              </w:rPr>
            </w:pPr>
          </w:p>
        </w:tc>
        <w:tc>
          <w:tcPr>
            <w:tcW w:w="120" w:type="dxa"/>
            <w:vAlign w:val="bottom"/>
            <w:tcBorders>
              <w:bottom w:val="single" w:sz="8" w:color="E5FFFF"/>
            </w:tcBorders>
          </w:tcPr>
          <w:p>
            <w:pPr>
              <w:spacing w:after="0"/>
              <w:rPr>
                <w:sz w:val="17"/>
                <w:szCs w:val="17"/>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(624,631)</w:t>
            </w:r>
          </w:p>
        </w:tc>
        <w:tc>
          <w:tcPr>
            <w:tcW w:w="180" w:type="dxa"/>
            <w:vAlign w:val="bottom"/>
            <w:tcBorders>
              <w:bottom w:val="single" w:sz="8" w:color="E5FFFF"/>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(430,263)</w:t>
            </w:r>
          </w:p>
        </w:tc>
        <w:tc>
          <w:tcPr>
            <w:tcW w:w="10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60" w:type="dxa"/>
            <w:vAlign w:val="bottom"/>
            <w:shd w:val="clear" w:color="auto" w:fill="E5FFFF"/>
          </w:tcPr>
          <w:p>
            <w:pPr>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920" w:type="dxa"/>
            <w:vAlign w:val="bottom"/>
            <w:shd w:val="clear" w:color="auto" w:fill="E5FFFF"/>
          </w:tcPr>
          <w:p>
            <w:pPr>
              <w:spacing w:after="0"/>
              <w:rPr>
                <w:sz w:val="15"/>
                <w:szCs w:val="15"/>
                <w:color w:val="auto"/>
              </w:rPr>
            </w:pPr>
          </w:p>
        </w:tc>
        <w:tc>
          <w:tcPr>
            <w:tcW w:w="120" w:type="dxa"/>
            <w:vAlign w:val="bottom"/>
            <w:shd w:val="clear" w:color="auto" w:fill="E5FFFF"/>
          </w:tcPr>
          <w:p>
            <w:pPr>
              <w:spacing w:after="0"/>
              <w:rPr>
                <w:sz w:val="15"/>
                <w:szCs w:val="15"/>
                <w:color w:val="auto"/>
              </w:rPr>
            </w:pPr>
          </w:p>
        </w:tc>
        <w:tc>
          <w:tcPr>
            <w:tcW w:w="1440" w:type="dxa"/>
            <w:vAlign w:val="bottom"/>
            <w:shd w:val="clear" w:color="auto" w:fill="E5FFFF"/>
          </w:tcPr>
          <w:p>
            <w:pPr>
              <w:spacing w:after="0"/>
              <w:rPr>
                <w:sz w:val="15"/>
                <w:szCs w:val="15"/>
                <w:color w:val="auto"/>
              </w:rPr>
            </w:pPr>
          </w:p>
        </w:tc>
        <w:tc>
          <w:tcPr>
            <w:tcW w:w="180" w:type="dxa"/>
            <w:vAlign w:val="bottom"/>
            <w:shd w:val="clear" w:color="auto" w:fill="E5FFFF"/>
          </w:tcPr>
          <w:p>
            <w:pPr>
              <w:spacing w:after="0"/>
              <w:rPr>
                <w:sz w:val="15"/>
                <w:szCs w:val="15"/>
                <w:color w:val="auto"/>
              </w:rPr>
            </w:pPr>
          </w:p>
        </w:tc>
        <w:tc>
          <w:tcPr>
            <w:tcW w:w="138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tcPr>
          <w:p>
            <w:pPr>
              <w:spacing w:after="0"/>
              <w:rPr>
                <w:sz w:val="20"/>
                <w:szCs w:val="20"/>
                <w:color w:val="auto"/>
              </w:rPr>
            </w:pPr>
            <w:r>
              <w:rPr>
                <w:rFonts w:ascii="Arial" w:cs="Arial" w:eastAsia="Arial" w:hAnsi="Arial"/>
                <w:sz w:val="16"/>
                <w:szCs w:val="16"/>
                <w:color w:val="auto"/>
              </w:rPr>
              <w:t>Proceeds from bank loans and bonds</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17</w:t>
            </w: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498,225</w:t>
            </w:r>
          </w:p>
        </w:tc>
        <w:tc>
          <w:tcPr>
            <w:tcW w:w="18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807,180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E5FFFF"/>
          </w:tcPr>
          <w:p>
            <w:pPr>
              <w:spacing w:after="0"/>
              <w:rPr>
                <w:sz w:val="20"/>
                <w:szCs w:val="20"/>
                <w:color w:val="auto"/>
              </w:rPr>
            </w:pPr>
            <w:r>
              <w:rPr>
                <w:rFonts w:ascii="Arial" w:cs="Arial" w:eastAsia="Arial" w:hAnsi="Arial"/>
                <w:sz w:val="16"/>
                <w:szCs w:val="16"/>
                <w:color w:val="auto"/>
              </w:rPr>
              <w:t>Bank loan repayments</w:t>
            </w:r>
          </w:p>
        </w:tc>
        <w:tc>
          <w:tcPr>
            <w:tcW w:w="9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17</w:t>
            </w:r>
          </w:p>
        </w:tc>
        <w:tc>
          <w:tcPr>
            <w:tcW w:w="120" w:type="dxa"/>
            <w:vAlign w:val="bottom"/>
            <w:shd w:val="clear" w:color="auto" w:fill="E5FFFF"/>
          </w:tcPr>
          <w:p>
            <w:pPr>
              <w:spacing w:after="0"/>
              <w:rPr>
                <w:sz w:val="17"/>
                <w:szCs w:val="17"/>
                <w:color w:val="auto"/>
              </w:rPr>
            </w:pPr>
          </w:p>
        </w:tc>
        <w:tc>
          <w:tcPr>
            <w:tcW w:w="162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(180,792)</w:t>
            </w:r>
          </w:p>
        </w:tc>
        <w:tc>
          <w:tcPr>
            <w:tcW w:w="148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(519,379)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tcPr>
          <w:p>
            <w:pPr>
              <w:spacing w:after="0"/>
              <w:rPr>
                <w:sz w:val="20"/>
                <w:szCs w:val="20"/>
                <w:color w:val="auto"/>
              </w:rPr>
            </w:pPr>
            <w:r>
              <w:rPr>
                <w:rFonts w:ascii="Arial" w:cs="Arial" w:eastAsia="Arial" w:hAnsi="Arial"/>
                <w:sz w:val="16"/>
                <w:szCs w:val="16"/>
                <w:color w:val="auto"/>
              </w:rPr>
              <w:t>Payment of loan issuance costs</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17</w:t>
            </w:r>
          </w:p>
        </w:tc>
        <w:tc>
          <w:tcPr>
            <w:tcW w:w="120" w:type="dxa"/>
            <w:vAlign w:val="bottom"/>
          </w:tcPr>
          <w:p>
            <w:pPr>
              <w:spacing w:after="0"/>
              <w:rPr>
                <w:sz w:val="17"/>
                <w:szCs w:val="17"/>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6"/>
                <w:szCs w:val="16"/>
                <w:color w:val="auto"/>
              </w:rPr>
              <w:t>(7,363)</w:t>
            </w: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(11,269)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260" w:type="dxa"/>
            <w:vAlign w:val="bottom"/>
            <w:shd w:val="clear" w:color="auto" w:fill="E5FFFF"/>
          </w:tcPr>
          <w:p>
            <w:pPr>
              <w:spacing w:after="0"/>
              <w:rPr>
                <w:sz w:val="20"/>
                <w:szCs w:val="20"/>
                <w:color w:val="auto"/>
              </w:rPr>
            </w:pPr>
            <w:r>
              <w:rPr>
                <w:rFonts w:ascii="Arial" w:cs="Arial" w:eastAsia="Arial" w:hAnsi="Arial"/>
                <w:sz w:val="16"/>
                <w:szCs w:val="16"/>
                <w:color w:val="auto"/>
              </w:rPr>
              <w:t>Proceeds from GasLog Partners’ public common unit offerings (net of underwriting discounts and</w:t>
            </w:r>
          </w:p>
        </w:tc>
        <w:tc>
          <w:tcPr>
            <w:tcW w:w="92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1440" w:type="dxa"/>
            <w:vAlign w:val="bottom"/>
            <w:shd w:val="clear" w:color="auto" w:fill="E5FFFF"/>
          </w:tcPr>
          <w:p>
            <w:pPr>
              <w:spacing w:after="0"/>
              <w:rPr>
                <w:sz w:val="16"/>
                <w:szCs w:val="16"/>
                <w:color w:val="auto"/>
              </w:rPr>
            </w:pPr>
          </w:p>
        </w:tc>
        <w:tc>
          <w:tcPr>
            <w:tcW w:w="180" w:type="dxa"/>
            <w:vAlign w:val="bottom"/>
            <w:shd w:val="clear" w:color="auto" w:fill="E5FFFF"/>
          </w:tcPr>
          <w:p>
            <w:pPr>
              <w:spacing w:after="0"/>
              <w:rPr>
                <w:sz w:val="16"/>
                <w:szCs w:val="16"/>
                <w:color w:val="auto"/>
              </w:rPr>
            </w:pPr>
          </w:p>
        </w:tc>
        <w:tc>
          <w:tcPr>
            <w:tcW w:w="138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60" w:type="dxa"/>
            <w:vAlign w:val="bottom"/>
            <w:shd w:val="clear" w:color="auto" w:fill="E5FFFF"/>
          </w:tcPr>
          <w:p>
            <w:pPr>
              <w:ind w:left="140"/>
              <w:spacing w:after="0"/>
              <w:rPr>
                <w:sz w:val="20"/>
                <w:szCs w:val="20"/>
                <w:color w:val="auto"/>
              </w:rPr>
            </w:pPr>
            <w:r>
              <w:rPr>
                <w:rFonts w:ascii="Arial" w:cs="Arial" w:eastAsia="Arial" w:hAnsi="Arial"/>
                <w:sz w:val="16"/>
                <w:szCs w:val="16"/>
                <w:color w:val="auto"/>
              </w:rPr>
              <w:t>commissions)</w:t>
            </w:r>
          </w:p>
        </w:tc>
        <w:tc>
          <w:tcPr>
            <w:tcW w:w="9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4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54,338</w:t>
            </w:r>
          </w:p>
        </w:tc>
        <w:tc>
          <w:tcPr>
            <w:tcW w:w="180" w:type="dxa"/>
            <w:vAlign w:val="bottom"/>
            <w:shd w:val="clear" w:color="auto" w:fill="E5FFFF"/>
          </w:tcPr>
          <w:p>
            <w:pPr>
              <w:spacing w:after="0"/>
              <w:rPr>
                <w:sz w:val="18"/>
                <w:szCs w:val="18"/>
                <w:color w:val="auto"/>
              </w:rPr>
            </w:pPr>
          </w:p>
        </w:tc>
        <w:tc>
          <w:tcPr>
            <w:tcW w:w="14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tcPr>
          <w:p>
            <w:pPr>
              <w:spacing w:after="0"/>
              <w:rPr>
                <w:sz w:val="20"/>
                <w:szCs w:val="20"/>
                <w:color w:val="auto"/>
              </w:rPr>
            </w:pPr>
            <w:r>
              <w:rPr>
                <w:rFonts w:ascii="Arial" w:cs="Arial" w:eastAsia="Arial" w:hAnsi="Arial"/>
                <w:sz w:val="16"/>
                <w:szCs w:val="16"/>
                <w:color w:val="auto"/>
                <w:w w:val="96"/>
              </w:rPr>
              <w:t>Proceeds from GasLog Partners’ preference unit offering (net of underwriting discounts and commissions)</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111,544</w:t>
            </w:r>
          </w:p>
        </w:tc>
        <w:tc>
          <w:tcPr>
            <w:tcW w:w="18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E5FFFF"/>
          </w:tcPr>
          <w:p>
            <w:pPr>
              <w:spacing w:after="0"/>
              <w:rPr>
                <w:sz w:val="20"/>
                <w:szCs w:val="20"/>
                <w:color w:val="auto"/>
              </w:rPr>
            </w:pPr>
            <w:r>
              <w:rPr>
                <w:rFonts w:ascii="Arial" w:cs="Arial" w:eastAsia="Arial" w:hAnsi="Arial"/>
                <w:sz w:val="16"/>
                <w:szCs w:val="16"/>
                <w:color w:val="auto"/>
              </w:rPr>
              <w:t>Payment of equity raising costs</w:t>
            </w:r>
          </w:p>
        </w:tc>
        <w:tc>
          <w:tcPr>
            <w:tcW w:w="9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62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(929)</w:t>
            </w:r>
          </w:p>
        </w:tc>
        <w:tc>
          <w:tcPr>
            <w:tcW w:w="148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(1,584)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tcPr>
          <w:p>
            <w:pPr>
              <w:spacing w:after="0"/>
              <w:rPr>
                <w:sz w:val="20"/>
                <w:szCs w:val="20"/>
                <w:color w:val="auto"/>
              </w:rPr>
            </w:pPr>
            <w:r>
              <w:rPr>
                <w:rFonts w:ascii="Arial" w:cs="Arial" w:eastAsia="Arial" w:hAnsi="Arial"/>
                <w:sz w:val="16"/>
                <w:szCs w:val="16"/>
                <w:color w:val="auto"/>
              </w:rPr>
              <w:t>Dividends paid</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6"/>
                <w:szCs w:val="16"/>
                <w:color w:val="auto"/>
              </w:rPr>
              <w:t>(107,776)</w:t>
            </w: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(119,993)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E5FFFF"/>
          </w:tcPr>
          <w:p>
            <w:pPr>
              <w:spacing w:after="0"/>
              <w:rPr>
                <w:sz w:val="20"/>
                <w:szCs w:val="20"/>
                <w:color w:val="auto"/>
              </w:rPr>
            </w:pPr>
            <w:r>
              <w:rPr>
                <w:rFonts w:ascii="Arial" w:cs="Arial" w:eastAsia="Arial" w:hAnsi="Arial"/>
                <w:sz w:val="16"/>
                <w:szCs w:val="16"/>
                <w:color w:val="auto"/>
              </w:rPr>
              <w:t>Purchase of treasury shares or GasLog Partners’ common units</w:t>
            </w:r>
          </w:p>
        </w:tc>
        <w:tc>
          <w:tcPr>
            <w:tcW w:w="9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62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(62)</w:t>
            </w:r>
          </w:p>
        </w:tc>
        <w:tc>
          <w:tcPr>
            <w:tcW w:w="148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(23,782)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tcPr>
          <w:p>
            <w:pPr>
              <w:spacing w:after="0"/>
              <w:rPr>
                <w:sz w:val="20"/>
                <w:szCs w:val="20"/>
                <w:color w:val="auto"/>
              </w:rPr>
            </w:pPr>
            <w:r>
              <w:rPr>
                <w:rFonts w:ascii="Arial" w:cs="Arial" w:eastAsia="Arial" w:hAnsi="Arial"/>
                <w:sz w:val="16"/>
                <w:szCs w:val="16"/>
                <w:color w:val="auto"/>
              </w:rPr>
              <w:t>Proceeds from stock options’ exercise</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175</w:t>
            </w:r>
          </w:p>
        </w:tc>
        <w:tc>
          <w:tcPr>
            <w:tcW w:w="18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E5FFFF"/>
          </w:tcPr>
          <w:p>
            <w:pPr>
              <w:spacing w:after="0"/>
              <w:rPr>
                <w:sz w:val="20"/>
                <w:szCs w:val="20"/>
                <w:color w:val="auto"/>
              </w:rPr>
            </w:pPr>
            <w:r>
              <w:rPr>
                <w:rFonts w:ascii="Arial" w:cs="Arial" w:eastAsia="Arial" w:hAnsi="Arial"/>
                <w:sz w:val="16"/>
                <w:szCs w:val="16"/>
                <w:color w:val="auto"/>
              </w:rPr>
              <w:t>Payments for lease liability</w:t>
            </w:r>
          </w:p>
        </w:tc>
        <w:tc>
          <w:tcPr>
            <w:tcW w:w="9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17</w:t>
            </w:r>
          </w:p>
        </w:tc>
        <w:tc>
          <w:tcPr>
            <w:tcW w:w="120" w:type="dxa"/>
            <w:vAlign w:val="bottom"/>
            <w:shd w:val="clear" w:color="auto" w:fill="E5FFFF"/>
          </w:tcPr>
          <w:p>
            <w:pPr>
              <w:spacing w:after="0"/>
              <w:rPr>
                <w:sz w:val="17"/>
                <w:szCs w:val="17"/>
                <w:color w:val="auto"/>
              </w:rPr>
            </w:pPr>
          </w:p>
        </w:tc>
        <w:tc>
          <w:tcPr>
            <w:tcW w:w="162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(5,447)</w:t>
            </w:r>
          </w:p>
        </w:tc>
        <w:tc>
          <w:tcPr>
            <w:tcW w:w="148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(7,368)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Net cash provided by financing activities</w:t>
            </w:r>
          </w:p>
        </w:tc>
        <w:tc>
          <w:tcPr>
            <w:tcW w:w="920" w:type="dxa"/>
            <w:vAlign w:val="bottom"/>
            <w:tcBorders>
              <w:bottom w:val="single" w:sz="8" w:color="E5FFFF"/>
            </w:tcBorders>
          </w:tcPr>
          <w:p>
            <w:pPr>
              <w:spacing w:after="0"/>
              <w:rPr>
                <w:sz w:val="17"/>
                <w:szCs w:val="17"/>
                <w:color w:val="auto"/>
              </w:rPr>
            </w:pPr>
          </w:p>
        </w:tc>
        <w:tc>
          <w:tcPr>
            <w:tcW w:w="120" w:type="dxa"/>
            <w:vAlign w:val="bottom"/>
            <w:tcBorders>
              <w:bottom w:val="single" w:sz="8" w:color="E5FFFF"/>
            </w:tcBorders>
          </w:tcPr>
          <w:p>
            <w:pPr>
              <w:spacing w:after="0"/>
              <w:rPr>
                <w:sz w:val="17"/>
                <w:szCs w:val="17"/>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361,913</w:t>
            </w:r>
          </w:p>
        </w:tc>
        <w:tc>
          <w:tcPr>
            <w:tcW w:w="180" w:type="dxa"/>
            <w:vAlign w:val="bottom"/>
            <w:tcBorders>
              <w:bottom w:val="single" w:sz="8" w:color="E5FFFF"/>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123,805</w:t>
            </w:r>
          </w:p>
        </w:tc>
        <w:tc>
          <w:tcPr>
            <w:tcW w:w="10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60" w:type="dxa"/>
            <w:vAlign w:val="bottom"/>
            <w:shd w:val="clear" w:color="auto" w:fill="E5FFFF"/>
          </w:tcPr>
          <w:p>
            <w:pPr>
              <w:spacing w:after="0"/>
              <w:rPr>
                <w:sz w:val="20"/>
                <w:szCs w:val="20"/>
                <w:color w:val="auto"/>
              </w:rPr>
            </w:pPr>
            <w:r>
              <w:rPr>
                <w:rFonts w:ascii="Arial" w:cs="Arial" w:eastAsia="Arial" w:hAnsi="Arial"/>
                <w:sz w:val="16"/>
                <w:szCs w:val="16"/>
                <w:color w:val="auto"/>
              </w:rPr>
              <w:t>Effects of exchange rate changes on cash and cash equivalents</w:t>
            </w:r>
          </w:p>
        </w:tc>
        <w:tc>
          <w:tcPr>
            <w:tcW w:w="9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4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(137)</w:t>
            </w:r>
          </w:p>
        </w:tc>
        <w:tc>
          <w:tcPr>
            <w:tcW w:w="180" w:type="dxa"/>
            <w:vAlign w:val="bottom"/>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(373)</w:t>
            </w: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Decrease in cash and cash equivalents</w:t>
            </w:r>
          </w:p>
        </w:tc>
        <w:tc>
          <w:tcPr>
            <w:tcW w:w="920" w:type="dxa"/>
            <w:vAlign w:val="bottom"/>
            <w:tcBorders>
              <w:bottom w:val="single" w:sz="8" w:color="E5FFFF"/>
            </w:tcBorders>
          </w:tcPr>
          <w:p>
            <w:pPr>
              <w:spacing w:after="0"/>
              <w:rPr>
                <w:sz w:val="17"/>
                <w:szCs w:val="17"/>
                <w:color w:val="auto"/>
              </w:rPr>
            </w:pPr>
          </w:p>
        </w:tc>
        <w:tc>
          <w:tcPr>
            <w:tcW w:w="120" w:type="dxa"/>
            <w:vAlign w:val="bottom"/>
            <w:tcBorders>
              <w:bottom w:val="single" w:sz="8" w:color="E5FFFF"/>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(90,238)</w:t>
            </w:r>
          </w:p>
        </w:tc>
        <w:tc>
          <w:tcPr>
            <w:tcW w:w="180" w:type="dxa"/>
            <w:vAlign w:val="bottom"/>
            <w:tcBorders>
              <w:bottom w:val="single" w:sz="8" w:color="E5FFFF"/>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(159,012)</w:t>
            </w:r>
          </w:p>
        </w:tc>
        <w:tc>
          <w:tcPr>
            <w:tcW w:w="10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60" w:type="dxa"/>
            <w:vAlign w:val="bottom"/>
            <w:shd w:val="clear" w:color="auto" w:fill="E5FFFF"/>
          </w:tcPr>
          <w:p>
            <w:pPr>
              <w:spacing w:after="0"/>
              <w:rPr>
                <w:sz w:val="20"/>
                <w:szCs w:val="20"/>
                <w:color w:val="auto"/>
              </w:rPr>
            </w:pPr>
            <w:r>
              <w:rPr>
                <w:rFonts w:ascii="Arial" w:cs="Arial" w:eastAsia="Arial" w:hAnsi="Arial"/>
                <w:sz w:val="16"/>
                <w:szCs w:val="16"/>
                <w:color w:val="auto"/>
              </w:rPr>
              <w:t>Cash and cash equivalents, beginning of the period</w:t>
            </w:r>
          </w:p>
        </w:tc>
        <w:tc>
          <w:tcPr>
            <w:tcW w:w="9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4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384,092</w:t>
            </w:r>
          </w:p>
        </w:tc>
        <w:tc>
          <w:tcPr>
            <w:tcW w:w="180" w:type="dxa"/>
            <w:vAlign w:val="bottom"/>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342,594</w:t>
            </w: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2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Cash and cash equivalents, end of the period</w:t>
            </w:r>
          </w:p>
        </w:tc>
        <w:tc>
          <w:tcPr>
            <w:tcW w:w="920" w:type="dxa"/>
            <w:vAlign w:val="bottom"/>
            <w:tcBorders>
              <w:bottom w:val="single" w:sz="8" w:color="E5FFFF"/>
            </w:tcBorders>
          </w:tcPr>
          <w:p>
            <w:pPr>
              <w:spacing w:after="0"/>
              <w:rPr>
                <w:sz w:val="20"/>
                <w:szCs w:val="20"/>
                <w:color w:val="auto"/>
              </w:rPr>
            </w:pPr>
          </w:p>
        </w:tc>
        <w:tc>
          <w:tcPr>
            <w:tcW w:w="120" w:type="dxa"/>
            <w:vAlign w:val="bottom"/>
            <w:tcBorders>
              <w:bottom w:val="single" w:sz="8" w:color="E5FFFF"/>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293,854</w:t>
            </w:r>
          </w:p>
        </w:tc>
        <w:tc>
          <w:tcPr>
            <w:tcW w:w="180" w:type="dxa"/>
            <w:vAlign w:val="bottom"/>
            <w:tcBorders>
              <w:bottom w:val="single" w:sz="8" w:color="E5FFFF"/>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183,582</w:t>
            </w:r>
          </w:p>
        </w:tc>
        <w:tc>
          <w:tcPr>
            <w:tcW w:w="10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26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4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3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17</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E5FFFF"/>
          </w:tcPr>
          <w:p>
            <w:pPr>
              <w:spacing w:after="0"/>
              <w:rPr>
                <w:sz w:val="20"/>
                <w:szCs w:val="20"/>
                <w:color w:val="auto"/>
              </w:rPr>
            </w:pPr>
            <w:r>
              <w:rPr>
                <w:rFonts w:ascii="Arial" w:cs="Arial" w:eastAsia="Arial" w:hAnsi="Arial"/>
                <w:sz w:val="16"/>
                <w:szCs w:val="16"/>
                <w:color w:val="auto"/>
              </w:rPr>
              <w:t>Capital expenditures included in liabilities at the end of the period</w:t>
            </w:r>
          </w:p>
        </w:tc>
        <w:tc>
          <w:tcPr>
            <w:tcW w:w="9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4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19,847</w:t>
            </w:r>
          </w:p>
        </w:tc>
        <w:tc>
          <w:tcPr>
            <w:tcW w:w="18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15,705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tcPr>
          <w:p>
            <w:pPr>
              <w:spacing w:after="0"/>
              <w:rPr>
                <w:sz w:val="20"/>
                <w:szCs w:val="20"/>
                <w:color w:val="auto"/>
              </w:rPr>
            </w:pPr>
            <w:r>
              <w:rPr>
                <w:rFonts w:ascii="Arial" w:cs="Arial" w:eastAsia="Arial" w:hAnsi="Arial"/>
                <w:sz w:val="16"/>
                <w:szCs w:val="16"/>
                <w:color w:val="auto"/>
              </w:rPr>
              <w:t>Capital expenditures included in liabilities at the end of the period – Right-of-use assets</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107</w:t>
            </w:r>
          </w:p>
        </w:tc>
        <w:tc>
          <w:tcPr>
            <w:tcW w:w="18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E5FFFF"/>
          </w:tcPr>
          <w:p>
            <w:pPr>
              <w:spacing w:after="0"/>
              <w:rPr>
                <w:sz w:val="20"/>
                <w:szCs w:val="20"/>
                <w:color w:val="auto"/>
              </w:rPr>
            </w:pPr>
            <w:r>
              <w:rPr>
                <w:rFonts w:ascii="Arial" w:cs="Arial" w:eastAsia="Arial" w:hAnsi="Arial"/>
                <w:sz w:val="16"/>
                <w:szCs w:val="16"/>
                <w:color w:val="auto"/>
              </w:rPr>
              <w:t>Equity raising costs included in liabilities at the end of the period</w:t>
            </w:r>
          </w:p>
        </w:tc>
        <w:tc>
          <w:tcPr>
            <w:tcW w:w="9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4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166</w:t>
            </w:r>
          </w:p>
        </w:tc>
        <w:tc>
          <w:tcPr>
            <w:tcW w:w="18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tcPr>
          <w:p>
            <w:pPr>
              <w:spacing w:after="0"/>
              <w:rPr>
                <w:sz w:val="20"/>
                <w:szCs w:val="20"/>
                <w:color w:val="auto"/>
              </w:rPr>
            </w:pPr>
            <w:r>
              <w:rPr>
                <w:rFonts w:ascii="Arial" w:cs="Arial" w:eastAsia="Arial" w:hAnsi="Arial"/>
                <w:sz w:val="16"/>
                <w:szCs w:val="16"/>
                <w:color w:val="auto"/>
              </w:rPr>
              <w:t>Loan issuance costs included in liabilities at the end of the period</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224</w:t>
            </w:r>
          </w:p>
        </w:tc>
        <w:tc>
          <w:tcPr>
            <w:tcW w:w="18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E5FFFF"/>
          </w:tcPr>
          <w:p>
            <w:pPr>
              <w:spacing w:after="0"/>
              <w:rPr>
                <w:sz w:val="20"/>
                <w:szCs w:val="20"/>
                <w:color w:val="auto"/>
              </w:rPr>
            </w:pPr>
            <w:r>
              <w:rPr>
                <w:rFonts w:ascii="Arial" w:cs="Arial" w:eastAsia="Arial" w:hAnsi="Arial"/>
                <w:sz w:val="16"/>
                <w:szCs w:val="16"/>
                <w:color w:val="auto"/>
              </w:rPr>
              <w:t>Liabilities related to leases at the end of the period</w:t>
            </w:r>
          </w:p>
        </w:tc>
        <w:tc>
          <w:tcPr>
            <w:tcW w:w="9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62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60" w:type="dxa"/>
            <w:vAlign w:val="bottom"/>
          </w:tcPr>
          <w:p>
            <w:pPr>
              <w:spacing w:after="0"/>
              <w:rPr>
                <w:sz w:val="20"/>
                <w:szCs w:val="20"/>
                <w:color w:val="auto"/>
              </w:rPr>
            </w:pPr>
            <w:r>
              <w:rPr>
                <w:rFonts w:ascii="Arial" w:cs="Arial" w:eastAsia="Arial" w:hAnsi="Arial"/>
                <w:sz w:val="16"/>
                <w:szCs w:val="16"/>
                <w:color w:val="auto"/>
              </w:rPr>
              <w:t>Dividend declared included in liabilities at the end of the period</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2,516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color w:val="auto"/>
        </w:rPr>
        <w:t>GasLog Ltd. and its Subsidiaries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the unaudited condensed consolidated financial statements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nine months ended September 30, 2018 and 2019</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 except share and per share data)</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Organization and Operations</w:t>
      </w:r>
    </w:p>
    <w:p>
      <w:pPr>
        <w:spacing w:after="0" w:line="239" w:lineRule="exact"/>
        <w:rPr>
          <w:sz w:val="20"/>
          <w:szCs w:val="20"/>
          <w:color w:val="auto"/>
        </w:rPr>
      </w:pPr>
    </w:p>
    <w:p>
      <w:pPr>
        <w:ind w:right="60" w:firstLine="436"/>
        <w:spacing w:after="0" w:line="288" w:lineRule="auto"/>
        <w:rPr>
          <w:sz w:val="20"/>
          <w:szCs w:val="20"/>
          <w:color w:val="auto"/>
        </w:rPr>
      </w:pPr>
      <w:r>
        <w:rPr>
          <w:rFonts w:ascii="Arial" w:cs="Arial" w:eastAsia="Arial" w:hAnsi="Arial"/>
          <w:sz w:val="15"/>
          <w:szCs w:val="15"/>
          <w:color w:val="auto"/>
        </w:rPr>
        <w:t>GasLog Ltd. (“GasLog”) was incorporated in Bermuda on July 16, 2003. GasLog and its subsidiaries (the “Group”) are primarily engaged in the ownership, operation and management of vessels in the liquefied natural gas (“LNG”) market, providing maritime services for the transportation of LNG on a worldwide basis and LNG vessel management services. The Group conducts its operations through its vessel-owning subsidiaries and through its vessel management services subsidiary. The Group’s operations are carried out from offices in Piraeus, London, New York, Singapore and Monaco. The registered office of GasLog is Clarendon House, 2 Church Street, Hamilton HM 11, Bermuda. GasLog’s chairman, Peter G. Livanos, is GasLog’s largest shareholder through his ownership of Ceres Shipping Ltd. (“Ceres Shipping”), which controls Blenheim Holdings Ltd. As of September 30, 2019, entities controlled by members of the Livanos family, including GasLog’s chairman, are deemed to beneficially own approximately 40.32% of GasLog’s issued and outstanding common shares. As a result of his ownership of GasLog’s common shares, Mr. Livanos can effectively control the outcome of most matters on which GasLog’s shareholders are entitled to vote.</w:t>
      </w:r>
    </w:p>
    <w:p>
      <w:pPr>
        <w:spacing w:after="0" w:line="181" w:lineRule="exact"/>
        <w:rPr>
          <w:sz w:val="20"/>
          <w:szCs w:val="20"/>
          <w:color w:val="auto"/>
        </w:rPr>
      </w:pPr>
    </w:p>
    <w:p>
      <w:pPr>
        <w:jc w:val="both"/>
        <w:ind w:right="100" w:firstLine="405"/>
        <w:spacing w:after="0" w:line="305" w:lineRule="auto"/>
        <w:rPr>
          <w:sz w:val="20"/>
          <w:szCs w:val="20"/>
          <w:color w:val="auto"/>
        </w:rPr>
      </w:pPr>
      <w:r>
        <w:rPr>
          <w:rFonts w:ascii="Arial" w:cs="Arial" w:eastAsia="Arial" w:hAnsi="Arial"/>
          <w:sz w:val="15"/>
          <w:szCs w:val="15"/>
          <w:color w:val="auto"/>
        </w:rPr>
        <w:t>As of September 30, 2019, GasLog held a 35.4% ownership interest in GasLog Partners LP (“GasLog Partners” or the “Partnership”) and, as a result of its ownership of the general partner and the fact that the general partner elects the majority of the Partnership’s directors in accordance with the Partnership Agreement, GasLog has the ability to control the Partnership’s affairs and policies. Consequently, GasLog Partners is consolidated in the Group’s financial statements.</w:t>
      </w:r>
    </w:p>
    <w:p>
      <w:pPr>
        <w:spacing w:after="0" w:line="166" w:lineRule="exact"/>
        <w:rPr>
          <w:sz w:val="20"/>
          <w:szCs w:val="20"/>
          <w:color w:val="auto"/>
        </w:rPr>
      </w:pPr>
    </w:p>
    <w:p>
      <w:pPr>
        <w:ind w:right="180" w:firstLine="436"/>
        <w:spacing w:after="0" w:line="329" w:lineRule="auto"/>
        <w:rPr>
          <w:sz w:val="20"/>
          <w:szCs w:val="20"/>
          <w:color w:val="auto"/>
        </w:rPr>
      </w:pPr>
      <w:r>
        <w:rPr>
          <w:rFonts w:ascii="Arial" w:cs="Arial" w:eastAsia="Arial" w:hAnsi="Arial"/>
          <w:sz w:val="15"/>
          <w:szCs w:val="15"/>
          <w:color w:val="auto"/>
        </w:rPr>
        <w:t>The accompanying unaudited condensed consolidated financial statements include the financial statements of GasLog and its subsidiaries. Unless indicated otherwise, the subsidiaries listed below are 100% held (either directly or indirectly) by GasLog. As of September 30, 2019, the Group’s structure is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Place of</w:t>
            </w:r>
          </w:p>
        </w:tc>
        <w:tc>
          <w:tcPr>
            <w:tcW w:w="160" w:type="dxa"/>
            <w:vAlign w:val="bottom"/>
          </w:tcPr>
          <w:p>
            <w:pPr>
              <w:spacing w:after="0"/>
              <w:rPr>
                <w:sz w:val="14"/>
                <w:szCs w:val="14"/>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 of</w:t>
            </w:r>
          </w:p>
        </w:tc>
        <w:tc>
          <w:tcPr>
            <w:tcW w:w="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Cargo</w:t>
            </w: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4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Principal activities</w:t>
            </w:r>
          </w:p>
        </w:tc>
        <w:tc>
          <w:tcPr>
            <w:tcW w:w="16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capacity</w:t>
            </w:r>
          </w:p>
        </w:tc>
        <w:tc>
          <w:tcPr>
            <w:tcW w:w="17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5"/>
              </w:rPr>
              <w:t>Vessel</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Delivery date</w:t>
            </w:r>
          </w:p>
        </w:tc>
        <w:tc>
          <w:tcPr>
            <w:tcW w:w="0" w:type="dxa"/>
            <w:vAlign w:val="bottom"/>
          </w:tcPr>
          <w:p>
            <w:pPr>
              <w:spacing w:after="0"/>
              <w:rPr>
                <w:sz w:val="1"/>
                <w:szCs w:val="1"/>
                <w:color w:val="auto"/>
              </w:rPr>
            </w:pPr>
          </w:p>
        </w:tc>
      </w:tr>
      <w:tr>
        <w:trPr>
          <w:trHeight w:val="171"/>
        </w:trPr>
        <w:tc>
          <w:tcPr>
            <w:tcW w:w="2560" w:type="dxa"/>
            <w:vAlign w:val="bottom"/>
            <w:gridSpan w:val="2"/>
            <w:vMerge w:val="continue"/>
          </w:tcPr>
          <w:p>
            <w:pPr>
              <w:spacing w:after="0"/>
              <w:rPr>
                <w:sz w:val="14"/>
                <w:szCs w:val="14"/>
                <w:color w:val="auto"/>
              </w:rPr>
            </w:pPr>
          </w:p>
        </w:tc>
        <w:tc>
          <w:tcPr>
            <w:tcW w:w="1480" w:type="dxa"/>
            <w:vAlign w:val="bottom"/>
          </w:tcPr>
          <w:p>
            <w:pPr>
              <w:ind w:left="320"/>
              <w:spacing w:after="0"/>
              <w:rPr>
                <w:sz w:val="20"/>
                <w:szCs w:val="20"/>
                <w:color w:val="auto"/>
              </w:rPr>
            </w:pPr>
            <w:r>
              <w:rPr>
                <w:rFonts w:ascii="Arial" w:cs="Arial" w:eastAsia="Arial" w:hAnsi="Arial"/>
                <w:sz w:val="14"/>
                <w:szCs w:val="14"/>
                <w:b w:val="1"/>
                <w:bCs w:val="1"/>
                <w:color w:val="auto"/>
              </w:rPr>
              <w:t>incorporation</w:t>
            </w:r>
          </w:p>
        </w:tc>
        <w:tc>
          <w:tcPr>
            <w:tcW w:w="1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w:t>
            </w:r>
          </w:p>
        </w:tc>
        <w:tc>
          <w:tcPr>
            <w:tcW w:w="140" w:type="dxa"/>
            <w:vAlign w:val="bottom"/>
          </w:tcPr>
          <w:p>
            <w:pPr>
              <w:spacing w:after="0"/>
              <w:rPr>
                <w:sz w:val="14"/>
                <w:szCs w:val="14"/>
                <w:color w:val="auto"/>
              </w:rPr>
            </w:pPr>
          </w:p>
        </w:tc>
        <w:tc>
          <w:tcPr>
            <w:tcW w:w="1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(cbm)</w:t>
            </w:r>
          </w:p>
        </w:tc>
        <w:tc>
          <w:tcPr>
            <w:tcW w:w="1700" w:type="dxa"/>
            <w:vAlign w:val="bottom"/>
            <w:gridSpan w:val="2"/>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20" w:type="dxa"/>
            <w:vAlign w:val="bottom"/>
            <w:tcBorders>
              <w:top w:val="single" w:sz="8" w:color="auto"/>
            </w:tcBorders>
            <w:shd w:val="clear" w:color="auto" w:fill="E5FFFF"/>
          </w:tcPr>
          <w:p>
            <w:pPr>
              <w:spacing w:after="0" w:line="142" w:lineRule="exact"/>
              <w:rPr>
                <w:sz w:val="20"/>
                <w:szCs w:val="20"/>
                <w:color w:val="auto"/>
              </w:rPr>
            </w:pPr>
            <w:r>
              <w:rPr>
                <w:rFonts w:ascii="Arial" w:cs="Arial" w:eastAsia="Arial" w:hAnsi="Arial"/>
                <w:sz w:val="14"/>
                <w:szCs w:val="14"/>
                <w:b w:val="1"/>
                <w:bCs w:val="1"/>
                <w:color w:val="auto"/>
              </w:rPr>
              <w:t>Subsidiaries:</w:t>
            </w:r>
          </w:p>
        </w:tc>
        <w:tc>
          <w:tcPr>
            <w:tcW w:w="140" w:type="dxa"/>
            <w:vAlign w:val="bottom"/>
            <w:tcBorders>
              <w:top w:val="single" w:sz="8" w:color="E5FFFF"/>
            </w:tcBorders>
            <w:shd w:val="clear" w:color="auto" w:fill="E5FFFF"/>
          </w:tcPr>
          <w:p>
            <w:pPr>
              <w:spacing w:after="0"/>
              <w:rPr>
                <w:sz w:val="12"/>
                <w:szCs w:val="12"/>
                <w:color w:val="auto"/>
              </w:rPr>
            </w:pPr>
          </w:p>
        </w:tc>
        <w:tc>
          <w:tcPr>
            <w:tcW w:w="1480" w:type="dxa"/>
            <w:vAlign w:val="bottom"/>
            <w:tcBorders>
              <w:top w:val="single" w:sz="8" w:color="auto"/>
            </w:tcBorders>
            <w:shd w:val="clear" w:color="auto" w:fill="E5FFFF"/>
          </w:tcPr>
          <w:p>
            <w:pPr>
              <w:spacing w:after="0"/>
              <w:rPr>
                <w:sz w:val="12"/>
                <w:szCs w:val="12"/>
                <w:color w:val="auto"/>
              </w:rPr>
            </w:pPr>
          </w:p>
        </w:tc>
        <w:tc>
          <w:tcPr>
            <w:tcW w:w="160" w:type="dxa"/>
            <w:vAlign w:val="bottom"/>
            <w:tcBorders>
              <w:top w:val="single" w:sz="8" w:color="E5FFFF"/>
            </w:tcBorders>
            <w:shd w:val="clear" w:color="auto" w:fill="E5FFFF"/>
          </w:tcPr>
          <w:p>
            <w:pPr>
              <w:spacing w:after="0"/>
              <w:rPr>
                <w:sz w:val="12"/>
                <w:szCs w:val="12"/>
                <w:color w:val="auto"/>
              </w:rPr>
            </w:pPr>
          </w:p>
        </w:tc>
        <w:tc>
          <w:tcPr>
            <w:tcW w:w="1340" w:type="dxa"/>
            <w:vAlign w:val="bottom"/>
            <w:tcBorders>
              <w:top w:val="single" w:sz="8" w:color="auto"/>
            </w:tcBorders>
            <w:shd w:val="clear" w:color="auto" w:fill="E5FFFF"/>
          </w:tcPr>
          <w:p>
            <w:pPr>
              <w:spacing w:after="0"/>
              <w:rPr>
                <w:sz w:val="12"/>
                <w:szCs w:val="12"/>
                <w:color w:val="auto"/>
              </w:rPr>
            </w:pPr>
          </w:p>
        </w:tc>
        <w:tc>
          <w:tcPr>
            <w:tcW w:w="140" w:type="dxa"/>
            <w:vAlign w:val="bottom"/>
            <w:tcBorders>
              <w:top w:val="single" w:sz="8" w:color="E5FFFF"/>
            </w:tcBorders>
            <w:shd w:val="clear" w:color="auto" w:fill="E5FFFF"/>
          </w:tcPr>
          <w:p>
            <w:pPr>
              <w:spacing w:after="0"/>
              <w:rPr>
                <w:sz w:val="12"/>
                <w:szCs w:val="12"/>
                <w:color w:val="auto"/>
              </w:rPr>
            </w:pPr>
          </w:p>
        </w:tc>
        <w:tc>
          <w:tcPr>
            <w:tcW w:w="1780" w:type="dxa"/>
            <w:vAlign w:val="bottom"/>
            <w:tcBorders>
              <w:top w:val="single" w:sz="8" w:color="auto"/>
            </w:tcBorders>
            <w:shd w:val="clear" w:color="auto" w:fill="E5FFFF"/>
          </w:tcPr>
          <w:p>
            <w:pPr>
              <w:spacing w:after="0"/>
              <w:rPr>
                <w:sz w:val="12"/>
                <w:szCs w:val="12"/>
                <w:color w:val="auto"/>
              </w:rPr>
            </w:pPr>
          </w:p>
        </w:tc>
        <w:tc>
          <w:tcPr>
            <w:tcW w:w="160" w:type="dxa"/>
            <w:vAlign w:val="bottom"/>
            <w:tcBorders>
              <w:top w:val="single" w:sz="8" w:color="E5FFFF"/>
            </w:tcBorders>
            <w:shd w:val="clear" w:color="auto" w:fill="E5FFFF"/>
          </w:tcPr>
          <w:p>
            <w:pPr>
              <w:spacing w:after="0"/>
              <w:rPr>
                <w:sz w:val="12"/>
                <w:szCs w:val="12"/>
                <w:color w:val="auto"/>
              </w:rPr>
            </w:pPr>
          </w:p>
        </w:tc>
        <w:tc>
          <w:tcPr>
            <w:tcW w:w="720" w:type="dxa"/>
            <w:vAlign w:val="bottom"/>
            <w:tcBorders>
              <w:top w:val="single" w:sz="8" w:color="auto"/>
            </w:tcBorders>
            <w:shd w:val="clear" w:color="auto" w:fill="E5FFFF"/>
          </w:tcPr>
          <w:p>
            <w:pPr>
              <w:spacing w:after="0"/>
              <w:rPr>
                <w:sz w:val="12"/>
                <w:szCs w:val="12"/>
                <w:color w:val="auto"/>
              </w:rPr>
            </w:pPr>
          </w:p>
        </w:tc>
        <w:tc>
          <w:tcPr>
            <w:tcW w:w="140" w:type="dxa"/>
            <w:vAlign w:val="bottom"/>
            <w:tcBorders>
              <w:top w:val="single" w:sz="8" w:color="E5FFFF"/>
            </w:tcBorders>
            <w:shd w:val="clear" w:color="auto" w:fill="E5FFFF"/>
          </w:tcPr>
          <w:p>
            <w:pPr>
              <w:spacing w:after="0"/>
              <w:rPr>
                <w:sz w:val="12"/>
                <w:szCs w:val="12"/>
                <w:color w:val="auto"/>
              </w:rPr>
            </w:pPr>
          </w:p>
        </w:tc>
        <w:tc>
          <w:tcPr>
            <w:tcW w:w="1580" w:type="dxa"/>
            <w:vAlign w:val="bottom"/>
            <w:tcBorders>
              <w:top w:val="single" w:sz="8" w:color="auto"/>
            </w:tcBorders>
            <w:shd w:val="clear" w:color="auto" w:fill="E5FFFF"/>
          </w:tcPr>
          <w:p>
            <w:pPr>
              <w:spacing w:after="0"/>
              <w:rPr>
                <w:sz w:val="12"/>
                <w:szCs w:val="12"/>
                <w:color w:val="auto"/>
              </w:rPr>
            </w:pPr>
          </w:p>
        </w:tc>
        <w:tc>
          <w:tcPr>
            <w:tcW w:w="120" w:type="dxa"/>
            <w:vAlign w:val="bottom"/>
            <w:tcBorders>
              <w:top w:val="single" w:sz="8" w:color="E5FFFF"/>
            </w:tcBorders>
            <w:shd w:val="clear" w:color="auto" w:fill="E5FFFF"/>
          </w:tcPr>
          <w:p>
            <w:pPr>
              <w:spacing w:after="0"/>
              <w:rPr>
                <w:sz w:val="12"/>
                <w:szCs w:val="12"/>
                <w:color w:val="auto"/>
              </w:rPr>
            </w:pPr>
          </w:p>
        </w:tc>
        <w:tc>
          <w:tcPr>
            <w:tcW w:w="1240" w:type="dxa"/>
            <w:vAlign w:val="bottom"/>
            <w:tcBorders>
              <w:top w:val="single" w:sz="8" w:color="auto"/>
            </w:tcBorders>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gridSpan w:val="2"/>
          </w:tcPr>
          <w:p>
            <w:pPr>
              <w:spacing w:after="0" w:line="149" w:lineRule="exact"/>
              <w:rPr>
                <w:sz w:val="20"/>
                <w:szCs w:val="20"/>
                <w:color w:val="auto"/>
              </w:rPr>
            </w:pPr>
            <w:r>
              <w:rPr>
                <w:rFonts w:ascii="Arial" w:cs="Arial" w:eastAsia="Arial" w:hAnsi="Arial"/>
                <w:sz w:val="14"/>
                <w:szCs w:val="14"/>
                <w:color w:val="auto"/>
              </w:rPr>
              <w:t>GasLog Investments Ltd.</w:t>
            </w:r>
          </w:p>
        </w:tc>
        <w:tc>
          <w:tcPr>
            <w:tcW w:w="1480" w:type="dxa"/>
            <w:vAlign w:val="bottom"/>
          </w:tcPr>
          <w:p>
            <w:pPr>
              <w:spacing w:after="0" w:line="149" w:lineRule="exact"/>
              <w:rPr>
                <w:sz w:val="20"/>
                <w:szCs w:val="20"/>
                <w:color w:val="auto"/>
              </w:rPr>
            </w:pPr>
            <w:r>
              <w:rPr>
                <w:rFonts w:ascii="Arial" w:cs="Arial" w:eastAsia="Arial" w:hAnsi="Arial"/>
                <w:sz w:val="14"/>
                <w:szCs w:val="14"/>
                <w:color w:val="auto"/>
              </w:rPr>
              <w:t>BVI</w:t>
            </w:r>
          </w:p>
        </w:tc>
        <w:tc>
          <w:tcPr>
            <w:tcW w:w="15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July 2003</w:t>
            </w:r>
          </w:p>
        </w:tc>
        <w:tc>
          <w:tcPr>
            <w:tcW w:w="19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Holding company</w:t>
            </w:r>
          </w:p>
        </w:tc>
        <w:tc>
          <w:tcPr>
            <w:tcW w:w="16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9"/>
              </w:rPr>
              <w:t>—</w:t>
            </w: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560" w:type="dxa"/>
            <w:vAlign w:val="bottom"/>
            <w:gridSpan w:val="2"/>
            <w:shd w:val="clear" w:color="auto" w:fill="E5FFFF"/>
          </w:tcPr>
          <w:p>
            <w:pPr>
              <w:spacing w:after="0" w:line="130" w:lineRule="exact"/>
              <w:rPr>
                <w:sz w:val="20"/>
                <w:szCs w:val="20"/>
                <w:color w:val="auto"/>
              </w:rPr>
            </w:pPr>
            <w:r>
              <w:rPr>
                <w:rFonts w:ascii="Arial" w:cs="Arial" w:eastAsia="Arial" w:hAnsi="Arial"/>
                <w:sz w:val="14"/>
                <w:szCs w:val="14"/>
                <w:color w:val="auto"/>
              </w:rPr>
              <w:t>GasLog Carriers Ltd. (“GasLog</w:t>
            </w:r>
          </w:p>
        </w:tc>
        <w:tc>
          <w:tcPr>
            <w:tcW w:w="1480" w:type="dxa"/>
            <w:vAlign w:val="bottom"/>
            <w:shd w:val="clear" w:color="auto" w:fill="E5FFFF"/>
          </w:tcPr>
          <w:p>
            <w:pPr>
              <w:spacing w:after="0" w:line="130" w:lineRule="exact"/>
              <w:rPr>
                <w:sz w:val="20"/>
                <w:szCs w:val="20"/>
                <w:color w:val="auto"/>
              </w:rPr>
            </w:pPr>
            <w:r>
              <w:rPr>
                <w:rFonts w:ascii="Arial" w:cs="Arial" w:eastAsia="Arial" w:hAnsi="Arial"/>
                <w:sz w:val="14"/>
                <w:szCs w:val="14"/>
                <w:color w:val="auto"/>
              </w:rPr>
              <w:t>Bermuda</w:t>
            </w:r>
          </w:p>
        </w:tc>
        <w:tc>
          <w:tcPr>
            <w:tcW w:w="1500" w:type="dxa"/>
            <w:vAlign w:val="bottom"/>
            <w:gridSpan w:val="2"/>
            <w:shd w:val="clear" w:color="auto" w:fill="E5FFFF"/>
          </w:tcPr>
          <w:p>
            <w:pPr>
              <w:ind w:left="160"/>
              <w:spacing w:after="0" w:line="130" w:lineRule="exact"/>
              <w:rPr>
                <w:sz w:val="20"/>
                <w:szCs w:val="20"/>
                <w:color w:val="auto"/>
              </w:rPr>
            </w:pPr>
            <w:r>
              <w:rPr>
                <w:rFonts w:ascii="Arial" w:cs="Arial" w:eastAsia="Arial" w:hAnsi="Arial"/>
                <w:sz w:val="14"/>
                <w:szCs w:val="14"/>
                <w:color w:val="auto"/>
              </w:rPr>
              <w:t>February 2008</w:t>
            </w:r>
          </w:p>
        </w:tc>
        <w:tc>
          <w:tcPr>
            <w:tcW w:w="1920" w:type="dxa"/>
            <w:vAlign w:val="bottom"/>
            <w:gridSpan w:val="2"/>
            <w:shd w:val="clear" w:color="auto" w:fill="E5FFFF"/>
          </w:tcPr>
          <w:p>
            <w:pPr>
              <w:ind w:left="140"/>
              <w:spacing w:after="0" w:line="130" w:lineRule="exact"/>
              <w:rPr>
                <w:sz w:val="20"/>
                <w:szCs w:val="20"/>
                <w:color w:val="auto"/>
              </w:rPr>
            </w:pPr>
            <w:r>
              <w:rPr>
                <w:rFonts w:ascii="Arial" w:cs="Arial" w:eastAsia="Arial" w:hAnsi="Arial"/>
                <w:sz w:val="14"/>
                <w:szCs w:val="14"/>
                <w:color w:val="auto"/>
              </w:rPr>
              <w:t>Holding company</w:t>
            </w:r>
          </w:p>
        </w:tc>
        <w:tc>
          <w:tcPr>
            <w:tcW w:w="160" w:type="dxa"/>
            <w:vAlign w:val="bottom"/>
            <w:shd w:val="clear" w:color="auto" w:fill="E5FFFF"/>
          </w:tcPr>
          <w:p>
            <w:pPr>
              <w:spacing w:after="0"/>
              <w:rPr>
                <w:sz w:val="11"/>
                <w:szCs w:val="11"/>
                <w:color w:val="auto"/>
              </w:rPr>
            </w:pPr>
          </w:p>
        </w:tc>
        <w:tc>
          <w:tcPr>
            <w:tcW w:w="860" w:type="dxa"/>
            <w:vAlign w:val="bottom"/>
            <w:gridSpan w:val="2"/>
            <w:shd w:val="clear" w:color="auto" w:fill="E5FFFF"/>
          </w:tcPr>
          <w:p>
            <w:pPr>
              <w:jc w:val="center"/>
              <w:ind w:right="160"/>
              <w:spacing w:after="0" w:line="130" w:lineRule="exact"/>
              <w:rPr>
                <w:sz w:val="20"/>
                <w:szCs w:val="20"/>
                <w:color w:val="auto"/>
              </w:rPr>
            </w:pPr>
            <w:r>
              <w:rPr>
                <w:rFonts w:ascii="Arial" w:cs="Arial" w:eastAsia="Arial" w:hAnsi="Arial"/>
                <w:sz w:val="14"/>
                <w:szCs w:val="14"/>
                <w:color w:val="auto"/>
                <w:w w:val="99"/>
              </w:rPr>
              <w:t>—</w:t>
            </w:r>
          </w:p>
        </w:tc>
        <w:tc>
          <w:tcPr>
            <w:tcW w:w="1700" w:type="dxa"/>
            <w:vAlign w:val="bottom"/>
            <w:gridSpan w:val="2"/>
            <w:shd w:val="clear" w:color="auto" w:fill="E5FFFF"/>
          </w:tcPr>
          <w:p>
            <w:pPr>
              <w:jc w:val="center"/>
              <w:ind w:right="120"/>
              <w:spacing w:after="0" w:line="130" w:lineRule="exact"/>
              <w:rPr>
                <w:sz w:val="20"/>
                <w:szCs w:val="20"/>
                <w:color w:val="auto"/>
              </w:rPr>
            </w:pPr>
            <w:r>
              <w:rPr>
                <w:rFonts w:ascii="Arial" w:cs="Arial" w:eastAsia="Arial" w:hAnsi="Arial"/>
                <w:sz w:val="14"/>
                <w:szCs w:val="14"/>
                <w:color w:val="auto"/>
                <w:w w:val="99"/>
              </w:rPr>
              <w:t>—</w:t>
            </w:r>
          </w:p>
        </w:tc>
        <w:tc>
          <w:tcPr>
            <w:tcW w:w="1240" w:type="dxa"/>
            <w:vAlign w:val="bottom"/>
            <w:shd w:val="clear" w:color="auto" w:fill="E5FFFF"/>
          </w:tcPr>
          <w:p>
            <w:pPr>
              <w:jc w:val="center"/>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560" w:type="dxa"/>
            <w:vAlign w:val="bottom"/>
            <w:gridSpan w:val="2"/>
            <w:shd w:val="clear" w:color="auto" w:fill="E5FFFF"/>
          </w:tcPr>
          <w:p>
            <w:pPr>
              <w:ind w:left="180"/>
              <w:spacing w:after="0"/>
              <w:rPr>
                <w:sz w:val="20"/>
                <w:szCs w:val="20"/>
                <w:color w:val="auto"/>
              </w:rPr>
            </w:pPr>
            <w:r>
              <w:rPr>
                <w:rFonts w:ascii="Arial" w:cs="Arial" w:eastAsia="Arial" w:hAnsi="Arial"/>
                <w:sz w:val="14"/>
                <w:szCs w:val="14"/>
                <w:color w:val="auto"/>
              </w:rPr>
              <w:t>Carriers”)</w:t>
            </w:r>
          </w:p>
        </w:tc>
        <w:tc>
          <w:tcPr>
            <w:tcW w:w="148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34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178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72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158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1240" w:type="dxa"/>
            <w:vAlign w:val="bottom"/>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60" w:type="dxa"/>
            <w:vAlign w:val="bottom"/>
            <w:gridSpan w:val="2"/>
          </w:tcPr>
          <w:p>
            <w:pPr>
              <w:spacing w:after="0" w:line="149" w:lineRule="exact"/>
              <w:rPr>
                <w:sz w:val="20"/>
                <w:szCs w:val="20"/>
                <w:color w:val="auto"/>
              </w:rPr>
            </w:pPr>
            <w:r>
              <w:rPr>
                <w:rFonts w:ascii="Arial" w:cs="Arial" w:eastAsia="Arial" w:hAnsi="Arial"/>
                <w:sz w:val="14"/>
                <w:szCs w:val="14"/>
                <w:color w:val="auto"/>
              </w:rPr>
              <w:t>GasLog Shipping Company Ltd.</w:t>
            </w:r>
          </w:p>
        </w:tc>
        <w:tc>
          <w:tcPr>
            <w:tcW w:w="1480" w:type="dxa"/>
            <w:vAlign w:val="bottom"/>
          </w:tcPr>
          <w:p>
            <w:pPr>
              <w:spacing w:after="0" w:line="149" w:lineRule="exact"/>
              <w:rPr>
                <w:sz w:val="20"/>
                <w:szCs w:val="20"/>
                <w:color w:val="auto"/>
              </w:rPr>
            </w:pPr>
            <w:r>
              <w:rPr>
                <w:rFonts w:ascii="Arial" w:cs="Arial" w:eastAsia="Arial" w:hAnsi="Arial"/>
                <w:sz w:val="14"/>
                <w:szCs w:val="14"/>
                <w:color w:val="auto"/>
              </w:rPr>
              <w:t>Bermuda</w:t>
            </w:r>
          </w:p>
        </w:tc>
        <w:tc>
          <w:tcPr>
            <w:tcW w:w="15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January 2006</w:t>
            </w:r>
          </w:p>
        </w:tc>
        <w:tc>
          <w:tcPr>
            <w:tcW w:w="19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Holding company</w:t>
            </w:r>
          </w:p>
        </w:tc>
        <w:tc>
          <w:tcPr>
            <w:tcW w:w="16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9"/>
              </w:rPr>
              <w:t>—</w:t>
            </w: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6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GasLog Partners GP LLC</w:t>
            </w:r>
          </w:p>
        </w:tc>
        <w:tc>
          <w:tcPr>
            <w:tcW w:w="14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Marshall Islands</w:t>
            </w:r>
          </w:p>
        </w:tc>
        <w:tc>
          <w:tcPr>
            <w:tcW w:w="1500" w:type="dxa"/>
            <w:vAlign w:val="bottom"/>
            <w:gridSpan w:val="2"/>
            <w:shd w:val="clear" w:color="auto" w:fill="E5FFFF"/>
          </w:tcPr>
          <w:p>
            <w:pPr>
              <w:ind w:left="160"/>
              <w:spacing w:after="0" w:line="149" w:lineRule="exact"/>
              <w:rPr>
                <w:sz w:val="20"/>
                <w:szCs w:val="20"/>
                <w:color w:val="auto"/>
              </w:rPr>
            </w:pPr>
            <w:r>
              <w:rPr>
                <w:rFonts w:ascii="Arial" w:cs="Arial" w:eastAsia="Arial" w:hAnsi="Arial"/>
                <w:sz w:val="14"/>
                <w:szCs w:val="14"/>
                <w:color w:val="auto"/>
              </w:rPr>
              <w:t>January 2014</w:t>
            </w:r>
          </w:p>
        </w:tc>
        <w:tc>
          <w:tcPr>
            <w:tcW w:w="1920" w:type="dxa"/>
            <w:vAlign w:val="bottom"/>
            <w:gridSpan w:val="2"/>
            <w:shd w:val="clear" w:color="auto" w:fill="E5FFFF"/>
          </w:tcPr>
          <w:p>
            <w:pPr>
              <w:ind w:left="140"/>
              <w:spacing w:after="0" w:line="149" w:lineRule="exact"/>
              <w:rPr>
                <w:sz w:val="20"/>
                <w:szCs w:val="20"/>
                <w:color w:val="auto"/>
              </w:rPr>
            </w:pPr>
            <w:r>
              <w:rPr>
                <w:rFonts w:ascii="Arial" w:cs="Arial" w:eastAsia="Arial" w:hAnsi="Arial"/>
                <w:sz w:val="14"/>
                <w:szCs w:val="14"/>
                <w:color w:val="auto"/>
              </w:rPr>
              <w:t>Holding company</w:t>
            </w:r>
          </w:p>
        </w:tc>
        <w:tc>
          <w:tcPr>
            <w:tcW w:w="160" w:type="dxa"/>
            <w:vAlign w:val="bottom"/>
            <w:shd w:val="clear" w:color="auto" w:fill="E5FFFF"/>
          </w:tcPr>
          <w:p>
            <w:pPr>
              <w:spacing w:after="0"/>
              <w:rPr>
                <w:sz w:val="12"/>
                <w:szCs w:val="12"/>
                <w:color w:val="auto"/>
              </w:rPr>
            </w:pPr>
          </w:p>
        </w:tc>
        <w:tc>
          <w:tcPr>
            <w:tcW w:w="860" w:type="dxa"/>
            <w:vAlign w:val="bottom"/>
            <w:gridSpan w:val="2"/>
            <w:shd w:val="clear" w:color="auto" w:fill="E5FFFF"/>
          </w:tcPr>
          <w:p>
            <w:pPr>
              <w:jc w:val="center"/>
              <w:ind w:right="160"/>
              <w:spacing w:after="0" w:line="149" w:lineRule="exact"/>
              <w:rPr>
                <w:sz w:val="20"/>
                <w:szCs w:val="20"/>
                <w:color w:val="auto"/>
              </w:rPr>
            </w:pPr>
            <w:r>
              <w:rPr>
                <w:rFonts w:ascii="Arial" w:cs="Arial" w:eastAsia="Arial" w:hAnsi="Arial"/>
                <w:sz w:val="14"/>
                <w:szCs w:val="14"/>
                <w:color w:val="auto"/>
                <w:w w:val="99"/>
              </w:rPr>
              <w:t>—</w:t>
            </w:r>
          </w:p>
        </w:tc>
        <w:tc>
          <w:tcPr>
            <w:tcW w:w="170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60" w:type="dxa"/>
            <w:vAlign w:val="bottom"/>
            <w:gridSpan w:val="2"/>
          </w:tcPr>
          <w:p>
            <w:pPr>
              <w:spacing w:after="0" w:line="149" w:lineRule="exact"/>
              <w:rPr>
                <w:sz w:val="20"/>
                <w:szCs w:val="20"/>
                <w:color w:val="auto"/>
              </w:rPr>
            </w:pPr>
            <w:r>
              <w:rPr>
                <w:rFonts w:ascii="Arial" w:cs="Arial" w:eastAsia="Arial" w:hAnsi="Arial"/>
                <w:sz w:val="14"/>
                <w:szCs w:val="14"/>
                <w:color w:val="auto"/>
              </w:rPr>
              <w:t>GasLog Cyprus Investments Ltd.</w:t>
            </w:r>
          </w:p>
        </w:tc>
        <w:tc>
          <w:tcPr>
            <w:tcW w:w="1480" w:type="dxa"/>
            <w:vAlign w:val="bottom"/>
          </w:tcPr>
          <w:p>
            <w:pPr>
              <w:spacing w:after="0" w:line="149" w:lineRule="exact"/>
              <w:rPr>
                <w:sz w:val="20"/>
                <w:szCs w:val="20"/>
                <w:color w:val="auto"/>
              </w:rPr>
            </w:pPr>
            <w:r>
              <w:rPr>
                <w:rFonts w:ascii="Arial" w:cs="Arial" w:eastAsia="Arial" w:hAnsi="Arial"/>
                <w:sz w:val="14"/>
                <w:szCs w:val="14"/>
                <w:color w:val="auto"/>
              </w:rPr>
              <w:t>Cyprus</w:t>
            </w:r>
          </w:p>
        </w:tc>
        <w:tc>
          <w:tcPr>
            <w:tcW w:w="15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December 2016</w:t>
            </w:r>
          </w:p>
        </w:tc>
        <w:tc>
          <w:tcPr>
            <w:tcW w:w="19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Holding company</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GasLog Services UK Ltd.</w:t>
            </w:r>
          </w:p>
        </w:tc>
        <w:tc>
          <w:tcPr>
            <w:tcW w:w="14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England and Wales</w:t>
            </w:r>
          </w:p>
        </w:tc>
        <w:tc>
          <w:tcPr>
            <w:tcW w:w="1500" w:type="dxa"/>
            <w:vAlign w:val="bottom"/>
            <w:gridSpan w:val="2"/>
            <w:shd w:val="clear" w:color="auto" w:fill="E5FFFF"/>
          </w:tcPr>
          <w:p>
            <w:pPr>
              <w:ind w:left="160"/>
              <w:spacing w:after="0" w:line="149" w:lineRule="exact"/>
              <w:rPr>
                <w:sz w:val="20"/>
                <w:szCs w:val="20"/>
                <w:color w:val="auto"/>
              </w:rPr>
            </w:pPr>
            <w:r>
              <w:rPr>
                <w:rFonts w:ascii="Arial" w:cs="Arial" w:eastAsia="Arial" w:hAnsi="Arial"/>
                <w:sz w:val="14"/>
                <w:szCs w:val="14"/>
                <w:color w:val="auto"/>
              </w:rPr>
              <w:t>May 2014</w:t>
            </w:r>
          </w:p>
        </w:tc>
        <w:tc>
          <w:tcPr>
            <w:tcW w:w="1920" w:type="dxa"/>
            <w:vAlign w:val="bottom"/>
            <w:gridSpan w:val="2"/>
            <w:shd w:val="clear" w:color="auto" w:fill="E5FFFF"/>
          </w:tcPr>
          <w:p>
            <w:pPr>
              <w:ind w:left="140"/>
              <w:spacing w:after="0" w:line="149" w:lineRule="exact"/>
              <w:rPr>
                <w:sz w:val="20"/>
                <w:szCs w:val="20"/>
                <w:color w:val="auto"/>
              </w:rPr>
            </w:pPr>
            <w:r>
              <w:rPr>
                <w:rFonts w:ascii="Arial" w:cs="Arial" w:eastAsia="Arial" w:hAnsi="Arial"/>
                <w:sz w:val="14"/>
                <w:szCs w:val="14"/>
                <w:color w:val="auto"/>
              </w:rPr>
              <w:t>Service company</w:t>
            </w:r>
          </w:p>
        </w:tc>
        <w:tc>
          <w:tcPr>
            <w:tcW w:w="160" w:type="dxa"/>
            <w:vAlign w:val="bottom"/>
            <w:shd w:val="clear" w:color="auto" w:fill="E5FFFF"/>
          </w:tcPr>
          <w:p>
            <w:pPr>
              <w:spacing w:after="0"/>
              <w:rPr>
                <w:sz w:val="12"/>
                <w:szCs w:val="12"/>
                <w:color w:val="auto"/>
              </w:rPr>
            </w:pPr>
          </w:p>
        </w:tc>
        <w:tc>
          <w:tcPr>
            <w:tcW w:w="860" w:type="dxa"/>
            <w:vAlign w:val="bottom"/>
            <w:gridSpan w:val="2"/>
            <w:shd w:val="clear" w:color="auto" w:fill="E5FFFF"/>
          </w:tcPr>
          <w:p>
            <w:pPr>
              <w:jc w:val="center"/>
              <w:ind w:right="160"/>
              <w:spacing w:after="0" w:line="149" w:lineRule="exact"/>
              <w:rPr>
                <w:sz w:val="20"/>
                <w:szCs w:val="20"/>
                <w:color w:val="auto"/>
              </w:rPr>
            </w:pPr>
            <w:r>
              <w:rPr>
                <w:rFonts w:ascii="Arial" w:cs="Arial" w:eastAsia="Arial" w:hAnsi="Arial"/>
                <w:sz w:val="14"/>
                <w:szCs w:val="14"/>
                <w:color w:val="auto"/>
                <w:w w:val="99"/>
              </w:rPr>
              <w:t>—</w:t>
            </w:r>
          </w:p>
        </w:tc>
        <w:tc>
          <w:tcPr>
            <w:tcW w:w="170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60" w:type="dxa"/>
            <w:vAlign w:val="bottom"/>
            <w:gridSpan w:val="2"/>
          </w:tcPr>
          <w:p>
            <w:pPr>
              <w:spacing w:after="0" w:line="149" w:lineRule="exact"/>
              <w:rPr>
                <w:sz w:val="20"/>
                <w:szCs w:val="20"/>
                <w:color w:val="auto"/>
              </w:rPr>
            </w:pPr>
            <w:r>
              <w:rPr>
                <w:rFonts w:ascii="Arial" w:cs="Arial" w:eastAsia="Arial" w:hAnsi="Arial"/>
                <w:sz w:val="14"/>
                <w:szCs w:val="14"/>
                <w:color w:val="auto"/>
              </w:rPr>
              <w:t>GasLog Services US Inc.</w:t>
            </w:r>
          </w:p>
        </w:tc>
        <w:tc>
          <w:tcPr>
            <w:tcW w:w="1480" w:type="dxa"/>
            <w:vAlign w:val="bottom"/>
          </w:tcPr>
          <w:p>
            <w:pPr>
              <w:spacing w:after="0" w:line="149" w:lineRule="exact"/>
              <w:rPr>
                <w:sz w:val="20"/>
                <w:szCs w:val="20"/>
                <w:color w:val="auto"/>
              </w:rPr>
            </w:pPr>
            <w:r>
              <w:rPr>
                <w:rFonts w:ascii="Arial" w:cs="Arial" w:eastAsia="Arial" w:hAnsi="Arial"/>
                <w:sz w:val="14"/>
                <w:szCs w:val="14"/>
                <w:color w:val="auto"/>
              </w:rPr>
              <w:t>Delaware</w:t>
            </w:r>
          </w:p>
        </w:tc>
        <w:tc>
          <w:tcPr>
            <w:tcW w:w="15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May 2014</w:t>
            </w:r>
          </w:p>
        </w:tc>
        <w:tc>
          <w:tcPr>
            <w:tcW w:w="19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Service company</w:t>
            </w:r>
          </w:p>
        </w:tc>
        <w:tc>
          <w:tcPr>
            <w:tcW w:w="16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9"/>
              </w:rPr>
              <w:t>—</w:t>
            </w: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6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GasLog Asia Pte Ltd.</w:t>
            </w:r>
          </w:p>
        </w:tc>
        <w:tc>
          <w:tcPr>
            <w:tcW w:w="14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Singapore</w:t>
            </w:r>
          </w:p>
        </w:tc>
        <w:tc>
          <w:tcPr>
            <w:tcW w:w="1500" w:type="dxa"/>
            <w:vAlign w:val="bottom"/>
            <w:gridSpan w:val="2"/>
            <w:shd w:val="clear" w:color="auto" w:fill="E5FFFF"/>
          </w:tcPr>
          <w:p>
            <w:pPr>
              <w:ind w:left="160"/>
              <w:spacing w:after="0" w:line="149" w:lineRule="exact"/>
              <w:rPr>
                <w:sz w:val="20"/>
                <w:szCs w:val="20"/>
                <w:color w:val="auto"/>
              </w:rPr>
            </w:pPr>
            <w:r>
              <w:rPr>
                <w:rFonts w:ascii="Arial" w:cs="Arial" w:eastAsia="Arial" w:hAnsi="Arial"/>
                <w:sz w:val="14"/>
                <w:szCs w:val="14"/>
                <w:color w:val="auto"/>
              </w:rPr>
              <w:t>May 2015</w:t>
            </w:r>
          </w:p>
        </w:tc>
        <w:tc>
          <w:tcPr>
            <w:tcW w:w="1920" w:type="dxa"/>
            <w:vAlign w:val="bottom"/>
            <w:gridSpan w:val="2"/>
            <w:shd w:val="clear" w:color="auto" w:fill="E5FFFF"/>
          </w:tcPr>
          <w:p>
            <w:pPr>
              <w:ind w:left="140"/>
              <w:spacing w:after="0" w:line="149" w:lineRule="exact"/>
              <w:rPr>
                <w:sz w:val="20"/>
                <w:szCs w:val="20"/>
                <w:color w:val="auto"/>
              </w:rPr>
            </w:pPr>
            <w:r>
              <w:rPr>
                <w:rFonts w:ascii="Arial" w:cs="Arial" w:eastAsia="Arial" w:hAnsi="Arial"/>
                <w:sz w:val="14"/>
                <w:szCs w:val="14"/>
                <w:color w:val="auto"/>
              </w:rPr>
              <w:t>Service company</w:t>
            </w:r>
          </w:p>
        </w:tc>
        <w:tc>
          <w:tcPr>
            <w:tcW w:w="160" w:type="dxa"/>
            <w:vAlign w:val="bottom"/>
            <w:shd w:val="clear" w:color="auto" w:fill="E5FFFF"/>
          </w:tcPr>
          <w:p>
            <w:pPr>
              <w:spacing w:after="0"/>
              <w:rPr>
                <w:sz w:val="12"/>
                <w:szCs w:val="12"/>
                <w:color w:val="auto"/>
              </w:rPr>
            </w:pPr>
          </w:p>
        </w:tc>
        <w:tc>
          <w:tcPr>
            <w:tcW w:w="860" w:type="dxa"/>
            <w:vAlign w:val="bottom"/>
            <w:gridSpan w:val="2"/>
            <w:shd w:val="clear" w:color="auto" w:fill="E5FFFF"/>
          </w:tcPr>
          <w:p>
            <w:pPr>
              <w:jc w:val="center"/>
              <w:ind w:right="160"/>
              <w:spacing w:after="0" w:line="149" w:lineRule="exact"/>
              <w:rPr>
                <w:sz w:val="20"/>
                <w:szCs w:val="20"/>
                <w:color w:val="auto"/>
              </w:rPr>
            </w:pPr>
            <w:r>
              <w:rPr>
                <w:rFonts w:ascii="Arial" w:cs="Arial" w:eastAsia="Arial" w:hAnsi="Arial"/>
                <w:sz w:val="14"/>
                <w:szCs w:val="14"/>
                <w:color w:val="auto"/>
                <w:w w:val="99"/>
              </w:rPr>
              <w:t>—</w:t>
            </w:r>
          </w:p>
        </w:tc>
        <w:tc>
          <w:tcPr>
            <w:tcW w:w="170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60" w:type="dxa"/>
            <w:vAlign w:val="bottom"/>
            <w:gridSpan w:val="2"/>
          </w:tcPr>
          <w:p>
            <w:pPr>
              <w:spacing w:after="0" w:line="149" w:lineRule="exact"/>
              <w:rPr>
                <w:sz w:val="20"/>
                <w:szCs w:val="20"/>
                <w:color w:val="auto"/>
              </w:rPr>
            </w:pPr>
            <w:r>
              <w:rPr>
                <w:rFonts w:ascii="Arial" w:cs="Arial" w:eastAsia="Arial" w:hAnsi="Arial"/>
                <w:sz w:val="14"/>
                <w:szCs w:val="14"/>
                <w:color w:val="auto"/>
              </w:rPr>
              <w:t>GasLog LNG Services Ltd.</w:t>
            </w:r>
          </w:p>
        </w:tc>
        <w:tc>
          <w:tcPr>
            <w:tcW w:w="1480" w:type="dxa"/>
            <w:vAlign w:val="bottom"/>
          </w:tcPr>
          <w:p>
            <w:pPr>
              <w:spacing w:after="0" w:line="149" w:lineRule="exact"/>
              <w:rPr>
                <w:sz w:val="20"/>
                <w:szCs w:val="20"/>
                <w:color w:val="auto"/>
              </w:rPr>
            </w:pPr>
            <w:r>
              <w:rPr>
                <w:rFonts w:ascii="Arial" w:cs="Arial" w:eastAsia="Arial" w:hAnsi="Arial"/>
                <w:sz w:val="14"/>
                <w:szCs w:val="14"/>
                <w:color w:val="auto"/>
              </w:rPr>
              <w:t>Bermuda</w:t>
            </w:r>
          </w:p>
        </w:tc>
        <w:tc>
          <w:tcPr>
            <w:tcW w:w="15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August 2004</w:t>
            </w:r>
          </w:p>
        </w:tc>
        <w:tc>
          <w:tcPr>
            <w:tcW w:w="192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6"/>
              </w:rPr>
              <w:t>Vessel management services</w:t>
            </w:r>
          </w:p>
        </w:tc>
        <w:tc>
          <w:tcPr>
            <w:tcW w:w="16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9"/>
              </w:rPr>
              <w:t>—</w:t>
            </w: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6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GasLog Monaco S.A.M.</w:t>
            </w:r>
          </w:p>
        </w:tc>
        <w:tc>
          <w:tcPr>
            <w:tcW w:w="14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Monaco</w:t>
            </w:r>
          </w:p>
        </w:tc>
        <w:tc>
          <w:tcPr>
            <w:tcW w:w="1500" w:type="dxa"/>
            <w:vAlign w:val="bottom"/>
            <w:gridSpan w:val="2"/>
            <w:shd w:val="clear" w:color="auto" w:fill="E5FFFF"/>
          </w:tcPr>
          <w:p>
            <w:pPr>
              <w:ind w:left="160"/>
              <w:spacing w:after="0" w:line="149" w:lineRule="exact"/>
              <w:rPr>
                <w:sz w:val="20"/>
                <w:szCs w:val="20"/>
                <w:color w:val="auto"/>
              </w:rPr>
            </w:pPr>
            <w:r>
              <w:rPr>
                <w:rFonts w:ascii="Arial" w:cs="Arial" w:eastAsia="Arial" w:hAnsi="Arial"/>
                <w:sz w:val="14"/>
                <w:szCs w:val="14"/>
                <w:color w:val="auto"/>
              </w:rPr>
              <w:t>February 2010</w:t>
            </w:r>
          </w:p>
        </w:tc>
        <w:tc>
          <w:tcPr>
            <w:tcW w:w="1920" w:type="dxa"/>
            <w:vAlign w:val="bottom"/>
            <w:gridSpan w:val="2"/>
            <w:shd w:val="clear" w:color="auto" w:fill="E5FFFF"/>
          </w:tcPr>
          <w:p>
            <w:pPr>
              <w:ind w:left="140"/>
              <w:spacing w:after="0" w:line="149" w:lineRule="exact"/>
              <w:rPr>
                <w:sz w:val="20"/>
                <w:szCs w:val="20"/>
                <w:color w:val="auto"/>
              </w:rPr>
            </w:pPr>
            <w:r>
              <w:rPr>
                <w:rFonts w:ascii="Arial" w:cs="Arial" w:eastAsia="Arial" w:hAnsi="Arial"/>
                <w:sz w:val="14"/>
                <w:szCs w:val="14"/>
                <w:color w:val="auto"/>
              </w:rPr>
              <w:t>Service company</w:t>
            </w:r>
          </w:p>
        </w:tc>
        <w:tc>
          <w:tcPr>
            <w:tcW w:w="160" w:type="dxa"/>
            <w:vAlign w:val="bottom"/>
            <w:shd w:val="clear" w:color="auto" w:fill="E5FFFF"/>
          </w:tcPr>
          <w:p>
            <w:pPr>
              <w:spacing w:after="0"/>
              <w:rPr>
                <w:sz w:val="12"/>
                <w:szCs w:val="12"/>
                <w:color w:val="auto"/>
              </w:rPr>
            </w:pPr>
          </w:p>
        </w:tc>
        <w:tc>
          <w:tcPr>
            <w:tcW w:w="860" w:type="dxa"/>
            <w:vAlign w:val="bottom"/>
            <w:gridSpan w:val="2"/>
            <w:shd w:val="clear" w:color="auto" w:fill="E5FFFF"/>
          </w:tcPr>
          <w:p>
            <w:pPr>
              <w:jc w:val="center"/>
              <w:ind w:right="160"/>
              <w:spacing w:after="0" w:line="149" w:lineRule="exact"/>
              <w:rPr>
                <w:sz w:val="20"/>
                <w:szCs w:val="20"/>
                <w:color w:val="auto"/>
              </w:rPr>
            </w:pPr>
            <w:r>
              <w:rPr>
                <w:rFonts w:ascii="Arial" w:cs="Arial" w:eastAsia="Arial" w:hAnsi="Arial"/>
                <w:sz w:val="14"/>
                <w:szCs w:val="14"/>
                <w:color w:val="auto"/>
                <w:w w:val="99"/>
              </w:rPr>
              <w:t>—</w:t>
            </w:r>
          </w:p>
        </w:tc>
        <w:tc>
          <w:tcPr>
            <w:tcW w:w="170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60" w:type="dxa"/>
            <w:vAlign w:val="bottom"/>
            <w:gridSpan w:val="2"/>
          </w:tcPr>
          <w:p>
            <w:pPr>
              <w:spacing w:after="0" w:line="149" w:lineRule="exact"/>
              <w:rPr>
                <w:sz w:val="20"/>
                <w:szCs w:val="20"/>
                <w:color w:val="auto"/>
              </w:rPr>
            </w:pPr>
            <w:r>
              <w:rPr>
                <w:rFonts w:ascii="Arial" w:cs="Arial" w:eastAsia="Arial" w:hAnsi="Arial"/>
                <w:sz w:val="14"/>
                <w:szCs w:val="14"/>
                <w:color w:val="auto"/>
              </w:rPr>
              <w:t>GAS-one Ltd.</w:t>
            </w:r>
          </w:p>
        </w:tc>
        <w:tc>
          <w:tcPr>
            <w:tcW w:w="1480" w:type="dxa"/>
            <w:vAlign w:val="bottom"/>
          </w:tcPr>
          <w:p>
            <w:pPr>
              <w:spacing w:after="0" w:line="149" w:lineRule="exact"/>
              <w:rPr>
                <w:sz w:val="20"/>
                <w:szCs w:val="20"/>
                <w:color w:val="auto"/>
              </w:rPr>
            </w:pPr>
            <w:r>
              <w:rPr>
                <w:rFonts w:ascii="Arial" w:cs="Arial" w:eastAsia="Arial" w:hAnsi="Arial"/>
                <w:sz w:val="14"/>
                <w:szCs w:val="14"/>
                <w:color w:val="auto"/>
              </w:rPr>
              <w:t>Bermuda</w:t>
            </w:r>
          </w:p>
        </w:tc>
        <w:tc>
          <w:tcPr>
            <w:tcW w:w="15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February 2008</w:t>
            </w:r>
          </w:p>
        </w:tc>
        <w:tc>
          <w:tcPr>
            <w:tcW w:w="19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Vessel-owning company</w:t>
            </w:r>
          </w:p>
        </w:tc>
        <w:tc>
          <w:tcPr>
            <w:tcW w:w="88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155,000</w:t>
            </w:r>
          </w:p>
        </w:tc>
        <w:tc>
          <w:tcPr>
            <w:tcW w:w="140" w:type="dxa"/>
            <w:vAlign w:val="bottom"/>
          </w:tcPr>
          <w:p>
            <w:pPr>
              <w:spacing w:after="0"/>
              <w:rPr>
                <w:sz w:val="12"/>
                <w:szCs w:val="12"/>
                <w:color w:val="auto"/>
              </w:rPr>
            </w:pP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i w:val="1"/>
                <w:iCs w:val="1"/>
                <w:color w:val="auto"/>
                <w:w w:val="91"/>
              </w:rPr>
              <w:t>GasLog Savannah</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7"/>
              </w:rPr>
              <w:t>May 2010</w:t>
            </w:r>
          </w:p>
        </w:tc>
        <w:tc>
          <w:tcPr>
            <w:tcW w:w="0" w:type="dxa"/>
            <w:vAlign w:val="bottom"/>
          </w:tcPr>
          <w:p>
            <w:pPr>
              <w:spacing w:after="0"/>
              <w:rPr>
                <w:sz w:val="1"/>
                <w:szCs w:val="1"/>
                <w:color w:val="auto"/>
              </w:rPr>
            </w:pPr>
          </w:p>
        </w:tc>
      </w:tr>
      <w:tr>
        <w:trPr>
          <w:trHeight w:val="149"/>
        </w:trPr>
        <w:tc>
          <w:tcPr>
            <w:tcW w:w="256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GAS-two Ltd.</w:t>
            </w:r>
          </w:p>
        </w:tc>
        <w:tc>
          <w:tcPr>
            <w:tcW w:w="14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Bermuda</w:t>
            </w:r>
          </w:p>
        </w:tc>
        <w:tc>
          <w:tcPr>
            <w:tcW w:w="1500" w:type="dxa"/>
            <w:vAlign w:val="bottom"/>
            <w:gridSpan w:val="2"/>
            <w:shd w:val="clear" w:color="auto" w:fill="E5FFFF"/>
          </w:tcPr>
          <w:p>
            <w:pPr>
              <w:ind w:left="160"/>
              <w:spacing w:after="0" w:line="149" w:lineRule="exact"/>
              <w:rPr>
                <w:sz w:val="20"/>
                <w:szCs w:val="20"/>
                <w:color w:val="auto"/>
              </w:rPr>
            </w:pPr>
            <w:r>
              <w:rPr>
                <w:rFonts w:ascii="Arial" w:cs="Arial" w:eastAsia="Arial" w:hAnsi="Arial"/>
                <w:sz w:val="14"/>
                <w:szCs w:val="14"/>
                <w:color w:val="auto"/>
              </w:rPr>
              <w:t>February 2008</w:t>
            </w:r>
          </w:p>
        </w:tc>
        <w:tc>
          <w:tcPr>
            <w:tcW w:w="1920" w:type="dxa"/>
            <w:vAlign w:val="bottom"/>
            <w:gridSpan w:val="2"/>
            <w:shd w:val="clear" w:color="auto" w:fill="E5FFFF"/>
          </w:tcPr>
          <w:p>
            <w:pPr>
              <w:ind w:left="140"/>
              <w:spacing w:after="0" w:line="149" w:lineRule="exact"/>
              <w:rPr>
                <w:sz w:val="20"/>
                <w:szCs w:val="20"/>
                <w:color w:val="auto"/>
              </w:rPr>
            </w:pPr>
            <w:r>
              <w:rPr>
                <w:rFonts w:ascii="Arial" w:cs="Arial" w:eastAsia="Arial" w:hAnsi="Arial"/>
                <w:sz w:val="14"/>
                <w:szCs w:val="14"/>
                <w:color w:val="auto"/>
              </w:rPr>
              <w:t>Vessel-owning company</w:t>
            </w:r>
          </w:p>
        </w:tc>
        <w:tc>
          <w:tcPr>
            <w:tcW w:w="880" w:type="dxa"/>
            <w:vAlign w:val="bottom"/>
            <w:gridSpan w:val="2"/>
            <w:shd w:val="clear" w:color="auto" w:fill="E5FFFF"/>
          </w:tcPr>
          <w:p>
            <w:pPr>
              <w:jc w:val="right"/>
              <w:ind w:right="188"/>
              <w:spacing w:after="0" w:line="149" w:lineRule="exact"/>
              <w:rPr>
                <w:sz w:val="20"/>
                <w:szCs w:val="20"/>
                <w:color w:val="auto"/>
              </w:rPr>
            </w:pPr>
            <w:r>
              <w:rPr>
                <w:rFonts w:ascii="Arial" w:cs="Arial" w:eastAsia="Arial" w:hAnsi="Arial"/>
                <w:sz w:val="14"/>
                <w:szCs w:val="14"/>
                <w:color w:val="auto"/>
              </w:rPr>
              <w:t>155,000</w:t>
            </w:r>
          </w:p>
        </w:tc>
        <w:tc>
          <w:tcPr>
            <w:tcW w:w="140" w:type="dxa"/>
            <w:vAlign w:val="bottom"/>
            <w:shd w:val="clear" w:color="auto" w:fill="E5FFFF"/>
          </w:tcPr>
          <w:p>
            <w:pPr>
              <w:spacing w:after="0"/>
              <w:rPr>
                <w:sz w:val="12"/>
                <w:szCs w:val="12"/>
                <w:color w:val="auto"/>
              </w:rPr>
            </w:pPr>
          </w:p>
        </w:tc>
        <w:tc>
          <w:tcPr>
            <w:tcW w:w="170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i w:val="1"/>
                <w:iCs w:val="1"/>
                <w:color w:val="auto"/>
                <w:w w:val="92"/>
              </w:rPr>
              <w:t>GasLog Singapore</w:t>
            </w: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3"/>
              </w:rPr>
              <w:t>July 2010</w:t>
            </w:r>
          </w:p>
        </w:tc>
        <w:tc>
          <w:tcPr>
            <w:tcW w:w="0" w:type="dxa"/>
            <w:vAlign w:val="bottom"/>
          </w:tcPr>
          <w:p>
            <w:pPr>
              <w:spacing w:after="0"/>
              <w:rPr>
                <w:sz w:val="1"/>
                <w:szCs w:val="1"/>
                <w:color w:val="auto"/>
              </w:rPr>
            </w:pPr>
          </w:p>
        </w:tc>
      </w:tr>
      <w:tr>
        <w:trPr>
          <w:trHeight w:val="149"/>
        </w:trPr>
        <w:tc>
          <w:tcPr>
            <w:tcW w:w="2560" w:type="dxa"/>
            <w:vAlign w:val="bottom"/>
            <w:gridSpan w:val="2"/>
          </w:tcPr>
          <w:p>
            <w:pPr>
              <w:spacing w:after="0" w:line="149" w:lineRule="exact"/>
              <w:rPr>
                <w:sz w:val="20"/>
                <w:szCs w:val="20"/>
                <w:color w:val="auto"/>
              </w:rPr>
            </w:pPr>
            <w:r>
              <w:rPr>
                <w:rFonts w:ascii="Arial" w:cs="Arial" w:eastAsia="Arial" w:hAnsi="Arial"/>
                <w:sz w:val="14"/>
                <w:szCs w:val="14"/>
                <w:color w:val="auto"/>
              </w:rPr>
              <w:t>GAS-six Ltd.</w:t>
            </w:r>
          </w:p>
        </w:tc>
        <w:tc>
          <w:tcPr>
            <w:tcW w:w="1480" w:type="dxa"/>
            <w:vAlign w:val="bottom"/>
          </w:tcPr>
          <w:p>
            <w:pPr>
              <w:spacing w:after="0" w:line="149" w:lineRule="exact"/>
              <w:rPr>
                <w:sz w:val="20"/>
                <w:szCs w:val="20"/>
                <w:color w:val="auto"/>
              </w:rPr>
            </w:pPr>
            <w:r>
              <w:rPr>
                <w:rFonts w:ascii="Arial" w:cs="Arial" w:eastAsia="Arial" w:hAnsi="Arial"/>
                <w:sz w:val="14"/>
                <w:szCs w:val="14"/>
                <w:color w:val="auto"/>
              </w:rPr>
              <w:t>Bermuda</w:t>
            </w:r>
          </w:p>
        </w:tc>
        <w:tc>
          <w:tcPr>
            <w:tcW w:w="15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February 2011</w:t>
            </w:r>
          </w:p>
        </w:tc>
        <w:tc>
          <w:tcPr>
            <w:tcW w:w="19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Vessel-owning company</w:t>
            </w:r>
          </w:p>
        </w:tc>
        <w:tc>
          <w:tcPr>
            <w:tcW w:w="88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155,000</w:t>
            </w:r>
          </w:p>
        </w:tc>
        <w:tc>
          <w:tcPr>
            <w:tcW w:w="140" w:type="dxa"/>
            <w:vAlign w:val="bottom"/>
          </w:tcPr>
          <w:p>
            <w:pPr>
              <w:spacing w:after="0"/>
              <w:rPr>
                <w:sz w:val="12"/>
                <w:szCs w:val="12"/>
                <w:color w:val="auto"/>
              </w:rPr>
            </w:pP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i w:val="1"/>
                <w:iCs w:val="1"/>
                <w:color w:val="auto"/>
                <w:w w:val="89"/>
              </w:rPr>
              <w:t>GasLog Skagen</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3"/>
              </w:rPr>
              <w:t>July 2013</w:t>
            </w:r>
          </w:p>
        </w:tc>
        <w:tc>
          <w:tcPr>
            <w:tcW w:w="0" w:type="dxa"/>
            <w:vAlign w:val="bottom"/>
          </w:tcPr>
          <w:p>
            <w:pPr>
              <w:spacing w:after="0"/>
              <w:rPr>
                <w:sz w:val="1"/>
                <w:szCs w:val="1"/>
                <w:color w:val="auto"/>
              </w:rPr>
            </w:pPr>
          </w:p>
        </w:tc>
      </w:tr>
      <w:tr>
        <w:trPr>
          <w:trHeight w:val="149"/>
        </w:trPr>
        <w:tc>
          <w:tcPr>
            <w:tcW w:w="256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GAS-nine Ltd.</w:t>
            </w:r>
          </w:p>
        </w:tc>
        <w:tc>
          <w:tcPr>
            <w:tcW w:w="14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Bermuda</w:t>
            </w:r>
          </w:p>
        </w:tc>
        <w:tc>
          <w:tcPr>
            <w:tcW w:w="1500" w:type="dxa"/>
            <w:vAlign w:val="bottom"/>
            <w:gridSpan w:val="2"/>
            <w:shd w:val="clear" w:color="auto" w:fill="E5FFFF"/>
          </w:tcPr>
          <w:p>
            <w:pPr>
              <w:ind w:left="160"/>
              <w:spacing w:after="0" w:line="149" w:lineRule="exact"/>
              <w:rPr>
                <w:sz w:val="20"/>
                <w:szCs w:val="20"/>
                <w:color w:val="auto"/>
              </w:rPr>
            </w:pPr>
            <w:r>
              <w:rPr>
                <w:rFonts w:ascii="Arial" w:cs="Arial" w:eastAsia="Arial" w:hAnsi="Arial"/>
                <w:sz w:val="14"/>
                <w:szCs w:val="14"/>
                <w:color w:val="auto"/>
              </w:rPr>
              <w:t>June 2011</w:t>
            </w:r>
          </w:p>
        </w:tc>
        <w:tc>
          <w:tcPr>
            <w:tcW w:w="1920" w:type="dxa"/>
            <w:vAlign w:val="bottom"/>
            <w:gridSpan w:val="2"/>
            <w:shd w:val="clear" w:color="auto" w:fill="E5FFFF"/>
          </w:tcPr>
          <w:p>
            <w:pPr>
              <w:ind w:left="140"/>
              <w:spacing w:after="0" w:line="149" w:lineRule="exact"/>
              <w:rPr>
                <w:sz w:val="20"/>
                <w:szCs w:val="20"/>
                <w:color w:val="auto"/>
              </w:rPr>
            </w:pPr>
            <w:r>
              <w:rPr>
                <w:rFonts w:ascii="Arial" w:cs="Arial" w:eastAsia="Arial" w:hAnsi="Arial"/>
                <w:sz w:val="14"/>
                <w:szCs w:val="14"/>
                <w:color w:val="auto"/>
              </w:rPr>
              <w:t>Vessel-owning company</w:t>
            </w:r>
          </w:p>
        </w:tc>
        <w:tc>
          <w:tcPr>
            <w:tcW w:w="880" w:type="dxa"/>
            <w:vAlign w:val="bottom"/>
            <w:gridSpan w:val="2"/>
            <w:shd w:val="clear" w:color="auto" w:fill="E5FFFF"/>
          </w:tcPr>
          <w:p>
            <w:pPr>
              <w:jc w:val="right"/>
              <w:ind w:right="188"/>
              <w:spacing w:after="0" w:line="149" w:lineRule="exact"/>
              <w:rPr>
                <w:sz w:val="20"/>
                <w:szCs w:val="20"/>
                <w:color w:val="auto"/>
              </w:rPr>
            </w:pPr>
            <w:r>
              <w:rPr>
                <w:rFonts w:ascii="Arial" w:cs="Arial" w:eastAsia="Arial" w:hAnsi="Arial"/>
                <w:sz w:val="14"/>
                <w:szCs w:val="14"/>
                <w:color w:val="auto"/>
              </w:rPr>
              <w:t>155,000</w:t>
            </w:r>
          </w:p>
        </w:tc>
        <w:tc>
          <w:tcPr>
            <w:tcW w:w="140" w:type="dxa"/>
            <w:vAlign w:val="bottom"/>
            <w:shd w:val="clear" w:color="auto" w:fill="E5FFFF"/>
          </w:tcPr>
          <w:p>
            <w:pPr>
              <w:spacing w:after="0"/>
              <w:rPr>
                <w:sz w:val="12"/>
                <w:szCs w:val="12"/>
                <w:color w:val="auto"/>
              </w:rPr>
            </w:pPr>
          </w:p>
        </w:tc>
        <w:tc>
          <w:tcPr>
            <w:tcW w:w="170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i w:val="1"/>
                <w:iCs w:val="1"/>
                <w:color w:val="auto"/>
                <w:w w:val="92"/>
              </w:rPr>
              <w:t>GasLog Saratoga</w:t>
            </w: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2"/>
              </w:rPr>
              <w:t>December 2014</w:t>
            </w:r>
          </w:p>
        </w:tc>
        <w:tc>
          <w:tcPr>
            <w:tcW w:w="0" w:type="dxa"/>
            <w:vAlign w:val="bottom"/>
          </w:tcPr>
          <w:p>
            <w:pPr>
              <w:spacing w:after="0"/>
              <w:rPr>
                <w:sz w:val="1"/>
                <w:szCs w:val="1"/>
                <w:color w:val="auto"/>
              </w:rPr>
            </w:pPr>
          </w:p>
        </w:tc>
      </w:tr>
      <w:tr>
        <w:trPr>
          <w:trHeight w:val="149"/>
        </w:trPr>
        <w:tc>
          <w:tcPr>
            <w:tcW w:w="2560" w:type="dxa"/>
            <w:vAlign w:val="bottom"/>
            <w:gridSpan w:val="2"/>
          </w:tcPr>
          <w:p>
            <w:pPr>
              <w:spacing w:after="0" w:line="149" w:lineRule="exact"/>
              <w:rPr>
                <w:sz w:val="20"/>
                <w:szCs w:val="20"/>
                <w:color w:val="auto"/>
              </w:rPr>
            </w:pPr>
            <w:r>
              <w:rPr>
                <w:rFonts w:ascii="Arial" w:cs="Arial" w:eastAsia="Arial" w:hAnsi="Arial"/>
                <w:sz w:val="14"/>
                <w:szCs w:val="14"/>
                <w:color w:val="auto"/>
              </w:rPr>
              <w:t>GAS-ten Ltd.</w:t>
            </w:r>
          </w:p>
        </w:tc>
        <w:tc>
          <w:tcPr>
            <w:tcW w:w="1480" w:type="dxa"/>
            <w:vAlign w:val="bottom"/>
          </w:tcPr>
          <w:p>
            <w:pPr>
              <w:spacing w:after="0" w:line="149" w:lineRule="exact"/>
              <w:rPr>
                <w:sz w:val="20"/>
                <w:szCs w:val="20"/>
                <w:color w:val="auto"/>
              </w:rPr>
            </w:pPr>
            <w:r>
              <w:rPr>
                <w:rFonts w:ascii="Arial" w:cs="Arial" w:eastAsia="Arial" w:hAnsi="Arial"/>
                <w:sz w:val="14"/>
                <w:szCs w:val="14"/>
                <w:color w:val="auto"/>
              </w:rPr>
              <w:t>Bermuda</w:t>
            </w:r>
          </w:p>
        </w:tc>
        <w:tc>
          <w:tcPr>
            <w:tcW w:w="15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June 2011</w:t>
            </w:r>
          </w:p>
        </w:tc>
        <w:tc>
          <w:tcPr>
            <w:tcW w:w="19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Vessel-owning company</w:t>
            </w:r>
          </w:p>
        </w:tc>
        <w:tc>
          <w:tcPr>
            <w:tcW w:w="88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155,000</w:t>
            </w:r>
          </w:p>
        </w:tc>
        <w:tc>
          <w:tcPr>
            <w:tcW w:w="14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i w:val="1"/>
                <w:iCs w:val="1"/>
                <w:color w:val="auto"/>
                <w:w w:val="90"/>
              </w:rPr>
              <w:t>GasLog Salem</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rPr>
              <w:t>April 2015</w:t>
            </w:r>
          </w:p>
        </w:tc>
        <w:tc>
          <w:tcPr>
            <w:tcW w:w="0" w:type="dxa"/>
            <w:vAlign w:val="bottom"/>
          </w:tcPr>
          <w:p>
            <w:pPr>
              <w:spacing w:after="0"/>
              <w:rPr>
                <w:sz w:val="1"/>
                <w:szCs w:val="1"/>
                <w:color w:val="auto"/>
              </w:rPr>
            </w:pPr>
          </w:p>
        </w:tc>
      </w:tr>
      <w:tr>
        <w:trPr>
          <w:trHeight w:val="149"/>
        </w:trPr>
        <w:tc>
          <w:tcPr>
            <w:tcW w:w="256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GAS-fifteen Ltd.</w:t>
            </w:r>
          </w:p>
        </w:tc>
        <w:tc>
          <w:tcPr>
            <w:tcW w:w="14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Bermuda</w:t>
            </w:r>
          </w:p>
        </w:tc>
        <w:tc>
          <w:tcPr>
            <w:tcW w:w="1500" w:type="dxa"/>
            <w:vAlign w:val="bottom"/>
            <w:gridSpan w:val="2"/>
            <w:shd w:val="clear" w:color="auto" w:fill="E5FFFF"/>
          </w:tcPr>
          <w:p>
            <w:pPr>
              <w:ind w:left="160"/>
              <w:spacing w:after="0" w:line="149" w:lineRule="exact"/>
              <w:rPr>
                <w:sz w:val="20"/>
                <w:szCs w:val="20"/>
                <w:color w:val="auto"/>
              </w:rPr>
            </w:pPr>
            <w:r>
              <w:rPr>
                <w:rFonts w:ascii="Arial" w:cs="Arial" w:eastAsia="Arial" w:hAnsi="Arial"/>
                <w:sz w:val="14"/>
                <w:szCs w:val="14"/>
                <w:color w:val="auto"/>
              </w:rPr>
              <w:t>August 2013</w:t>
            </w:r>
          </w:p>
        </w:tc>
        <w:tc>
          <w:tcPr>
            <w:tcW w:w="1920" w:type="dxa"/>
            <w:vAlign w:val="bottom"/>
            <w:gridSpan w:val="2"/>
            <w:shd w:val="clear" w:color="auto" w:fill="E5FFFF"/>
          </w:tcPr>
          <w:p>
            <w:pPr>
              <w:ind w:left="140"/>
              <w:spacing w:after="0" w:line="149" w:lineRule="exact"/>
              <w:rPr>
                <w:sz w:val="20"/>
                <w:szCs w:val="20"/>
                <w:color w:val="auto"/>
              </w:rPr>
            </w:pPr>
            <w:r>
              <w:rPr>
                <w:rFonts w:ascii="Arial" w:cs="Arial" w:eastAsia="Arial" w:hAnsi="Arial"/>
                <w:sz w:val="14"/>
                <w:szCs w:val="14"/>
                <w:color w:val="auto"/>
              </w:rPr>
              <w:t>Vessel-owning company</w:t>
            </w:r>
          </w:p>
        </w:tc>
        <w:tc>
          <w:tcPr>
            <w:tcW w:w="880" w:type="dxa"/>
            <w:vAlign w:val="bottom"/>
            <w:gridSpan w:val="2"/>
            <w:shd w:val="clear" w:color="auto" w:fill="E5FFFF"/>
          </w:tcPr>
          <w:p>
            <w:pPr>
              <w:jc w:val="right"/>
              <w:ind w:right="188"/>
              <w:spacing w:after="0" w:line="149" w:lineRule="exact"/>
              <w:rPr>
                <w:sz w:val="20"/>
                <w:szCs w:val="20"/>
                <w:color w:val="auto"/>
              </w:rPr>
            </w:pPr>
            <w:r>
              <w:rPr>
                <w:rFonts w:ascii="Arial" w:cs="Arial" w:eastAsia="Arial" w:hAnsi="Arial"/>
                <w:sz w:val="14"/>
                <w:szCs w:val="14"/>
                <w:color w:val="auto"/>
              </w:rPr>
              <w:t>153,600</w:t>
            </w:r>
          </w:p>
        </w:tc>
        <w:tc>
          <w:tcPr>
            <w:tcW w:w="140" w:type="dxa"/>
            <w:vAlign w:val="bottom"/>
            <w:shd w:val="clear" w:color="auto" w:fill="E5FFFF"/>
          </w:tcPr>
          <w:p>
            <w:pPr>
              <w:spacing w:after="0"/>
              <w:rPr>
                <w:sz w:val="12"/>
                <w:szCs w:val="12"/>
                <w:color w:val="auto"/>
              </w:rPr>
            </w:pPr>
          </w:p>
        </w:tc>
        <w:tc>
          <w:tcPr>
            <w:tcW w:w="170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i w:val="1"/>
                <w:iCs w:val="1"/>
                <w:color w:val="auto"/>
                <w:w w:val="92"/>
              </w:rPr>
              <w:t>GasLog Chelsea</w:t>
            </w: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4"/>
              </w:rPr>
              <w:t>October 2013</w:t>
            </w:r>
          </w:p>
        </w:tc>
        <w:tc>
          <w:tcPr>
            <w:tcW w:w="0" w:type="dxa"/>
            <w:vAlign w:val="bottom"/>
          </w:tcPr>
          <w:p>
            <w:pPr>
              <w:spacing w:after="0"/>
              <w:rPr>
                <w:sz w:val="1"/>
                <w:szCs w:val="1"/>
                <w:color w:val="auto"/>
              </w:rPr>
            </w:pPr>
          </w:p>
        </w:tc>
      </w:tr>
      <w:tr>
        <w:trPr>
          <w:trHeight w:val="149"/>
        </w:trPr>
        <w:tc>
          <w:tcPr>
            <w:tcW w:w="2560" w:type="dxa"/>
            <w:vAlign w:val="bottom"/>
            <w:gridSpan w:val="2"/>
          </w:tcPr>
          <w:p>
            <w:pPr>
              <w:spacing w:after="0" w:line="149" w:lineRule="exact"/>
              <w:rPr>
                <w:sz w:val="20"/>
                <w:szCs w:val="20"/>
                <w:color w:val="auto"/>
              </w:rPr>
            </w:pPr>
            <w:r>
              <w:rPr>
                <w:rFonts w:ascii="Arial" w:cs="Arial" w:eastAsia="Arial" w:hAnsi="Arial"/>
                <w:sz w:val="14"/>
                <w:szCs w:val="14"/>
                <w:color w:val="auto"/>
              </w:rPr>
              <w:t>GAS-eighteen Ltd.</w:t>
            </w:r>
          </w:p>
        </w:tc>
        <w:tc>
          <w:tcPr>
            <w:tcW w:w="1480" w:type="dxa"/>
            <w:vAlign w:val="bottom"/>
          </w:tcPr>
          <w:p>
            <w:pPr>
              <w:spacing w:after="0" w:line="149" w:lineRule="exact"/>
              <w:rPr>
                <w:sz w:val="20"/>
                <w:szCs w:val="20"/>
                <w:color w:val="auto"/>
              </w:rPr>
            </w:pPr>
            <w:r>
              <w:rPr>
                <w:rFonts w:ascii="Arial" w:cs="Arial" w:eastAsia="Arial" w:hAnsi="Arial"/>
                <w:sz w:val="14"/>
                <w:szCs w:val="14"/>
                <w:color w:val="auto"/>
              </w:rPr>
              <w:t>Bermuda</w:t>
            </w:r>
          </w:p>
        </w:tc>
        <w:tc>
          <w:tcPr>
            <w:tcW w:w="15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January 2014</w:t>
            </w:r>
          </w:p>
        </w:tc>
        <w:tc>
          <w:tcPr>
            <w:tcW w:w="19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Vessel-owning company</w:t>
            </w:r>
          </w:p>
        </w:tc>
        <w:tc>
          <w:tcPr>
            <w:tcW w:w="88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145,000</w:t>
            </w:r>
          </w:p>
        </w:tc>
        <w:tc>
          <w:tcPr>
            <w:tcW w:w="140" w:type="dxa"/>
            <w:vAlign w:val="bottom"/>
          </w:tcPr>
          <w:p>
            <w:pPr>
              <w:spacing w:after="0"/>
              <w:rPr>
                <w:sz w:val="12"/>
                <w:szCs w:val="12"/>
                <w:color w:val="auto"/>
              </w:rPr>
            </w:pP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i w:val="1"/>
                <w:iCs w:val="1"/>
                <w:color w:val="auto"/>
                <w:w w:val="90"/>
              </w:rPr>
              <w:t>Methane Lydon Volney</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rPr>
              <w:t>April 2014</w:t>
            </w:r>
          </w:p>
        </w:tc>
        <w:tc>
          <w:tcPr>
            <w:tcW w:w="0" w:type="dxa"/>
            <w:vAlign w:val="bottom"/>
          </w:tcPr>
          <w:p>
            <w:pPr>
              <w:spacing w:after="0"/>
              <w:rPr>
                <w:sz w:val="1"/>
                <w:szCs w:val="1"/>
                <w:color w:val="auto"/>
              </w:rPr>
            </w:pPr>
          </w:p>
        </w:tc>
      </w:tr>
      <w:tr>
        <w:trPr>
          <w:trHeight w:val="149"/>
        </w:trPr>
        <w:tc>
          <w:tcPr>
            <w:tcW w:w="256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GAS-twenty two Ltd.</w:t>
            </w:r>
          </w:p>
        </w:tc>
        <w:tc>
          <w:tcPr>
            <w:tcW w:w="14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Bermuda</w:t>
            </w:r>
          </w:p>
        </w:tc>
        <w:tc>
          <w:tcPr>
            <w:tcW w:w="1500" w:type="dxa"/>
            <w:vAlign w:val="bottom"/>
            <w:gridSpan w:val="2"/>
            <w:shd w:val="clear" w:color="auto" w:fill="E5FFFF"/>
          </w:tcPr>
          <w:p>
            <w:pPr>
              <w:ind w:left="160"/>
              <w:spacing w:after="0" w:line="149" w:lineRule="exact"/>
              <w:rPr>
                <w:sz w:val="20"/>
                <w:szCs w:val="20"/>
                <w:color w:val="auto"/>
              </w:rPr>
            </w:pPr>
            <w:r>
              <w:rPr>
                <w:rFonts w:ascii="Arial" w:cs="Arial" w:eastAsia="Arial" w:hAnsi="Arial"/>
                <w:sz w:val="14"/>
                <w:szCs w:val="14"/>
                <w:color w:val="auto"/>
              </w:rPr>
              <w:t>May 2014</w:t>
            </w:r>
          </w:p>
        </w:tc>
        <w:tc>
          <w:tcPr>
            <w:tcW w:w="1920" w:type="dxa"/>
            <w:vAlign w:val="bottom"/>
            <w:gridSpan w:val="2"/>
            <w:shd w:val="clear" w:color="auto" w:fill="E5FFFF"/>
          </w:tcPr>
          <w:p>
            <w:pPr>
              <w:ind w:left="140"/>
              <w:spacing w:after="0" w:line="149" w:lineRule="exact"/>
              <w:rPr>
                <w:sz w:val="20"/>
                <w:szCs w:val="20"/>
                <w:color w:val="auto"/>
              </w:rPr>
            </w:pPr>
            <w:r>
              <w:rPr>
                <w:rFonts w:ascii="Arial" w:cs="Arial" w:eastAsia="Arial" w:hAnsi="Arial"/>
                <w:sz w:val="14"/>
                <w:szCs w:val="14"/>
                <w:color w:val="auto"/>
              </w:rPr>
              <w:t>Vessel-owning company</w:t>
            </w:r>
          </w:p>
        </w:tc>
        <w:tc>
          <w:tcPr>
            <w:tcW w:w="880" w:type="dxa"/>
            <w:vAlign w:val="bottom"/>
            <w:gridSpan w:val="2"/>
            <w:shd w:val="clear" w:color="auto" w:fill="E5FFFF"/>
          </w:tcPr>
          <w:p>
            <w:pPr>
              <w:jc w:val="right"/>
              <w:ind w:right="188"/>
              <w:spacing w:after="0" w:line="149" w:lineRule="exact"/>
              <w:rPr>
                <w:sz w:val="20"/>
                <w:szCs w:val="20"/>
                <w:color w:val="auto"/>
              </w:rPr>
            </w:pPr>
            <w:r>
              <w:rPr>
                <w:rFonts w:ascii="Arial" w:cs="Arial" w:eastAsia="Arial" w:hAnsi="Arial"/>
                <w:sz w:val="14"/>
                <w:szCs w:val="14"/>
                <w:color w:val="auto"/>
              </w:rPr>
              <w:t>174,000</w:t>
            </w:r>
          </w:p>
        </w:tc>
        <w:tc>
          <w:tcPr>
            <w:tcW w:w="140" w:type="dxa"/>
            <w:vAlign w:val="bottom"/>
            <w:shd w:val="clear" w:color="auto" w:fill="E5FFFF"/>
          </w:tcPr>
          <w:p>
            <w:pPr>
              <w:spacing w:after="0"/>
              <w:rPr>
                <w:sz w:val="12"/>
                <w:szCs w:val="12"/>
                <w:color w:val="auto"/>
              </w:rPr>
            </w:pPr>
          </w:p>
        </w:tc>
        <w:tc>
          <w:tcPr>
            <w:tcW w:w="170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i w:val="1"/>
                <w:iCs w:val="1"/>
                <w:color w:val="auto"/>
                <w:w w:val="92"/>
              </w:rPr>
              <w:t>GasLog Genoa</w:t>
            </w: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4"/>
              </w:rPr>
              <w:t>March 2018</w:t>
            </w:r>
          </w:p>
        </w:tc>
        <w:tc>
          <w:tcPr>
            <w:tcW w:w="0" w:type="dxa"/>
            <w:vAlign w:val="bottom"/>
          </w:tcPr>
          <w:p>
            <w:pPr>
              <w:spacing w:after="0"/>
              <w:rPr>
                <w:sz w:val="1"/>
                <w:szCs w:val="1"/>
                <w:color w:val="auto"/>
              </w:rPr>
            </w:pPr>
          </w:p>
        </w:tc>
      </w:tr>
      <w:tr>
        <w:trPr>
          <w:trHeight w:val="149"/>
        </w:trPr>
        <w:tc>
          <w:tcPr>
            <w:tcW w:w="2560" w:type="dxa"/>
            <w:vAlign w:val="bottom"/>
            <w:gridSpan w:val="2"/>
          </w:tcPr>
          <w:p>
            <w:pPr>
              <w:spacing w:after="0" w:line="149" w:lineRule="exact"/>
              <w:rPr>
                <w:sz w:val="20"/>
                <w:szCs w:val="20"/>
                <w:color w:val="auto"/>
              </w:rPr>
            </w:pPr>
            <w:r>
              <w:rPr>
                <w:rFonts w:ascii="Arial" w:cs="Arial" w:eastAsia="Arial" w:hAnsi="Arial"/>
                <w:sz w:val="14"/>
                <w:szCs w:val="14"/>
                <w:color w:val="auto"/>
              </w:rPr>
              <w:t>GAS-twenty three Ltd.</w:t>
            </w:r>
          </w:p>
        </w:tc>
        <w:tc>
          <w:tcPr>
            <w:tcW w:w="1480" w:type="dxa"/>
            <w:vAlign w:val="bottom"/>
          </w:tcPr>
          <w:p>
            <w:pPr>
              <w:spacing w:after="0" w:line="149" w:lineRule="exact"/>
              <w:rPr>
                <w:sz w:val="20"/>
                <w:szCs w:val="20"/>
                <w:color w:val="auto"/>
              </w:rPr>
            </w:pPr>
            <w:r>
              <w:rPr>
                <w:rFonts w:ascii="Arial" w:cs="Arial" w:eastAsia="Arial" w:hAnsi="Arial"/>
                <w:sz w:val="14"/>
                <w:szCs w:val="14"/>
                <w:color w:val="auto"/>
              </w:rPr>
              <w:t>Bermuda</w:t>
            </w:r>
          </w:p>
        </w:tc>
        <w:tc>
          <w:tcPr>
            <w:tcW w:w="15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May 2014</w:t>
            </w:r>
          </w:p>
        </w:tc>
        <w:tc>
          <w:tcPr>
            <w:tcW w:w="19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Vessel-owning company</w:t>
            </w:r>
          </w:p>
        </w:tc>
        <w:tc>
          <w:tcPr>
            <w:tcW w:w="88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174,000</w:t>
            </w:r>
          </w:p>
        </w:tc>
        <w:tc>
          <w:tcPr>
            <w:tcW w:w="14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i w:val="1"/>
                <w:iCs w:val="1"/>
                <w:color w:val="auto"/>
                <w:w w:val="92"/>
              </w:rPr>
              <w:t>GasLog Gladstone</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4"/>
              </w:rPr>
              <w:t>March 2019</w:t>
            </w:r>
          </w:p>
        </w:tc>
        <w:tc>
          <w:tcPr>
            <w:tcW w:w="0" w:type="dxa"/>
            <w:vAlign w:val="bottom"/>
          </w:tcPr>
          <w:p>
            <w:pPr>
              <w:spacing w:after="0"/>
              <w:rPr>
                <w:sz w:val="1"/>
                <w:szCs w:val="1"/>
                <w:color w:val="auto"/>
              </w:rPr>
            </w:pPr>
          </w:p>
        </w:tc>
      </w:tr>
      <w:tr>
        <w:trPr>
          <w:trHeight w:val="149"/>
        </w:trPr>
        <w:tc>
          <w:tcPr>
            <w:tcW w:w="256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GAS-twenty four Ltd.</w:t>
            </w:r>
          </w:p>
        </w:tc>
        <w:tc>
          <w:tcPr>
            <w:tcW w:w="14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Bermuda</w:t>
            </w:r>
          </w:p>
        </w:tc>
        <w:tc>
          <w:tcPr>
            <w:tcW w:w="1500" w:type="dxa"/>
            <w:vAlign w:val="bottom"/>
            <w:gridSpan w:val="2"/>
            <w:shd w:val="clear" w:color="auto" w:fill="E5FFFF"/>
          </w:tcPr>
          <w:p>
            <w:pPr>
              <w:ind w:left="160"/>
              <w:spacing w:after="0" w:line="149" w:lineRule="exact"/>
              <w:rPr>
                <w:sz w:val="20"/>
                <w:szCs w:val="20"/>
                <w:color w:val="auto"/>
              </w:rPr>
            </w:pPr>
            <w:r>
              <w:rPr>
                <w:rFonts w:ascii="Arial" w:cs="Arial" w:eastAsia="Arial" w:hAnsi="Arial"/>
                <w:sz w:val="14"/>
                <w:szCs w:val="14"/>
                <w:color w:val="auto"/>
              </w:rPr>
              <w:t>June 2014</w:t>
            </w:r>
          </w:p>
        </w:tc>
        <w:tc>
          <w:tcPr>
            <w:tcW w:w="1920" w:type="dxa"/>
            <w:vAlign w:val="bottom"/>
            <w:gridSpan w:val="2"/>
            <w:shd w:val="clear" w:color="auto" w:fill="E5FFFF"/>
          </w:tcPr>
          <w:p>
            <w:pPr>
              <w:ind w:left="140"/>
              <w:spacing w:after="0" w:line="149" w:lineRule="exact"/>
              <w:rPr>
                <w:sz w:val="20"/>
                <w:szCs w:val="20"/>
                <w:color w:val="auto"/>
              </w:rPr>
            </w:pPr>
            <w:r>
              <w:rPr>
                <w:rFonts w:ascii="Arial" w:cs="Arial" w:eastAsia="Arial" w:hAnsi="Arial"/>
                <w:sz w:val="14"/>
                <w:szCs w:val="14"/>
                <w:color w:val="auto"/>
              </w:rPr>
              <w:t>Vessel-owning company</w:t>
            </w:r>
          </w:p>
        </w:tc>
        <w:tc>
          <w:tcPr>
            <w:tcW w:w="880" w:type="dxa"/>
            <w:vAlign w:val="bottom"/>
            <w:gridSpan w:val="2"/>
            <w:shd w:val="clear" w:color="auto" w:fill="E5FFFF"/>
          </w:tcPr>
          <w:p>
            <w:pPr>
              <w:jc w:val="right"/>
              <w:ind w:right="188"/>
              <w:spacing w:after="0" w:line="149" w:lineRule="exact"/>
              <w:rPr>
                <w:sz w:val="20"/>
                <w:szCs w:val="20"/>
                <w:color w:val="auto"/>
              </w:rPr>
            </w:pPr>
            <w:r>
              <w:rPr>
                <w:rFonts w:ascii="Arial" w:cs="Arial" w:eastAsia="Arial" w:hAnsi="Arial"/>
                <w:sz w:val="14"/>
                <w:szCs w:val="14"/>
                <w:color w:val="auto"/>
              </w:rPr>
              <w:t>174,000</w:t>
            </w:r>
          </w:p>
        </w:tc>
        <w:tc>
          <w:tcPr>
            <w:tcW w:w="140" w:type="dxa"/>
            <w:vAlign w:val="bottom"/>
            <w:shd w:val="clear" w:color="auto" w:fill="E5FFFF"/>
          </w:tcPr>
          <w:p>
            <w:pPr>
              <w:spacing w:after="0"/>
              <w:rPr>
                <w:sz w:val="12"/>
                <w:szCs w:val="12"/>
                <w:color w:val="auto"/>
              </w:rPr>
            </w:pPr>
          </w:p>
        </w:tc>
        <w:tc>
          <w:tcPr>
            <w:tcW w:w="170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i w:val="1"/>
                <w:iCs w:val="1"/>
                <w:color w:val="auto"/>
                <w:w w:val="93"/>
              </w:rPr>
              <w:t>GasLog Houston</w:t>
            </w: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89"/>
              </w:rPr>
              <w:t>January 2018</w:t>
            </w:r>
          </w:p>
        </w:tc>
        <w:tc>
          <w:tcPr>
            <w:tcW w:w="0" w:type="dxa"/>
            <w:vAlign w:val="bottom"/>
          </w:tcPr>
          <w:p>
            <w:pPr>
              <w:spacing w:after="0"/>
              <w:rPr>
                <w:sz w:val="1"/>
                <w:szCs w:val="1"/>
                <w:color w:val="auto"/>
              </w:rPr>
            </w:pPr>
          </w:p>
        </w:tc>
      </w:tr>
      <w:tr>
        <w:trPr>
          <w:trHeight w:val="149"/>
        </w:trPr>
        <w:tc>
          <w:tcPr>
            <w:tcW w:w="2560" w:type="dxa"/>
            <w:vAlign w:val="bottom"/>
            <w:gridSpan w:val="2"/>
          </w:tcPr>
          <w:p>
            <w:pPr>
              <w:spacing w:after="0" w:line="149" w:lineRule="exact"/>
              <w:rPr>
                <w:sz w:val="20"/>
                <w:szCs w:val="20"/>
                <w:color w:val="auto"/>
              </w:rPr>
            </w:pPr>
            <w:r>
              <w:rPr>
                <w:rFonts w:ascii="Arial" w:cs="Arial" w:eastAsia="Arial" w:hAnsi="Arial"/>
                <w:sz w:val="14"/>
                <w:szCs w:val="14"/>
                <w:color w:val="auto"/>
              </w:rPr>
              <w:t>GAS-twenty five Ltd.</w:t>
            </w:r>
          </w:p>
        </w:tc>
        <w:tc>
          <w:tcPr>
            <w:tcW w:w="1480" w:type="dxa"/>
            <w:vAlign w:val="bottom"/>
          </w:tcPr>
          <w:p>
            <w:pPr>
              <w:spacing w:after="0" w:line="149" w:lineRule="exact"/>
              <w:rPr>
                <w:sz w:val="20"/>
                <w:szCs w:val="20"/>
                <w:color w:val="auto"/>
              </w:rPr>
            </w:pPr>
            <w:r>
              <w:rPr>
                <w:rFonts w:ascii="Arial" w:cs="Arial" w:eastAsia="Arial" w:hAnsi="Arial"/>
                <w:sz w:val="14"/>
                <w:szCs w:val="14"/>
                <w:color w:val="auto"/>
              </w:rPr>
              <w:t>Bermuda</w:t>
            </w:r>
          </w:p>
        </w:tc>
        <w:tc>
          <w:tcPr>
            <w:tcW w:w="15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June 2014</w:t>
            </w:r>
          </w:p>
        </w:tc>
        <w:tc>
          <w:tcPr>
            <w:tcW w:w="19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Vessel-owning company</w:t>
            </w:r>
          </w:p>
        </w:tc>
        <w:tc>
          <w:tcPr>
            <w:tcW w:w="88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174,000</w:t>
            </w:r>
          </w:p>
        </w:tc>
        <w:tc>
          <w:tcPr>
            <w:tcW w:w="14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i w:val="1"/>
                <w:iCs w:val="1"/>
                <w:color w:val="auto"/>
                <w:w w:val="94"/>
              </w:rPr>
              <w:t>GasLog Hong Kong</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4"/>
              </w:rPr>
              <w:t>March 2018</w:t>
            </w:r>
          </w:p>
        </w:tc>
        <w:tc>
          <w:tcPr>
            <w:tcW w:w="0" w:type="dxa"/>
            <w:vAlign w:val="bottom"/>
          </w:tcPr>
          <w:p>
            <w:pPr>
              <w:spacing w:after="0"/>
              <w:rPr>
                <w:sz w:val="1"/>
                <w:szCs w:val="1"/>
                <w:color w:val="auto"/>
              </w:rPr>
            </w:pPr>
          </w:p>
        </w:tc>
      </w:tr>
      <w:tr>
        <w:trPr>
          <w:trHeight w:val="149"/>
        </w:trPr>
        <w:tc>
          <w:tcPr>
            <w:tcW w:w="256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GAS-twenty six Ltd.</w:t>
            </w:r>
          </w:p>
        </w:tc>
        <w:tc>
          <w:tcPr>
            <w:tcW w:w="14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Bermuda</w:t>
            </w:r>
          </w:p>
        </w:tc>
        <w:tc>
          <w:tcPr>
            <w:tcW w:w="1500" w:type="dxa"/>
            <w:vAlign w:val="bottom"/>
            <w:gridSpan w:val="2"/>
            <w:shd w:val="clear" w:color="auto" w:fill="E5FFFF"/>
          </w:tcPr>
          <w:p>
            <w:pPr>
              <w:ind w:left="160"/>
              <w:spacing w:after="0" w:line="149" w:lineRule="exact"/>
              <w:rPr>
                <w:sz w:val="20"/>
                <w:szCs w:val="20"/>
                <w:color w:val="auto"/>
              </w:rPr>
            </w:pPr>
            <w:r>
              <w:rPr>
                <w:rFonts w:ascii="Arial" w:cs="Arial" w:eastAsia="Arial" w:hAnsi="Arial"/>
                <w:sz w:val="14"/>
                <w:szCs w:val="14"/>
                <w:color w:val="auto"/>
              </w:rPr>
              <w:t>January 2015</w:t>
            </w:r>
          </w:p>
        </w:tc>
        <w:tc>
          <w:tcPr>
            <w:tcW w:w="1920" w:type="dxa"/>
            <w:vAlign w:val="bottom"/>
            <w:gridSpan w:val="2"/>
            <w:shd w:val="clear" w:color="auto" w:fill="E5FFFF"/>
          </w:tcPr>
          <w:p>
            <w:pPr>
              <w:ind w:left="140"/>
              <w:spacing w:after="0" w:line="149" w:lineRule="exact"/>
              <w:rPr>
                <w:sz w:val="20"/>
                <w:szCs w:val="20"/>
                <w:color w:val="auto"/>
              </w:rPr>
            </w:pPr>
            <w:r>
              <w:rPr>
                <w:rFonts w:ascii="Arial" w:cs="Arial" w:eastAsia="Arial" w:hAnsi="Arial"/>
                <w:sz w:val="14"/>
                <w:szCs w:val="14"/>
                <w:color w:val="auto"/>
              </w:rPr>
              <w:t>Lease asset company</w:t>
            </w:r>
          </w:p>
        </w:tc>
        <w:tc>
          <w:tcPr>
            <w:tcW w:w="880" w:type="dxa"/>
            <w:vAlign w:val="bottom"/>
            <w:gridSpan w:val="2"/>
            <w:shd w:val="clear" w:color="auto" w:fill="E5FFFF"/>
          </w:tcPr>
          <w:p>
            <w:pPr>
              <w:jc w:val="right"/>
              <w:ind w:right="188"/>
              <w:spacing w:after="0" w:line="149" w:lineRule="exact"/>
              <w:rPr>
                <w:sz w:val="20"/>
                <w:szCs w:val="20"/>
                <w:color w:val="auto"/>
              </w:rPr>
            </w:pPr>
            <w:r>
              <w:rPr>
                <w:rFonts w:ascii="Arial" w:cs="Arial" w:eastAsia="Arial" w:hAnsi="Arial"/>
                <w:sz w:val="14"/>
                <w:szCs w:val="14"/>
                <w:color w:val="auto"/>
              </w:rPr>
              <w:t>170,000</w:t>
            </w:r>
          </w:p>
        </w:tc>
        <w:tc>
          <w:tcPr>
            <w:tcW w:w="140" w:type="dxa"/>
            <w:vAlign w:val="bottom"/>
            <w:shd w:val="clear" w:color="auto" w:fill="E5FFFF"/>
          </w:tcPr>
          <w:p>
            <w:pPr>
              <w:spacing w:after="0"/>
              <w:rPr>
                <w:sz w:val="12"/>
                <w:szCs w:val="12"/>
                <w:color w:val="auto"/>
              </w:rPr>
            </w:pPr>
          </w:p>
        </w:tc>
        <w:tc>
          <w:tcPr>
            <w:tcW w:w="170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i w:val="1"/>
                <w:iCs w:val="1"/>
                <w:color w:val="auto"/>
                <w:w w:val="95"/>
              </w:rPr>
              <w:t>Methane Julia Louise</w:t>
            </w: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4"/>
              </w:rPr>
              <w:t>March 2015</w:t>
            </w:r>
          </w:p>
        </w:tc>
        <w:tc>
          <w:tcPr>
            <w:tcW w:w="0" w:type="dxa"/>
            <w:vAlign w:val="bottom"/>
          </w:tcPr>
          <w:p>
            <w:pPr>
              <w:spacing w:after="0"/>
              <w:rPr>
                <w:sz w:val="1"/>
                <w:szCs w:val="1"/>
                <w:color w:val="auto"/>
              </w:rPr>
            </w:pPr>
          </w:p>
        </w:tc>
      </w:tr>
      <w:tr>
        <w:trPr>
          <w:trHeight w:val="149"/>
        </w:trPr>
        <w:tc>
          <w:tcPr>
            <w:tcW w:w="2560" w:type="dxa"/>
            <w:vAlign w:val="bottom"/>
            <w:gridSpan w:val="2"/>
          </w:tcPr>
          <w:p>
            <w:pPr>
              <w:spacing w:after="0" w:line="149" w:lineRule="exact"/>
              <w:rPr>
                <w:sz w:val="20"/>
                <w:szCs w:val="20"/>
                <w:color w:val="auto"/>
              </w:rPr>
            </w:pPr>
            <w:r>
              <w:rPr>
                <w:rFonts w:ascii="Arial" w:cs="Arial" w:eastAsia="Arial" w:hAnsi="Arial"/>
                <w:sz w:val="14"/>
                <w:szCs w:val="14"/>
                <w:color w:val="auto"/>
              </w:rPr>
              <w:t>GAS-twenty eight Ltd.</w:t>
            </w:r>
          </w:p>
        </w:tc>
        <w:tc>
          <w:tcPr>
            <w:tcW w:w="1480" w:type="dxa"/>
            <w:vAlign w:val="bottom"/>
          </w:tcPr>
          <w:p>
            <w:pPr>
              <w:spacing w:after="0" w:line="149" w:lineRule="exact"/>
              <w:rPr>
                <w:sz w:val="20"/>
                <w:szCs w:val="20"/>
                <w:color w:val="auto"/>
              </w:rPr>
            </w:pPr>
            <w:r>
              <w:rPr>
                <w:rFonts w:ascii="Arial" w:cs="Arial" w:eastAsia="Arial" w:hAnsi="Arial"/>
                <w:sz w:val="14"/>
                <w:szCs w:val="14"/>
                <w:color w:val="auto"/>
              </w:rPr>
              <w:t>Bermuda</w:t>
            </w:r>
          </w:p>
        </w:tc>
        <w:tc>
          <w:tcPr>
            <w:tcW w:w="15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September 2016</w:t>
            </w:r>
          </w:p>
        </w:tc>
        <w:tc>
          <w:tcPr>
            <w:tcW w:w="19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Vessel-owning company</w:t>
            </w:r>
          </w:p>
        </w:tc>
        <w:tc>
          <w:tcPr>
            <w:tcW w:w="88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180,000</w:t>
            </w:r>
          </w:p>
        </w:tc>
        <w:tc>
          <w:tcPr>
            <w:tcW w:w="140" w:type="dxa"/>
            <w:vAlign w:val="bottom"/>
          </w:tcPr>
          <w:p>
            <w:pPr>
              <w:spacing w:after="0"/>
              <w:rPr>
                <w:sz w:val="12"/>
                <w:szCs w:val="12"/>
                <w:color w:val="auto"/>
              </w:rPr>
            </w:pP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Hull No. 2213</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88"/>
              </w:rPr>
              <w:t>Q2 2020</w:t>
            </w:r>
            <w:r>
              <w:rPr>
                <w:rFonts w:ascii="Arial" w:cs="Arial" w:eastAsia="Arial" w:hAnsi="Arial"/>
                <w:sz w:val="17"/>
                <w:szCs w:val="17"/>
                <w:color w:val="auto"/>
                <w:w w:val="88"/>
                <w:vertAlign w:val="superscript"/>
              </w:rPr>
              <w:t>(1)</w:t>
            </w:r>
          </w:p>
        </w:tc>
        <w:tc>
          <w:tcPr>
            <w:tcW w:w="0" w:type="dxa"/>
            <w:vAlign w:val="bottom"/>
          </w:tcPr>
          <w:p>
            <w:pPr>
              <w:spacing w:after="0"/>
              <w:rPr>
                <w:sz w:val="1"/>
                <w:szCs w:val="1"/>
                <w:color w:val="auto"/>
              </w:rPr>
            </w:pPr>
          </w:p>
        </w:tc>
      </w:tr>
      <w:tr>
        <w:trPr>
          <w:trHeight w:val="149"/>
        </w:trPr>
        <w:tc>
          <w:tcPr>
            <w:tcW w:w="256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GAS-twenty nine Ltd.</w:t>
            </w:r>
          </w:p>
        </w:tc>
        <w:tc>
          <w:tcPr>
            <w:tcW w:w="14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Bermuda</w:t>
            </w:r>
          </w:p>
        </w:tc>
        <w:tc>
          <w:tcPr>
            <w:tcW w:w="1500" w:type="dxa"/>
            <w:vAlign w:val="bottom"/>
            <w:gridSpan w:val="2"/>
            <w:shd w:val="clear" w:color="auto" w:fill="E5FFFF"/>
          </w:tcPr>
          <w:p>
            <w:pPr>
              <w:ind w:left="160"/>
              <w:spacing w:after="0" w:line="149" w:lineRule="exact"/>
              <w:rPr>
                <w:sz w:val="20"/>
                <w:szCs w:val="20"/>
                <w:color w:val="auto"/>
              </w:rPr>
            </w:pPr>
            <w:r>
              <w:rPr>
                <w:rFonts w:ascii="Arial" w:cs="Arial" w:eastAsia="Arial" w:hAnsi="Arial"/>
                <w:sz w:val="14"/>
                <w:szCs w:val="14"/>
                <w:color w:val="auto"/>
              </w:rPr>
              <w:t>September 2016</w:t>
            </w:r>
          </w:p>
        </w:tc>
        <w:tc>
          <w:tcPr>
            <w:tcW w:w="1920" w:type="dxa"/>
            <w:vAlign w:val="bottom"/>
            <w:gridSpan w:val="2"/>
            <w:shd w:val="clear" w:color="auto" w:fill="E5FFFF"/>
          </w:tcPr>
          <w:p>
            <w:pPr>
              <w:ind w:left="140"/>
              <w:spacing w:after="0" w:line="149" w:lineRule="exact"/>
              <w:rPr>
                <w:sz w:val="20"/>
                <w:szCs w:val="20"/>
                <w:color w:val="auto"/>
              </w:rPr>
            </w:pPr>
            <w:r>
              <w:rPr>
                <w:rFonts w:ascii="Arial" w:cs="Arial" w:eastAsia="Arial" w:hAnsi="Arial"/>
                <w:sz w:val="14"/>
                <w:szCs w:val="14"/>
                <w:color w:val="auto"/>
              </w:rPr>
              <w:t>Dormant</w:t>
            </w:r>
            <w:r>
              <w:rPr>
                <w:rFonts w:ascii="Arial" w:cs="Arial" w:eastAsia="Arial" w:hAnsi="Arial"/>
                <w:sz w:val="17"/>
                <w:szCs w:val="17"/>
                <w:color w:val="auto"/>
                <w:vertAlign w:val="superscript"/>
              </w:rPr>
              <w:t>(2)</w:t>
            </w:r>
          </w:p>
        </w:tc>
        <w:tc>
          <w:tcPr>
            <w:tcW w:w="160" w:type="dxa"/>
            <w:vAlign w:val="bottom"/>
            <w:shd w:val="clear" w:color="auto" w:fill="E5FFFF"/>
          </w:tcPr>
          <w:p>
            <w:pPr>
              <w:spacing w:after="0"/>
              <w:rPr>
                <w:sz w:val="12"/>
                <w:szCs w:val="12"/>
                <w:color w:val="auto"/>
              </w:rPr>
            </w:pPr>
          </w:p>
        </w:tc>
        <w:tc>
          <w:tcPr>
            <w:tcW w:w="860" w:type="dxa"/>
            <w:vAlign w:val="bottom"/>
            <w:gridSpan w:val="2"/>
            <w:shd w:val="clear" w:color="auto" w:fill="E5FFFF"/>
          </w:tcPr>
          <w:p>
            <w:pPr>
              <w:jc w:val="center"/>
              <w:ind w:right="160"/>
              <w:spacing w:after="0" w:line="149" w:lineRule="exact"/>
              <w:rPr>
                <w:sz w:val="20"/>
                <w:szCs w:val="20"/>
                <w:color w:val="auto"/>
              </w:rPr>
            </w:pPr>
            <w:r>
              <w:rPr>
                <w:rFonts w:ascii="Arial" w:cs="Arial" w:eastAsia="Arial" w:hAnsi="Arial"/>
                <w:sz w:val="14"/>
                <w:szCs w:val="14"/>
                <w:color w:val="auto"/>
                <w:w w:val="99"/>
              </w:rPr>
              <w:t>—</w:t>
            </w:r>
          </w:p>
        </w:tc>
        <w:tc>
          <w:tcPr>
            <w:tcW w:w="170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60" w:type="dxa"/>
            <w:vAlign w:val="bottom"/>
            <w:gridSpan w:val="2"/>
          </w:tcPr>
          <w:p>
            <w:pPr>
              <w:spacing w:after="0" w:line="149" w:lineRule="exact"/>
              <w:rPr>
                <w:sz w:val="20"/>
                <w:szCs w:val="20"/>
                <w:color w:val="auto"/>
              </w:rPr>
            </w:pPr>
            <w:r>
              <w:rPr>
                <w:rFonts w:ascii="Arial" w:cs="Arial" w:eastAsia="Arial" w:hAnsi="Arial"/>
                <w:sz w:val="14"/>
                <w:szCs w:val="14"/>
                <w:color w:val="auto"/>
              </w:rPr>
              <w:t>GAS-thirty Ltd.</w:t>
            </w:r>
          </w:p>
        </w:tc>
        <w:tc>
          <w:tcPr>
            <w:tcW w:w="1480" w:type="dxa"/>
            <w:vAlign w:val="bottom"/>
          </w:tcPr>
          <w:p>
            <w:pPr>
              <w:spacing w:after="0" w:line="149" w:lineRule="exact"/>
              <w:rPr>
                <w:sz w:val="20"/>
                <w:szCs w:val="20"/>
                <w:color w:val="auto"/>
              </w:rPr>
            </w:pPr>
            <w:r>
              <w:rPr>
                <w:rFonts w:ascii="Arial" w:cs="Arial" w:eastAsia="Arial" w:hAnsi="Arial"/>
                <w:sz w:val="14"/>
                <w:szCs w:val="14"/>
                <w:color w:val="auto"/>
              </w:rPr>
              <w:t>Bermuda</w:t>
            </w:r>
          </w:p>
        </w:tc>
        <w:tc>
          <w:tcPr>
            <w:tcW w:w="15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December 2017</w:t>
            </w:r>
          </w:p>
        </w:tc>
        <w:tc>
          <w:tcPr>
            <w:tcW w:w="19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Vessel-owning company</w:t>
            </w:r>
          </w:p>
        </w:tc>
        <w:tc>
          <w:tcPr>
            <w:tcW w:w="88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180,000</w:t>
            </w:r>
          </w:p>
        </w:tc>
        <w:tc>
          <w:tcPr>
            <w:tcW w:w="140" w:type="dxa"/>
            <w:vAlign w:val="bottom"/>
          </w:tcPr>
          <w:p>
            <w:pPr>
              <w:spacing w:after="0"/>
              <w:rPr>
                <w:sz w:val="12"/>
                <w:szCs w:val="12"/>
                <w:color w:val="auto"/>
              </w:rPr>
            </w:pP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Hull No. 2262</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88"/>
              </w:rPr>
              <w:t>Q3 2020</w:t>
            </w:r>
            <w:r>
              <w:rPr>
                <w:rFonts w:ascii="Arial" w:cs="Arial" w:eastAsia="Arial" w:hAnsi="Arial"/>
                <w:sz w:val="17"/>
                <w:szCs w:val="17"/>
                <w:color w:val="auto"/>
                <w:w w:val="88"/>
                <w:vertAlign w:val="superscript"/>
              </w:rPr>
              <w:t>(1)</w:t>
            </w:r>
          </w:p>
        </w:tc>
        <w:tc>
          <w:tcPr>
            <w:tcW w:w="0" w:type="dxa"/>
            <w:vAlign w:val="bottom"/>
          </w:tcPr>
          <w:p>
            <w:pPr>
              <w:spacing w:after="0"/>
              <w:rPr>
                <w:sz w:val="1"/>
                <w:szCs w:val="1"/>
                <w:color w:val="auto"/>
              </w:rPr>
            </w:pPr>
          </w:p>
        </w:tc>
      </w:tr>
      <w:tr>
        <w:trPr>
          <w:trHeight w:val="149"/>
        </w:trPr>
        <w:tc>
          <w:tcPr>
            <w:tcW w:w="256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GAS-thirty one Ltd.</w:t>
            </w:r>
          </w:p>
        </w:tc>
        <w:tc>
          <w:tcPr>
            <w:tcW w:w="14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Bermuda</w:t>
            </w:r>
          </w:p>
        </w:tc>
        <w:tc>
          <w:tcPr>
            <w:tcW w:w="1500" w:type="dxa"/>
            <w:vAlign w:val="bottom"/>
            <w:gridSpan w:val="2"/>
            <w:shd w:val="clear" w:color="auto" w:fill="E5FFFF"/>
          </w:tcPr>
          <w:p>
            <w:pPr>
              <w:ind w:left="160"/>
              <w:spacing w:after="0" w:line="149" w:lineRule="exact"/>
              <w:rPr>
                <w:sz w:val="20"/>
                <w:szCs w:val="20"/>
                <w:color w:val="auto"/>
              </w:rPr>
            </w:pPr>
            <w:r>
              <w:rPr>
                <w:rFonts w:ascii="Arial" w:cs="Arial" w:eastAsia="Arial" w:hAnsi="Arial"/>
                <w:sz w:val="14"/>
                <w:szCs w:val="14"/>
                <w:color w:val="auto"/>
              </w:rPr>
              <w:t>December 2017</w:t>
            </w:r>
          </w:p>
        </w:tc>
        <w:tc>
          <w:tcPr>
            <w:tcW w:w="1920" w:type="dxa"/>
            <w:vAlign w:val="bottom"/>
            <w:gridSpan w:val="2"/>
            <w:shd w:val="clear" w:color="auto" w:fill="E5FFFF"/>
          </w:tcPr>
          <w:p>
            <w:pPr>
              <w:ind w:left="140"/>
              <w:spacing w:after="0" w:line="149" w:lineRule="exact"/>
              <w:rPr>
                <w:sz w:val="20"/>
                <w:szCs w:val="20"/>
                <w:color w:val="auto"/>
              </w:rPr>
            </w:pPr>
            <w:r>
              <w:rPr>
                <w:rFonts w:ascii="Arial" w:cs="Arial" w:eastAsia="Arial" w:hAnsi="Arial"/>
                <w:sz w:val="14"/>
                <w:szCs w:val="14"/>
                <w:color w:val="auto"/>
              </w:rPr>
              <w:t>Vessel-owning company</w:t>
            </w:r>
          </w:p>
        </w:tc>
        <w:tc>
          <w:tcPr>
            <w:tcW w:w="880" w:type="dxa"/>
            <w:vAlign w:val="bottom"/>
            <w:gridSpan w:val="2"/>
            <w:shd w:val="clear" w:color="auto" w:fill="E5FFFF"/>
          </w:tcPr>
          <w:p>
            <w:pPr>
              <w:jc w:val="right"/>
              <w:ind w:right="188"/>
              <w:spacing w:after="0" w:line="149" w:lineRule="exact"/>
              <w:rPr>
                <w:sz w:val="20"/>
                <w:szCs w:val="20"/>
                <w:color w:val="auto"/>
              </w:rPr>
            </w:pPr>
            <w:r>
              <w:rPr>
                <w:rFonts w:ascii="Arial" w:cs="Arial" w:eastAsia="Arial" w:hAnsi="Arial"/>
                <w:sz w:val="14"/>
                <w:szCs w:val="14"/>
                <w:color w:val="auto"/>
              </w:rPr>
              <w:t>180,000</w:t>
            </w:r>
          </w:p>
        </w:tc>
        <w:tc>
          <w:tcPr>
            <w:tcW w:w="140" w:type="dxa"/>
            <w:vAlign w:val="bottom"/>
            <w:shd w:val="clear" w:color="auto" w:fill="E5FFFF"/>
          </w:tcPr>
          <w:p>
            <w:pPr>
              <w:spacing w:after="0"/>
              <w:rPr>
                <w:sz w:val="12"/>
                <w:szCs w:val="12"/>
                <w:color w:val="auto"/>
              </w:rPr>
            </w:pPr>
          </w:p>
        </w:tc>
        <w:tc>
          <w:tcPr>
            <w:tcW w:w="170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6"/>
              </w:rPr>
              <w:t>Hull No. 2274</w:t>
            </w: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88"/>
              </w:rPr>
              <w:t>Q2 2020</w:t>
            </w:r>
            <w:r>
              <w:rPr>
                <w:rFonts w:ascii="Arial" w:cs="Arial" w:eastAsia="Arial" w:hAnsi="Arial"/>
                <w:sz w:val="17"/>
                <w:szCs w:val="17"/>
                <w:color w:val="auto"/>
                <w:w w:val="88"/>
                <w:vertAlign w:val="superscript"/>
              </w:rPr>
              <w:t>(1)</w:t>
            </w:r>
          </w:p>
        </w:tc>
        <w:tc>
          <w:tcPr>
            <w:tcW w:w="0" w:type="dxa"/>
            <w:vAlign w:val="bottom"/>
          </w:tcPr>
          <w:p>
            <w:pPr>
              <w:spacing w:after="0"/>
              <w:rPr>
                <w:sz w:val="1"/>
                <w:szCs w:val="1"/>
                <w:color w:val="auto"/>
              </w:rPr>
            </w:pPr>
          </w:p>
        </w:tc>
      </w:tr>
      <w:tr>
        <w:trPr>
          <w:trHeight w:val="149"/>
        </w:trPr>
        <w:tc>
          <w:tcPr>
            <w:tcW w:w="2560" w:type="dxa"/>
            <w:vAlign w:val="bottom"/>
            <w:gridSpan w:val="2"/>
          </w:tcPr>
          <w:p>
            <w:pPr>
              <w:spacing w:after="0" w:line="149" w:lineRule="exact"/>
              <w:rPr>
                <w:sz w:val="20"/>
                <w:szCs w:val="20"/>
                <w:color w:val="auto"/>
              </w:rPr>
            </w:pPr>
            <w:r>
              <w:rPr>
                <w:rFonts w:ascii="Arial" w:cs="Arial" w:eastAsia="Arial" w:hAnsi="Arial"/>
                <w:sz w:val="14"/>
                <w:szCs w:val="14"/>
                <w:color w:val="auto"/>
              </w:rPr>
              <w:t>GAS-thirty two Ltd.</w:t>
            </w:r>
          </w:p>
        </w:tc>
        <w:tc>
          <w:tcPr>
            <w:tcW w:w="1480" w:type="dxa"/>
            <w:vAlign w:val="bottom"/>
          </w:tcPr>
          <w:p>
            <w:pPr>
              <w:spacing w:after="0" w:line="149" w:lineRule="exact"/>
              <w:rPr>
                <w:sz w:val="20"/>
                <w:szCs w:val="20"/>
                <w:color w:val="auto"/>
              </w:rPr>
            </w:pPr>
            <w:r>
              <w:rPr>
                <w:rFonts w:ascii="Arial" w:cs="Arial" w:eastAsia="Arial" w:hAnsi="Arial"/>
                <w:sz w:val="14"/>
                <w:szCs w:val="14"/>
                <w:color w:val="auto"/>
              </w:rPr>
              <w:t>Bermuda</w:t>
            </w:r>
          </w:p>
        </w:tc>
        <w:tc>
          <w:tcPr>
            <w:tcW w:w="15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December 2017</w:t>
            </w:r>
          </w:p>
        </w:tc>
        <w:tc>
          <w:tcPr>
            <w:tcW w:w="19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Vessel-owning company</w:t>
            </w:r>
          </w:p>
        </w:tc>
        <w:tc>
          <w:tcPr>
            <w:tcW w:w="88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174,000</w:t>
            </w:r>
          </w:p>
        </w:tc>
        <w:tc>
          <w:tcPr>
            <w:tcW w:w="140" w:type="dxa"/>
            <w:vAlign w:val="bottom"/>
          </w:tcPr>
          <w:p>
            <w:pPr>
              <w:spacing w:after="0"/>
              <w:rPr>
                <w:sz w:val="12"/>
                <w:szCs w:val="12"/>
                <w:color w:val="auto"/>
              </w:rPr>
            </w:pP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Hull No. 2300</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88"/>
              </w:rPr>
              <w:t>Q4 2020</w:t>
            </w:r>
            <w:r>
              <w:rPr>
                <w:rFonts w:ascii="Arial" w:cs="Arial" w:eastAsia="Arial" w:hAnsi="Arial"/>
                <w:sz w:val="17"/>
                <w:szCs w:val="17"/>
                <w:color w:val="auto"/>
                <w:w w:val="88"/>
                <w:vertAlign w:val="superscript"/>
              </w:rPr>
              <w:t>(1)</w:t>
            </w:r>
          </w:p>
        </w:tc>
        <w:tc>
          <w:tcPr>
            <w:tcW w:w="0" w:type="dxa"/>
            <w:vAlign w:val="bottom"/>
          </w:tcPr>
          <w:p>
            <w:pPr>
              <w:spacing w:after="0"/>
              <w:rPr>
                <w:sz w:val="1"/>
                <w:szCs w:val="1"/>
                <w:color w:val="auto"/>
              </w:rPr>
            </w:pPr>
          </w:p>
        </w:tc>
      </w:tr>
      <w:tr>
        <w:trPr>
          <w:trHeight w:val="149"/>
        </w:trPr>
        <w:tc>
          <w:tcPr>
            <w:tcW w:w="256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GAS-thirty three Ltd.</w:t>
            </w:r>
          </w:p>
        </w:tc>
        <w:tc>
          <w:tcPr>
            <w:tcW w:w="14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Bermuda</w:t>
            </w:r>
          </w:p>
        </w:tc>
        <w:tc>
          <w:tcPr>
            <w:tcW w:w="1500" w:type="dxa"/>
            <w:vAlign w:val="bottom"/>
            <w:gridSpan w:val="2"/>
            <w:shd w:val="clear" w:color="auto" w:fill="E5FFFF"/>
          </w:tcPr>
          <w:p>
            <w:pPr>
              <w:ind w:left="160"/>
              <w:spacing w:after="0" w:line="149" w:lineRule="exact"/>
              <w:rPr>
                <w:sz w:val="20"/>
                <w:szCs w:val="20"/>
                <w:color w:val="auto"/>
              </w:rPr>
            </w:pPr>
            <w:r>
              <w:rPr>
                <w:rFonts w:ascii="Arial" w:cs="Arial" w:eastAsia="Arial" w:hAnsi="Arial"/>
                <w:sz w:val="14"/>
                <w:szCs w:val="14"/>
                <w:color w:val="auto"/>
              </w:rPr>
              <w:t>May 2018</w:t>
            </w:r>
          </w:p>
        </w:tc>
        <w:tc>
          <w:tcPr>
            <w:tcW w:w="1920" w:type="dxa"/>
            <w:vAlign w:val="bottom"/>
            <w:gridSpan w:val="2"/>
            <w:shd w:val="clear" w:color="auto" w:fill="E5FFFF"/>
          </w:tcPr>
          <w:p>
            <w:pPr>
              <w:ind w:left="140"/>
              <w:spacing w:after="0" w:line="149" w:lineRule="exact"/>
              <w:rPr>
                <w:sz w:val="20"/>
                <w:szCs w:val="20"/>
                <w:color w:val="auto"/>
              </w:rPr>
            </w:pPr>
            <w:r>
              <w:rPr>
                <w:rFonts w:ascii="Arial" w:cs="Arial" w:eastAsia="Arial" w:hAnsi="Arial"/>
                <w:sz w:val="14"/>
                <w:szCs w:val="14"/>
                <w:color w:val="auto"/>
              </w:rPr>
              <w:t>Vessel-owning company</w:t>
            </w:r>
          </w:p>
        </w:tc>
        <w:tc>
          <w:tcPr>
            <w:tcW w:w="880" w:type="dxa"/>
            <w:vAlign w:val="bottom"/>
            <w:gridSpan w:val="2"/>
            <w:shd w:val="clear" w:color="auto" w:fill="E5FFFF"/>
          </w:tcPr>
          <w:p>
            <w:pPr>
              <w:jc w:val="right"/>
              <w:ind w:right="188"/>
              <w:spacing w:after="0" w:line="149" w:lineRule="exact"/>
              <w:rPr>
                <w:sz w:val="20"/>
                <w:szCs w:val="20"/>
                <w:color w:val="auto"/>
              </w:rPr>
            </w:pPr>
            <w:r>
              <w:rPr>
                <w:rFonts w:ascii="Arial" w:cs="Arial" w:eastAsia="Arial" w:hAnsi="Arial"/>
                <w:sz w:val="14"/>
                <w:szCs w:val="14"/>
                <w:color w:val="auto"/>
              </w:rPr>
              <w:t>174,000</w:t>
            </w:r>
          </w:p>
        </w:tc>
        <w:tc>
          <w:tcPr>
            <w:tcW w:w="140" w:type="dxa"/>
            <w:vAlign w:val="bottom"/>
            <w:shd w:val="clear" w:color="auto" w:fill="E5FFFF"/>
          </w:tcPr>
          <w:p>
            <w:pPr>
              <w:spacing w:after="0"/>
              <w:rPr>
                <w:sz w:val="12"/>
                <w:szCs w:val="12"/>
                <w:color w:val="auto"/>
              </w:rPr>
            </w:pPr>
          </w:p>
        </w:tc>
        <w:tc>
          <w:tcPr>
            <w:tcW w:w="170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6"/>
              </w:rPr>
              <w:t>Hull No. 2301</w:t>
            </w: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88"/>
              </w:rPr>
              <w:t>Q4 2020</w:t>
            </w:r>
            <w:r>
              <w:rPr>
                <w:rFonts w:ascii="Arial" w:cs="Arial" w:eastAsia="Arial" w:hAnsi="Arial"/>
                <w:sz w:val="17"/>
                <w:szCs w:val="17"/>
                <w:color w:val="auto"/>
                <w:w w:val="88"/>
                <w:vertAlign w:val="superscript"/>
              </w:rPr>
              <w:t>(1)</w:t>
            </w:r>
          </w:p>
        </w:tc>
        <w:tc>
          <w:tcPr>
            <w:tcW w:w="0" w:type="dxa"/>
            <w:vAlign w:val="bottom"/>
          </w:tcPr>
          <w:p>
            <w:pPr>
              <w:spacing w:after="0"/>
              <w:rPr>
                <w:sz w:val="1"/>
                <w:szCs w:val="1"/>
                <w:color w:val="auto"/>
              </w:rPr>
            </w:pPr>
          </w:p>
        </w:tc>
      </w:tr>
      <w:tr>
        <w:trPr>
          <w:trHeight w:val="149"/>
        </w:trPr>
        <w:tc>
          <w:tcPr>
            <w:tcW w:w="2560" w:type="dxa"/>
            <w:vAlign w:val="bottom"/>
            <w:gridSpan w:val="2"/>
          </w:tcPr>
          <w:p>
            <w:pPr>
              <w:spacing w:after="0" w:line="149" w:lineRule="exact"/>
              <w:rPr>
                <w:sz w:val="20"/>
                <w:szCs w:val="20"/>
                <w:color w:val="auto"/>
              </w:rPr>
            </w:pPr>
            <w:r>
              <w:rPr>
                <w:rFonts w:ascii="Arial" w:cs="Arial" w:eastAsia="Arial" w:hAnsi="Arial"/>
                <w:sz w:val="14"/>
                <w:szCs w:val="14"/>
                <w:color w:val="auto"/>
              </w:rPr>
              <w:t>GAS-thirty four Ltd.</w:t>
            </w:r>
          </w:p>
        </w:tc>
        <w:tc>
          <w:tcPr>
            <w:tcW w:w="1480" w:type="dxa"/>
            <w:vAlign w:val="bottom"/>
          </w:tcPr>
          <w:p>
            <w:pPr>
              <w:spacing w:after="0" w:line="149" w:lineRule="exact"/>
              <w:rPr>
                <w:sz w:val="20"/>
                <w:szCs w:val="20"/>
                <w:color w:val="auto"/>
              </w:rPr>
            </w:pPr>
            <w:r>
              <w:rPr>
                <w:rFonts w:ascii="Arial" w:cs="Arial" w:eastAsia="Arial" w:hAnsi="Arial"/>
                <w:sz w:val="14"/>
                <w:szCs w:val="14"/>
                <w:color w:val="auto"/>
              </w:rPr>
              <w:t>Bermuda</w:t>
            </w:r>
          </w:p>
        </w:tc>
        <w:tc>
          <w:tcPr>
            <w:tcW w:w="15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May 2018</w:t>
            </w:r>
          </w:p>
        </w:tc>
        <w:tc>
          <w:tcPr>
            <w:tcW w:w="19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Vessel-owning company</w:t>
            </w:r>
          </w:p>
        </w:tc>
        <w:tc>
          <w:tcPr>
            <w:tcW w:w="88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180,000</w:t>
            </w:r>
          </w:p>
        </w:tc>
        <w:tc>
          <w:tcPr>
            <w:tcW w:w="140" w:type="dxa"/>
            <w:vAlign w:val="bottom"/>
          </w:tcPr>
          <w:p>
            <w:pPr>
              <w:spacing w:after="0"/>
              <w:rPr>
                <w:sz w:val="12"/>
                <w:szCs w:val="12"/>
                <w:color w:val="auto"/>
              </w:rPr>
            </w:pP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Hull No. 2311</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88"/>
              </w:rPr>
              <w:t>Q2 2021</w:t>
            </w:r>
            <w:r>
              <w:rPr>
                <w:rFonts w:ascii="Arial" w:cs="Arial" w:eastAsia="Arial" w:hAnsi="Arial"/>
                <w:sz w:val="17"/>
                <w:szCs w:val="17"/>
                <w:color w:val="auto"/>
                <w:w w:val="88"/>
                <w:vertAlign w:val="superscript"/>
              </w:rPr>
              <w:t>(1)</w:t>
            </w:r>
          </w:p>
        </w:tc>
        <w:tc>
          <w:tcPr>
            <w:tcW w:w="0" w:type="dxa"/>
            <w:vAlign w:val="bottom"/>
          </w:tcPr>
          <w:p>
            <w:pPr>
              <w:spacing w:after="0"/>
              <w:rPr>
                <w:sz w:val="1"/>
                <w:szCs w:val="1"/>
                <w:color w:val="auto"/>
              </w:rPr>
            </w:pPr>
          </w:p>
        </w:tc>
      </w:tr>
      <w:tr>
        <w:trPr>
          <w:trHeight w:val="149"/>
        </w:trPr>
        <w:tc>
          <w:tcPr>
            <w:tcW w:w="256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GAS-thirty five Ltd.</w:t>
            </w:r>
          </w:p>
        </w:tc>
        <w:tc>
          <w:tcPr>
            <w:tcW w:w="14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Bermuda</w:t>
            </w:r>
          </w:p>
        </w:tc>
        <w:tc>
          <w:tcPr>
            <w:tcW w:w="1500" w:type="dxa"/>
            <w:vAlign w:val="bottom"/>
            <w:gridSpan w:val="2"/>
            <w:shd w:val="clear" w:color="auto" w:fill="E5FFFF"/>
          </w:tcPr>
          <w:p>
            <w:pPr>
              <w:ind w:left="160"/>
              <w:spacing w:after="0" w:line="149" w:lineRule="exact"/>
              <w:rPr>
                <w:sz w:val="20"/>
                <w:szCs w:val="20"/>
                <w:color w:val="auto"/>
              </w:rPr>
            </w:pPr>
            <w:r>
              <w:rPr>
                <w:rFonts w:ascii="Arial" w:cs="Arial" w:eastAsia="Arial" w:hAnsi="Arial"/>
                <w:sz w:val="14"/>
                <w:szCs w:val="14"/>
                <w:color w:val="auto"/>
              </w:rPr>
              <w:t>December 2018</w:t>
            </w:r>
          </w:p>
        </w:tc>
        <w:tc>
          <w:tcPr>
            <w:tcW w:w="1920" w:type="dxa"/>
            <w:vAlign w:val="bottom"/>
            <w:gridSpan w:val="2"/>
            <w:shd w:val="clear" w:color="auto" w:fill="E5FFFF"/>
          </w:tcPr>
          <w:p>
            <w:pPr>
              <w:ind w:left="140"/>
              <w:spacing w:after="0" w:line="149" w:lineRule="exact"/>
              <w:rPr>
                <w:sz w:val="20"/>
                <w:szCs w:val="20"/>
                <w:color w:val="auto"/>
              </w:rPr>
            </w:pPr>
            <w:r>
              <w:rPr>
                <w:rFonts w:ascii="Arial" w:cs="Arial" w:eastAsia="Arial" w:hAnsi="Arial"/>
                <w:sz w:val="14"/>
                <w:szCs w:val="14"/>
                <w:color w:val="auto"/>
              </w:rPr>
              <w:t>Vessel-owning company</w:t>
            </w:r>
          </w:p>
        </w:tc>
        <w:tc>
          <w:tcPr>
            <w:tcW w:w="880" w:type="dxa"/>
            <w:vAlign w:val="bottom"/>
            <w:gridSpan w:val="2"/>
            <w:shd w:val="clear" w:color="auto" w:fill="E5FFFF"/>
          </w:tcPr>
          <w:p>
            <w:pPr>
              <w:jc w:val="right"/>
              <w:ind w:right="188"/>
              <w:spacing w:after="0" w:line="149" w:lineRule="exact"/>
              <w:rPr>
                <w:sz w:val="20"/>
                <w:szCs w:val="20"/>
                <w:color w:val="auto"/>
              </w:rPr>
            </w:pPr>
            <w:r>
              <w:rPr>
                <w:rFonts w:ascii="Arial" w:cs="Arial" w:eastAsia="Arial" w:hAnsi="Arial"/>
                <w:sz w:val="14"/>
                <w:szCs w:val="14"/>
                <w:color w:val="auto"/>
              </w:rPr>
              <w:t>180,000</w:t>
            </w:r>
          </w:p>
        </w:tc>
        <w:tc>
          <w:tcPr>
            <w:tcW w:w="140" w:type="dxa"/>
            <w:vAlign w:val="bottom"/>
            <w:shd w:val="clear" w:color="auto" w:fill="E5FFFF"/>
          </w:tcPr>
          <w:p>
            <w:pPr>
              <w:spacing w:after="0"/>
              <w:rPr>
                <w:sz w:val="12"/>
                <w:szCs w:val="12"/>
                <w:color w:val="auto"/>
              </w:rPr>
            </w:pPr>
          </w:p>
        </w:tc>
        <w:tc>
          <w:tcPr>
            <w:tcW w:w="170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6"/>
              </w:rPr>
              <w:t>Hull No. 2312</w:t>
            </w: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88"/>
              </w:rPr>
              <w:t>Q3 2021</w:t>
            </w:r>
            <w:r>
              <w:rPr>
                <w:rFonts w:ascii="Arial" w:cs="Arial" w:eastAsia="Arial" w:hAnsi="Arial"/>
                <w:sz w:val="17"/>
                <w:szCs w:val="17"/>
                <w:color w:val="auto"/>
                <w:w w:val="88"/>
                <w:vertAlign w:val="superscript"/>
              </w:rPr>
              <w:t>(1)</w:t>
            </w:r>
          </w:p>
        </w:tc>
        <w:tc>
          <w:tcPr>
            <w:tcW w:w="0" w:type="dxa"/>
            <w:vAlign w:val="bottom"/>
          </w:tcPr>
          <w:p>
            <w:pPr>
              <w:spacing w:after="0"/>
              <w:rPr>
                <w:sz w:val="1"/>
                <w:szCs w:val="1"/>
                <w:color w:val="auto"/>
              </w:rPr>
            </w:pPr>
          </w:p>
        </w:tc>
      </w:tr>
      <w:tr>
        <w:trPr>
          <w:trHeight w:val="149"/>
        </w:trPr>
        <w:tc>
          <w:tcPr>
            <w:tcW w:w="2560" w:type="dxa"/>
            <w:vAlign w:val="bottom"/>
            <w:gridSpan w:val="2"/>
          </w:tcPr>
          <w:p>
            <w:pPr>
              <w:spacing w:after="0" w:line="149" w:lineRule="exact"/>
              <w:rPr>
                <w:sz w:val="20"/>
                <w:szCs w:val="20"/>
                <w:color w:val="auto"/>
              </w:rPr>
            </w:pPr>
            <w:r>
              <w:rPr>
                <w:rFonts w:ascii="Arial" w:cs="Arial" w:eastAsia="Arial" w:hAnsi="Arial"/>
                <w:sz w:val="14"/>
                <w:szCs w:val="14"/>
                <w:color w:val="auto"/>
              </w:rPr>
              <w:t>GAS-thirty six Ltd.</w:t>
            </w:r>
          </w:p>
        </w:tc>
        <w:tc>
          <w:tcPr>
            <w:tcW w:w="1480" w:type="dxa"/>
            <w:vAlign w:val="bottom"/>
          </w:tcPr>
          <w:p>
            <w:pPr>
              <w:spacing w:after="0" w:line="149" w:lineRule="exact"/>
              <w:rPr>
                <w:sz w:val="20"/>
                <w:szCs w:val="20"/>
                <w:color w:val="auto"/>
              </w:rPr>
            </w:pPr>
            <w:r>
              <w:rPr>
                <w:rFonts w:ascii="Arial" w:cs="Arial" w:eastAsia="Arial" w:hAnsi="Arial"/>
                <w:sz w:val="14"/>
                <w:szCs w:val="14"/>
                <w:color w:val="auto"/>
              </w:rPr>
              <w:t>Bermuda</w:t>
            </w:r>
          </w:p>
        </w:tc>
        <w:tc>
          <w:tcPr>
            <w:tcW w:w="15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December 2018</w:t>
            </w:r>
          </w:p>
        </w:tc>
        <w:tc>
          <w:tcPr>
            <w:tcW w:w="19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Dormant</w:t>
            </w:r>
          </w:p>
        </w:tc>
        <w:tc>
          <w:tcPr>
            <w:tcW w:w="16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9"/>
              </w:rPr>
              <w:t>—</w:t>
            </w: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6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GAS-thirty seven Ltd.</w:t>
            </w:r>
          </w:p>
        </w:tc>
        <w:tc>
          <w:tcPr>
            <w:tcW w:w="14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Bermuda</w:t>
            </w:r>
          </w:p>
        </w:tc>
        <w:tc>
          <w:tcPr>
            <w:tcW w:w="1500" w:type="dxa"/>
            <w:vAlign w:val="bottom"/>
            <w:gridSpan w:val="2"/>
            <w:shd w:val="clear" w:color="auto" w:fill="E5FFFF"/>
          </w:tcPr>
          <w:p>
            <w:pPr>
              <w:ind w:left="160"/>
              <w:spacing w:after="0" w:line="149" w:lineRule="exact"/>
              <w:rPr>
                <w:sz w:val="20"/>
                <w:szCs w:val="20"/>
                <w:color w:val="auto"/>
              </w:rPr>
            </w:pPr>
            <w:r>
              <w:rPr>
                <w:rFonts w:ascii="Arial" w:cs="Arial" w:eastAsia="Arial" w:hAnsi="Arial"/>
                <w:sz w:val="14"/>
                <w:szCs w:val="14"/>
                <w:color w:val="auto"/>
              </w:rPr>
              <w:t>December 2018</w:t>
            </w:r>
          </w:p>
        </w:tc>
        <w:tc>
          <w:tcPr>
            <w:tcW w:w="1920" w:type="dxa"/>
            <w:vAlign w:val="bottom"/>
            <w:gridSpan w:val="2"/>
            <w:shd w:val="clear" w:color="auto" w:fill="E5FFFF"/>
          </w:tcPr>
          <w:p>
            <w:pPr>
              <w:ind w:left="140"/>
              <w:spacing w:after="0" w:line="149" w:lineRule="exact"/>
              <w:rPr>
                <w:sz w:val="20"/>
                <w:szCs w:val="20"/>
                <w:color w:val="auto"/>
              </w:rPr>
            </w:pPr>
            <w:r>
              <w:rPr>
                <w:rFonts w:ascii="Arial" w:cs="Arial" w:eastAsia="Arial" w:hAnsi="Arial"/>
                <w:sz w:val="14"/>
                <w:szCs w:val="14"/>
                <w:color w:val="auto"/>
              </w:rPr>
              <w:t>Dormant</w:t>
            </w:r>
          </w:p>
        </w:tc>
        <w:tc>
          <w:tcPr>
            <w:tcW w:w="160" w:type="dxa"/>
            <w:vAlign w:val="bottom"/>
            <w:shd w:val="clear" w:color="auto" w:fill="E5FFFF"/>
          </w:tcPr>
          <w:p>
            <w:pPr>
              <w:spacing w:after="0"/>
              <w:rPr>
                <w:sz w:val="12"/>
                <w:szCs w:val="12"/>
                <w:color w:val="auto"/>
              </w:rPr>
            </w:pPr>
          </w:p>
        </w:tc>
        <w:tc>
          <w:tcPr>
            <w:tcW w:w="860" w:type="dxa"/>
            <w:vAlign w:val="bottom"/>
            <w:gridSpan w:val="2"/>
            <w:shd w:val="clear" w:color="auto" w:fill="E5FFFF"/>
          </w:tcPr>
          <w:p>
            <w:pPr>
              <w:jc w:val="center"/>
              <w:ind w:right="160"/>
              <w:spacing w:after="0" w:line="149" w:lineRule="exact"/>
              <w:rPr>
                <w:sz w:val="20"/>
                <w:szCs w:val="20"/>
                <w:color w:val="auto"/>
              </w:rPr>
            </w:pPr>
            <w:r>
              <w:rPr>
                <w:rFonts w:ascii="Arial" w:cs="Arial" w:eastAsia="Arial" w:hAnsi="Arial"/>
                <w:sz w:val="14"/>
                <w:szCs w:val="14"/>
                <w:color w:val="auto"/>
                <w:w w:val="99"/>
              </w:rPr>
              <w:t>—</w:t>
            </w:r>
          </w:p>
        </w:tc>
        <w:tc>
          <w:tcPr>
            <w:tcW w:w="170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560" w:type="dxa"/>
            <w:vAlign w:val="bottom"/>
            <w:gridSpan w:val="2"/>
          </w:tcPr>
          <w:p>
            <w:pPr>
              <w:spacing w:after="0" w:line="130" w:lineRule="exact"/>
              <w:rPr>
                <w:sz w:val="20"/>
                <w:szCs w:val="20"/>
                <w:color w:val="auto"/>
              </w:rPr>
            </w:pPr>
            <w:r>
              <w:rPr>
                <w:rFonts w:ascii="Arial" w:cs="Arial" w:eastAsia="Arial" w:hAnsi="Arial"/>
                <w:sz w:val="14"/>
                <w:szCs w:val="14"/>
                <w:color w:val="auto"/>
              </w:rPr>
              <w:t>GasLog Hellas-1 Special Maritime</w:t>
            </w:r>
          </w:p>
        </w:tc>
        <w:tc>
          <w:tcPr>
            <w:tcW w:w="1480" w:type="dxa"/>
            <w:vAlign w:val="bottom"/>
          </w:tcPr>
          <w:p>
            <w:pPr>
              <w:spacing w:after="0" w:line="130" w:lineRule="exact"/>
              <w:rPr>
                <w:sz w:val="20"/>
                <w:szCs w:val="20"/>
                <w:color w:val="auto"/>
              </w:rPr>
            </w:pPr>
            <w:r>
              <w:rPr>
                <w:rFonts w:ascii="Arial" w:cs="Arial" w:eastAsia="Arial" w:hAnsi="Arial"/>
                <w:sz w:val="14"/>
                <w:szCs w:val="14"/>
                <w:color w:val="auto"/>
              </w:rPr>
              <w:t>Greece</w:t>
            </w:r>
          </w:p>
        </w:tc>
        <w:tc>
          <w:tcPr>
            <w:tcW w:w="150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June 2019</w:t>
            </w:r>
          </w:p>
        </w:tc>
        <w:tc>
          <w:tcPr>
            <w:tcW w:w="1920" w:type="dxa"/>
            <w:vAlign w:val="bottom"/>
            <w:gridSpan w:val="2"/>
          </w:tcPr>
          <w:p>
            <w:pPr>
              <w:ind w:left="140"/>
              <w:spacing w:after="0" w:line="130" w:lineRule="exact"/>
              <w:rPr>
                <w:sz w:val="20"/>
                <w:szCs w:val="20"/>
                <w:color w:val="auto"/>
              </w:rPr>
            </w:pPr>
            <w:r>
              <w:rPr>
                <w:rFonts w:ascii="Arial" w:cs="Arial" w:eastAsia="Arial" w:hAnsi="Arial"/>
                <w:sz w:val="14"/>
                <w:szCs w:val="14"/>
                <w:color w:val="auto"/>
              </w:rPr>
              <w:t>Vessel-owning company</w:t>
            </w:r>
          </w:p>
        </w:tc>
        <w:tc>
          <w:tcPr>
            <w:tcW w:w="880" w:type="dxa"/>
            <w:vAlign w:val="bottom"/>
            <w:gridSpan w:val="2"/>
          </w:tcPr>
          <w:p>
            <w:pPr>
              <w:jc w:val="right"/>
              <w:ind w:right="188"/>
              <w:spacing w:after="0" w:line="130" w:lineRule="exact"/>
              <w:rPr>
                <w:sz w:val="20"/>
                <w:szCs w:val="20"/>
                <w:color w:val="auto"/>
              </w:rPr>
            </w:pPr>
            <w:r>
              <w:rPr>
                <w:rFonts w:ascii="Arial" w:cs="Arial" w:eastAsia="Arial" w:hAnsi="Arial"/>
                <w:sz w:val="14"/>
                <w:szCs w:val="14"/>
                <w:color w:val="auto"/>
              </w:rPr>
              <w:t>180,000</w:t>
            </w:r>
          </w:p>
        </w:tc>
        <w:tc>
          <w:tcPr>
            <w:tcW w:w="140" w:type="dxa"/>
            <w:vAlign w:val="bottom"/>
          </w:tcPr>
          <w:p>
            <w:pPr>
              <w:spacing w:after="0"/>
              <w:rPr>
                <w:sz w:val="11"/>
                <w:szCs w:val="11"/>
                <w:color w:val="auto"/>
              </w:rPr>
            </w:pPr>
          </w:p>
        </w:tc>
        <w:tc>
          <w:tcPr>
            <w:tcW w:w="1700" w:type="dxa"/>
            <w:vAlign w:val="bottom"/>
            <w:gridSpan w:val="2"/>
          </w:tcPr>
          <w:p>
            <w:pPr>
              <w:jc w:val="center"/>
              <w:ind w:right="120"/>
              <w:spacing w:after="0" w:line="130" w:lineRule="exact"/>
              <w:rPr>
                <w:sz w:val="20"/>
                <w:szCs w:val="20"/>
                <w:color w:val="auto"/>
              </w:rPr>
            </w:pPr>
            <w:r>
              <w:rPr>
                <w:rFonts w:ascii="Arial" w:cs="Arial" w:eastAsia="Arial" w:hAnsi="Arial"/>
                <w:sz w:val="13"/>
                <w:szCs w:val="13"/>
                <w:i w:val="1"/>
                <w:iCs w:val="1"/>
                <w:color w:val="auto"/>
                <w:w w:val="97"/>
              </w:rPr>
              <w:t>GasLog Warsaw</w:t>
            </w:r>
            <w:r>
              <w:rPr>
                <w:rFonts w:ascii="Arial" w:cs="Arial" w:eastAsia="Arial" w:hAnsi="Arial"/>
                <w:sz w:val="15"/>
                <w:szCs w:val="15"/>
                <w:color w:val="auto"/>
                <w:w w:val="97"/>
                <w:vertAlign w:val="superscript"/>
              </w:rPr>
              <w:t>(2)</w:t>
            </w:r>
          </w:p>
        </w:tc>
        <w:tc>
          <w:tcPr>
            <w:tcW w:w="1240" w:type="dxa"/>
            <w:vAlign w:val="bottom"/>
          </w:tcPr>
          <w:p>
            <w:pPr>
              <w:jc w:val="center"/>
              <w:spacing w:after="0" w:line="130" w:lineRule="exact"/>
              <w:rPr>
                <w:sz w:val="20"/>
                <w:szCs w:val="20"/>
                <w:color w:val="auto"/>
              </w:rPr>
            </w:pPr>
            <w:r>
              <w:rPr>
                <w:rFonts w:ascii="Arial" w:cs="Arial" w:eastAsia="Arial" w:hAnsi="Arial"/>
                <w:sz w:val="14"/>
                <w:szCs w:val="14"/>
                <w:color w:val="auto"/>
                <w:w w:val="93"/>
              </w:rPr>
              <w:t>July 2019</w:t>
            </w:r>
          </w:p>
        </w:tc>
        <w:tc>
          <w:tcPr>
            <w:tcW w:w="0" w:type="dxa"/>
            <w:vAlign w:val="bottom"/>
          </w:tcPr>
          <w:p>
            <w:pPr>
              <w:spacing w:after="0"/>
              <w:rPr>
                <w:sz w:val="1"/>
                <w:szCs w:val="1"/>
                <w:color w:val="auto"/>
              </w:rPr>
            </w:pPr>
          </w:p>
        </w:tc>
      </w:tr>
      <w:tr>
        <w:trPr>
          <w:trHeight w:val="167"/>
        </w:trPr>
        <w:tc>
          <w:tcPr>
            <w:tcW w:w="2560" w:type="dxa"/>
            <w:vAlign w:val="bottom"/>
            <w:gridSpan w:val="2"/>
          </w:tcPr>
          <w:p>
            <w:pPr>
              <w:ind w:left="180"/>
              <w:spacing w:after="0"/>
              <w:rPr>
                <w:sz w:val="20"/>
                <w:szCs w:val="20"/>
                <w:color w:val="auto"/>
              </w:rPr>
            </w:pPr>
            <w:r>
              <w:rPr>
                <w:rFonts w:ascii="Arial" w:cs="Arial" w:eastAsia="Arial" w:hAnsi="Arial"/>
                <w:sz w:val="14"/>
                <w:szCs w:val="14"/>
                <w:color w:val="auto"/>
              </w:rPr>
              <w:t>Enterprise</w:t>
            </w: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6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GasLog Shipping Limited</w:t>
            </w:r>
          </w:p>
        </w:tc>
        <w:tc>
          <w:tcPr>
            <w:tcW w:w="14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BVI</w:t>
            </w:r>
          </w:p>
        </w:tc>
        <w:tc>
          <w:tcPr>
            <w:tcW w:w="1500" w:type="dxa"/>
            <w:vAlign w:val="bottom"/>
            <w:gridSpan w:val="2"/>
            <w:shd w:val="clear" w:color="auto" w:fill="E5FFFF"/>
          </w:tcPr>
          <w:p>
            <w:pPr>
              <w:ind w:left="160"/>
              <w:spacing w:after="0" w:line="149" w:lineRule="exact"/>
              <w:rPr>
                <w:sz w:val="20"/>
                <w:szCs w:val="20"/>
                <w:color w:val="auto"/>
              </w:rPr>
            </w:pPr>
            <w:r>
              <w:rPr>
                <w:rFonts w:ascii="Arial" w:cs="Arial" w:eastAsia="Arial" w:hAnsi="Arial"/>
                <w:sz w:val="14"/>
                <w:szCs w:val="14"/>
                <w:color w:val="auto"/>
              </w:rPr>
              <w:t>July 2003</w:t>
            </w:r>
          </w:p>
        </w:tc>
        <w:tc>
          <w:tcPr>
            <w:tcW w:w="1920" w:type="dxa"/>
            <w:vAlign w:val="bottom"/>
            <w:gridSpan w:val="2"/>
            <w:shd w:val="clear" w:color="auto" w:fill="E5FFFF"/>
          </w:tcPr>
          <w:p>
            <w:pPr>
              <w:ind w:left="140"/>
              <w:spacing w:after="0" w:line="149" w:lineRule="exact"/>
              <w:rPr>
                <w:sz w:val="20"/>
                <w:szCs w:val="20"/>
                <w:color w:val="auto"/>
              </w:rPr>
            </w:pPr>
            <w:r>
              <w:rPr>
                <w:rFonts w:ascii="Arial" w:cs="Arial" w:eastAsia="Arial" w:hAnsi="Arial"/>
                <w:sz w:val="14"/>
                <w:szCs w:val="14"/>
                <w:color w:val="auto"/>
              </w:rPr>
              <w:t>In Liquidation</w:t>
            </w:r>
          </w:p>
        </w:tc>
        <w:tc>
          <w:tcPr>
            <w:tcW w:w="160" w:type="dxa"/>
            <w:vAlign w:val="bottom"/>
            <w:shd w:val="clear" w:color="auto" w:fill="E5FFFF"/>
          </w:tcPr>
          <w:p>
            <w:pPr>
              <w:spacing w:after="0"/>
              <w:rPr>
                <w:sz w:val="12"/>
                <w:szCs w:val="12"/>
                <w:color w:val="auto"/>
              </w:rPr>
            </w:pPr>
          </w:p>
        </w:tc>
        <w:tc>
          <w:tcPr>
            <w:tcW w:w="860" w:type="dxa"/>
            <w:vAlign w:val="bottom"/>
            <w:gridSpan w:val="2"/>
            <w:shd w:val="clear" w:color="auto" w:fill="E5FFFF"/>
          </w:tcPr>
          <w:p>
            <w:pPr>
              <w:jc w:val="center"/>
              <w:ind w:right="160"/>
              <w:spacing w:after="0" w:line="149" w:lineRule="exact"/>
              <w:rPr>
                <w:sz w:val="20"/>
                <w:szCs w:val="20"/>
                <w:color w:val="auto"/>
              </w:rPr>
            </w:pPr>
            <w:r>
              <w:rPr>
                <w:rFonts w:ascii="Arial" w:cs="Arial" w:eastAsia="Arial" w:hAnsi="Arial"/>
                <w:sz w:val="14"/>
                <w:szCs w:val="14"/>
                <w:color w:val="auto"/>
                <w:w w:val="99"/>
              </w:rPr>
              <w:t>—</w:t>
            </w:r>
          </w:p>
        </w:tc>
        <w:tc>
          <w:tcPr>
            <w:tcW w:w="170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35.4% interest subsidiaries:</w:t>
            </w: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GasLog Partners LP</w:t>
            </w:r>
          </w:p>
        </w:tc>
        <w:tc>
          <w:tcPr>
            <w:tcW w:w="14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Marshall Islands</w:t>
            </w:r>
          </w:p>
        </w:tc>
        <w:tc>
          <w:tcPr>
            <w:tcW w:w="1500" w:type="dxa"/>
            <w:vAlign w:val="bottom"/>
            <w:gridSpan w:val="2"/>
            <w:shd w:val="clear" w:color="auto" w:fill="E5FFFF"/>
          </w:tcPr>
          <w:p>
            <w:pPr>
              <w:ind w:left="160"/>
              <w:spacing w:after="0" w:line="149" w:lineRule="exact"/>
              <w:rPr>
                <w:sz w:val="20"/>
                <w:szCs w:val="20"/>
                <w:color w:val="auto"/>
              </w:rPr>
            </w:pPr>
            <w:r>
              <w:rPr>
                <w:rFonts w:ascii="Arial" w:cs="Arial" w:eastAsia="Arial" w:hAnsi="Arial"/>
                <w:sz w:val="14"/>
                <w:szCs w:val="14"/>
                <w:color w:val="auto"/>
              </w:rPr>
              <w:t>January 2014</w:t>
            </w:r>
          </w:p>
        </w:tc>
        <w:tc>
          <w:tcPr>
            <w:tcW w:w="1920" w:type="dxa"/>
            <w:vAlign w:val="bottom"/>
            <w:gridSpan w:val="2"/>
            <w:shd w:val="clear" w:color="auto" w:fill="E5FFFF"/>
          </w:tcPr>
          <w:p>
            <w:pPr>
              <w:ind w:left="140"/>
              <w:spacing w:after="0" w:line="149" w:lineRule="exact"/>
              <w:rPr>
                <w:sz w:val="20"/>
                <w:szCs w:val="20"/>
                <w:color w:val="auto"/>
              </w:rPr>
            </w:pPr>
            <w:r>
              <w:rPr>
                <w:rFonts w:ascii="Arial" w:cs="Arial" w:eastAsia="Arial" w:hAnsi="Arial"/>
                <w:sz w:val="14"/>
                <w:szCs w:val="14"/>
                <w:color w:val="auto"/>
              </w:rPr>
              <w:t>Holding company</w:t>
            </w:r>
          </w:p>
        </w:tc>
        <w:tc>
          <w:tcPr>
            <w:tcW w:w="160" w:type="dxa"/>
            <w:vAlign w:val="bottom"/>
            <w:shd w:val="clear" w:color="auto" w:fill="E5FFFF"/>
          </w:tcPr>
          <w:p>
            <w:pPr>
              <w:spacing w:after="0"/>
              <w:rPr>
                <w:sz w:val="12"/>
                <w:szCs w:val="12"/>
                <w:color w:val="auto"/>
              </w:rPr>
            </w:pPr>
          </w:p>
        </w:tc>
        <w:tc>
          <w:tcPr>
            <w:tcW w:w="860" w:type="dxa"/>
            <w:vAlign w:val="bottom"/>
            <w:gridSpan w:val="2"/>
            <w:shd w:val="clear" w:color="auto" w:fill="E5FFFF"/>
          </w:tcPr>
          <w:p>
            <w:pPr>
              <w:jc w:val="center"/>
              <w:ind w:right="160"/>
              <w:spacing w:after="0" w:line="149" w:lineRule="exact"/>
              <w:rPr>
                <w:sz w:val="20"/>
                <w:szCs w:val="20"/>
                <w:color w:val="auto"/>
              </w:rPr>
            </w:pPr>
            <w:r>
              <w:rPr>
                <w:rFonts w:ascii="Arial" w:cs="Arial" w:eastAsia="Arial" w:hAnsi="Arial"/>
                <w:sz w:val="14"/>
                <w:szCs w:val="14"/>
                <w:color w:val="auto"/>
                <w:w w:val="99"/>
              </w:rPr>
              <w:t>—</w:t>
            </w:r>
          </w:p>
        </w:tc>
        <w:tc>
          <w:tcPr>
            <w:tcW w:w="170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60" w:type="dxa"/>
            <w:vAlign w:val="bottom"/>
            <w:gridSpan w:val="2"/>
          </w:tcPr>
          <w:p>
            <w:pPr>
              <w:spacing w:after="0" w:line="149" w:lineRule="exact"/>
              <w:rPr>
                <w:sz w:val="20"/>
                <w:szCs w:val="20"/>
                <w:color w:val="auto"/>
              </w:rPr>
            </w:pPr>
            <w:r>
              <w:rPr>
                <w:rFonts w:ascii="Arial" w:cs="Arial" w:eastAsia="Arial" w:hAnsi="Arial"/>
                <w:sz w:val="14"/>
                <w:szCs w:val="14"/>
                <w:color w:val="auto"/>
              </w:rPr>
              <w:t>GasLog Partners Holdings LLC</w:t>
            </w:r>
          </w:p>
        </w:tc>
        <w:tc>
          <w:tcPr>
            <w:tcW w:w="1480" w:type="dxa"/>
            <w:vAlign w:val="bottom"/>
          </w:tcPr>
          <w:p>
            <w:pPr>
              <w:spacing w:after="0" w:line="149" w:lineRule="exact"/>
              <w:rPr>
                <w:sz w:val="20"/>
                <w:szCs w:val="20"/>
                <w:color w:val="auto"/>
              </w:rPr>
            </w:pPr>
            <w:r>
              <w:rPr>
                <w:rFonts w:ascii="Arial" w:cs="Arial" w:eastAsia="Arial" w:hAnsi="Arial"/>
                <w:sz w:val="14"/>
                <w:szCs w:val="14"/>
                <w:color w:val="auto"/>
              </w:rPr>
              <w:t>Marshall Islands</w:t>
            </w:r>
          </w:p>
        </w:tc>
        <w:tc>
          <w:tcPr>
            <w:tcW w:w="15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April 2014</w:t>
            </w:r>
          </w:p>
        </w:tc>
        <w:tc>
          <w:tcPr>
            <w:tcW w:w="19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Holding company</w:t>
            </w:r>
          </w:p>
        </w:tc>
        <w:tc>
          <w:tcPr>
            <w:tcW w:w="16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9"/>
              </w:rPr>
              <w:t>—</w:t>
            </w: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6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GAS-three Ltd.</w:t>
            </w:r>
          </w:p>
        </w:tc>
        <w:tc>
          <w:tcPr>
            <w:tcW w:w="14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Bermuda</w:t>
            </w:r>
          </w:p>
        </w:tc>
        <w:tc>
          <w:tcPr>
            <w:tcW w:w="1500" w:type="dxa"/>
            <w:vAlign w:val="bottom"/>
            <w:gridSpan w:val="2"/>
            <w:shd w:val="clear" w:color="auto" w:fill="E5FFFF"/>
          </w:tcPr>
          <w:p>
            <w:pPr>
              <w:ind w:left="160"/>
              <w:spacing w:after="0" w:line="149" w:lineRule="exact"/>
              <w:rPr>
                <w:sz w:val="20"/>
                <w:szCs w:val="20"/>
                <w:color w:val="auto"/>
              </w:rPr>
            </w:pPr>
            <w:r>
              <w:rPr>
                <w:rFonts w:ascii="Arial" w:cs="Arial" w:eastAsia="Arial" w:hAnsi="Arial"/>
                <w:sz w:val="14"/>
                <w:szCs w:val="14"/>
                <w:color w:val="auto"/>
              </w:rPr>
              <w:t>April 2010</w:t>
            </w:r>
          </w:p>
        </w:tc>
        <w:tc>
          <w:tcPr>
            <w:tcW w:w="1920" w:type="dxa"/>
            <w:vAlign w:val="bottom"/>
            <w:gridSpan w:val="2"/>
            <w:shd w:val="clear" w:color="auto" w:fill="E5FFFF"/>
          </w:tcPr>
          <w:p>
            <w:pPr>
              <w:ind w:left="140"/>
              <w:spacing w:after="0" w:line="149" w:lineRule="exact"/>
              <w:rPr>
                <w:sz w:val="20"/>
                <w:szCs w:val="20"/>
                <w:color w:val="auto"/>
              </w:rPr>
            </w:pPr>
            <w:r>
              <w:rPr>
                <w:rFonts w:ascii="Arial" w:cs="Arial" w:eastAsia="Arial" w:hAnsi="Arial"/>
                <w:sz w:val="14"/>
                <w:szCs w:val="14"/>
                <w:color w:val="auto"/>
              </w:rPr>
              <w:t>Vessel-owning company</w:t>
            </w:r>
          </w:p>
        </w:tc>
        <w:tc>
          <w:tcPr>
            <w:tcW w:w="880" w:type="dxa"/>
            <w:vAlign w:val="bottom"/>
            <w:gridSpan w:val="2"/>
            <w:shd w:val="clear" w:color="auto" w:fill="E5FFFF"/>
          </w:tcPr>
          <w:p>
            <w:pPr>
              <w:jc w:val="right"/>
              <w:ind w:right="188"/>
              <w:spacing w:after="0" w:line="149" w:lineRule="exact"/>
              <w:rPr>
                <w:sz w:val="20"/>
                <w:szCs w:val="20"/>
                <w:color w:val="auto"/>
              </w:rPr>
            </w:pPr>
            <w:r>
              <w:rPr>
                <w:rFonts w:ascii="Arial" w:cs="Arial" w:eastAsia="Arial" w:hAnsi="Arial"/>
                <w:sz w:val="14"/>
                <w:szCs w:val="14"/>
                <w:color w:val="auto"/>
              </w:rPr>
              <w:t>155,000</w:t>
            </w:r>
          </w:p>
        </w:tc>
        <w:tc>
          <w:tcPr>
            <w:tcW w:w="140" w:type="dxa"/>
            <w:vAlign w:val="bottom"/>
            <w:shd w:val="clear" w:color="auto" w:fill="E5FFFF"/>
          </w:tcPr>
          <w:p>
            <w:pPr>
              <w:spacing w:after="0"/>
              <w:rPr>
                <w:sz w:val="12"/>
                <w:szCs w:val="12"/>
                <w:color w:val="auto"/>
              </w:rPr>
            </w:pPr>
          </w:p>
        </w:tc>
        <w:tc>
          <w:tcPr>
            <w:tcW w:w="170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i w:val="1"/>
                <w:iCs w:val="1"/>
                <w:color w:val="auto"/>
                <w:w w:val="92"/>
              </w:rPr>
              <w:t>GasLog Shanghai</w:t>
            </w: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89"/>
              </w:rPr>
              <w:t>January 2013</w:t>
            </w:r>
          </w:p>
        </w:tc>
        <w:tc>
          <w:tcPr>
            <w:tcW w:w="0" w:type="dxa"/>
            <w:vAlign w:val="bottom"/>
          </w:tcPr>
          <w:p>
            <w:pPr>
              <w:spacing w:after="0"/>
              <w:rPr>
                <w:sz w:val="1"/>
                <w:szCs w:val="1"/>
                <w:color w:val="auto"/>
              </w:rPr>
            </w:pPr>
          </w:p>
        </w:tc>
      </w:tr>
      <w:tr>
        <w:trPr>
          <w:trHeight w:val="149"/>
        </w:trPr>
        <w:tc>
          <w:tcPr>
            <w:tcW w:w="2560" w:type="dxa"/>
            <w:vAlign w:val="bottom"/>
            <w:gridSpan w:val="2"/>
          </w:tcPr>
          <w:p>
            <w:pPr>
              <w:spacing w:after="0" w:line="149" w:lineRule="exact"/>
              <w:rPr>
                <w:sz w:val="20"/>
                <w:szCs w:val="20"/>
                <w:color w:val="auto"/>
              </w:rPr>
            </w:pPr>
            <w:r>
              <w:rPr>
                <w:rFonts w:ascii="Arial" w:cs="Arial" w:eastAsia="Arial" w:hAnsi="Arial"/>
                <w:sz w:val="14"/>
                <w:szCs w:val="14"/>
                <w:color w:val="auto"/>
              </w:rPr>
              <w:t>GAS-four Ltd.</w:t>
            </w:r>
          </w:p>
        </w:tc>
        <w:tc>
          <w:tcPr>
            <w:tcW w:w="1480" w:type="dxa"/>
            <w:vAlign w:val="bottom"/>
          </w:tcPr>
          <w:p>
            <w:pPr>
              <w:spacing w:after="0" w:line="149" w:lineRule="exact"/>
              <w:rPr>
                <w:sz w:val="20"/>
                <w:szCs w:val="20"/>
                <w:color w:val="auto"/>
              </w:rPr>
            </w:pPr>
            <w:r>
              <w:rPr>
                <w:rFonts w:ascii="Arial" w:cs="Arial" w:eastAsia="Arial" w:hAnsi="Arial"/>
                <w:sz w:val="14"/>
                <w:szCs w:val="14"/>
                <w:color w:val="auto"/>
              </w:rPr>
              <w:t>Bermuda</w:t>
            </w:r>
          </w:p>
        </w:tc>
        <w:tc>
          <w:tcPr>
            <w:tcW w:w="15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April 2010</w:t>
            </w:r>
          </w:p>
        </w:tc>
        <w:tc>
          <w:tcPr>
            <w:tcW w:w="19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Vessel-owning company</w:t>
            </w:r>
          </w:p>
        </w:tc>
        <w:tc>
          <w:tcPr>
            <w:tcW w:w="88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155,000</w:t>
            </w:r>
          </w:p>
        </w:tc>
        <w:tc>
          <w:tcPr>
            <w:tcW w:w="14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i w:val="1"/>
                <w:iCs w:val="1"/>
                <w:color w:val="auto"/>
                <w:w w:val="92"/>
              </w:rPr>
              <w:t>GasLog Santiago</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4"/>
              </w:rPr>
              <w:t>March 2013</w:t>
            </w:r>
          </w:p>
        </w:tc>
        <w:tc>
          <w:tcPr>
            <w:tcW w:w="0" w:type="dxa"/>
            <w:vAlign w:val="bottom"/>
          </w:tcPr>
          <w:p>
            <w:pPr>
              <w:spacing w:after="0"/>
              <w:rPr>
                <w:sz w:val="1"/>
                <w:szCs w:val="1"/>
                <w:color w:val="auto"/>
              </w:rPr>
            </w:pPr>
          </w:p>
        </w:tc>
      </w:tr>
      <w:tr>
        <w:trPr>
          <w:trHeight w:val="149"/>
        </w:trPr>
        <w:tc>
          <w:tcPr>
            <w:tcW w:w="256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GAS-five Ltd.</w:t>
            </w:r>
          </w:p>
        </w:tc>
        <w:tc>
          <w:tcPr>
            <w:tcW w:w="14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Bermuda</w:t>
            </w:r>
          </w:p>
        </w:tc>
        <w:tc>
          <w:tcPr>
            <w:tcW w:w="1500" w:type="dxa"/>
            <w:vAlign w:val="bottom"/>
            <w:gridSpan w:val="2"/>
            <w:shd w:val="clear" w:color="auto" w:fill="E5FFFF"/>
          </w:tcPr>
          <w:p>
            <w:pPr>
              <w:ind w:left="160"/>
              <w:spacing w:after="0" w:line="149" w:lineRule="exact"/>
              <w:rPr>
                <w:sz w:val="20"/>
                <w:szCs w:val="20"/>
                <w:color w:val="auto"/>
              </w:rPr>
            </w:pPr>
            <w:r>
              <w:rPr>
                <w:rFonts w:ascii="Arial" w:cs="Arial" w:eastAsia="Arial" w:hAnsi="Arial"/>
                <w:sz w:val="14"/>
                <w:szCs w:val="14"/>
                <w:color w:val="auto"/>
              </w:rPr>
              <w:t>February 2011</w:t>
            </w:r>
          </w:p>
        </w:tc>
        <w:tc>
          <w:tcPr>
            <w:tcW w:w="1920" w:type="dxa"/>
            <w:vAlign w:val="bottom"/>
            <w:gridSpan w:val="2"/>
            <w:shd w:val="clear" w:color="auto" w:fill="E5FFFF"/>
          </w:tcPr>
          <w:p>
            <w:pPr>
              <w:ind w:left="140"/>
              <w:spacing w:after="0" w:line="149" w:lineRule="exact"/>
              <w:rPr>
                <w:sz w:val="20"/>
                <w:szCs w:val="20"/>
                <w:color w:val="auto"/>
              </w:rPr>
            </w:pPr>
            <w:r>
              <w:rPr>
                <w:rFonts w:ascii="Arial" w:cs="Arial" w:eastAsia="Arial" w:hAnsi="Arial"/>
                <w:sz w:val="14"/>
                <w:szCs w:val="14"/>
                <w:color w:val="auto"/>
              </w:rPr>
              <w:t>Vessel-owning company</w:t>
            </w:r>
          </w:p>
        </w:tc>
        <w:tc>
          <w:tcPr>
            <w:tcW w:w="880" w:type="dxa"/>
            <w:vAlign w:val="bottom"/>
            <w:gridSpan w:val="2"/>
            <w:shd w:val="clear" w:color="auto" w:fill="E5FFFF"/>
          </w:tcPr>
          <w:p>
            <w:pPr>
              <w:jc w:val="right"/>
              <w:ind w:right="188"/>
              <w:spacing w:after="0" w:line="149" w:lineRule="exact"/>
              <w:rPr>
                <w:sz w:val="20"/>
                <w:szCs w:val="20"/>
                <w:color w:val="auto"/>
              </w:rPr>
            </w:pPr>
            <w:r>
              <w:rPr>
                <w:rFonts w:ascii="Arial" w:cs="Arial" w:eastAsia="Arial" w:hAnsi="Arial"/>
                <w:sz w:val="14"/>
                <w:szCs w:val="14"/>
                <w:color w:val="auto"/>
              </w:rPr>
              <w:t>155,000</w:t>
            </w:r>
          </w:p>
        </w:tc>
        <w:tc>
          <w:tcPr>
            <w:tcW w:w="140" w:type="dxa"/>
            <w:vAlign w:val="bottom"/>
            <w:shd w:val="clear" w:color="auto" w:fill="E5FFFF"/>
          </w:tcPr>
          <w:p>
            <w:pPr>
              <w:spacing w:after="0"/>
              <w:rPr>
                <w:sz w:val="12"/>
                <w:szCs w:val="12"/>
                <w:color w:val="auto"/>
              </w:rPr>
            </w:pPr>
          </w:p>
        </w:tc>
        <w:tc>
          <w:tcPr>
            <w:tcW w:w="170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i w:val="1"/>
                <w:iCs w:val="1"/>
                <w:color w:val="auto"/>
                <w:w w:val="90"/>
              </w:rPr>
              <w:t>GasLog Sydney</w:t>
            </w: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7"/>
              </w:rPr>
              <w:t>May 2013</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67"/>
        </w:trPr>
        <w:tc>
          <w:tcPr>
            <w:tcW w:w="2080" w:type="dxa"/>
            <w:vAlign w:val="bottom"/>
          </w:tcPr>
          <w:p>
            <w:pPr>
              <w:spacing w:after="0"/>
              <w:rPr>
                <w:sz w:val="20"/>
                <w:szCs w:val="20"/>
                <w:color w:val="auto"/>
              </w:rPr>
            </w:pPr>
            <w:r>
              <w:rPr>
                <w:rFonts w:ascii="Arial" w:cs="Arial" w:eastAsia="Arial" w:hAnsi="Arial"/>
                <w:sz w:val="14"/>
                <w:szCs w:val="14"/>
                <w:color w:val="auto"/>
              </w:rPr>
              <w:t>GAS-seven Ltd.</w:t>
            </w:r>
          </w:p>
        </w:tc>
        <w:tc>
          <w:tcPr>
            <w:tcW w:w="1560" w:type="dxa"/>
            <w:vAlign w:val="bottom"/>
          </w:tcPr>
          <w:p>
            <w:pPr>
              <w:ind w:left="480"/>
              <w:spacing w:after="0"/>
              <w:rPr>
                <w:sz w:val="20"/>
                <w:szCs w:val="20"/>
                <w:color w:val="auto"/>
              </w:rPr>
            </w:pPr>
            <w:r>
              <w:rPr>
                <w:rFonts w:ascii="Arial" w:cs="Arial" w:eastAsia="Arial" w:hAnsi="Arial"/>
                <w:sz w:val="14"/>
                <w:szCs w:val="14"/>
                <w:color w:val="auto"/>
              </w:rPr>
              <w:t>Bermuda</w:t>
            </w:r>
          </w:p>
        </w:tc>
        <w:tc>
          <w:tcPr>
            <w:tcW w:w="1760" w:type="dxa"/>
            <w:vAlign w:val="bottom"/>
          </w:tcPr>
          <w:p>
            <w:pPr>
              <w:ind w:left="560"/>
              <w:spacing w:after="0"/>
              <w:rPr>
                <w:sz w:val="20"/>
                <w:szCs w:val="20"/>
                <w:color w:val="auto"/>
              </w:rPr>
            </w:pPr>
            <w:r>
              <w:rPr>
                <w:rFonts w:ascii="Arial" w:cs="Arial" w:eastAsia="Arial" w:hAnsi="Arial"/>
                <w:sz w:val="14"/>
                <w:szCs w:val="14"/>
                <w:color w:val="auto"/>
              </w:rPr>
              <w:t>March 2011</w:t>
            </w:r>
          </w:p>
        </w:tc>
        <w:tc>
          <w:tcPr>
            <w:tcW w:w="1960" w:type="dxa"/>
            <w:vAlign w:val="bottom"/>
          </w:tcPr>
          <w:p>
            <w:pPr>
              <w:ind w:left="280"/>
              <w:spacing w:after="0"/>
              <w:rPr>
                <w:sz w:val="20"/>
                <w:szCs w:val="20"/>
                <w:color w:val="auto"/>
              </w:rPr>
            </w:pPr>
            <w:r>
              <w:rPr>
                <w:rFonts w:ascii="Arial" w:cs="Arial" w:eastAsia="Arial" w:hAnsi="Arial"/>
                <w:sz w:val="14"/>
                <w:szCs w:val="14"/>
                <w:color w:val="auto"/>
              </w:rPr>
              <w:t>Vessel-owning company</w:t>
            </w: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155,000</w:t>
            </w:r>
          </w:p>
        </w:tc>
        <w:tc>
          <w:tcPr>
            <w:tcW w:w="1880" w:type="dxa"/>
            <w:vAlign w:val="bottom"/>
          </w:tcPr>
          <w:p>
            <w:pPr>
              <w:jc w:val="center"/>
              <w:ind w:left="8"/>
              <w:spacing w:after="0"/>
              <w:rPr>
                <w:sz w:val="20"/>
                <w:szCs w:val="20"/>
                <w:color w:val="auto"/>
              </w:rPr>
            </w:pPr>
            <w:r>
              <w:rPr>
                <w:rFonts w:ascii="Arial" w:cs="Arial" w:eastAsia="Arial" w:hAnsi="Arial"/>
                <w:sz w:val="14"/>
                <w:szCs w:val="14"/>
                <w:i w:val="1"/>
                <w:iCs w:val="1"/>
                <w:color w:val="auto"/>
                <w:w w:val="91"/>
              </w:rPr>
              <w:t>GasLog Seattle</w:t>
            </w:r>
          </w:p>
        </w:tc>
        <w:tc>
          <w:tcPr>
            <w:tcW w:w="1240" w:type="dxa"/>
            <w:vAlign w:val="bottom"/>
          </w:tcPr>
          <w:p>
            <w:pPr>
              <w:jc w:val="center"/>
              <w:spacing w:after="0"/>
              <w:rPr>
                <w:sz w:val="20"/>
                <w:szCs w:val="20"/>
                <w:color w:val="auto"/>
              </w:rPr>
            </w:pPr>
            <w:r>
              <w:rPr>
                <w:rFonts w:ascii="Arial" w:cs="Arial" w:eastAsia="Arial" w:hAnsi="Arial"/>
                <w:sz w:val="14"/>
                <w:szCs w:val="14"/>
                <w:color w:val="auto"/>
                <w:w w:val="92"/>
              </w:rPr>
              <w:t>December 2013</w:t>
            </w:r>
          </w:p>
        </w:tc>
      </w:tr>
      <w:tr>
        <w:trPr>
          <w:trHeight w:val="149"/>
        </w:trPr>
        <w:tc>
          <w:tcPr>
            <w:tcW w:w="20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GAS-eight Ltd.</w:t>
            </w:r>
          </w:p>
        </w:tc>
        <w:tc>
          <w:tcPr>
            <w:tcW w:w="1560" w:type="dxa"/>
            <w:vAlign w:val="bottom"/>
            <w:shd w:val="clear" w:color="auto" w:fill="E5FFFF"/>
          </w:tcPr>
          <w:p>
            <w:pPr>
              <w:ind w:left="480"/>
              <w:spacing w:after="0" w:line="149" w:lineRule="exact"/>
              <w:rPr>
                <w:sz w:val="20"/>
                <w:szCs w:val="20"/>
                <w:color w:val="auto"/>
              </w:rPr>
            </w:pPr>
            <w:r>
              <w:rPr>
                <w:rFonts w:ascii="Arial" w:cs="Arial" w:eastAsia="Arial" w:hAnsi="Arial"/>
                <w:sz w:val="14"/>
                <w:szCs w:val="14"/>
                <w:color w:val="auto"/>
              </w:rPr>
              <w:t>Bermuda</w:t>
            </w:r>
          </w:p>
        </w:tc>
        <w:tc>
          <w:tcPr>
            <w:tcW w:w="1760" w:type="dxa"/>
            <w:vAlign w:val="bottom"/>
            <w:shd w:val="clear" w:color="auto" w:fill="E5FFFF"/>
          </w:tcPr>
          <w:p>
            <w:pPr>
              <w:ind w:left="560"/>
              <w:spacing w:after="0" w:line="149" w:lineRule="exact"/>
              <w:rPr>
                <w:sz w:val="20"/>
                <w:szCs w:val="20"/>
                <w:color w:val="auto"/>
              </w:rPr>
            </w:pPr>
            <w:r>
              <w:rPr>
                <w:rFonts w:ascii="Arial" w:cs="Arial" w:eastAsia="Arial" w:hAnsi="Arial"/>
                <w:sz w:val="14"/>
                <w:szCs w:val="14"/>
                <w:color w:val="auto"/>
              </w:rPr>
              <w:t>March 2011</w:t>
            </w:r>
          </w:p>
        </w:tc>
        <w:tc>
          <w:tcPr>
            <w:tcW w:w="1960" w:type="dxa"/>
            <w:vAlign w:val="bottom"/>
            <w:shd w:val="clear" w:color="auto" w:fill="E5FFFF"/>
          </w:tcPr>
          <w:p>
            <w:pPr>
              <w:ind w:left="280"/>
              <w:spacing w:after="0" w:line="149" w:lineRule="exact"/>
              <w:rPr>
                <w:sz w:val="20"/>
                <w:szCs w:val="20"/>
                <w:color w:val="auto"/>
              </w:rPr>
            </w:pPr>
            <w:r>
              <w:rPr>
                <w:rFonts w:ascii="Arial" w:cs="Arial" w:eastAsia="Arial" w:hAnsi="Arial"/>
                <w:sz w:val="14"/>
                <w:szCs w:val="14"/>
                <w:color w:val="auto"/>
              </w:rPr>
              <w:t>Vessel-owning company</w:t>
            </w:r>
          </w:p>
        </w:tc>
        <w:tc>
          <w:tcPr>
            <w:tcW w:w="940" w:type="dxa"/>
            <w:vAlign w:val="bottom"/>
            <w:shd w:val="clear" w:color="auto" w:fill="E5FFFF"/>
          </w:tcPr>
          <w:p>
            <w:pPr>
              <w:jc w:val="right"/>
              <w:ind w:right="148"/>
              <w:spacing w:after="0" w:line="149" w:lineRule="exact"/>
              <w:rPr>
                <w:sz w:val="20"/>
                <w:szCs w:val="20"/>
                <w:color w:val="auto"/>
              </w:rPr>
            </w:pPr>
            <w:r>
              <w:rPr>
                <w:rFonts w:ascii="Arial" w:cs="Arial" w:eastAsia="Arial" w:hAnsi="Arial"/>
                <w:sz w:val="14"/>
                <w:szCs w:val="14"/>
                <w:color w:val="auto"/>
              </w:rPr>
              <w:t>155,000</w:t>
            </w:r>
          </w:p>
        </w:tc>
        <w:tc>
          <w:tcPr>
            <w:tcW w:w="188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i w:val="1"/>
                <w:iCs w:val="1"/>
                <w:color w:val="auto"/>
                <w:w w:val="98"/>
              </w:rPr>
              <w:t>Solaris</w:t>
            </w: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1"/>
              </w:rPr>
              <w:t>June 2014</w:t>
            </w:r>
          </w:p>
        </w:tc>
      </w:tr>
      <w:tr>
        <w:trPr>
          <w:trHeight w:val="149"/>
        </w:trPr>
        <w:tc>
          <w:tcPr>
            <w:tcW w:w="2080" w:type="dxa"/>
            <w:vAlign w:val="bottom"/>
          </w:tcPr>
          <w:p>
            <w:pPr>
              <w:spacing w:after="0" w:line="149" w:lineRule="exact"/>
              <w:rPr>
                <w:sz w:val="20"/>
                <w:szCs w:val="20"/>
                <w:color w:val="auto"/>
              </w:rPr>
            </w:pPr>
            <w:r>
              <w:rPr>
                <w:rFonts w:ascii="Arial" w:cs="Arial" w:eastAsia="Arial" w:hAnsi="Arial"/>
                <w:sz w:val="14"/>
                <w:szCs w:val="14"/>
                <w:color w:val="auto"/>
              </w:rPr>
              <w:t>GAS-eleven Ltd.</w:t>
            </w:r>
          </w:p>
        </w:tc>
        <w:tc>
          <w:tcPr>
            <w:tcW w:w="1560" w:type="dxa"/>
            <w:vAlign w:val="bottom"/>
          </w:tcPr>
          <w:p>
            <w:pPr>
              <w:ind w:left="480"/>
              <w:spacing w:after="0" w:line="149" w:lineRule="exact"/>
              <w:rPr>
                <w:sz w:val="20"/>
                <w:szCs w:val="20"/>
                <w:color w:val="auto"/>
              </w:rPr>
            </w:pPr>
            <w:r>
              <w:rPr>
                <w:rFonts w:ascii="Arial" w:cs="Arial" w:eastAsia="Arial" w:hAnsi="Arial"/>
                <w:sz w:val="14"/>
                <w:szCs w:val="14"/>
                <w:color w:val="auto"/>
              </w:rPr>
              <w:t>Bermuda</w:t>
            </w:r>
          </w:p>
        </w:tc>
        <w:tc>
          <w:tcPr>
            <w:tcW w:w="1760" w:type="dxa"/>
            <w:vAlign w:val="bottom"/>
          </w:tcPr>
          <w:p>
            <w:pPr>
              <w:ind w:left="560"/>
              <w:spacing w:after="0" w:line="149" w:lineRule="exact"/>
              <w:rPr>
                <w:sz w:val="20"/>
                <w:szCs w:val="20"/>
                <w:color w:val="auto"/>
              </w:rPr>
            </w:pPr>
            <w:r>
              <w:rPr>
                <w:rFonts w:ascii="Arial" w:cs="Arial" w:eastAsia="Arial" w:hAnsi="Arial"/>
                <w:sz w:val="14"/>
                <w:szCs w:val="14"/>
                <w:color w:val="auto"/>
              </w:rPr>
              <w:t>December 2012</w:t>
            </w:r>
          </w:p>
        </w:tc>
        <w:tc>
          <w:tcPr>
            <w:tcW w:w="1960" w:type="dxa"/>
            <w:vAlign w:val="bottom"/>
          </w:tcPr>
          <w:p>
            <w:pPr>
              <w:ind w:left="280"/>
              <w:spacing w:after="0" w:line="149" w:lineRule="exact"/>
              <w:rPr>
                <w:sz w:val="20"/>
                <w:szCs w:val="20"/>
                <w:color w:val="auto"/>
              </w:rPr>
            </w:pPr>
            <w:r>
              <w:rPr>
                <w:rFonts w:ascii="Arial" w:cs="Arial" w:eastAsia="Arial" w:hAnsi="Arial"/>
                <w:sz w:val="14"/>
                <w:szCs w:val="14"/>
                <w:color w:val="auto"/>
              </w:rPr>
              <w:t>Vessel-owning company</w:t>
            </w:r>
          </w:p>
        </w:tc>
        <w:tc>
          <w:tcPr>
            <w:tcW w:w="94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174,000</w:t>
            </w:r>
          </w:p>
        </w:tc>
        <w:tc>
          <w:tcPr>
            <w:tcW w:w="188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91"/>
              </w:rPr>
              <w:t>GasLog Greece</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4"/>
              </w:rPr>
              <w:t>March 2016</w:t>
            </w:r>
          </w:p>
        </w:tc>
      </w:tr>
      <w:tr>
        <w:trPr>
          <w:trHeight w:val="149"/>
        </w:trPr>
        <w:tc>
          <w:tcPr>
            <w:tcW w:w="20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GAS-twelve Ltd.</w:t>
            </w:r>
          </w:p>
        </w:tc>
        <w:tc>
          <w:tcPr>
            <w:tcW w:w="1560" w:type="dxa"/>
            <w:vAlign w:val="bottom"/>
            <w:shd w:val="clear" w:color="auto" w:fill="E5FFFF"/>
          </w:tcPr>
          <w:p>
            <w:pPr>
              <w:ind w:left="480"/>
              <w:spacing w:after="0" w:line="149" w:lineRule="exact"/>
              <w:rPr>
                <w:sz w:val="20"/>
                <w:szCs w:val="20"/>
                <w:color w:val="auto"/>
              </w:rPr>
            </w:pPr>
            <w:r>
              <w:rPr>
                <w:rFonts w:ascii="Arial" w:cs="Arial" w:eastAsia="Arial" w:hAnsi="Arial"/>
                <w:sz w:val="14"/>
                <w:szCs w:val="14"/>
                <w:color w:val="auto"/>
              </w:rPr>
              <w:t>Bermuda</w:t>
            </w:r>
          </w:p>
        </w:tc>
        <w:tc>
          <w:tcPr>
            <w:tcW w:w="1760" w:type="dxa"/>
            <w:vAlign w:val="bottom"/>
            <w:shd w:val="clear" w:color="auto" w:fill="E5FFFF"/>
          </w:tcPr>
          <w:p>
            <w:pPr>
              <w:ind w:left="560"/>
              <w:spacing w:after="0" w:line="149" w:lineRule="exact"/>
              <w:rPr>
                <w:sz w:val="20"/>
                <w:szCs w:val="20"/>
                <w:color w:val="auto"/>
              </w:rPr>
            </w:pPr>
            <w:r>
              <w:rPr>
                <w:rFonts w:ascii="Arial" w:cs="Arial" w:eastAsia="Arial" w:hAnsi="Arial"/>
                <w:sz w:val="14"/>
                <w:szCs w:val="14"/>
                <w:color w:val="auto"/>
              </w:rPr>
              <w:t>December 2012</w:t>
            </w:r>
          </w:p>
        </w:tc>
        <w:tc>
          <w:tcPr>
            <w:tcW w:w="1960" w:type="dxa"/>
            <w:vAlign w:val="bottom"/>
            <w:shd w:val="clear" w:color="auto" w:fill="E5FFFF"/>
          </w:tcPr>
          <w:p>
            <w:pPr>
              <w:ind w:left="280"/>
              <w:spacing w:after="0" w:line="149" w:lineRule="exact"/>
              <w:rPr>
                <w:sz w:val="20"/>
                <w:szCs w:val="20"/>
                <w:color w:val="auto"/>
              </w:rPr>
            </w:pPr>
            <w:r>
              <w:rPr>
                <w:rFonts w:ascii="Arial" w:cs="Arial" w:eastAsia="Arial" w:hAnsi="Arial"/>
                <w:sz w:val="14"/>
                <w:szCs w:val="14"/>
                <w:color w:val="auto"/>
              </w:rPr>
              <w:t>Vessel-owning company</w:t>
            </w:r>
          </w:p>
        </w:tc>
        <w:tc>
          <w:tcPr>
            <w:tcW w:w="940" w:type="dxa"/>
            <w:vAlign w:val="bottom"/>
            <w:shd w:val="clear" w:color="auto" w:fill="E5FFFF"/>
          </w:tcPr>
          <w:p>
            <w:pPr>
              <w:jc w:val="right"/>
              <w:ind w:right="148"/>
              <w:spacing w:after="0" w:line="149" w:lineRule="exact"/>
              <w:rPr>
                <w:sz w:val="20"/>
                <w:szCs w:val="20"/>
                <w:color w:val="auto"/>
              </w:rPr>
            </w:pPr>
            <w:r>
              <w:rPr>
                <w:rFonts w:ascii="Arial" w:cs="Arial" w:eastAsia="Arial" w:hAnsi="Arial"/>
                <w:sz w:val="14"/>
                <w:szCs w:val="14"/>
                <w:color w:val="auto"/>
              </w:rPr>
              <w:t>174,000</w:t>
            </w:r>
          </w:p>
        </w:tc>
        <w:tc>
          <w:tcPr>
            <w:tcW w:w="1880" w:type="dxa"/>
            <w:vAlign w:val="bottom"/>
            <w:shd w:val="clear" w:color="auto" w:fill="E5FFFF"/>
          </w:tcPr>
          <w:p>
            <w:pPr>
              <w:jc w:val="center"/>
              <w:ind w:left="8"/>
              <w:spacing w:after="0" w:line="149" w:lineRule="exact"/>
              <w:rPr>
                <w:sz w:val="20"/>
                <w:szCs w:val="20"/>
                <w:color w:val="auto"/>
              </w:rPr>
            </w:pPr>
            <w:r>
              <w:rPr>
                <w:rFonts w:ascii="Arial" w:cs="Arial" w:eastAsia="Arial" w:hAnsi="Arial"/>
                <w:sz w:val="14"/>
                <w:szCs w:val="14"/>
                <w:i w:val="1"/>
                <w:iCs w:val="1"/>
                <w:color w:val="auto"/>
                <w:w w:val="93"/>
              </w:rPr>
              <w:t>GasLog Glasgow</w:t>
            </w: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1"/>
              </w:rPr>
              <w:t>June 2016</w:t>
            </w:r>
          </w:p>
        </w:tc>
      </w:tr>
      <w:tr>
        <w:trPr>
          <w:trHeight w:val="149"/>
        </w:trPr>
        <w:tc>
          <w:tcPr>
            <w:tcW w:w="2080" w:type="dxa"/>
            <w:vAlign w:val="bottom"/>
          </w:tcPr>
          <w:p>
            <w:pPr>
              <w:spacing w:after="0" w:line="149" w:lineRule="exact"/>
              <w:rPr>
                <w:sz w:val="20"/>
                <w:szCs w:val="20"/>
                <w:color w:val="auto"/>
              </w:rPr>
            </w:pPr>
            <w:r>
              <w:rPr>
                <w:rFonts w:ascii="Arial" w:cs="Arial" w:eastAsia="Arial" w:hAnsi="Arial"/>
                <w:sz w:val="14"/>
                <w:szCs w:val="14"/>
                <w:color w:val="auto"/>
              </w:rPr>
              <w:t>GAS-thirteen Ltd.</w:t>
            </w:r>
          </w:p>
        </w:tc>
        <w:tc>
          <w:tcPr>
            <w:tcW w:w="1560" w:type="dxa"/>
            <w:vAlign w:val="bottom"/>
          </w:tcPr>
          <w:p>
            <w:pPr>
              <w:ind w:left="480"/>
              <w:spacing w:after="0" w:line="149" w:lineRule="exact"/>
              <w:rPr>
                <w:sz w:val="20"/>
                <w:szCs w:val="20"/>
                <w:color w:val="auto"/>
              </w:rPr>
            </w:pPr>
            <w:r>
              <w:rPr>
                <w:rFonts w:ascii="Arial" w:cs="Arial" w:eastAsia="Arial" w:hAnsi="Arial"/>
                <w:sz w:val="14"/>
                <w:szCs w:val="14"/>
                <w:color w:val="auto"/>
              </w:rPr>
              <w:t>Bermuda</w:t>
            </w:r>
          </w:p>
        </w:tc>
        <w:tc>
          <w:tcPr>
            <w:tcW w:w="1760" w:type="dxa"/>
            <w:vAlign w:val="bottom"/>
          </w:tcPr>
          <w:p>
            <w:pPr>
              <w:ind w:left="560"/>
              <w:spacing w:after="0" w:line="149" w:lineRule="exact"/>
              <w:rPr>
                <w:sz w:val="20"/>
                <w:szCs w:val="20"/>
                <w:color w:val="auto"/>
              </w:rPr>
            </w:pPr>
            <w:r>
              <w:rPr>
                <w:rFonts w:ascii="Arial" w:cs="Arial" w:eastAsia="Arial" w:hAnsi="Arial"/>
                <w:sz w:val="14"/>
                <w:szCs w:val="14"/>
                <w:color w:val="auto"/>
              </w:rPr>
              <w:t>July 2013</w:t>
            </w:r>
          </w:p>
        </w:tc>
        <w:tc>
          <w:tcPr>
            <w:tcW w:w="1960" w:type="dxa"/>
            <w:vAlign w:val="bottom"/>
          </w:tcPr>
          <w:p>
            <w:pPr>
              <w:ind w:left="280"/>
              <w:spacing w:after="0" w:line="149" w:lineRule="exact"/>
              <w:rPr>
                <w:sz w:val="20"/>
                <w:szCs w:val="20"/>
                <w:color w:val="auto"/>
              </w:rPr>
            </w:pPr>
            <w:r>
              <w:rPr>
                <w:rFonts w:ascii="Arial" w:cs="Arial" w:eastAsia="Arial" w:hAnsi="Arial"/>
                <w:sz w:val="14"/>
                <w:szCs w:val="14"/>
                <w:color w:val="auto"/>
              </w:rPr>
              <w:t>Vessel-owning company</w:t>
            </w:r>
          </w:p>
        </w:tc>
        <w:tc>
          <w:tcPr>
            <w:tcW w:w="94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174,000</w:t>
            </w:r>
          </w:p>
        </w:tc>
        <w:tc>
          <w:tcPr>
            <w:tcW w:w="188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92"/>
              </w:rPr>
              <w:t>GasLog Geneva</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0"/>
              </w:rPr>
              <w:t>September 2016</w:t>
            </w:r>
          </w:p>
        </w:tc>
      </w:tr>
      <w:tr>
        <w:trPr>
          <w:trHeight w:val="149"/>
        </w:trPr>
        <w:tc>
          <w:tcPr>
            <w:tcW w:w="20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GAS-fourteen Ltd.</w:t>
            </w:r>
          </w:p>
        </w:tc>
        <w:tc>
          <w:tcPr>
            <w:tcW w:w="1560" w:type="dxa"/>
            <w:vAlign w:val="bottom"/>
            <w:shd w:val="clear" w:color="auto" w:fill="E5FFFF"/>
          </w:tcPr>
          <w:p>
            <w:pPr>
              <w:ind w:left="480"/>
              <w:spacing w:after="0" w:line="149" w:lineRule="exact"/>
              <w:rPr>
                <w:sz w:val="20"/>
                <w:szCs w:val="20"/>
                <w:color w:val="auto"/>
              </w:rPr>
            </w:pPr>
            <w:r>
              <w:rPr>
                <w:rFonts w:ascii="Arial" w:cs="Arial" w:eastAsia="Arial" w:hAnsi="Arial"/>
                <w:sz w:val="14"/>
                <w:szCs w:val="14"/>
                <w:color w:val="auto"/>
              </w:rPr>
              <w:t>Bermuda</w:t>
            </w:r>
          </w:p>
        </w:tc>
        <w:tc>
          <w:tcPr>
            <w:tcW w:w="1760" w:type="dxa"/>
            <w:vAlign w:val="bottom"/>
            <w:shd w:val="clear" w:color="auto" w:fill="E5FFFF"/>
          </w:tcPr>
          <w:p>
            <w:pPr>
              <w:ind w:left="560"/>
              <w:spacing w:after="0" w:line="149" w:lineRule="exact"/>
              <w:rPr>
                <w:sz w:val="20"/>
                <w:szCs w:val="20"/>
                <w:color w:val="auto"/>
              </w:rPr>
            </w:pPr>
            <w:r>
              <w:rPr>
                <w:rFonts w:ascii="Arial" w:cs="Arial" w:eastAsia="Arial" w:hAnsi="Arial"/>
                <w:sz w:val="14"/>
                <w:szCs w:val="14"/>
                <w:color w:val="auto"/>
              </w:rPr>
              <w:t>July 2013</w:t>
            </w:r>
          </w:p>
        </w:tc>
        <w:tc>
          <w:tcPr>
            <w:tcW w:w="1960" w:type="dxa"/>
            <w:vAlign w:val="bottom"/>
            <w:shd w:val="clear" w:color="auto" w:fill="E5FFFF"/>
          </w:tcPr>
          <w:p>
            <w:pPr>
              <w:ind w:left="280"/>
              <w:spacing w:after="0" w:line="149" w:lineRule="exact"/>
              <w:rPr>
                <w:sz w:val="20"/>
                <w:szCs w:val="20"/>
                <w:color w:val="auto"/>
              </w:rPr>
            </w:pPr>
            <w:r>
              <w:rPr>
                <w:rFonts w:ascii="Arial" w:cs="Arial" w:eastAsia="Arial" w:hAnsi="Arial"/>
                <w:sz w:val="14"/>
                <w:szCs w:val="14"/>
                <w:color w:val="auto"/>
              </w:rPr>
              <w:t>Vessel-owning company</w:t>
            </w:r>
          </w:p>
        </w:tc>
        <w:tc>
          <w:tcPr>
            <w:tcW w:w="940" w:type="dxa"/>
            <w:vAlign w:val="bottom"/>
            <w:shd w:val="clear" w:color="auto" w:fill="E5FFFF"/>
          </w:tcPr>
          <w:p>
            <w:pPr>
              <w:jc w:val="right"/>
              <w:ind w:right="148"/>
              <w:spacing w:after="0" w:line="149" w:lineRule="exact"/>
              <w:rPr>
                <w:sz w:val="20"/>
                <w:szCs w:val="20"/>
                <w:color w:val="auto"/>
              </w:rPr>
            </w:pPr>
            <w:r>
              <w:rPr>
                <w:rFonts w:ascii="Arial" w:cs="Arial" w:eastAsia="Arial" w:hAnsi="Arial"/>
                <w:sz w:val="14"/>
                <w:szCs w:val="14"/>
                <w:color w:val="auto"/>
              </w:rPr>
              <w:t>174,000</w:t>
            </w:r>
          </w:p>
        </w:tc>
        <w:tc>
          <w:tcPr>
            <w:tcW w:w="1880" w:type="dxa"/>
            <w:vAlign w:val="bottom"/>
            <w:shd w:val="clear" w:color="auto" w:fill="E5FFFF"/>
          </w:tcPr>
          <w:p>
            <w:pPr>
              <w:jc w:val="center"/>
              <w:ind w:left="8"/>
              <w:spacing w:after="0" w:line="149" w:lineRule="exact"/>
              <w:rPr>
                <w:sz w:val="20"/>
                <w:szCs w:val="20"/>
                <w:color w:val="auto"/>
              </w:rPr>
            </w:pPr>
            <w:r>
              <w:rPr>
                <w:rFonts w:ascii="Arial" w:cs="Arial" w:eastAsia="Arial" w:hAnsi="Arial"/>
                <w:sz w:val="14"/>
                <w:szCs w:val="14"/>
                <w:i w:val="1"/>
                <w:iCs w:val="1"/>
                <w:color w:val="auto"/>
                <w:w w:val="97"/>
              </w:rPr>
              <w:t>GasLog Gibraltar</w:t>
            </w: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4"/>
              </w:rPr>
              <w:t>October 2016</w:t>
            </w:r>
          </w:p>
        </w:tc>
      </w:tr>
      <w:tr>
        <w:trPr>
          <w:trHeight w:val="149"/>
        </w:trPr>
        <w:tc>
          <w:tcPr>
            <w:tcW w:w="2080" w:type="dxa"/>
            <w:vAlign w:val="bottom"/>
          </w:tcPr>
          <w:p>
            <w:pPr>
              <w:spacing w:after="0" w:line="149" w:lineRule="exact"/>
              <w:rPr>
                <w:sz w:val="20"/>
                <w:szCs w:val="20"/>
                <w:color w:val="auto"/>
              </w:rPr>
            </w:pPr>
            <w:r>
              <w:rPr>
                <w:rFonts w:ascii="Arial" w:cs="Arial" w:eastAsia="Arial" w:hAnsi="Arial"/>
                <w:sz w:val="14"/>
                <w:szCs w:val="14"/>
                <w:color w:val="auto"/>
              </w:rPr>
              <w:t>GAS-sixteen Ltd.</w:t>
            </w:r>
          </w:p>
        </w:tc>
        <w:tc>
          <w:tcPr>
            <w:tcW w:w="1560" w:type="dxa"/>
            <w:vAlign w:val="bottom"/>
          </w:tcPr>
          <w:p>
            <w:pPr>
              <w:ind w:left="480"/>
              <w:spacing w:after="0" w:line="149" w:lineRule="exact"/>
              <w:rPr>
                <w:sz w:val="20"/>
                <w:szCs w:val="20"/>
                <w:color w:val="auto"/>
              </w:rPr>
            </w:pPr>
            <w:r>
              <w:rPr>
                <w:rFonts w:ascii="Arial" w:cs="Arial" w:eastAsia="Arial" w:hAnsi="Arial"/>
                <w:sz w:val="14"/>
                <w:szCs w:val="14"/>
                <w:color w:val="auto"/>
              </w:rPr>
              <w:t>Bermuda</w:t>
            </w:r>
          </w:p>
        </w:tc>
        <w:tc>
          <w:tcPr>
            <w:tcW w:w="1760" w:type="dxa"/>
            <w:vAlign w:val="bottom"/>
          </w:tcPr>
          <w:p>
            <w:pPr>
              <w:ind w:left="560"/>
              <w:spacing w:after="0" w:line="149" w:lineRule="exact"/>
              <w:rPr>
                <w:sz w:val="20"/>
                <w:szCs w:val="20"/>
                <w:color w:val="auto"/>
              </w:rPr>
            </w:pPr>
            <w:r>
              <w:rPr>
                <w:rFonts w:ascii="Arial" w:cs="Arial" w:eastAsia="Arial" w:hAnsi="Arial"/>
                <w:sz w:val="14"/>
                <w:szCs w:val="14"/>
                <w:color w:val="auto"/>
              </w:rPr>
              <w:t>January 2014</w:t>
            </w:r>
          </w:p>
        </w:tc>
        <w:tc>
          <w:tcPr>
            <w:tcW w:w="1960" w:type="dxa"/>
            <w:vAlign w:val="bottom"/>
          </w:tcPr>
          <w:p>
            <w:pPr>
              <w:ind w:left="280"/>
              <w:spacing w:after="0" w:line="149" w:lineRule="exact"/>
              <w:rPr>
                <w:sz w:val="20"/>
                <w:szCs w:val="20"/>
                <w:color w:val="auto"/>
              </w:rPr>
            </w:pPr>
            <w:r>
              <w:rPr>
                <w:rFonts w:ascii="Arial" w:cs="Arial" w:eastAsia="Arial" w:hAnsi="Arial"/>
                <w:sz w:val="14"/>
                <w:szCs w:val="14"/>
                <w:color w:val="auto"/>
              </w:rPr>
              <w:t>Vessel-owning company</w:t>
            </w:r>
          </w:p>
        </w:tc>
        <w:tc>
          <w:tcPr>
            <w:tcW w:w="94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145,000</w:t>
            </w:r>
          </w:p>
        </w:tc>
        <w:tc>
          <w:tcPr>
            <w:tcW w:w="188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92"/>
              </w:rPr>
              <w:t>Methane Rita Andrea</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rPr>
              <w:t>April 2014</w:t>
            </w:r>
          </w:p>
        </w:tc>
      </w:tr>
      <w:tr>
        <w:trPr>
          <w:trHeight w:val="149"/>
        </w:trPr>
        <w:tc>
          <w:tcPr>
            <w:tcW w:w="20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GAS-seventeen Ltd.</w:t>
            </w:r>
          </w:p>
        </w:tc>
        <w:tc>
          <w:tcPr>
            <w:tcW w:w="1560" w:type="dxa"/>
            <w:vAlign w:val="bottom"/>
            <w:shd w:val="clear" w:color="auto" w:fill="E5FFFF"/>
          </w:tcPr>
          <w:p>
            <w:pPr>
              <w:ind w:left="480"/>
              <w:spacing w:after="0" w:line="149" w:lineRule="exact"/>
              <w:rPr>
                <w:sz w:val="20"/>
                <w:szCs w:val="20"/>
                <w:color w:val="auto"/>
              </w:rPr>
            </w:pPr>
            <w:r>
              <w:rPr>
                <w:rFonts w:ascii="Arial" w:cs="Arial" w:eastAsia="Arial" w:hAnsi="Arial"/>
                <w:sz w:val="14"/>
                <w:szCs w:val="14"/>
                <w:color w:val="auto"/>
              </w:rPr>
              <w:t>Bermuda</w:t>
            </w:r>
          </w:p>
        </w:tc>
        <w:tc>
          <w:tcPr>
            <w:tcW w:w="1760" w:type="dxa"/>
            <w:vAlign w:val="bottom"/>
            <w:shd w:val="clear" w:color="auto" w:fill="E5FFFF"/>
          </w:tcPr>
          <w:p>
            <w:pPr>
              <w:ind w:left="560"/>
              <w:spacing w:after="0" w:line="149" w:lineRule="exact"/>
              <w:rPr>
                <w:sz w:val="20"/>
                <w:szCs w:val="20"/>
                <w:color w:val="auto"/>
              </w:rPr>
            </w:pPr>
            <w:r>
              <w:rPr>
                <w:rFonts w:ascii="Arial" w:cs="Arial" w:eastAsia="Arial" w:hAnsi="Arial"/>
                <w:sz w:val="14"/>
                <w:szCs w:val="14"/>
                <w:color w:val="auto"/>
              </w:rPr>
              <w:t>January 2014</w:t>
            </w:r>
          </w:p>
        </w:tc>
        <w:tc>
          <w:tcPr>
            <w:tcW w:w="1960" w:type="dxa"/>
            <w:vAlign w:val="bottom"/>
            <w:shd w:val="clear" w:color="auto" w:fill="E5FFFF"/>
          </w:tcPr>
          <w:p>
            <w:pPr>
              <w:ind w:left="280"/>
              <w:spacing w:after="0" w:line="149" w:lineRule="exact"/>
              <w:rPr>
                <w:sz w:val="20"/>
                <w:szCs w:val="20"/>
                <w:color w:val="auto"/>
              </w:rPr>
            </w:pPr>
            <w:r>
              <w:rPr>
                <w:rFonts w:ascii="Arial" w:cs="Arial" w:eastAsia="Arial" w:hAnsi="Arial"/>
                <w:sz w:val="14"/>
                <w:szCs w:val="14"/>
                <w:color w:val="auto"/>
              </w:rPr>
              <w:t>Vessel-owning company</w:t>
            </w:r>
          </w:p>
        </w:tc>
        <w:tc>
          <w:tcPr>
            <w:tcW w:w="940" w:type="dxa"/>
            <w:vAlign w:val="bottom"/>
            <w:shd w:val="clear" w:color="auto" w:fill="E5FFFF"/>
          </w:tcPr>
          <w:p>
            <w:pPr>
              <w:jc w:val="right"/>
              <w:ind w:right="148"/>
              <w:spacing w:after="0" w:line="149" w:lineRule="exact"/>
              <w:rPr>
                <w:sz w:val="20"/>
                <w:szCs w:val="20"/>
                <w:color w:val="auto"/>
              </w:rPr>
            </w:pPr>
            <w:r>
              <w:rPr>
                <w:rFonts w:ascii="Arial" w:cs="Arial" w:eastAsia="Arial" w:hAnsi="Arial"/>
                <w:sz w:val="14"/>
                <w:szCs w:val="14"/>
                <w:color w:val="auto"/>
              </w:rPr>
              <w:t>145,000</w:t>
            </w:r>
          </w:p>
        </w:tc>
        <w:tc>
          <w:tcPr>
            <w:tcW w:w="188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i w:val="1"/>
                <w:iCs w:val="1"/>
                <w:color w:val="auto"/>
                <w:w w:val="91"/>
              </w:rPr>
              <w:t>Methane Jane Elizabeth</w:t>
            </w: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rPr>
              <w:t>April 2014</w:t>
            </w:r>
          </w:p>
        </w:tc>
      </w:tr>
      <w:tr>
        <w:trPr>
          <w:trHeight w:val="149"/>
        </w:trPr>
        <w:tc>
          <w:tcPr>
            <w:tcW w:w="2080" w:type="dxa"/>
            <w:vAlign w:val="bottom"/>
          </w:tcPr>
          <w:p>
            <w:pPr>
              <w:spacing w:after="0" w:line="149" w:lineRule="exact"/>
              <w:rPr>
                <w:sz w:val="20"/>
                <w:szCs w:val="20"/>
                <w:color w:val="auto"/>
              </w:rPr>
            </w:pPr>
            <w:r>
              <w:rPr>
                <w:rFonts w:ascii="Arial" w:cs="Arial" w:eastAsia="Arial" w:hAnsi="Arial"/>
                <w:sz w:val="14"/>
                <w:szCs w:val="14"/>
                <w:color w:val="auto"/>
              </w:rPr>
              <w:t>GAS-nineteen Ltd.</w:t>
            </w:r>
          </w:p>
        </w:tc>
        <w:tc>
          <w:tcPr>
            <w:tcW w:w="1560" w:type="dxa"/>
            <w:vAlign w:val="bottom"/>
          </w:tcPr>
          <w:p>
            <w:pPr>
              <w:ind w:left="480"/>
              <w:spacing w:after="0" w:line="149" w:lineRule="exact"/>
              <w:rPr>
                <w:sz w:val="20"/>
                <w:szCs w:val="20"/>
                <w:color w:val="auto"/>
              </w:rPr>
            </w:pPr>
            <w:r>
              <w:rPr>
                <w:rFonts w:ascii="Arial" w:cs="Arial" w:eastAsia="Arial" w:hAnsi="Arial"/>
                <w:sz w:val="14"/>
                <w:szCs w:val="14"/>
                <w:color w:val="auto"/>
              </w:rPr>
              <w:t>Bermuda</w:t>
            </w:r>
          </w:p>
        </w:tc>
        <w:tc>
          <w:tcPr>
            <w:tcW w:w="1760" w:type="dxa"/>
            <w:vAlign w:val="bottom"/>
          </w:tcPr>
          <w:p>
            <w:pPr>
              <w:ind w:left="560"/>
              <w:spacing w:after="0" w:line="149" w:lineRule="exact"/>
              <w:rPr>
                <w:sz w:val="20"/>
                <w:szCs w:val="20"/>
                <w:color w:val="auto"/>
              </w:rPr>
            </w:pPr>
            <w:r>
              <w:rPr>
                <w:rFonts w:ascii="Arial" w:cs="Arial" w:eastAsia="Arial" w:hAnsi="Arial"/>
                <w:sz w:val="14"/>
                <w:szCs w:val="14"/>
                <w:color w:val="auto"/>
              </w:rPr>
              <w:t>April 2014</w:t>
            </w:r>
          </w:p>
        </w:tc>
        <w:tc>
          <w:tcPr>
            <w:tcW w:w="1960" w:type="dxa"/>
            <w:vAlign w:val="bottom"/>
          </w:tcPr>
          <w:p>
            <w:pPr>
              <w:ind w:left="280"/>
              <w:spacing w:after="0" w:line="149" w:lineRule="exact"/>
              <w:rPr>
                <w:sz w:val="20"/>
                <w:szCs w:val="20"/>
                <w:color w:val="auto"/>
              </w:rPr>
            </w:pPr>
            <w:r>
              <w:rPr>
                <w:rFonts w:ascii="Arial" w:cs="Arial" w:eastAsia="Arial" w:hAnsi="Arial"/>
                <w:sz w:val="14"/>
                <w:szCs w:val="14"/>
                <w:color w:val="auto"/>
              </w:rPr>
              <w:t>Vessel-owning company</w:t>
            </w:r>
          </w:p>
        </w:tc>
        <w:tc>
          <w:tcPr>
            <w:tcW w:w="94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145,000</w:t>
            </w:r>
          </w:p>
        </w:tc>
        <w:tc>
          <w:tcPr>
            <w:tcW w:w="1880" w:type="dxa"/>
            <w:vAlign w:val="bottom"/>
          </w:tcPr>
          <w:p>
            <w:pPr>
              <w:jc w:val="center"/>
              <w:ind w:left="8"/>
              <w:spacing w:after="0" w:line="149" w:lineRule="exact"/>
              <w:rPr>
                <w:sz w:val="20"/>
                <w:szCs w:val="20"/>
                <w:color w:val="auto"/>
              </w:rPr>
            </w:pPr>
            <w:r>
              <w:rPr>
                <w:rFonts w:ascii="Arial" w:cs="Arial" w:eastAsia="Arial" w:hAnsi="Arial"/>
                <w:sz w:val="14"/>
                <w:szCs w:val="14"/>
                <w:i w:val="1"/>
                <w:iCs w:val="1"/>
                <w:color w:val="auto"/>
                <w:w w:val="95"/>
              </w:rPr>
              <w:t>Methane Alison Victoria</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1"/>
              </w:rPr>
              <w:t>June 2014</w:t>
            </w:r>
          </w:p>
        </w:tc>
      </w:tr>
      <w:tr>
        <w:trPr>
          <w:trHeight w:val="149"/>
        </w:trPr>
        <w:tc>
          <w:tcPr>
            <w:tcW w:w="20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GAS-twenty Ltd.</w:t>
            </w:r>
          </w:p>
        </w:tc>
        <w:tc>
          <w:tcPr>
            <w:tcW w:w="1560" w:type="dxa"/>
            <w:vAlign w:val="bottom"/>
            <w:shd w:val="clear" w:color="auto" w:fill="E5FFFF"/>
          </w:tcPr>
          <w:p>
            <w:pPr>
              <w:ind w:left="480"/>
              <w:spacing w:after="0" w:line="149" w:lineRule="exact"/>
              <w:rPr>
                <w:sz w:val="20"/>
                <w:szCs w:val="20"/>
                <w:color w:val="auto"/>
              </w:rPr>
            </w:pPr>
            <w:r>
              <w:rPr>
                <w:rFonts w:ascii="Arial" w:cs="Arial" w:eastAsia="Arial" w:hAnsi="Arial"/>
                <w:sz w:val="14"/>
                <w:szCs w:val="14"/>
                <w:color w:val="auto"/>
              </w:rPr>
              <w:t>Bermuda</w:t>
            </w:r>
          </w:p>
        </w:tc>
        <w:tc>
          <w:tcPr>
            <w:tcW w:w="1760" w:type="dxa"/>
            <w:vAlign w:val="bottom"/>
            <w:shd w:val="clear" w:color="auto" w:fill="E5FFFF"/>
          </w:tcPr>
          <w:p>
            <w:pPr>
              <w:ind w:left="560"/>
              <w:spacing w:after="0" w:line="149" w:lineRule="exact"/>
              <w:rPr>
                <w:sz w:val="20"/>
                <w:szCs w:val="20"/>
                <w:color w:val="auto"/>
              </w:rPr>
            </w:pPr>
            <w:r>
              <w:rPr>
                <w:rFonts w:ascii="Arial" w:cs="Arial" w:eastAsia="Arial" w:hAnsi="Arial"/>
                <w:sz w:val="14"/>
                <w:szCs w:val="14"/>
                <w:color w:val="auto"/>
              </w:rPr>
              <w:t>April 2014</w:t>
            </w:r>
          </w:p>
        </w:tc>
        <w:tc>
          <w:tcPr>
            <w:tcW w:w="1960" w:type="dxa"/>
            <w:vAlign w:val="bottom"/>
            <w:shd w:val="clear" w:color="auto" w:fill="E5FFFF"/>
          </w:tcPr>
          <w:p>
            <w:pPr>
              <w:ind w:left="280"/>
              <w:spacing w:after="0" w:line="149" w:lineRule="exact"/>
              <w:rPr>
                <w:sz w:val="20"/>
                <w:szCs w:val="20"/>
                <w:color w:val="auto"/>
              </w:rPr>
            </w:pPr>
            <w:r>
              <w:rPr>
                <w:rFonts w:ascii="Arial" w:cs="Arial" w:eastAsia="Arial" w:hAnsi="Arial"/>
                <w:sz w:val="14"/>
                <w:szCs w:val="14"/>
                <w:color w:val="auto"/>
              </w:rPr>
              <w:t>Vessel-owning company</w:t>
            </w:r>
          </w:p>
        </w:tc>
        <w:tc>
          <w:tcPr>
            <w:tcW w:w="940" w:type="dxa"/>
            <w:vAlign w:val="bottom"/>
            <w:shd w:val="clear" w:color="auto" w:fill="E5FFFF"/>
          </w:tcPr>
          <w:p>
            <w:pPr>
              <w:jc w:val="right"/>
              <w:ind w:right="148"/>
              <w:spacing w:after="0" w:line="149" w:lineRule="exact"/>
              <w:rPr>
                <w:sz w:val="20"/>
                <w:szCs w:val="20"/>
                <w:color w:val="auto"/>
              </w:rPr>
            </w:pPr>
            <w:r>
              <w:rPr>
                <w:rFonts w:ascii="Arial" w:cs="Arial" w:eastAsia="Arial" w:hAnsi="Arial"/>
                <w:sz w:val="14"/>
                <w:szCs w:val="14"/>
                <w:color w:val="auto"/>
              </w:rPr>
              <w:t>145,000</w:t>
            </w:r>
          </w:p>
        </w:tc>
        <w:tc>
          <w:tcPr>
            <w:tcW w:w="188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i w:val="1"/>
                <w:iCs w:val="1"/>
                <w:color w:val="auto"/>
                <w:w w:val="94"/>
              </w:rPr>
              <w:t>Methane Shirley Elisabeth</w:t>
            </w: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1"/>
              </w:rPr>
              <w:t>June 2014</w:t>
            </w:r>
          </w:p>
        </w:tc>
      </w:tr>
      <w:tr>
        <w:trPr>
          <w:trHeight w:val="149"/>
        </w:trPr>
        <w:tc>
          <w:tcPr>
            <w:tcW w:w="2080" w:type="dxa"/>
            <w:vAlign w:val="bottom"/>
          </w:tcPr>
          <w:p>
            <w:pPr>
              <w:spacing w:after="0" w:line="149" w:lineRule="exact"/>
              <w:rPr>
                <w:sz w:val="20"/>
                <w:szCs w:val="20"/>
                <w:color w:val="auto"/>
              </w:rPr>
            </w:pPr>
            <w:r>
              <w:rPr>
                <w:rFonts w:ascii="Arial" w:cs="Arial" w:eastAsia="Arial" w:hAnsi="Arial"/>
                <w:sz w:val="14"/>
                <w:szCs w:val="14"/>
                <w:color w:val="auto"/>
              </w:rPr>
              <w:t>GAS-twenty one Ltd.</w:t>
            </w:r>
          </w:p>
        </w:tc>
        <w:tc>
          <w:tcPr>
            <w:tcW w:w="1560" w:type="dxa"/>
            <w:vAlign w:val="bottom"/>
          </w:tcPr>
          <w:p>
            <w:pPr>
              <w:ind w:left="480"/>
              <w:spacing w:after="0" w:line="149" w:lineRule="exact"/>
              <w:rPr>
                <w:sz w:val="20"/>
                <w:szCs w:val="20"/>
                <w:color w:val="auto"/>
              </w:rPr>
            </w:pPr>
            <w:r>
              <w:rPr>
                <w:rFonts w:ascii="Arial" w:cs="Arial" w:eastAsia="Arial" w:hAnsi="Arial"/>
                <w:sz w:val="14"/>
                <w:szCs w:val="14"/>
                <w:color w:val="auto"/>
              </w:rPr>
              <w:t>Bermuda</w:t>
            </w:r>
          </w:p>
        </w:tc>
        <w:tc>
          <w:tcPr>
            <w:tcW w:w="1760" w:type="dxa"/>
            <w:vAlign w:val="bottom"/>
          </w:tcPr>
          <w:p>
            <w:pPr>
              <w:ind w:left="560"/>
              <w:spacing w:after="0" w:line="149" w:lineRule="exact"/>
              <w:rPr>
                <w:sz w:val="20"/>
                <w:szCs w:val="20"/>
                <w:color w:val="auto"/>
              </w:rPr>
            </w:pPr>
            <w:r>
              <w:rPr>
                <w:rFonts w:ascii="Arial" w:cs="Arial" w:eastAsia="Arial" w:hAnsi="Arial"/>
                <w:sz w:val="14"/>
                <w:szCs w:val="14"/>
                <w:color w:val="auto"/>
              </w:rPr>
              <w:t>April 2014</w:t>
            </w:r>
          </w:p>
        </w:tc>
        <w:tc>
          <w:tcPr>
            <w:tcW w:w="1960" w:type="dxa"/>
            <w:vAlign w:val="bottom"/>
          </w:tcPr>
          <w:p>
            <w:pPr>
              <w:ind w:left="280"/>
              <w:spacing w:after="0" w:line="149" w:lineRule="exact"/>
              <w:rPr>
                <w:sz w:val="20"/>
                <w:szCs w:val="20"/>
                <w:color w:val="auto"/>
              </w:rPr>
            </w:pPr>
            <w:r>
              <w:rPr>
                <w:rFonts w:ascii="Arial" w:cs="Arial" w:eastAsia="Arial" w:hAnsi="Arial"/>
                <w:sz w:val="14"/>
                <w:szCs w:val="14"/>
                <w:color w:val="auto"/>
              </w:rPr>
              <w:t>Vessel-owning company</w:t>
            </w:r>
          </w:p>
        </w:tc>
        <w:tc>
          <w:tcPr>
            <w:tcW w:w="94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145,000</w:t>
            </w:r>
          </w:p>
        </w:tc>
        <w:tc>
          <w:tcPr>
            <w:tcW w:w="188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94"/>
              </w:rPr>
              <w:t>Methane Heather Sally</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1"/>
              </w:rPr>
              <w:t>June 2014</w:t>
            </w:r>
          </w:p>
        </w:tc>
      </w:tr>
      <w:tr>
        <w:trPr>
          <w:trHeight w:val="149"/>
        </w:trPr>
        <w:tc>
          <w:tcPr>
            <w:tcW w:w="20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GAS-twenty seven Ltd.</w:t>
            </w:r>
          </w:p>
        </w:tc>
        <w:tc>
          <w:tcPr>
            <w:tcW w:w="1560" w:type="dxa"/>
            <w:vAlign w:val="bottom"/>
            <w:shd w:val="clear" w:color="auto" w:fill="E5FFFF"/>
          </w:tcPr>
          <w:p>
            <w:pPr>
              <w:ind w:left="480"/>
              <w:spacing w:after="0" w:line="149" w:lineRule="exact"/>
              <w:rPr>
                <w:sz w:val="20"/>
                <w:szCs w:val="20"/>
                <w:color w:val="auto"/>
              </w:rPr>
            </w:pPr>
            <w:r>
              <w:rPr>
                <w:rFonts w:ascii="Arial" w:cs="Arial" w:eastAsia="Arial" w:hAnsi="Arial"/>
                <w:sz w:val="14"/>
                <w:szCs w:val="14"/>
                <w:color w:val="auto"/>
              </w:rPr>
              <w:t>Bermuda</w:t>
            </w:r>
          </w:p>
        </w:tc>
        <w:tc>
          <w:tcPr>
            <w:tcW w:w="1760" w:type="dxa"/>
            <w:vAlign w:val="bottom"/>
            <w:shd w:val="clear" w:color="auto" w:fill="E5FFFF"/>
          </w:tcPr>
          <w:p>
            <w:pPr>
              <w:ind w:left="560"/>
              <w:spacing w:after="0" w:line="149" w:lineRule="exact"/>
              <w:rPr>
                <w:sz w:val="20"/>
                <w:szCs w:val="20"/>
                <w:color w:val="auto"/>
              </w:rPr>
            </w:pPr>
            <w:r>
              <w:rPr>
                <w:rFonts w:ascii="Arial" w:cs="Arial" w:eastAsia="Arial" w:hAnsi="Arial"/>
                <w:sz w:val="14"/>
                <w:szCs w:val="14"/>
                <w:color w:val="auto"/>
              </w:rPr>
              <w:t>January 2015</w:t>
            </w:r>
          </w:p>
        </w:tc>
        <w:tc>
          <w:tcPr>
            <w:tcW w:w="1960" w:type="dxa"/>
            <w:vAlign w:val="bottom"/>
            <w:shd w:val="clear" w:color="auto" w:fill="E5FFFF"/>
          </w:tcPr>
          <w:p>
            <w:pPr>
              <w:ind w:left="280"/>
              <w:spacing w:after="0" w:line="149" w:lineRule="exact"/>
              <w:rPr>
                <w:sz w:val="20"/>
                <w:szCs w:val="20"/>
                <w:color w:val="auto"/>
              </w:rPr>
            </w:pPr>
            <w:r>
              <w:rPr>
                <w:rFonts w:ascii="Arial" w:cs="Arial" w:eastAsia="Arial" w:hAnsi="Arial"/>
                <w:sz w:val="14"/>
                <w:szCs w:val="14"/>
                <w:color w:val="auto"/>
              </w:rPr>
              <w:t>Vessel-owning company</w:t>
            </w:r>
          </w:p>
        </w:tc>
        <w:tc>
          <w:tcPr>
            <w:tcW w:w="940" w:type="dxa"/>
            <w:vAlign w:val="bottom"/>
            <w:shd w:val="clear" w:color="auto" w:fill="E5FFFF"/>
          </w:tcPr>
          <w:p>
            <w:pPr>
              <w:jc w:val="right"/>
              <w:ind w:right="148"/>
              <w:spacing w:after="0" w:line="149" w:lineRule="exact"/>
              <w:rPr>
                <w:sz w:val="20"/>
                <w:szCs w:val="20"/>
                <w:color w:val="auto"/>
              </w:rPr>
            </w:pPr>
            <w:r>
              <w:rPr>
                <w:rFonts w:ascii="Arial" w:cs="Arial" w:eastAsia="Arial" w:hAnsi="Arial"/>
                <w:sz w:val="14"/>
                <w:szCs w:val="14"/>
                <w:color w:val="auto"/>
              </w:rPr>
              <w:t>170,000</w:t>
            </w:r>
          </w:p>
        </w:tc>
        <w:tc>
          <w:tcPr>
            <w:tcW w:w="188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i w:val="1"/>
                <w:iCs w:val="1"/>
                <w:color w:val="auto"/>
                <w:w w:val="91"/>
              </w:rPr>
              <w:t>Methane Becki Anne</w:t>
            </w: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4"/>
              </w:rPr>
              <w:t>March 2015</w:t>
            </w:r>
          </w:p>
        </w:tc>
      </w:tr>
      <w:tr>
        <w:trPr>
          <w:trHeight w:val="297"/>
        </w:trPr>
        <w:tc>
          <w:tcPr>
            <w:tcW w:w="2080" w:type="dxa"/>
            <w:vAlign w:val="bottom"/>
          </w:tcPr>
          <w:p>
            <w:pPr>
              <w:spacing w:after="0"/>
              <w:rPr>
                <w:sz w:val="20"/>
                <w:szCs w:val="20"/>
                <w:color w:val="auto"/>
              </w:rPr>
            </w:pPr>
            <w:r>
              <w:rPr>
                <w:rFonts w:ascii="Arial" w:cs="Arial" w:eastAsia="Arial" w:hAnsi="Arial"/>
                <w:sz w:val="14"/>
                <w:szCs w:val="14"/>
                <w:b w:val="1"/>
                <w:bCs w:val="1"/>
                <w:color w:val="auto"/>
              </w:rPr>
              <w:t>25% interest associate:</w:t>
            </w:r>
          </w:p>
        </w:tc>
        <w:tc>
          <w:tcPr>
            <w:tcW w:w="15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49"/>
        </w:trPr>
        <w:tc>
          <w:tcPr>
            <w:tcW w:w="20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Egypt LNG Shipping Ltd.</w:t>
            </w:r>
          </w:p>
        </w:tc>
        <w:tc>
          <w:tcPr>
            <w:tcW w:w="1560" w:type="dxa"/>
            <w:vAlign w:val="bottom"/>
            <w:shd w:val="clear" w:color="auto" w:fill="E5FFFF"/>
          </w:tcPr>
          <w:p>
            <w:pPr>
              <w:ind w:left="480"/>
              <w:spacing w:after="0" w:line="149" w:lineRule="exact"/>
              <w:rPr>
                <w:sz w:val="20"/>
                <w:szCs w:val="20"/>
                <w:color w:val="auto"/>
              </w:rPr>
            </w:pPr>
            <w:r>
              <w:rPr>
                <w:rFonts w:ascii="Arial" w:cs="Arial" w:eastAsia="Arial" w:hAnsi="Arial"/>
                <w:sz w:val="14"/>
                <w:szCs w:val="14"/>
                <w:color w:val="auto"/>
              </w:rPr>
              <w:t>Bermuda</w:t>
            </w:r>
          </w:p>
        </w:tc>
        <w:tc>
          <w:tcPr>
            <w:tcW w:w="1760" w:type="dxa"/>
            <w:vAlign w:val="bottom"/>
            <w:shd w:val="clear" w:color="auto" w:fill="E5FFFF"/>
          </w:tcPr>
          <w:p>
            <w:pPr>
              <w:ind w:left="560"/>
              <w:spacing w:after="0" w:line="149" w:lineRule="exact"/>
              <w:rPr>
                <w:sz w:val="20"/>
                <w:szCs w:val="20"/>
                <w:color w:val="auto"/>
              </w:rPr>
            </w:pPr>
            <w:r>
              <w:rPr>
                <w:rFonts w:ascii="Arial" w:cs="Arial" w:eastAsia="Arial" w:hAnsi="Arial"/>
                <w:sz w:val="14"/>
                <w:szCs w:val="14"/>
                <w:color w:val="auto"/>
              </w:rPr>
              <w:t>May 2010</w:t>
            </w:r>
          </w:p>
        </w:tc>
        <w:tc>
          <w:tcPr>
            <w:tcW w:w="1960" w:type="dxa"/>
            <w:vAlign w:val="bottom"/>
            <w:shd w:val="clear" w:color="auto" w:fill="E5FFFF"/>
          </w:tcPr>
          <w:p>
            <w:pPr>
              <w:ind w:left="280"/>
              <w:spacing w:after="0" w:line="149" w:lineRule="exact"/>
              <w:rPr>
                <w:sz w:val="20"/>
                <w:szCs w:val="20"/>
                <w:color w:val="auto"/>
              </w:rPr>
            </w:pPr>
            <w:r>
              <w:rPr>
                <w:rFonts w:ascii="Arial" w:cs="Arial" w:eastAsia="Arial" w:hAnsi="Arial"/>
                <w:sz w:val="14"/>
                <w:szCs w:val="14"/>
                <w:color w:val="auto"/>
              </w:rPr>
              <w:t>Vessel-owning company</w:t>
            </w:r>
          </w:p>
        </w:tc>
        <w:tc>
          <w:tcPr>
            <w:tcW w:w="940" w:type="dxa"/>
            <w:vAlign w:val="bottom"/>
            <w:shd w:val="clear" w:color="auto" w:fill="E5FFFF"/>
          </w:tcPr>
          <w:p>
            <w:pPr>
              <w:jc w:val="right"/>
              <w:ind w:right="148"/>
              <w:spacing w:after="0" w:line="149" w:lineRule="exact"/>
              <w:rPr>
                <w:sz w:val="20"/>
                <w:szCs w:val="20"/>
                <w:color w:val="auto"/>
              </w:rPr>
            </w:pPr>
            <w:r>
              <w:rPr>
                <w:rFonts w:ascii="Arial" w:cs="Arial" w:eastAsia="Arial" w:hAnsi="Arial"/>
                <w:sz w:val="14"/>
                <w:szCs w:val="14"/>
                <w:color w:val="auto"/>
              </w:rPr>
              <w:t>145,000</w:t>
            </w:r>
          </w:p>
        </w:tc>
        <w:tc>
          <w:tcPr>
            <w:tcW w:w="188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i w:val="1"/>
                <w:iCs w:val="1"/>
                <w:color w:val="auto"/>
                <w:w w:val="93"/>
              </w:rPr>
              <w:t>Methane Nile Eagle</w:t>
            </w: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2"/>
              </w:rPr>
              <w:t>December 2007</w:t>
            </w:r>
          </w:p>
        </w:tc>
      </w:tr>
      <w:tr>
        <w:trPr>
          <w:trHeight w:val="149"/>
        </w:trPr>
        <w:tc>
          <w:tcPr>
            <w:tcW w:w="2080" w:type="dxa"/>
            <w:vAlign w:val="bottom"/>
          </w:tcPr>
          <w:p>
            <w:pPr>
              <w:spacing w:after="0" w:line="149" w:lineRule="exact"/>
              <w:rPr>
                <w:sz w:val="20"/>
                <w:szCs w:val="20"/>
                <w:color w:val="auto"/>
              </w:rPr>
            </w:pPr>
            <w:r>
              <w:rPr>
                <w:rFonts w:ascii="Arial" w:cs="Arial" w:eastAsia="Arial" w:hAnsi="Arial"/>
                <w:sz w:val="14"/>
                <w:szCs w:val="14"/>
                <w:b w:val="1"/>
                <w:bCs w:val="1"/>
                <w:color w:val="auto"/>
              </w:rPr>
              <w:t>20% interest associate:</w:t>
            </w:r>
          </w:p>
        </w:tc>
        <w:tc>
          <w:tcPr>
            <w:tcW w:w="15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49"/>
        </w:trPr>
        <w:tc>
          <w:tcPr>
            <w:tcW w:w="20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Gastrade S.A. (“Gastrade”)</w:t>
            </w:r>
          </w:p>
        </w:tc>
        <w:tc>
          <w:tcPr>
            <w:tcW w:w="1560" w:type="dxa"/>
            <w:vAlign w:val="bottom"/>
            <w:shd w:val="clear" w:color="auto" w:fill="E5FFFF"/>
          </w:tcPr>
          <w:p>
            <w:pPr>
              <w:ind w:left="480"/>
              <w:spacing w:after="0" w:line="149" w:lineRule="exact"/>
              <w:rPr>
                <w:sz w:val="20"/>
                <w:szCs w:val="20"/>
                <w:color w:val="auto"/>
              </w:rPr>
            </w:pPr>
            <w:r>
              <w:rPr>
                <w:rFonts w:ascii="Arial" w:cs="Arial" w:eastAsia="Arial" w:hAnsi="Arial"/>
                <w:sz w:val="14"/>
                <w:szCs w:val="14"/>
                <w:color w:val="auto"/>
              </w:rPr>
              <w:t>Greece</w:t>
            </w:r>
          </w:p>
        </w:tc>
        <w:tc>
          <w:tcPr>
            <w:tcW w:w="1760" w:type="dxa"/>
            <w:vAlign w:val="bottom"/>
            <w:shd w:val="clear" w:color="auto" w:fill="E5FFFF"/>
          </w:tcPr>
          <w:p>
            <w:pPr>
              <w:ind w:left="560"/>
              <w:spacing w:after="0" w:line="149" w:lineRule="exact"/>
              <w:rPr>
                <w:sz w:val="20"/>
                <w:szCs w:val="20"/>
                <w:color w:val="auto"/>
              </w:rPr>
            </w:pPr>
            <w:r>
              <w:rPr>
                <w:rFonts w:ascii="Arial" w:cs="Arial" w:eastAsia="Arial" w:hAnsi="Arial"/>
                <w:sz w:val="14"/>
                <w:szCs w:val="14"/>
                <w:color w:val="auto"/>
              </w:rPr>
              <w:t>June 2010</w:t>
            </w:r>
          </w:p>
        </w:tc>
        <w:tc>
          <w:tcPr>
            <w:tcW w:w="1960" w:type="dxa"/>
            <w:vAlign w:val="bottom"/>
            <w:shd w:val="clear" w:color="auto" w:fill="E5FFFF"/>
          </w:tcPr>
          <w:p>
            <w:pPr>
              <w:ind w:left="280"/>
              <w:spacing w:after="0" w:line="149" w:lineRule="exact"/>
              <w:rPr>
                <w:sz w:val="20"/>
                <w:szCs w:val="20"/>
                <w:color w:val="auto"/>
              </w:rPr>
            </w:pPr>
            <w:r>
              <w:rPr>
                <w:rFonts w:ascii="Arial" w:cs="Arial" w:eastAsia="Arial" w:hAnsi="Arial"/>
                <w:sz w:val="14"/>
                <w:szCs w:val="14"/>
                <w:color w:val="auto"/>
              </w:rPr>
              <w:t>Service company</w:t>
            </w:r>
          </w:p>
        </w:tc>
        <w:tc>
          <w:tcPr>
            <w:tcW w:w="940" w:type="dxa"/>
            <w:vAlign w:val="bottom"/>
            <w:shd w:val="clear" w:color="auto" w:fill="E5FFFF"/>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188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9607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280" w:hanging="272"/>
        <w:spacing w:after="0"/>
        <w:tabs>
          <w:tab w:leader="none" w:pos="280" w:val="left"/>
        </w:tabs>
        <w:numPr>
          <w:ilvl w:val="0"/>
          <w:numId w:val="15"/>
        </w:numPr>
        <w:rPr>
          <w:rFonts w:ascii="Arial" w:cs="Arial" w:eastAsia="Arial" w:hAnsi="Arial"/>
          <w:sz w:val="22"/>
          <w:szCs w:val="22"/>
          <w:color w:val="auto"/>
          <w:vertAlign w:val="superscript"/>
        </w:rPr>
      </w:pPr>
      <w:r>
        <w:rPr>
          <w:rFonts w:ascii="Arial" w:cs="Arial" w:eastAsia="Arial" w:hAnsi="Arial"/>
          <w:sz w:val="14"/>
          <w:szCs w:val="14"/>
          <w:color w:val="auto"/>
        </w:rPr>
        <w:t>For newbuildings, expected delivery quarters as of September 30, 2019 are presented.</w:t>
      </w:r>
    </w:p>
    <w:p>
      <w:pPr>
        <w:spacing w:after="0" w:line="53" w:lineRule="exact"/>
        <w:rPr>
          <w:rFonts w:ascii="Arial" w:cs="Arial" w:eastAsia="Arial" w:hAnsi="Arial"/>
          <w:sz w:val="22"/>
          <w:szCs w:val="22"/>
          <w:color w:val="auto"/>
          <w:vertAlign w:val="superscript"/>
        </w:rPr>
      </w:pPr>
    </w:p>
    <w:p>
      <w:pPr>
        <w:ind w:left="280" w:hanging="272"/>
        <w:spacing w:after="0" w:line="193" w:lineRule="auto"/>
        <w:tabs>
          <w:tab w:leader="none" w:pos="280" w:val="left"/>
        </w:tabs>
        <w:numPr>
          <w:ilvl w:val="0"/>
          <w:numId w:val="15"/>
        </w:numPr>
        <w:rPr>
          <w:rFonts w:ascii="Arial" w:cs="Arial" w:eastAsia="Arial" w:hAnsi="Arial"/>
          <w:sz w:val="19"/>
          <w:szCs w:val="19"/>
          <w:color w:val="auto"/>
          <w:vertAlign w:val="superscript"/>
        </w:rPr>
      </w:pPr>
      <w:r>
        <w:rPr>
          <w:rFonts w:ascii="Arial" w:cs="Arial" w:eastAsia="Arial" w:hAnsi="Arial"/>
          <w:sz w:val="13"/>
          <w:szCs w:val="13"/>
          <w:color w:val="auto"/>
        </w:rPr>
        <w:t xml:space="preserve">In June 2019, the newbuilding the </w:t>
      </w:r>
      <w:r>
        <w:rPr>
          <w:rFonts w:ascii="Arial" w:cs="Arial" w:eastAsia="Arial" w:hAnsi="Arial"/>
          <w:sz w:val="13"/>
          <w:szCs w:val="13"/>
          <w:i w:val="1"/>
          <w:iCs w:val="1"/>
          <w:color w:val="auto"/>
        </w:rPr>
        <w:t>GasLog Warsaw</w:t>
      </w:r>
      <w:r>
        <w:rPr>
          <w:rFonts w:ascii="Arial" w:cs="Arial" w:eastAsia="Arial" w:hAnsi="Arial"/>
          <w:sz w:val="13"/>
          <w:szCs w:val="13"/>
          <w:color w:val="auto"/>
        </w:rPr>
        <w:t>, delivered on July 31, 2019, was transferred from GAS-twenty nine Ltd. to the subsidiary GasLog Hellas-1 Special Maritime Enterprise.</w:t>
      </w:r>
    </w:p>
    <w:p>
      <w:pPr>
        <w:spacing w:after="0" w:line="273" w:lineRule="exact"/>
        <w:rPr>
          <w:sz w:val="20"/>
          <w:szCs w:val="20"/>
          <w:color w:val="auto"/>
        </w:rPr>
      </w:pPr>
    </w:p>
    <w:p>
      <w:pPr>
        <w:jc w:val="both"/>
        <w:ind w:right="140" w:firstLine="510"/>
        <w:spacing w:after="0" w:line="273" w:lineRule="auto"/>
        <w:rPr>
          <w:sz w:val="20"/>
          <w:szCs w:val="20"/>
          <w:color w:val="auto"/>
        </w:rPr>
      </w:pPr>
      <w:r>
        <w:rPr>
          <w:rFonts w:ascii="Arial" w:cs="Arial" w:eastAsia="Arial" w:hAnsi="Arial"/>
          <w:sz w:val="16"/>
          <w:szCs w:val="16"/>
          <w:color w:val="auto"/>
        </w:rPr>
        <w:t>On October 1, 2015, GasLog Carriers, Dynagas Ltd. (“Dynagas”) and Golar LNG Ltd. (“Golar”) (“Pool Owners”) and The Cool Pool Limited signed an LNG carrier pooling agreement (the “LNG Carrier Pool” or “Pool Agreement” or “Cool Pool”) to market their vessels operating in the LNG shipping spot market. For the operation of the Cool Pool, a Marshall Islands service company named “The Cool Pool Limited” or the “Pool Manager”, was incorporated in September 2015 acting as an agent. In June and July 2018, Dynagas removed its three vessels from the Cool Pool and ceased to be a shareholder.</w:t>
      </w:r>
    </w:p>
    <w:p>
      <w:pPr>
        <w:spacing w:after="0" w:line="189" w:lineRule="exact"/>
        <w:rPr>
          <w:sz w:val="20"/>
          <w:szCs w:val="20"/>
          <w:color w:val="auto"/>
        </w:rPr>
      </w:pPr>
    </w:p>
    <w:p>
      <w:pPr>
        <w:jc w:val="both"/>
        <w:ind w:right="180" w:firstLine="510"/>
        <w:spacing w:after="0" w:line="278" w:lineRule="auto"/>
        <w:rPr>
          <w:sz w:val="20"/>
          <w:szCs w:val="20"/>
          <w:color w:val="auto"/>
        </w:rPr>
      </w:pPr>
      <w:r>
        <w:rPr>
          <w:rFonts w:ascii="Arial" w:cs="Arial" w:eastAsia="Arial" w:hAnsi="Arial"/>
          <w:sz w:val="16"/>
          <w:szCs w:val="16"/>
          <w:color w:val="auto"/>
        </w:rPr>
        <w:t>On June 6, 2019, GasLog entered into a termination agreement with the Cool Pool, whereby GasLog would assume commercial control of its six vessels operating in the LNG carrier spot market through the Cool Pool and on June 28, 2019, GasLog transferred to Golar its 100 shares of the common capital stock of The Cool Pool Limited. Following expiry of their commitments, GasLog vessels were withdrawn from the Cool Pool in June and July 2019.</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Basis of Presentation</w:t>
      </w:r>
    </w:p>
    <w:p>
      <w:pPr>
        <w:spacing w:after="0" w:line="239" w:lineRule="exact"/>
        <w:rPr>
          <w:sz w:val="20"/>
          <w:szCs w:val="20"/>
          <w:color w:val="auto"/>
        </w:rPr>
      </w:pPr>
    </w:p>
    <w:p>
      <w:pPr>
        <w:ind w:right="200" w:firstLine="436"/>
        <w:spacing w:after="0" w:line="297" w:lineRule="auto"/>
        <w:rPr>
          <w:sz w:val="20"/>
          <w:szCs w:val="20"/>
          <w:color w:val="auto"/>
        </w:rPr>
      </w:pPr>
      <w:r>
        <w:rPr>
          <w:rFonts w:ascii="Arial" w:cs="Arial" w:eastAsia="Arial" w:hAnsi="Arial"/>
          <w:sz w:val="15"/>
          <w:szCs w:val="15"/>
          <w:color w:val="auto"/>
        </w:rPr>
        <w:t xml:space="preserve">These unaudited condensed consolidated financial statements have been prepared in accordance with International Accounting Standard (“IAS”) 34 </w:t>
      </w:r>
      <w:r>
        <w:rPr>
          <w:rFonts w:ascii="Arial" w:cs="Arial" w:eastAsia="Arial" w:hAnsi="Arial"/>
          <w:sz w:val="15"/>
          <w:szCs w:val="15"/>
          <w:i w:val="1"/>
          <w:iCs w:val="1"/>
          <w:color w:val="auto"/>
        </w:rPr>
        <w:t>Interim Financial</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Reporting </w:t>
      </w:r>
      <w:r>
        <w:rPr>
          <w:rFonts w:ascii="Arial" w:cs="Arial" w:eastAsia="Arial" w:hAnsi="Arial"/>
          <w:sz w:val="15"/>
          <w:szCs w:val="15"/>
          <w:color w:val="auto"/>
        </w:rPr>
        <w:t>as issued by the International Accounting Standards Board (“IASB”). Certain information and footnote disclosures required by IFRS for a complete set of annual</w:t>
      </w:r>
      <w:r>
        <w:rPr>
          <w:rFonts w:ascii="Arial" w:cs="Arial" w:eastAsia="Arial" w:hAnsi="Arial"/>
          <w:sz w:val="15"/>
          <w:szCs w:val="15"/>
          <w:i w:val="1"/>
          <w:iCs w:val="1"/>
          <w:color w:val="auto"/>
        </w:rPr>
        <w:t xml:space="preserve"> </w:t>
      </w:r>
      <w:r>
        <w:rPr>
          <w:rFonts w:ascii="Arial" w:cs="Arial" w:eastAsia="Arial" w:hAnsi="Arial"/>
          <w:sz w:val="15"/>
          <w:szCs w:val="15"/>
          <w:color w:val="auto"/>
        </w:rPr>
        <w:t>financial statements have been omitted, and, therefore, these unaudited condensed consolidated financial statements should be read in conjunction with the Group’s annual consolidated financial statements as of and for the year ended December 31, 2018 filed with the SEC on March 5, 2019.</w:t>
      </w:r>
    </w:p>
    <w:p>
      <w:pPr>
        <w:spacing w:after="0" w:line="173" w:lineRule="exact"/>
        <w:rPr>
          <w:sz w:val="20"/>
          <w:szCs w:val="20"/>
          <w:color w:val="auto"/>
        </w:rPr>
      </w:pPr>
    </w:p>
    <w:p>
      <w:pPr>
        <w:ind w:right="400" w:firstLine="436"/>
        <w:spacing w:after="0" w:line="293" w:lineRule="auto"/>
        <w:rPr>
          <w:sz w:val="20"/>
          <w:szCs w:val="20"/>
          <w:color w:val="auto"/>
        </w:rPr>
      </w:pPr>
      <w:r>
        <w:rPr>
          <w:rFonts w:ascii="Arial" w:cs="Arial" w:eastAsia="Arial" w:hAnsi="Arial"/>
          <w:sz w:val="16"/>
          <w:szCs w:val="16"/>
          <w:color w:val="auto"/>
        </w:rPr>
        <w:t>The critical accounting judgments and key sources of estimation uncertainty were disclosed in the Company’s annual consolidated financial statements for the year ended December 31, 2018 and remain unchanged.</w:t>
      </w:r>
    </w:p>
    <w:p>
      <w:pPr>
        <w:spacing w:after="0" w:line="172" w:lineRule="exact"/>
        <w:rPr>
          <w:sz w:val="20"/>
          <w:szCs w:val="20"/>
          <w:color w:val="auto"/>
        </w:rPr>
      </w:pPr>
    </w:p>
    <w:p>
      <w:pPr>
        <w:ind w:right="20" w:firstLine="436"/>
        <w:spacing w:after="0" w:line="278" w:lineRule="auto"/>
        <w:rPr>
          <w:sz w:val="20"/>
          <w:szCs w:val="20"/>
          <w:color w:val="auto"/>
        </w:rPr>
      </w:pPr>
      <w:r>
        <w:rPr>
          <w:rFonts w:ascii="Arial" w:cs="Arial" w:eastAsia="Arial" w:hAnsi="Arial"/>
          <w:sz w:val="16"/>
          <w:szCs w:val="16"/>
          <w:color w:val="auto"/>
        </w:rPr>
        <w:t>The unaudited condensed consolidated financial statements are expressed in U.S. dollars (“USD”), which is the functional currency of all of the subsidiaries in the Group because their vessels operate in international shipping markets in which revenues and expenses are primarily settled in USD, and the Group’s most significant assets and liabilities are paid for and settled in USD.</w:t>
      </w:r>
    </w:p>
    <w:p>
      <w:pPr>
        <w:spacing w:after="0" w:line="184" w:lineRule="exact"/>
        <w:rPr>
          <w:sz w:val="20"/>
          <w:szCs w:val="20"/>
          <w:color w:val="auto"/>
        </w:rPr>
      </w:pPr>
    </w:p>
    <w:p>
      <w:pPr>
        <w:jc w:val="both"/>
        <w:ind w:right="540" w:firstLine="396"/>
        <w:spacing w:after="0" w:line="305" w:lineRule="auto"/>
        <w:rPr>
          <w:sz w:val="20"/>
          <w:szCs w:val="20"/>
          <w:color w:val="auto"/>
        </w:rPr>
      </w:pPr>
      <w:r>
        <w:rPr>
          <w:rFonts w:ascii="Arial" w:cs="Arial" w:eastAsia="Arial" w:hAnsi="Arial"/>
          <w:sz w:val="15"/>
          <w:szCs w:val="15"/>
          <w:color w:val="auto"/>
        </w:rPr>
        <w:t xml:space="preserve">The financial statements are prepared on the historical cost basis, except for the revaluation of derivative financial instruments. The same accounting policies and methods of computation have been followed in these unaudited condensed consolidated financial statements as were applied in the preparation of the Group’s financial statements for the year ended December 31, 2018, except for the changes resulting from the adoption of IFRS 16 </w:t>
      </w:r>
      <w:r>
        <w:rPr>
          <w:rFonts w:ascii="Arial" w:cs="Arial" w:eastAsia="Arial" w:hAnsi="Arial"/>
          <w:sz w:val="15"/>
          <w:szCs w:val="15"/>
          <w:i w:val="1"/>
          <w:iCs w:val="1"/>
          <w:color w:val="auto"/>
        </w:rPr>
        <w:t>Leases</w:t>
      </w:r>
      <w:r>
        <w:rPr>
          <w:rFonts w:ascii="Arial" w:cs="Arial" w:eastAsia="Arial" w:hAnsi="Arial"/>
          <w:sz w:val="15"/>
          <w:szCs w:val="15"/>
          <w:color w:val="auto"/>
        </w:rPr>
        <w:t xml:space="preserve"> (as discussed below).</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November 6, 2019, GasLog’s board of directors authorized the unaudited condensed consolidated financial statements for issuance.</w:t>
      </w:r>
    </w:p>
    <w:p>
      <w:pPr>
        <w:spacing w:after="0" w:line="235" w:lineRule="exact"/>
        <w:rPr>
          <w:sz w:val="20"/>
          <w:szCs w:val="20"/>
          <w:color w:val="auto"/>
        </w:rPr>
      </w:pPr>
    </w:p>
    <w:p>
      <w:pPr>
        <w:ind w:right="80" w:firstLine="383"/>
        <w:spacing w:after="0" w:line="273" w:lineRule="auto"/>
        <w:rPr>
          <w:sz w:val="20"/>
          <w:szCs w:val="20"/>
          <w:color w:val="auto"/>
        </w:rPr>
      </w:pPr>
      <w:r>
        <w:rPr>
          <w:rFonts w:ascii="Arial" w:cs="Arial" w:eastAsia="Arial" w:hAnsi="Arial"/>
          <w:sz w:val="16"/>
          <w:szCs w:val="16"/>
          <w:color w:val="auto"/>
        </w:rPr>
        <w:t>Management anticipates that the Group’s primary sources of funds will be available cash, cash from operations and borrowings under existing and new loan agreements. The Group may also seek to raise additional common or other forms of equity. Management believes that these sources of funds will be sufficient for the Group to meet its liquidity needs and to comply with its financial covenants for at least twelve months from the end of the reporting period and therefore it is appropriate to prepare the financial statements on a going concern basis.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Adoption of new and revised IFRS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Standards and interpretations adopted in the current period</w:t>
      </w:r>
    </w:p>
    <w:p>
      <w:pPr>
        <w:spacing w:after="0" w:line="239" w:lineRule="exact"/>
        <w:rPr>
          <w:sz w:val="20"/>
          <w:szCs w:val="20"/>
          <w:color w:val="auto"/>
        </w:rPr>
      </w:pPr>
    </w:p>
    <w:p>
      <w:pPr>
        <w:ind w:right="80" w:firstLine="324"/>
        <w:spacing w:after="0" w:line="273" w:lineRule="auto"/>
        <w:rPr>
          <w:sz w:val="20"/>
          <w:szCs w:val="20"/>
          <w:color w:val="auto"/>
        </w:rPr>
      </w:pPr>
      <w:r>
        <w:rPr>
          <w:rFonts w:ascii="Arial" w:cs="Arial" w:eastAsia="Arial" w:hAnsi="Arial"/>
          <w:sz w:val="16"/>
          <w:szCs w:val="16"/>
          <w:color w:val="auto"/>
        </w:rPr>
        <w:t xml:space="preserve">In January 2016, the IASB issued IFRS 16 </w:t>
      </w:r>
      <w:r>
        <w:rPr>
          <w:rFonts w:ascii="Arial" w:cs="Arial" w:eastAsia="Arial" w:hAnsi="Arial"/>
          <w:sz w:val="16"/>
          <w:szCs w:val="16"/>
          <w:i w:val="1"/>
          <w:iCs w:val="1"/>
          <w:color w:val="auto"/>
        </w:rPr>
        <w:t>Leases</w:t>
      </w:r>
      <w:r>
        <w:rPr>
          <w:rFonts w:ascii="Arial" w:cs="Arial" w:eastAsia="Arial" w:hAnsi="Arial"/>
          <w:sz w:val="16"/>
          <w:szCs w:val="16"/>
          <w:color w:val="auto"/>
        </w:rPr>
        <w:t>, which sets out the principles for the recognition, measurement, presentation and disclosure of leases for both parties to a contract, i.e. the customer (“lessee”) and the supplier (“lessor”). IFRS 16 eliminates the classification of leases by lessees as either operating leases or finance leases and, instead, introduces a single lessee accounting model. Applying that model, a lessee is required to recognize: (a) assets and liabilities for all leases with a term of more than 12 months, unless the underlying asset is of low value; and (b)</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3" w:name="page34"/>
    <w:bookmarkEnd w:id="33"/>
    <w:p>
      <w:pPr>
        <w:ind w:right="200"/>
        <w:spacing w:after="0" w:line="278" w:lineRule="auto"/>
        <w:rPr>
          <w:sz w:val="20"/>
          <w:szCs w:val="20"/>
          <w:color w:val="auto"/>
        </w:rPr>
      </w:pPr>
      <w:r>
        <w:rPr>
          <w:rFonts w:ascii="Arial" w:cs="Arial" w:eastAsia="Arial" w:hAnsi="Arial"/>
          <w:sz w:val="16"/>
          <w:szCs w:val="16"/>
          <w:color w:val="auto"/>
        </w:rPr>
        <w:t xml:space="preserve">depreciation of lease assets separately from interest on lease liabilities in the statement of profit or loss. Lessors continue to classify their leases as operating leases or finance leases, and to account for those two types of leases differently. IFRS 16 </w:t>
      </w:r>
      <w:r>
        <w:rPr>
          <w:rFonts w:ascii="Arial" w:cs="Arial" w:eastAsia="Arial" w:hAnsi="Arial"/>
          <w:sz w:val="16"/>
          <w:szCs w:val="16"/>
          <w:i w:val="1"/>
          <w:iCs w:val="1"/>
          <w:color w:val="auto"/>
        </w:rPr>
        <w:t>Leases</w:t>
      </w:r>
      <w:r>
        <w:rPr>
          <w:rFonts w:ascii="Arial" w:cs="Arial" w:eastAsia="Arial" w:hAnsi="Arial"/>
          <w:sz w:val="16"/>
          <w:szCs w:val="16"/>
          <w:color w:val="auto"/>
        </w:rPr>
        <w:t xml:space="preserve"> supersedes the previous leases Standard, IAS 17 </w:t>
      </w:r>
      <w:r>
        <w:rPr>
          <w:rFonts w:ascii="Arial" w:cs="Arial" w:eastAsia="Arial" w:hAnsi="Arial"/>
          <w:sz w:val="16"/>
          <w:szCs w:val="16"/>
          <w:i w:val="1"/>
          <w:iCs w:val="1"/>
          <w:color w:val="auto"/>
        </w:rPr>
        <w:t>Leases</w:t>
      </w:r>
      <w:r>
        <w:rPr>
          <w:rFonts w:ascii="Arial" w:cs="Arial" w:eastAsia="Arial" w:hAnsi="Arial"/>
          <w:sz w:val="16"/>
          <w:szCs w:val="16"/>
          <w:color w:val="auto"/>
        </w:rPr>
        <w:t>, and related Interpretations. The standard is effective from January 1, 2019.</w:t>
      </w:r>
    </w:p>
    <w:p>
      <w:pPr>
        <w:spacing w:after="0" w:line="184" w:lineRule="exact"/>
        <w:rPr>
          <w:sz w:val="20"/>
          <w:szCs w:val="20"/>
          <w:color w:val="auto"/>
        </w:rPr>
      </w:pPr>
    </w:p>
    <w:p>
      <w:pPr>
        <w:jc w:val="both"/>
        <w:ind w:right="200" w:firstLine="324"/>
        <w:spacing w:after="0" w:line="303" w:lineRule="auto"/>
        <w:rPr>
          <w:sz w:val="20"/>
          <w:szCs w:val="20"/>
          <w:color w:val="auto"/>
        </w:rPr>
      </w:pPr>
      <w:r>
        <w:rPr>
          <w:rFonts w:ascii="Arial" w:cs="Arial" w:eastAsia="Arial" w:hAnsi="Arial"/>
          <w:sz w:val="14"/>
          <w:szCs w:val="14"/>
          <w:color w:val="auto"/>
        </w:rPr>
        <w:t>The Group is a lessee under a vessel sale and leaseback arrangement and also leases various properties, vessel and office equipment. Rental contracts are typically made for fixed periods but may have extension options. Lease terms are negotiated on an individual basis and contain a wide range of different terms and conditions. Following the implementation of IFRS 16, leases are recognized as a right-of-use asset and a corresponding liability at the date at which the leased asset is available for use by the Group.</w:t>
      </w:r>
    </w:p>
    <w:p>
      <w:pPr>
        <w:spacing w:after="0" w:line="2" w:lineRule="exact"/>
        <w:rPr>
          <w:sz w:val="20"/>
          <w:szCs w:val="20"/>
          <w:color w:val="auto"/>
        </w:rPr>
      </w:pPr>
    </w:p>
    <w:p>
      <w:pPr>
        <w:jc w:val="both"/>
        <w:ind w:right="280"/>
        <w:spacing w:after="0" w:line="276" w:lineRule="auto"/>
        <w:rPr>
          <w:sz w:val="20"/>
          <w:szCs w:val="20"/>
          <w:color w:val="auto"/>
        </w:rPr>
      </w:pPr>
      <w:r>
        <w:rPr>
          <w:rFonts w:ascii="Arial" w:cs="Arial" w:eastAsia="Arial" w:hAnsi="Arial"/>
          <w:sz w:val="16"/>
          <w:szCs w:val="16"/>
          <w:color w:val="auto"/>
        </w:rPr>
        <w:t>Each lease payment is allocated between the liability and finance cost. The finance cost is charged to profit or loss over the lease period so as to produce a constant periodic rate of interest on the remaining balance of the liability for each period. The right-of-use asset is depreciated over the shorter of the asset’s useful life and the lease term on a straight-line basis.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Assets and liabilities arising from a lease are initially measured on a present value basis. Lease liabilities include the net present value of the following lease payments:</w:t>
      </w:r>
    </w:p>
    <w:p>
      <w:pPr>
        <w:spacing w:after="0" w:line="34" w:lineRule="exact"/>
        <w:rPr>
          <w:sz w:val="20"/>
          <w:szCs w:val="20"/>
          <w:color w:val="auto"/>
        </w:rPr>
      </w:pPr>
    </w:p>
    <w:p>
      <w:pPr>
        <w:ind w:right="180" w:firstLine="8"/>
        <w:spacing w:after="0" w:line="301" w:lineRule="auto"/>
        <w:tabs>
          <w:tab w:leader="none" w:pos="261" w:val="left"/>
        </w:tabs>
        <w:numPr>
          <w:ilvl w:val="0"/>
          <w:numId w:val="16"/>
        </w:numPr>
        <w:rPr>
          <w:rFonts w:ascii="Arial" w:cs="Arial" w:eastAsia="Arial" w:hAnsi="Arial"/>
          <w:sz w:val="14"/>
          <w:szCs w:val="14"/>
          <w:color w:val="auto"/>
        </w:rPr>
      </w:pPr>
      <w:r>
        <w:rPr>
          <w:rFonts w:ascii="Arial" w:cs="Arial" w:eastAsia="Arial" w:hAnsi="Arial"/>
          <w:sz w:val="14"/>
          <w:szCs w:val="14"/>
          <w:color w:val="auto"/>
        </w:rPr>
        <w:t>fixed payments (including in-substance fixed payments), less any lease incentives receivable, (b) variable lease payments that are based on an index or a rate (if any), (c) amounts expected to be payable by the lessee under residual value guarantees (if any), (d) the exercise price of a purchase option if the lessee is reasonably certain to exercise that option, and (e) payments of penalties for terminating the lease, if the lease term reflects the lessee exercising that option. The lease payments are discounted using the interest rate implicit in the lease, if that rate can be determined, or the Group’s incremental borrowing rate. Right-of-use assets are measured at cost comprising the following:</w:t>
      </w:r>
    </w:p>
    <w:p>
      <w:pPr>
        <w:spacing w:after="0" w:line="2" w:lineRule="exact"/>
        <w:rPr>
          <w:rFonts w:ascii="Arial" w:cs="Arial" w:eastAsia="Arial" w:hAnsi="Arial"/>
          <w:sz w:val="14"/>
          <w:szCs w:val="14"/>
          <w:color w:val="auto"/>
        </w:rPr>
      </w:pPr>
    </w:p>
    <w:p>
      <w:pPr>
        <w:jc w:val="both"/>
        <w:ind w:right="160" w:firstLine="8"/>
        <w:spacing w:after="0" w:line="302" w:lineRule="auto"/>
        <w:tabs>
          <w:tab w:leader="none" w:pos="2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amount of the initial measurement of lease liability, (b) any lease payments made at or before the commencement date less any lease incentives received, (c) any initial direct costs, and (d) restoration costs. Payments associated with short-term leases and leases of low-value assets are recognized on a straight-line basis as an expense in profit or loss. Short-term leases are leases with a lease term of 12 months or less. Low-value assets comprise vessel and office equipment.</w:t>
      </w:r>
    </w:p>
    <w:p>
      <w:pPr>
        <w:spacing w:after="0" w:line="169" w:lineRule="exact"/>
        <w:rPr>
          <w:sz w:val="20"/>
          <w:szCs w:val="20"/>
          <w:color w:val="auto"/>
        </w:rPr>
      </w:pPr>
    </w:p>
    <w:p>
      <w:pPr>
        <w:jc w:val="both"/>
        <w:ind w:right="140" w:firstLine="324"/>
        <w:spacing w:after="0" w:line="278" w:lineRule="auto"/>
        <w:rPr>
          <w:sz w:val="20"/>
          <w:szCs w:val="20"/>
          <w:color w:val="auto"/>
        </w:rPr>
      </w:pPr>
      <w:r>
        <w:rPr>
          <w:rFonts w:ascii="Arial" w:cs="Arial" w:eastAsia="Arial" w:hAnsi="Arial"/>
          <w:sz w:val="16"/>
          <w:szCs w:val="16"/>
          <w:color w:val="auto"/>
        </w:rPr>
        <w:t xml:space="preserve">For leases where the Group is the lessee, the Group has elected to apply the simplified approach, by which comparative information is not restated and any adjustment is recognized at the date of initial application of IFRS 16 </w:t>
      </w:r>
      <w:r>
        <w:rPr>
          <w:rFonts w:ascii="Arial" w:cs="Arial" w:eastAsia="Arial" w:hAnsi="Arial"/>
          <w:sz w:val="16"/>
          <w:szCs w:val="16"/>
          <w:i w:val="1"/>
          <w:iCs w:val="1"/>
          <w:color w:val="auto"/>
        </w:rPr>
        <w:t>Leases</w:t>
      </w:r>
      <w:r>
        <w:rPr>
          <w:rFonts w:ascii="Arial" w:cs="Arial" w:eastAsia="Arial" w:hAnsi="Arial"/>
          <w:sz w:val="16"/>
          <w:szCs w:val="16"/>
          <w:color w:val="auto"/>
        </w:rPr>
        <w:t>. The adoption of the standard on January 1, 2019, resulted in an increase in total assets of $7,618, an increase in retained earnings of $215, an increase in non-controlling interests of $128 and an increase in total liabilities of $7,275.</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 Standards and amendments in issue not yet adopted</w:t>
      </w:r>
    </w:p>
    <w:p>
      <w:pPr>
        <w:spacing w:after="0" w:line="239" w:lineRule="exact"/>
        <w:rPr>
          <w:sz w:val="20"/>
          <w:szCs w:val="20"/>
          <w:color w:val="auto"/>
        </w:rPr>
      </w:pPr>
    </w:p>
    <w:p>
      <w:pPr>
        <w:ind w:right="240" w:firstLine="428"/>
        <w:spacing w:after="0" w:line="293" w:lineRule="auto"/>
        <w:rPr>
          <w:sz w:val="20"/>
          <w:szCs w:val="20"/>
          <w:color w:val="auto"/>
        </w:rPr>
      </w:pPr>
      <w:r>
        <w:rPr>
          <w:rFonts w:ascii="Arial" w:cs="Arial" w:eastAsia="Arial" w:hAnsi="Arial"/>
          <w:sz w:val="16"/>
          <w:szCs w:val="16"/>
          <w:color w:val="auto"/>
        </w:rPr>
        <w:t>At the date of authorization of these unaudited condensed consolidated financial statements, there were no IFRS standards and amendments issued but not yet adopted with an expected material effect on the Group’s unaudited condensed consolidated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Non-controlling Interest in GasLog Partners</w:t>
      </w:r>
    </w:p>
    <w:p>
      <w:pPr>
        <w:spacing w:after="0" w:line="239" w:lineRule="exact"/>
        <w:rPr>
          <w:sz w:val="20"/>
          <w:szCs w:val="20"/>
          <w:color w:val="auto"/>
        </w:rPr>
      </w:pPr>
    </w:p>
    <w:p>
      <w:pPr>
        <w:ind w:right="80" w:firstLine="256"/>
        <w:spacing w:after="0" w:line="293" w:lineRule="auto"/>
        <w:rPr>
          <w:sz w:val="20"/>
          <w:szCs w:val="20"/>
          <w:color w:val="auto"/>
        </w:rPr>
      </w:pPr>
      <w:r>
        <w:rPr>
          <w:rFonts w:ascii="Arial" w:cs="Arial" w:eastAsia="Arial" w:hAnsi="Arial"/>
          <w:sz w:val="16"/>
          <w:szCs w:val="16"/>
          <w:color w:val="auto"/>
        </w:rPr>
        <w:t>The following table illustrates the percentage allocation of the additional available cash from operating surplus after the payment of preference unit distributions, in respect to such rights, until the IDR elimination on June 30, 2019:</w:t>
      </w:r>
    </w:p>
    <w:p>
      <w:pPr>
        <w:spacing w:after="0" w:line="168" w:lineRule="exact"/>
        <w:rPr>
          <w:sz w:val="20"/>
          <w:szCs w:val="20"/>
          <w:color w:val="auto"/>
        </w:rPr>
      </w:pPr>
    </w:p>
    <w:tbl>
      <w:tblPr>
        <w:tblLayout w:type="fixed"/>
        <w:tblInd w:w="400" w:type="dxa"/>
        <w:tblCellMar>
          <w:top w:w="0" w:type="dxa"/>
          <w:left w:w="0" w:type="dxa"/>
          <w:bottom w:w="0" w:type="dxa"/>
          <w:right w:w="0" w:type="dxa"/>
        </w:tblCellMar>
      </w:tblPr>
      <w:tr>
        <w:trPr>
          <w:trHeight w:val="213"/>
        </w:trPr>
        <w:tc>
          <w:tcPr>
            <w:tcW w:w="4060" w:type="dxa"/>
            <w:vAlign w:val="bottom"/>
          </w:tcPr>
          <w:p>
            <w:pPr>
              <w:spacing w:after="0"/>
              <w:rPr>
                <w:sz w:val="18"/>
                <w:szCs w:val="18"/>
                <w:color w:val="auto"/>
              </w:rPr>
            </w:pPr>
          </w:p>
        </w:tc>
        <w:tc>
          <w:tcPr>
            <w:tcW w:w="5060" w:type="dxa"/>
            <w:vAlign w:val="bottom"/>
            <w:tcBorders>
              <w:bottom w:val="single" w:sz="8" w:color="auto"/>
            </w:tcBorders>
            <w:gridSpan w:val="6"/>
          </w:tcPr>
          <w:p>
            <w:pPr>
              <w:ind w:left="1820"/>
              <w:spacing w:after="0"/>
              <w:rPr>
                <w:sz w:val="20"/>
                <w:szCs w:val="20"/>
                <w:color w:val="auto"/>
              </w:rPr>
            </w:pPr>
            <w:r>
              <w:rPr>
                <w:rFonts w:ascii="Arial" w:cs="Arial" w:eastAsia="Arial" w:hAnsi="Arial"/>
                <w:sz w:val="16"/>
                <w:szCs w:val="16"/>
                <w:b w:val="1"/>
                <w:bCs w:val="1"/>
                <w:color w:val="auto"/>
                <w:w w:val="94"/>
              </w:rPr>
              <w:t>Marginal Percentage Interest in Distributions</w:t>
            </w:r>
          </w:p>
        </w:tc>
        <w:tc>
          <w:tcPr>
            <w:tcW w:w="1840" w:type="dxa"/>
            <w:vAlign w:val="bottom"/>
            <w:tcBorders>
              <w:bottom w:val="single" w:sz="8" w:color="auto"/>
            </w:tcBorders>
          </w:tcPr>
          <w:p>
            <w:pPr>
              <w:spacing w:after="0"/>
              <w:rPr>
                <w:sz w:val="18"/>
                <w:szCs w:val="18"/>
                <w:color w:val="auto"/>
              </w:rPr>
            </w:pPr>
          </w:p>
        </w:tc>
      </w:tr>
      <w:tr>
        <w:trPr>
          <w:trHeight w:val="374"/>
        </w:trPr>
        <w:tc>
          <w:tcPr>
            <w:tcW w:w="40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tcPr>
          <w:p>
            <w:pPr>
              <w:jc w:val="center"/>
              <w:ind w:right="39"/>
              <w:spacing w:after="0"/>
              <w:rPr>
                <w:sz w:val="20"/>
                <w:szCs w:val="20"/>
                <w:color w:val="auto"/>
              </w:rPr>
            </w:pPr>
            <w:r>
              <w:rPr>
                <w:rFonts w:ascii="Arial" w:cs="Arial" w:eastAsia="Arial" w:hAnsi="Arial"/>
                <w:sz w:val="16"/>
                <w:szCs w:val="16"/>
                <w:b w:val="1"/>
                <w:bCs w:val="1"/>
                <w:color w:val="auto"/>
                <w:w w:val="90"/>
              </w:rPr>
              <w:t>Holders of</w:t>
            </w:r>
          </w:p>
        </w:tc>
      </w:tr>
      <w:tr>
        <w:trPr>
          <w:trHeight w:val="203"/>
        </w:trPr>
        <w:tc>
          <w:tcPr>
            <w:tcW w:w="4060" w:type="dxa"/>
            <w:vAlign w:val="bottom"/>
          </w:tcPr>
          <w:p>
            <w:pPr>
              <w:spacing w:after="0"/>
              <w:rPr>
                <w:sz w:val="17"/>
                <w:szCs w:val="17"/>
                <w:color w:val="auto"/>
              </w:rPr>
            </w:pPr>
          </w:p>
        </w:tc>
        <w:tc>
          <w:tcPr>
            <w:tcW w:w="25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Total Quarterly</w:t>
            </w: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(Incentive</w:t>
            </w:r>
          </w:p>
        </w:tc>
      </w:tr>
      <w:tr>
        <w:trPr>
          <w:trHeight w:val="203"/>
        </w:trPr>
        <w:tc>
          <w:tcPr>
            <w:tcW w:w="4060" w:type="dxa"/>
            <w:vAlign w:val="bottom"/>
          </w:tcPr>
          <w:p>
            <w:pPr>
              <w:spacing w:after="0"/>
              <w:rPr>
                <w:sz w:val="17"/>
                <w:szCs w:val="17"/>
                <w:color w:val="auto"/>
              </w:rPr>
            </w:pPr>
          </w:p>
        </w:tc>
        <w:tc>
          <w:tcPr>
            <w:tcW w:w="25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Distribution</w:t>
            </w: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General</w:t>
            </w:r>
          </w:p>
        </w:tc>
        <w:tc>
          <w:tcPr>
            <w:tcW w:w="184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Distribution Rights</w:t>
            </w:r>
          </w:p>
        </w:tc>
      </w:tr>
      <w:tr>
        <w:trPr>
          <w:trHeight w:val="210"/>
        </w:trPr>
        <w:tc>
          <w:tcPr>
            <w:tcW w:w="4060" w:type="dxa"/>
            <w:vAlign w:val="bottom"/>
          </w:tcPr>
          <w:p>
            <w:pPr>
              <w:spacing w:after="0"/>
              <w:rPr>
                <w:sz w:val="18"/>
                <w:szCs w:val="18"/>
                <w:color w:val="auto"/>
              </w:rPr>
            </w:pPr>
          </w:p>
        </w:tc>
        <w:tc>
          <w:tcPr>
            <w:tcW w:w="25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Target Amount</w:t>
            </w: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Unitholders</w:t>
            </w: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Partner</w:t>
            </w:r>
          </w:p>
        </w:tc>
        <w:tc>
          <w:tcPr>
            <w:tcW w:w="1840" w:type="dxa"/>
            <w:vAlign w:val="bottom"/>
          </w:tcPr>
          <w:p>
            <w:pPr>
              <w:jc w:val="center"/>
              <w:ind w:right="39"/>
              <w:spacing w:after="0"/>
              <w:rPr>
                <w:sz w:val="20"/>
                <w:szCs w:val="20"/>
                <w:color w:val="auto"/>
              </w:rPr>
            </w:pPr>
            <w:r>
              <w:rPr>
                <w:rFonts w:ascii="Arial" w:cs="Arial" w:eastAsia="Arial" w:hAnsi="Arial"/>
                <w:sz w:val="16"/>
                <w:szCs w:val="16"/>
                <w:b w:val="1"/>
                <w:bCs w:val="1"/>
                <w:color w:val="auto"/>
              </w:rPr>
              <w:t>(“IDRs”)</w:t>
            </w:r>
          </w:p>
        </w:tc>
      </w:tr>
      <w:tr>
        <w:trPr>
          <w:trHeight w:val="202"/>
        </w:trPr>
        <w:tc>
          <w:tcPr>
            <w:tcW w:w="40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Minimum Quarterly Distribution</w:t>
            </w:r>
          </w:p>
        </w:tc>
        <w:tc>
          <w:tcPr>
            <w:tcW w:w="23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$0.375</w:t>
            </w:r>
          </w:p>
        </w:tc>
        <w:tc>
          <w:tcPr>
            <w:tcW w:w="220" w:type="dxa"/>
            <w:vAlign w:val="bottom"/>
            <w:tcBorders>
              <w:top w:val="single" w:sz="8" w:color="E5FFFF"/>
            </w:tcBorders>
            <w:shd w:val="clear" w:color="auto" w:fill="E5FFFF"/>
          </w:tcPr>
          <w:p>
            <w:pPr>
              <w:spacing w:after="0"/>
              <w:rPr>
                <w:sz w:val="17"/>
                <w:szCs w:val="17"/>
                <w:color w:val="auto"/>
              </w:rPr>
            </w:pPr>
          </w:p>
        </w:tc>
        <w:tc>
          <w:tcPr>
            <w:tcW w:w="10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2"/>
              </w:rPr>
              <w:t>98.0%</w:t>
            </w:r>
          </w:p>
        </w:tc>
        <w:tc>
          <w:tcPr>
            <w:tcW w:w="280" w:type="dxa"/>
            <w:vAlign w:val="bottom"/>
            <w:tcBorders>
              <w:top w:val="single" w:sz="8" w:color="E5FFFF"/>
            </w:tcBorders>
            <w:shd w:val="clear" w:color="auto" w:fill="E5FFFF"/>
          </w:tcPr>
          <w:p>
            <w:pPr>
              <w:spacing w:after="0"/>
              <w:rPr>
                <w:sz w:val="17"/>
                <w:szCs w:val="17"/>
                <w:color w:val="auto"/>
              </w:rPr>
            </w:pPr>
          </w:p>
        </w:tc>
        <w:tc>
          <w:tcPr>
            <w:tcW w:w="9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3"/>
              </w:rPr>
              <w:t>2.0%</w:t>
            </w:r>
          </w:p>
        </w:tc>
        <w:tc>
          <w:tcPr>
            <w:tcW w:w="280" w:type="dxa"/>
            <w:vAlign w:val="bottom"/>
            <w:tcBorders>
              <w:top w:val="single" w:sz="8" w:color="E5FFFF"/>
            </w:tcBorders>
            <w:shd w:val="clear" w:color="auto" w:fill="E5FFFF"/>
          </w:tcPr>
          <w:p>
            <w:pPr>
              <w:spacing w:after="0"/>
              <w:rPr>
                <w:sz w:val="17"/>
                <w:szCs w:val="17"/>
                <w:color w:val="auto"/>
              </w:rPr>
            </w:pPr>
          </w:p>
        </w:tc>
        <w:tc>
          <w:tcPr>
            <w:tcW w:w="1840" w:type="dxa"/>
            <w:vAlign w:val="bottom"/>
            <w:tcBorders>
              <w:top w:val="single" w:sz="8" w:color="auto"/>
            </w:tcBorders>
            <w:shd w:val="clear" w:color="auto" w:fill="E5FFFF"/>
          </w:tcPr>
          <w:p>
            <w:pPr>
              <w:jc w:val="right"/>
              <w:ind w:right="119"/>
              <w:spacing w:after="0"/>
              <w:rPr>
                <w:sz w:val="20"/>
                <w:szCs w:val="20"/>
                <w:color w:val="auto"/>
              </w:rPr>
            </w:pPr>
            <w:r>
              <w:rPr>
                <w:rFonts w:ascii="Arial" w:cs="Arial" w:eastAsia="Arial" w:hAnsi="Arial"/>
                <w:sz w:val="16"/>
                <w:szCs w:val="16"/>
                <w:color w:val="auto"/>
              </w:rPr>
              <w:t>0%</w:t>
            </w:r>
          </w:p>
        </w:tc>
      </w:tr>
      <w:tr>
        <w:trPr>
          <w:trHeight w:val="203"/>
        </w:trPr>
        <w:tc>
          <w:tcPr>
            <w:tcW w:w="4060" w:type="dxa"/>
            <w:vAlign w:val="bottom"/>
          </w:tcPr>
          <w:p>
            <w:pPr>
              <w:spacing w:after="0"/>
              <w:rPr>
                <w:sz w:val="20"/>
                <w:szCs w:val="20"/>
                <w:color w:val="auto"/>
              </w:rPr>
            </w:pPr>
            <w:r>
              <w:rPr>
                <w:rFonts w:ascii="Arial" w:cs="Arial" w:eastAsia="Arial" w:hAnsi="Arial"/>
                <w:sz w:val="16"/>
                <w:szCs w:val="16"/>
                <w:color w:val="auto"/>
              </w:rPr>
              <w:t>First Target Distribution</w:t>
            </w:r>
          </w:p>
        </w:tc>
        <w:tc>
          <w:tcPr>
            <w:tcW w:w="2540" w:type="dxa"/>
            <w:vAlign w:val="bottom"/>
            <w:gridSpan w:val="2"/>
          </w:tcPr>
          <w:p>
            <w:pPr>
              <w:jc w:val="right"/>
              <w:ind w:right="220"/>
              <w:spacing w:after="0"/>
              <w:rPr>
                <w:sz w:val="20"/>
                <w:szCs w:val="20"/>
                <w:color w:val="auto"/>
              </w:rPr>
            </w:pPr>
            <w:r>
              <w:rPr>
                <w:rFonts w:ascii="Arial" w:cs="Arial" w:eastAsia="Arial" w:hAnsi="Arial"/>
                <w:sz w:val="16"/>
                <w:szCs w:val="16"/>
                <w:color w:val="auto"/>
              </w:rPr>
              <w:t>$0.375 up to $0.43125</w:t>
            </w: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98.0%</w:t>
            </w:r>
          </w:p>
        </w:tc>
        <w:tc>
          <w:tcPr>
            <w:tcW w:w="28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3"/>
              </w:rPr>
              <w:t>2.0%</w:t>
            </w:r>
          </w:p>
        </w:tc>
        <w:tc>
          <w:tcPr>
            <w:tcW w:w="280" w:type="dxa"/>
            <w:vAlign w:val="bottom"/>
          </w:tcPr>
          <w:p>
            <w:pPr>
              <w:spacing w:after="0"/>
              <w:rPr>
                <w:sz w:val="17"/>
                <w:szCs w:val="17"/>
                <w:color w:val="auto"/>
              </w:rPr>
            </w:pPr>
          </w:p>
        </w:tc>
        <w:tc>
          <w:tcPr>
            <w:tcW w:w="1840" w:type="dxa"/>
            <w:vAlign w:val="bottom"/>
          </w:tcPr>
          <w:p>
            <w:pPr>
              <w:jc w:val="right"/>
              <w:ind w:right="119"/>
              <w:spacing w:after="0"/>
              <w:rPr>
                <w:sz w:val="20"/>
                <w:szCs w:val="20"/>
                <w:color w:val="auto"/>
              </w:rPr>
            </w:pPr>
            <w:r>
              <w:rPr>
                <w:rFonts w:ascii="Arial" w:cs="Arial" w:eastAsia="Arial" w:hAnsi="Arial"/>
                <w:sz w:val="16"/>
                <w:szCs w:val="16"/>
                <w:color w:val="auto"/>
              </w:rPr>
              <w:t>0%</w:t>
            </w:r>
          </w:p>
        </w:tc>
      </w:tr>
      <w:tr>
        <w:trPr>
          <w:trHeight w:val="203"/>
        </w:trPr>
        <w:tc>
          <w:tcPr>
            <w:tcW w:w="4060" w:type="dxa"/>
            <w:vAlign w:val="bottom"/>
            <w:shd w:val="clear" w:color="auto" w:fill="E5FFFF"/>
          </w:tcPr>
          <w:p>
            <w:pPr>
              <w:spacing w:after="0"/>
              <w:rPr>
                <w:sz w:val="20"/>
                <w:szCs w:val="20"/>
                <w:color w:val="auto"/>
              </w:rPr>
            </w:pPr>
            <w:r>
              <w:rPr>
                <w:rFonts w:ascii="Arial" w:cs="Arial" w:eastAsia="Arial" w:hAnsi="Arial"/>
                <w:sz w:val="16"/>
                <w:szCs w:val="16"/>
                <w:color w:val="auto"/>
              </w:rPr>
              <w:t>Second Target Distribution</w:t>
            </w:r>
          </w:p>
        </w:tc>
        <w:tc>
          <w:tcPr>
            <w:tcW w:w="25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$0.43125 up to $0.46875</w:t>
            </w:r>
          </w:p>
        </w:tc>
        <w:tc>
          <w:tcPr>
            <w:tcW w:w="10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85.0%</w:t>
            </w:r>
          </w:p>
        </w:tc>
        <w:tc>
          <w:tcPr>
            <w:tcW w:w="280" w:type="dxa"/>
            <w:vAlign w:val="bottom"/>
            <w:shd w:val="clear" w:color="auto" w:fill="E5FFFF"/>
          </w:tcPr>
          <w:p>
            <w:pPr>
              <w:spacing w:after="0"/>
              <w:rPr>
                <w:sz w:val="17"/>
                <w:szCs w:val="17"/>
                <w:color w:val="auto"/>
              </w:rPr>
            </w:pPr>
          </w:p>
        </w:tc>
        <w:tc>
          <w:tcPr>
            <w:tcW w:w="9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3"/>
              </w:rPr>
              <w:t>2.0%</w:t>
            </w:r>
          </w:p>
        </w:tc>
        <w:tc>
          <w:tcPr>
            <w:tcW w:w="280" w:type="dxa"/>
            <w:vAlign w:val="bottom"/>
            <w:shd w:val="clear" w:color="auto" w:fill="E5FFFF"/>
          </w:tcPr>
          <w:p>
            <w:pPr>
              <w:spacing w:after="0"/>
              <w:rPr>
                <w:sz w:val="17"/>
                <w:szCs w:val="17"/>
                <w:color w:val="auto"/>
              </w:rPr>
            </w:pPr>
          </w:p>
        </w:tc>
        <w:tc>
          <w:tcPr>
            <w:tcW w:w="1840" w:type="dxa"/>
            <w:vAlign w:val="bottom"/>
            <w:shd w:val="clear" w:color="auto" w:fill="E5FFFF"/>
          </w:tcPr>
          <w:p>
            <w:pPr>
              <w:jc w:val="right"/>
              <w:ind w:right="119"/>
              <w:spacing w:after="0"/>
              <w:rPr>
                <w:sz w:val="20"/>
                <w:szCs w:val="20"/>
                <w:color w:val="auto"/>
              </w:rPr>
            </w:pPr>
            <w:r>
              <w:rPr>
                <w:rFonts w:ascii="Arial" w:cs="Arial" w:eastAsia="Arial" w:hAnsi="Arial"/>
                <w:sz w:val="16"/>
                <w:szCs w:val="16"/>
                <w:color w:val="auto"/>
              </w:rPr>
              <w:t>13.0%</w:t>
            </w:r>
          </w:p>
        </w:tc>
      </w:tr>
      <w:tr>
        <w:trPr>
          <w:trHeight w:val="206"/>
        </w:trPr>
        <w:tc>
          <w:tcPr>
            <w:tcW w:w="4060" w:type="dxa"/>
            <w:vAlign w:val="bottom"/>
          </w:tcPr>
          <w:p>
            <w:pPr>
              <w:spacing w:after="0"/>
              <w:rPr>
                <w:sz w:val="20"/>
                <w:szCs w:val="20"/>
                <w:color w:val="auto"/>
              </w:rPr>
            </w:pPr>
            <w:r>
              <w:rPr>
                <w:rFonts w:ascii="Arial" w:cs="Arial" w:eastAsia="Arial" w:hAnsi="Arial"/>
                <w:sz w:val="16"/>
                <w:szCs w:val="16"/>
                <w:color w:val="auto"/>
              </w:rPr>
              <w:t>Thereafter</w:t>
            </w:r>
          </w:p>
        </w:tc>
        <w:tc>
          <w:tcPr>
            <w:tcW w:w="2540" w:type="dxa"/>
            <w:vAlign w:val="bottom"/>
            <w:gridSpan w:val="2"/>
          </w:tcPr>
          <w:p>
            <w:pPr>
              <w:jc w:val="right"/>
              <w:ind w:right="220"/>
              <w:spacing w:after="0"/>
              <w:rPr>
                <w:sz w:val="20"/>
                <w:szCs w:val="20"/>
                <w:color w:val="auto"/>
              </w:rPr>
            </w:pPr>
            <w:r>
              <w:rPr>
                <w:rFonts w:ascii="Arial" w:cs="Arial" w:eastAsia="Arial" w:hAnsi="Arial"/>
                <w:sz w:val="16"/>
                <w:szCs w:val="16"/>
                <w:color w:val="auto"/>
              </w:rPr>
              <w:t>Above $0.46875</w:t>
            </w: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75.0%</w:t>
            </w:r>
          </w:p>
        </w:tc>
        <w:tc>
          <w:tcPr>
            <w:tcW w:w="28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3"/>
              </w:rPr>
              <w:t>2.0%</w:t>
            </w:r>
          </w:p>
        </w:tc>
        <w:tc>
          <w:tcPr>
            <w:tcW w:w="280" w:type="dxa"/>
            <w:vAlign w:val="bottom"/>
          </w:tcPr>
          <w:p>
            <w:pPr>
              <w:spacing w:after="0"/>
              <w:rPr>
                <w:sz w:val="17"/>
                <w:szCs w:val="17"/>
                <w:color w:val="auto"/>
              </w:rPr>
            </w:pPr>
          </w:p>
        </w:tc>
        <w:tc>
          <w:tcPr>
            <w:tcW w:w="1840" w:type="dxa"/>
            <w:vAlign w:val="bottom"/>
          </w:tcPr>
          <w:p>
            <w:pPr>
              <w:jc w:val="right"/>
              <w:ind w:right="119"/>
              <w:spacing w:after="0"/>
              <w:rPr>
                <w:sz w:val="20"/>
                <w:szCs w:val="20"/>
                <w:color w:val="auto"/>
              </w:rPr>
            </w:pPr>
            <w:r>
              <w:rPr>
                <w:rFonts w:ascii="Arial" w:cs="Arial" w:eastAsia="Arial" w:hAnsi="Arial"/>
                <w:sz w:val="16"/>
                <w:szCs w:val="16"/>
                <w:color w:val="auto"/>
              </w:rPr>
              <w:t>23.0%</w:t>
            </w:r>
          </w:p>
        </w:tc>
      </w:tr>
    </w:tbl>
    <w:p>
      <w:pPr>
        <w:spacing w:after="0" w:line="202" w:lineRule="exact"/>
        <w:rPr>
          <w:sz w:val="20"/>
          <w:szCs w:val="20"/>
          <w:color w:val="auto"/>
        </w:rPr>
      </w:pPr>
    </w:p>
    <w:p>
      <w:pPr>
        <w:ind w:right="100" w:firstLine="256"/>
        <w:spacing w:after="0" w:line="287" w:lineRule="auto"/>
        <w:rPr>
          <w:sz w:val="20"/>
          <w:szCs w:val="20"/>
          <w:color w:val="auto"/>
        </w:rPr>
      </w:pPr>
      <w:r>
        <w:rPr>
          <w:rFonts w:ascii="Arial" w:cs="Arial" w:eastAsia="Arial" w:hAnsi="Arial"/>
          <w:sz w:val="15"/>
          <w:szCs w:val="15"/>
          <w:color w:val="auto"/>
        </w:rPr>
        <w:t>On June 24, 2019, the Partnership Agreement was amended, effective June 30, 2019, to eliminate the IDRs in exchange for the issuance by the Partnership to GasLog of 2,532,911 common units and 2,490,000 Class B units (of which 415,000 are Class B-1 units, 415,000 are Class B-2 units, 415,000 are Class B-3 units, 415,000 are Class B-4 units, 415,000 are Class B-5 units and 415,000 are Class B-6 units), issued on June 30, 2019. The Class B units have all of the rights and obligations attached to the common units, except for voting rights and participation in distributions until such time as GasLog exercises its right to convert the Class B units to common units. The Class B units will become eligible for conversion on a one-for-one basis into common units at GasLog’s option on July 1, 2020, July 1, 2021, July 1, 2022, July 1, 2023, July 1, 2024 and July 1, 2025 for the Class B-1 units, Class B-2 units, Class B-3 units, Class B-4 units, Class B-5 units and the Class B-6 units, respectively. Following the IDR elimination, the allocation of GasLog Partners’ profit to the non-controlling interests is based on the revised distribution policy for available cash stated in the Partnership Agreement as amended, effective June 30, 2019, and under which 98% of the available cash is distributed to the common unitholders and 2% is distributed to the general partner. The updated earnings allocation applies to the total GasLog Partners’ profit for the three months ended June 30, 2019 and onwards.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400" w:type="dxa"/>
            <w:vAlign w:val="bottom"/>
          </w:tcPr>
          <w:p>
            <w:pPr>
              <w:spacing w:after="0"/>
              <w:rPr>
                <w:sz w:val="12"/>
                <w:szCs w:val="12"/>
                <w:color w:val="auto"/>
              </w:rPr>
            </w:pPr>
          </w:p>
        </w:tc>
        <w:tc>
          <w:tcPr>
            <w:tcW w:w="250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w w:val="88"/>
              </w:rPr>
              <w:t>Allocation of GasLog Partners’ profit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i w:val="1"/>
                <w:iCs w:val="1"/>
                <w:color w:val="auto"/>
              </w:rPr>
              <w:t>(*)</w:t>
            </w:r>
          </w:p>
        </w:tc>
        <w:tc>
          <w:tcPr>
            <w:tcW w:w="1980" w:type="dxa"/>
            <w:vAlign w:val="bottom"/>
            <w:vMerge w:val="restart"/>
          </w:tcPr>
          <w:p>
            <w:pPr>
              <w:spacing w:after="0"/>
              <w:rPr>
                <w:sz w:val="12"/>
                <w:szCs w:val="12"/>
                <w:color w:val="auto"/>
              </w:rPr>
            </w:pPr>
          </w:p>
        </w:tc>
        <w:tc>
          <w:tcPr>
            <w:tcW w:w="3300" w:type="dxa"/>
            <w:vAlign w:val="bottom"/>
            <w:gridSpan w:val="4"/>
            <w:vMerge w:val="restart"/>
          </w:tcPr>
          <w:p>
            <w:pPr>
              <w:ind w:left="540"/>
              <w:spacing w:after="0"/>
              <w:rPr>
                <w:sz w:val="20"/>
                <w:szCs w:val="20"/>
                <w:color w:val="auto"/>
              </w:rPr>
            </w:pPr>
            <w:r>
              <w:rPr>
                <w:rFonts w:ascii="Arial" w:cs="Arial" w:eastAsia="Arial" w:hAnsi="Arial"/>
                <w:sz w:val="16"/>
                <w:szCs w:val="16"/>
                <w:b w:val="1"/>
                <w:bCs w:val="1"/>
                <w:color w:val="auto"/>
              </w:rPr>
              <w:t>For the three months ended</w:t>
            </w:r>
          </w:p>
        </w:tc>
        <w:tc>
          <w:tcPr>
            <w:tcW w:w="3040" w:type="dxa"/>
            <w:vAlign w:val="bottom"/>
            <w:gridSpan w:val="3"/>
            <w:vMerge w:val="restart"/>
          </w:tcPr>
          <w:p>
            <w:pPr>
              <w:jc w:val="right"/>
              <w:ind w:right="519"/>
              <w:spacing w:after="0"/>
              <w:rPr>
                <w:sz w:val="20"/>
                <w:szCs w:val="20"/>
                <w:color w:val="auto"/>
              </w:rPr>
            </w:pPr>
            <w:r>
              <w:rPr>
                <w:rFonts w:ascii="Arial" w:cs="Arial" w:eastAsia="Arial" w:hAnsi="Arial"/>
                <w:sz w:val="16"/>
                <w:szCs w:val="16"/>
                <w:b w:val="1"/>
                <w:bCs w:val="1"/>
                <w:color w:val="auto"/>
              </w:rPr>
              <w:t>For the nine months ended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400" w:type="dxa"/>
            <w:vAlign w:val="bottom"/>
          </w:tcPr>
          <w:p>
            <w:pPr>
              <w:spacing w:after="0"/>
              <w:rPr>
                <w:sz w:val="2"/>
                <w:szCs w:val="2"/>
                <w:color w:val="auto"/>
              </w:rPr>
            </w:pPr>
          </w:p>
        </w:tc>
        <w:tc>
          <w:tcPr>
            <w:tcW w:w="2500" w:type="dxa"/>
            <w:vAlign w:val="bottom"/>
            <w:tcBorders>
              <w:bottom w:val="single" w:sz="8" w:color="auto"/>
            </w:tcBorders>
            <w:vMerge w:val="continue"/>
          </w:tcPr>
          <w:p>
            <w:pPr>
              <w:spacing w:after="0"/>
              <w:rPr>
                <w:sz w:val="2"/>
                <w:szCs w:val="2"/>
                <w:color w:val="auto"/>
              </w:rPr>
            </w:pPr>
          </w:p>
        </w:tc>
        <w:tc>
          <w:tcPr>
            <w:tcW w:w="140" w:type="dxa"/>
            <w:vAlign w:val="bottom"/>
          </w:tcPr>
          <w:p>
            <w:pPr>
              <w:spacing w:after="0"/>
              <w:rPr>
                <w:sz w:val="2"/>
                <w:szCs w:val="2"/>
                <w:color w:val="auto"/>
              </w:rPr>
            </w:pPr>
          </w:p>
        </w:tc>
        <w:tc>
          <w:tcPr>
            <w:tcW w:w="1980" w:type="dxa"/>
            <w:vAlign w:val="bottom"/>
            <w:vMerge w:val="continue"/>
          </w:tcPr>
          <w:p>
            <w:pPr>
              <w:spacing w:after="0"/>
              <w:rPr>
                <w:sz w:val="2"/>
                <w:szCs w:val="2"/>
                <w:color w:val="auto"/>
              </w:rPr>
            </w:pPr>
          </w:p>
        </w:tc>
        <w:tc>
          <w:tcPr>
            <w:tcW w:w="3300" w:type="dxa"/>
            <w:vAlign w:val="bottom"/>
            <w:gridSpan w:val="4"/>
            <w:vMerge w:val="continue"/>
          </w:tcPr>
          <w:p>
            <w:pPr>
              <w:spacing w:after="0"/>
              <w:rPr>
                <w:sz w:val="2"/>
                <w:szCs w:val="2"/>
                <w:color w:val="auto"/>
              </w:rPr>
            </w:pPr>
          </w:p>
        </w:tc>
        <w:tc>
          <w:tcPr>
            <w:tcW w:w="304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September 30,</w:t>
            </w:r>
          </w:p>
        </w:tc>
        <w:tc>
          <w:tcPr>
            <w:tcW w:w="1660" w:type="dxa"/>
            <w:vAlign w:val="bottom"/>
            <w:gridSpan w:val="2"/>
          </w:tcPr>
          <w:p>
            <w:pPr>
              <w:ind w:left="200"/>
              <w:spacing w:after="0"/>
              <w:rPr>
                <w:sz w:val="20"/>
                <w:szCs w:val="20"/>
                <w:color w:val="auto"/>
              </w:rPr>
            </w:pPr>
            <w:r>
              <w:rPr>
                <w:rFonts w:ascii="Arial" w:cs="Arial" w:eastAsia="Arial" w:hAnsi="Arial"/>
                <w:sz w:val="16"/>
                <w:szCs w:val="16"/>
                <w:b w:val="1"/>
                <w:bCs w:val="1"/>
                <w:color w:val="auto"/>
              </w:rPr>
              <w:t>September 30,</w:t>
            </w:r>
          </w:p>
        </w:tc>
        <w:tc>
          <w:tcPr>
            <w:tcW w:w="1640" w:type="dxa"/>
            <w:vAlign w:val="bottom"/>
            <w:gridSpan w:val="2"/>
          </w:tcPr>
          <w:p>
            <w:pPr>
              <w:ind w:left="180"/>
              <w:spacing w:after="0"/>
              <w:rPr>
                <w:sz w:val="20"/>
                <w:szCs w:val="20"/>
                <w:color w:val="auto"/>
              </w:rPr>
            </w:pPr>
            <w:r>
              <w:rPr>
                <w:rFonts w:ascii="Arial" w:cs="Arial" w:eastAsia="Arial" w:hAnsi="Arial"/>
                <w:sz w:val="16"/>
                <w:szCs w:val="16"/>
                <w:b w:val="1"/>
                <w:bCs w:val="1"/>
                <w:color w:val="auto"/>
              </w:rPr>
              <w:t>September 30,</w:t>
            </w:r>
          </w:p>
        </w:tc>
        <w:tc>
          <w:tcPr>
            <w:tcW w:w="1400" w:type="dxa"/>
            <w:vAlign w:val="bottom"/>
          </w:tcPr>
          <w:p>
            <w:pPr>
              <w:jc w:val="right"/>
              <w:ind w:right="139"/>
              <w:spacing w:after="0"/>
              <w:rPr>
                <w:sz w:val="20"/>
                <w:szCs w:val="20"/>
                <w:color w:val="auto"/>
              </w:rPr>
            </w:pPr>
            <w:r>
              <w:rPr>
                <w:rFonts w:ascii="Arial" w:cs="Arial" w:eastAsia="Arial" w:hAnsi="Arial"/>
                <w:sz w:val="16"/>
                <w:szCs w:val="16"/>
                <w:b w:val="1"/>
                <w:bCs w:val="1"/>
                <w:color w:val="auto"/>
              </w:rPr>
              <w:t>September 30,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500" w:type="dxa"/>
            <w:vAlign w:val="bottom"/>
            <w:tcBorders>
              <w:bottom w:val="single" w:sz="8" w:color="E5FFFF"/>
            </w:tcBorders>
          </w:tcPr>
          <w:p>
            <w:pPr>
              <w:spacing w:after="0"/>
              <w:rPr>
                <w:sz w:val="18"/>
                <w:szCs w:val="18"/>
                <w:color w:val="auto"/>
              </w:rPr>
            </w:pPr>
          </w:p>
        </w:tc>
        <w:tc>
          <w:tcPr>
            <w:tcW w:w="140" w:type="dxa"/>
            <w:vAlign w:val="bottom"/>
            <w:tcBorders>
              <w:bottom w:val="single" w:sz="8" w:color="E5FFFF"/>
            </w:tcBorders>
          </w:tcPr>
          <w:p>
            <w:pPr>
              <w:spacing w:after="0"/>
              <w:rPr>
                <w:sz w:val="18"/>
                <w:szCs w:val="18"/>
                <w:color w:val="auto"/>
              </w:rPr>
            </w:pPr>
          </w:p>
        </w:tc>
        <w:tc>
          <w:tcPr>
            <w:tcW w:w="198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280" w:type="dxa"/>
            <w:vAlign w:val="bottom"/>
            <w:tcBorders>
              <w:bottom w:val="single" w:sz="8" w:color="E5FFFF"/>
            </w:tcBorders>
          </w:tcPr>
          <w:p>
            <w:pPr>
              <w:spacing w:after="0"/>
              <w:rPr>
                <w:sz w:val="18"/>
                <w:szCs w:val="18"/>
                <w:color w:val="auto"/>
              </w:rPr>
            </w:pPr>
          </w:p>
        </w:tc>
        <w:tc>
          <w:tcPr>
            <w:tcW w:w="13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28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280" w:type="dxa"/>
            <w:vAlign w:val="bottom"/>
            <w:tcBorders>
              <w:bottom w:val="single" w:sz="8" w:color="E5FFFF"/>
            </w:tcBorders>
          </w:tcPr>
          <w:p>
            <w:pPr>
              <w:spacing w:after="0"/>
              <w:rPr>
                <w:sz w:val="18"/>
                <w:szCs w:val="18"/>
                <w:color w:val="auto"/>
              </w:rPr>
            </w:pPr>
          </w:p>
        </w:tc>
        <w:tc>
          <w:tcPr>
            <w:tcW w:w="14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462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Partnership’s profit attributable to:</w:t>
            </w:r>
          </w:p>
        </w:tc>
        <w:tc>
          <w:tcPr>
            <w:tcW w:w="136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138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136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1400" w:type="dxa"/>
            <w:vAlign w:val="bottom"/>
            <w:shd w:val="clear" w:color="auto" w:fill="E5FFFF"/>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4620" w:type="dxa"/>
            <w:vAlign w:val="bottom"/>
            <w:gridSpan w:val="3"/>
          </w:tcPr>
          <w:p>
            <w:pPr>
              <w:spacing w:after="0"/>
              <w:rPr>
                <w:sz w:val="20"/>
                <w:szCs w:val="20"/>
                <w:color w:val="auto"/>
              </w:rPr>
            </w:pPr>
            <w:r>
              <w:rPr>
                <w:rFonts w:ascii="Arial" w:cs="Arial" w:eastAsia="Arial" w:hAnsi="Arial"/>
                <w:sz w:val="16"/>
                <w:szCs w:val="16"/>
                <w:color w:val="auto"/>
              </w:rPr>
              <w:t>Common unitholders</w:t>
            </w:r>
          </w:p>
        </w:tc>
        <w:tc>
          <w:tcPr>
            <w:tcW w:w="1360" w:type="dxa"/>
            <w:vAlign w:val="bottom"/>
          </w:tcPr>
          <w:p>
            <w:pPr>
              <w:jc w:val="right"/>
              <w:spacing w:after="0"/>
              <w:rPr>
                <w:sz w:val="20"/>
                <w:szCs w:val="20"/>
                <w:color w:val="auto"/>
              </w:rPr>
            </w:pPr>
            <w:r>
              <w:rPr>
                <w:rFonts w:ascii="Arial" w:cs="Arial" w:eastAsia="Arial" w:hAnsi="Arial"/>
                <w:sz w:val="16"/>
                <w:szCs w:val="16"/>
                <w:color w:val="auto"/>
              </w:rPr>
              <w:t>21,127</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21,388</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62,279</w:t>
            </w:r>
          </w:p>
        </w:tc>
        <w:tc>
          <w:tcPr>
            <w:tcW w:w="2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45,246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462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General partner</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436</w:t>
            </w:r>
          </w:p>
        </w:tc>
        <w:tc>
          <w:tcPr>
            <w:tcW w:w="28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464</w:t>
            </w:r>
          </w:p>
        </w:tc>
        <w:tc>
          <w:tcPr>
            <w:tcW w:w="28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1,324</w:t>
            </w:r>
          </w:p>
        </w:tc>
        <w:tc>
          <w:tcPr>
            <w:tcW w:w="280" w:type="dxa"/>
            <w:vAlign w:val="bottom"/>
            <w:shd w:val="clear" w:color="auto" w:fill="E5FFFF"/>
          </w:tcPr>
          <w:p>
            <w:pPr>
              <w:spacing w:after="0"/>
              <w:rPr>
                <w:sz w:val="17"/>
                <w:szCs w:val="17"/>
                <w:color w:val="auto"/>
              </w:rPr>
            </w:pPr>
          </w:p>
        </w:tc>
        <w:tc>
          <w:tcPr>
            <w:tcW w:w="14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4620" w:type="dxa"/>
            <w:vAlign w:val="bottom"/>
            <w:gridSpan w:val="3"/>
          </w:tcPr>
          <w:p>
            <w:pPr>
              <w:spacing w:after="0"/>
              <w:rPr>
                <w:sz w:val="20"/>
                <w:szCs w:val="20"/>
                <w:color w:val="auto"/>
              </w:rPr>
            </w:pPr>
            <w:r>
              <w:rPr>
                <w:rFonts w:ascii="Arial" w:cs="Arial" w:eastAsia="Arial" w:hAnsi="Arial"/>
                <w:sz w:val="16"/>
                <w:szCs w:val="16"/>
                <w:color w:val="auto"/>
              </w:rPr>
              <w:t>IDRs</w:t>
            </w:r>
          </w:p>
        </w:tc>
        <w:tc>
          <w:tcPr>
            <w:tcW w:w="1360" w:type="dxa"/>
            <w:vAlign w:val="bottom"/>
          </w:tcPr>
          <w:p>
            <w:pPr>
              <w:jc w:val="right"/>
              <w:spacing w:after="0"/>
              <w:rPr>
                <w:sz w:val="20"/>
                <w:szCs w:val="20"/>
                <w:color w:val="auto"/>
              </w:rPr>
            </w:pPr>
            <w:r>
              <w:rPr>
                <w:rFonts w:ascii="Arial" w:cs="Arial" w:eastAsia="Arial" w:hAnsi="Arial"/>
                <w:sz w:val="16"/>
                <w:szCs w:val="16"/>
                <w:color w:val="auto"/>
              </w:rPr>
              <w:t>250</w:t>
            </w:r>
          </w:p>
        </w:tc>
        <w:tc>
          <w:tcPr>
            <w:tcW w:w="280" w:type="dxa"/>
            <w:vAlign w:val="bottom"/>
          </w:tcPr>
          <w:p>
            <w:pPr>
              <w:spacing w:after="0"/>
              <w:rPr>
                <w:sz w:val="17"/>
                <w:szCs w:val="17"/>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2,618</w:t>
            </w:r>
          </w:p>
        </w:tc>
        <w:tc>
          <w:tcPr>
            <w:tcW w:w="2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462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Paid and accrued preference equity distributions</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5,457</w:t>
            </w:r>
          </w:p>
        </w:tc>
        <w:tc>
          <w:tcPr>
            <w:tcW w:w="280" w:type="dxa"/>
            <w:vAlign w:val="bottom"/>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7,582</w:t>
            </w:r>
          </w:p>
        </w:tc>
        <w:tc>
          <w:tcPr>
            <w:tcW w:w="280" w:type="dxa"/>
            <w:vAlign w:val="bottom"/>
            <w:shd w:val="clear" w:color="auto" w:fill="E5FFFF"/>
          </w:tcPr>
          <w:p>
            <w:pPr>
              <w:spacing w:after="0"/>
              <w:rPr>
                <w:sz w:val="17"/>
                <w:szCs w:val="17"/>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15,952</w:t>
            </w:r>
          </w:p>
        </w:tc>
        <w:tc>
          <w:tcPr>
            <w:tcW w:w="280" w:type="dxa"/>
            <w:vAlign w:val="bottom"/>
            <w:shd w:val="clear" w:color="auto" w:fill="E5FFFF"/>
          </w:tcPr>
          <w:p>
            <w:pPr>
              <w:spacing w:after="0"/>
              <w:rPr>
                <w:sz w:val="17"/>
                <w:szCs w:val="17"/>
                <w:color w:val="auto"/>
              </w:rPr>
            </w:pPr>
          </w:p>
        </w:tc>
        <w:tc>
          <w:tcPr>
            <w:tcW w:w="14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22,746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00" w:type="dxa"/>
            <w:vAlign w:val="bottom"/>
          </w:tcPr>
          <w:p>
            <w:pPr>
              <w:spacing w:after="0"/>
              <w:rPr>
                <w:sz w:val="20"/>
                <w:szCs w:val="20"/>
                <w:color w:val="auto"/>
              </w:rPr>
            </w:pPr>
          </w:p>
        </w:tc>
        <w:tc>
          <w:tcPr>
            <w:tcW w:w="4620" w:type="dxa"/>
            <w:vAlign w:val="bottom"/>
            <w:tcBorders>
              <w:bottom w:val="single" w:sz="8" w:color="E5FFFF"/>
            </w:tcBorders>
            <w:gridSpan w:val="3"/>
          </w:tcPr>
          <w:p>
            <w:pPr>
              <w:spacing w:after="0"/>
              <w:rPr>
                <w:sz w:val="20"/>
                <w:szCs w:val="20"/>
                <w:color w:val="auto"/>
              </w:rPr>
            </w:pPr>
            <w:r>
              <w:rPr>
                <w:rFonts w:ascii="Arial" w:cs="Arial" w:eastAsia="Arial" w:hAnsi="Arial"/>
                <w:sz w:val="16"/>
                <w:szCs w:val="16"/>
                <w:b w:val="1"/>
                <w:bCs w:val="1"/>
                <w:color w:val="auto"/>
              </w:rPr>
              <w:t>Total</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27,270</w:t>
            </w:r>
          </w:p>
        </w:tc>
        <w:tc>
          <w:tcPr>
            <w:tcW w:w="280" w:type="dxa"/>
            <w:vAlign w:val="bottom"/>
            <w:tcBorders>
              <w:bottom w:val="single" w:sz="8" w:color="E5FFFF"/>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29,434</w:t>
            </w:r>
          </w:p>
        </w:tc>
        <w:tc>
          <w:tcPr>
            <w:tcW w:w="280" w:type="dxa"/>
            <w:vAlign w:val="bottom"/>
            <w:tcBorders>
              <w:bottom w:val="single" w:sz="8" w:color="E5FFFF"/>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82,173</w:t>
            </w:r>
          </w:p>
        </w:tc>
        <w:tc>
          <w:tcPr>
            <w:tcW w:w="280" w:type="dxa"/>
            <w:vAlign w:val="bottom"/>
            <w:tcBorders>
              <w:bottom w:val="single" w:sz="8" w:color="E5FFFF"/>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68,943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4620" w:type="dxa"/>
            <w:vAlign w:val="bottom"/>
            <w:gridSpan w:val="3"/>
            <w:shd w:val="clear" w:color="auto" w:fill="E5FFFF"/>
          </w:tcPr>
          <w:p>
            <w:pPr>
              <w:spacing w:after="0" w:line="167" w:lineRule="exact"/>
              <w:rPr>
                <w:sz w:val="20"/>
                <w:szCs w:val="20"/>
                <w:color w:val="auto"/>
              </w:rPr>
            </w:pPr>
            <w:r>
              <w:rPr>
                <w:rFonts w:ascii="Arial" w:cs="Arial" w:eastAsia="Arial" w:hAnsi="Arial"/>
                <w:sz w:val="16"/>
                <w:szCs w:val="16"/>
                <w:color w:val="auto"/>
              </w:rPr>
              <w:t>Partnership’s profit allocated to GasLog</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6,223</w:t>
            </w:r>
          </w:p>
        </w:tc>
        <w:tc>
          <w:tcPr>
            <w:tcW w:w="280" w:type="dxa"/>
            <w:vAlign w:val="bottom"/>
            <w:shd w:val="clear" w:color="auto" w:fill="E5FFFF"/>
          </w:tcPr>
          <w:p>
            <w:pPr>
              <w:spacing w:after="0"/>
              <w:rPr>
                <w:sz w:val="15"/>
                <w:szCs w:val="15"/>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7,000</w:t>
            </w:r>
          </w:p>
        </w:tc>
        <w:tc>
          <w:tcPr>
            <w:tcW w:w="280" w:type="dxa"/>
            <w:vAlign w:val="bottom"/>
            <w:shd w:val="clear" w:color="auto" w:fill="E5FFFF"/>
          </w:tcPr>
          <w:p>
            <w:pPr>
              <w:spacing w:after="0"/>
              <w:rPr>
                <w:sz w:val="15"/>
                <w:szCs w:val="15"/>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20,057</w:t>
            </w:r>
          </w:p>
        </w:tc>
        <w:tc>
          <w:tcPr>
            <w:tcW w:w="280" w:type="dxa"/>
            <w:vAlign w:val="bottom"/>
            <w:shd w:val="clear" w:color="auto" w:fill="E5FFFF"/>
          </w:tcPr>
          <w:p>
            <w:pPr>
              <w:spacing w:after="0"/>
              <w:rPr>
                <w:sz w:val="15"/>
                <w:szCs w:val="15"/>
                <w:color w:val="auto"/>
              </w:rPr>
            </w:pPr>
          </w:p>
        </w:tc>
        <w:tc>
          <w:tcPr>
            <w:tcW w:w="14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14,177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4620" w:type="dxa"/>
            <w:vAlign w:val="bottom"/>
            <w:tcBorders>
              <w:bottom w:val="single" w:sz="8" w:color="E5FFFF"/>
            </w:tcBorders>
            <w:gridSpan w:val="3"/>
          </w:tcPr>
          <w:p>
            <w:pPr>
              <w:spacing w:after="0"/>
              <w:rPr>
                <w:sz w:val="20"/>
                <w:szCs w:val="20"/>
                <w:color w:val="auto"/>
              </w:rPr>
            </w:pPr>
            <w:r>
              <w:rPr>
                <w:rFonts w:ascii="Arial" w:cs="Arial" w:eastAsia="Arial" w:hAnsi="Arial"/>
                <w:sz w:val="16"/>
                <w:szCs w:val="16"/>
                <w:color w:val="auto"/>
              </w:rPr>
              <w:t>Partnership’s profit allocated to non-controlling interests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21,047</w:t>
            </w:r>
          </w:p>
        </w:tc>
        <w:tc>
          <w:tcPr>
            <w:tcW w:w="280" w:type="dxa"/>
            <w:vAlign w:val="bottom"/>
            <w:tcBorders>
              <w:bottom w:val="single" w:sz="8" w:color="E5FFFF"/>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22,434</w:t>
            </w:r>
          </w:p>
        </w:tc>
        <w:tc>
          <w:tcPr>
            <w:tcW w:w="280" w:type="dxa"/>
            <w:vAlign w:val="bottom"/>
            <w:tcBorders>
              <w:bottom w:val="single" w:sz="8" w:color="E5FFFF"/>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62,116</w:t>
            </w:r>
          </w:p>
        </w:tc>
        <w:tc>
          <w:tcPr>
            <w:tcW w:w="280" w:type="dxa"/>
            <w:vAlign w:val="bottom"/>
            <w:tcBorders>
              <w:bottom w:val="single" w:sz="8" w:color="E5FFFF"/>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4620" w:type="dxa"/>
            <w:vAlign w:val="bottom"/>
            <w:tcBorders>
              <w:bottom w:val="single" w:sz="8" w:color="E5FFFF"/>
            </w:tcBorders>
            <w:gridSpan w:val="3"/>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27,270</w:t>
            </w:r>
          </w:p>
        </w:tc>
        <w:tc>
          <w:tcPr>
            <w:tcW w:w="280" w:type="dxa"/>
            <w:vAlign w:val="bottom"/>
            <w:tcBorders>
              <w:bottom w:val="single" w:sz="8" w:color="E5FFFF"/>
            </w:tcBorders>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29,434</w:t>
            </w:r>
          </w:p>
        </w:tc>
        <w:tc>
          <w:tcPr>
            <w:tcW w:w="280" w:type="dxa"/>
            <w:vAlign w:val="bottom"/>
            <w:tcBorders>
              <w:bottom w:val="single" w:sz="8" w:color="E5FFFF"/>
            </w:tcBorders>
            <w:shd w:val="clear" w:color="auto" w:fill="E5FFFF"/>
          </w:tcPr>
          <w:p>
            <w:pPr>
              <w:spacing w:after="0"/>
              <w:rPr>
                <w:sz w:val="17"/>
                <w:szCs w:val="17"/>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82,173</w:t>
            </w:r>
          </w:p>
        </w:tc>
        <w:tc>
          <w:tcPr>
            <w:tcW w:w="280" w:type="dxa"/>
            <w:vAlign w:val="bottom"/>
            <w:tcBorders>
              <w:bottom w:val="single" w:sz="8" w:color="E5FFFF"/>
            </w:tcBorders>
            <w:shd w:val="clear" w:color="auto" w:fill="E5FFFF"/>
          </w:tcPr>
          <w:p>
            <w:pPr>
              <w:spacing w:after="0"/>
              <w:rPr>
                <w:sz w:val="17"/>
                <w:szCs w:val="17"/>
                <w:color w:val="auto"/>
              </w:rPr>
            </w:pPr>
          </w:p>
        </w:tc>
        <w:tc>
          <w:tcPr>
            <w:tcW w:w="14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68,943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color w:val="auto"/>
                <w:w w:val="91"/>
              </w:rPr>
              <w:t>F-9</w:t>
            </w: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400" w:type="dxa"/>
            <w:vAlign w:val="bottom"/>
            <w:tcBorders>
              <w:bottom w:val="single" w:sz="8" w:color="808080"/>
            </w:tcBorders>
          </w:tcPr>
          <w:p>
            <w:pPr>
              <w:spacing w:after="0"/>
              <w:rPr>
                <w:sz w:val="11"/>
                <w:szCs w:val="11"/>
                <w:color w:val="auto"/>
              </w:rPr>
            </w:pPr>
          </w:p>
        </w:tc>
        <w:tc>
          <w:tcPr>
            <w:tcW w:w="25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9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4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6" w:right="199" w:bottom="1440" w:gutter="0" w:footer="0" w:header="0"/>
        </w:sectPr>
      </w:pPr>
    </w:p>
    <w:bookmarkStart w:id="34" w:name="page35"/>
    <w:bookmarkEnd w:id="34"/>
    <w:p>
      <w:pPr>
        <w:ind w:left="660" w:right="300" w:hanging="268"/>
        <w:spacing w:after="0" w:line="253" w:lineRule="auto"/>
        <w:tabs>
          <w:tab w:leader="none" w:pos="503" w:val="left"/>
        </w:tabs>
        <w:numPr>
          <w:ilvl w:val="0"/>
          <w:numId w:val="18"/>
        </w:numPr>
        <w:rPr>
          <w:rFonts w:ascii="Arial" w:cs="Arial" w:eastAsia="Arial" w:hAnsi="Arial"/>
          <w:sz w:val="14"/>
          <w:szCs w:val="14"/>
          <w:color w:val="auto"/>
        </w:rPr>
      </w:pPr>
      <w:r>
        <w:rPr>
          <w:rFonts w:ascii="Arial" w:cs="Arial" w:eastAsia="Arial" w:hAnsi="Arial"/>
          <w:sz w:val="14"/>
          <w:szCs w:val="14"/>
          <w:color w:val="auto"/>
        </w:rPr>
        <w:t>Excludes profits of GAS-fourteen Ltd., GAS-twenty seven Ltd. and GAS-twelve Ltd. for the period prior to their transfers to the Partnership on April 26, 2018, November 14, 2018 and April 1, 2019, respectively.</w:t>
      </w:r>
    </w:p>
    <w:p>
      <w:pPr>
        <w:spacing w:after="0" w:line="183"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Dividends declared attributable to non-controlling interests included in the unaudited condensed consolidated statements of changes in equity represent cash distributions to holders of common and preference units.</w:t>
      </w:r>
    </w:p>
    <w:p>
      <w:pPr>
        <w:spacing w:after="0" w:line="172"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In the nine months ended September 30, 2019, the board of directors of the Partnership approved and declared cash distributions of $55,121 and $23,454 for the common units and preference units, respectively, held by non-controlling interests.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Investment in Associates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movements in investment in associates are reported in the following table: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4"/>
          </w:tcPr>
          <w:p>
            <w:pPr>
              <w:jc w:val="right"/>
              <w:ind w:right="420"/>
              <w:spacing w:after="0"/>
              <w:rPr>
                <w:sz w:val="20"/>
                <w:szCs w:val="20"/>
                <w:color w:val="auto"/>
              </w:rPr>
            </w:pPr>
            <w:r>
              <w:rPr>
                <w:rFonts w:ascii="Arial" w:cs="Arial" w:eastAsia="Arial" w:hAnsi="Arial"/>
                <w:sz w:val="16"/>
                <w:szCs w:val="16"/>
                <w:b w:val="1"/>
                <w:bCs w:val="1"/>
                <w:color w:val="auto"/>
                <w:w w:val="95"/>
              </w:rPr>
              <w:t>September 30,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bottom w:val="single" w:sz="8" w:color="E5FFFF"/>
            </w:tcBorders>
          </w:tcPr>
          <w:p>
            <w:pPr>
              <w:spacing w:after="0"/>
              <w:rPr>
                <w:sz w:val="18"/>
                <w:szCs w:val="18"/>
                <w:color w:val="auto"/>
              </w:rPr>
            </w:pPr>
          </w:p>
        </w:tc>
        <w:tc>
          <w:tcPr>
            <w:tcW w:w="780" w:type="dxa"/>
            <w:vAlign w:val="bottom"/>
            <w:tcBorders>
              <w:bottom w:val="single" w:sz="8" w:color="E5FFFF"/>
            </w:tcBorders>
          </w:tcPr>
          <w:p>
            <w:pPr>
              <w:spacing w:after="0"/>
              <w:rPr>
                <w:sz w:val="18"/>
                <w:szCs w:val="18"/>
                <w:color w:val="auto"/>
              </w:rPr>
            </w:pPr>
          </w:p>
        </w:tc>
        <w:tc>
          <w:tcPr>
            <w:tcW w:w="3180" w:type="dxa"/>
            <w:vAlign w:val="bottom"/>
            <w:tcBorders>
              <w:bottom w:val="single" w:sz="8" w:color="E5FFFF"/>
            </w:tcBorders>
          </w:tcPr>
          <w:p>
            <w:pPr>
              <w:spacing w:after="0"/>
              <w:rPr>
                <w:sz w:val="18"/>
                <w:szCs w:val="18"/>
                <w:color w:val="auto"/>
              </w:rPr>
            </w:pPr>
          </w:p>
        </w:tc>
        <w:tc>
          <w:tcPr>
            <w:tcW w:w="1360" w:type="dxa"/>
            <w:vAlign w:val="bottom"/>
            <w:tcBorders>
              <w:bottom w:val="single" w:sz="8" w:color="E5FFFF"/>
            </w:tcBorders>
          </w:tcPr>
          <w:p>
            <w:pPr>
              <w:spacing w:after="0"/>
              <w:rPr>
                <w:sz w:val="18"/>
                <w:szCs w:val="18"/>
                <w:color w:val="auto"/>
              </w:rPr>
            </w:pPr>
          </w:p>
        </w:tc>
        <w:tc>
          <w:tcPr>
            <w:tcW w:w="300" w:type="dxa"/>
            <w:vAlign w:val="bottom"/>
            <w:tcBorders>
              <w:bottom w:val="single" w:sz="8" w:color="E5FFFF"/>
            </w:tcBorders>
          </w:tcPr>
          <w:p>
            <w:pPr>
              <w:spacing w:after="0"/>
              <w:rPr>
                <w:sz w:val="18"/>
                <w:szCs w:val="18"/>
                <w:color w:val="auto"/>
              </w:rPr>
            </w:pPr>
          </w:p>
        </w:tc>
        <w:tc>
          <w:tcPr>
            <w:tcW w:w="1360" w:type="dxa"/>
            <w:vAlign w:val="bottom"/>
            <w:tcBorders>
              <w:bottom w:val="single" w:sz="8" w:color="E5FFFF"/>
            </w:tcBorders>
          </w:tcPr>
          <w:p>
            <w:pPr>
              <w:spacing w:after="0"/>
              <w:rPr>
                <w:sz w:val="18"/>
                <w:szCs w:val="18"/>
                <w:color w:val="auto"/>
              </w:rPr>
            </w:pPr>
          </w:p>
        </w:tc>
        <w:tc>
          <w:tcPr>
            <w:tcW w:w="280" w:type="dxa"/>
            <w:vAlign w:val="bottom"/>
            <w:tcBorders>
              <w:bottom w:val="single" w:sz="8" w:color="E5FFFF"/>
            </w:tcBorders>
          </w:tcPr>
          <w:p>
            <w:pPr>
              <w:spacing w:after="0"/>
              <w:rPr>
                <w:sz w:val="18"/>
                <w:szCs w:val="18"/>
                <w:color w:val="auto"/>
              </w:rPr>
            </w:pPr>
          </w:p>
        </w:tc>
        <w:tc>
          <w:tcPr>
            <w:tcW w:w="1360" w:type="dxa"/>
            <w:vAlign w:val="bottom"/>
            <w:tcBorders>
              <w:bottom w:val="single" w:sz="8" w:color="E5FFFF"/>
            </w:tcBorders>
          </w:tcPr>
          <w:p>
            <w:pPr>
              <w:spacing w:after="0"/>
              <w:rPr>
                <w:sz w:val="18"/>
                <w:szCs w:val="18"/>
                <w:color w:val="auto"/>
              </w:rPr>
            </w:pPr>
          </w:p>
        </w:tc>
        <w:tc>
          <w:tcPr>
            <w:tcW w:w="16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gridSpan w:val="2"/>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E5FFFF"/>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6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As of January 1, 2019</w:t>
            </w:r>
          </w:p>
        </w:tc>
        <w:tc>
          <w:tcPr>
            <w:tcW w:w="13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36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3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20,713</w:t>
            </w:r>
          </w:p>
        </w:tc>
        <w:tc>
          <w:tcPr>
            <w:tcW w:w="10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60" w:type="dxa"/>
            <w:vAlign w:val="bottom"/>
            <w:gridSpan w:val="3"/>
          </w:tcPr>
          <w:p>
            <w:pPr>
              <w:spacing w:after="0"/>
              <w:rPr>
                <w:sz w:val="20"/>
                <w:szCs w:val="20"/>
                <w:color w:val="auto"/>
              </w:rPr>
            </w:pPr>
            <w:r>
              <w:rPr>
                <w:rFonts w:ascii="Arial" w:cs="Arial" w:eastAsia="Arial" w:hAnsi="Arial"/>
                <w:sz w:val="16"/>
                <w:szCs w:val="16"/>
                <w:color w:val="auto"/>
              </w:rPr>
              <w:t>Additions</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6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Share of profit of associates</w:t>
            </w:r>
          </w:p>
        </w:tc>
        <w:tc>
          <w:tcPr>
            <w:tcW w:w="13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36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3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1,088</w:t>
            </w:r>
          </w:p>
        </w:tc>
        <w:tc>
          <w:tcPr>
            <w:tcW w:w="10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60" w:type="dxa"/>
            <w:vAlign w:val="bottom"/>
            <w:gridSpan w:val="3"/>
          </w:tcPr>
          <w:p>
            <w:pPr>
              <w:spacing w:after="0"/>
              <w:rPr>
                <w:sz w:val="20"/>
                <w:szCs w:val="20"/>
                <w:color w:val="auto"/>
              </w:rPr>
            </w:pPr>
            <w:r>
              <w:rPr>
                <w:rFonts w:ascii="Arial" w:cs="Arial" w:eastAsia="Arial" w:hAnsi="Arial"/>
                <w:sz w:val="16"/>
                <w:szCs w:val="16"/>
                <w:color w:val="auto"/>
              </w:rPr>
              <w:t>Dividend declared</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3"/>
          </w:tcPr>
          <w:p>
            <w:pPr>
              <w:jc w:val="right"/>
              <w:ind w:right="40"/>
              <w:spacing w:after="0"/>
              <w:rPr>
                <w:sz w:val="20"/>
                <w:szCs w:val="20"/>
                <w:color w:val="auto"/>
              </w:rPr>
            </w:pPr>
            <w:r>
              <w:rPr>
                <w:rFonts w:ascii="Arial" w:cs="Arial" w:eastAsia="Arial" w:hAnsi="Arial"/>
                <w:sz w:val="16"/>
                <w:szCs w:val="16"/>
                <w:color w:val="auto"/>
              </w:rPr>
              <w:t>(428)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60" w:type="dxa"/>
            <w:vAlign w:val="bottom"/>
            <w:tcBorders>
              <w:top w:val="single" w:sz="8" w:color="E5FFFF"/>
              <w:bottom w:val="single" w:sz="8" w:color="E5FFFF"/>
            </w:tcBorders>
            <w:gridSpan w:val="3"/>
            <w:shd w:val="clear" w:color="auto" w:fill="E5FFFF"/>
          </w:tcPr>
          <w:p>
            <w:pPr>
              <w:spacing w:after="0"/>
              <w:rPr>
                <w:sz w:val="20"/>
                <w:szCs w:val="20"/>
                <w:color w:val="auto"/>
              </w:rPr>
            </w:pPr>
            <w:r>
              <w:rPr>
                <w:rFonts w:ascii="Arial" w:cs="Arial" w:eastAsia="Arial" w:hAnsi="Arial"/>
                <w:sz w:val="16"/>
                <w:szCs w:val="16"/>
                <w:b w:val="1"/>
                <w:bCs w:val="1"/>
                <w:color w:val="auto"/>
              </w:rPr>
              <w:t>As of September 30, 2019</w:t>
            </w:r>
          </w:p>
        </w:tc>
        <w:tc>
          <w:tcPr>
            <w:tcW w:w="1360" w:type="dxa"/>
            <w:vAlign w:val="bottom"/>
            <w:tcBorders>
              <w:top w:val="single" w:sz="8" w:color="E5FFFF"/>
              <w:bottom w:val="single" w:sz="8" w:color="E5FFFF"/>
            </w:tcBorders>
            <w:shd w:val="clear" w:color="auto" w:fill="E5FFFF"/>
          </w:tcPr>
          <w:p>
            <w:pPr>
              <w:spacing w:after="0"/>
              <w:rPr>
                <w:sz w:val="17"/>
                <w:szCs w:val="17"/>
                <w:color w:val="auto"/>
              </w:rPr>
            </w:pPr>
          </w:p>
        </w:tc>
        <w:tc>
          <w:tcPr>
            <w:tcW w:w="300" w:type="dxa"/>
            <w:vAlign w:val="bottom"/>
            <w:tcBorders>
              <w:top w:val="single" w:sz="8" w:color="E5FFFF"/>
              <w:bottom w:val="single" w:sz="8" w:color="E5FFFF"/>
            </w:tcBorders>
            <w:shd w:val="clear" w:color="auto" w:fill="E5FFFF"/>
          </w:tcPr>
          <w:p>
            <w:pPr>
              <w:spacing w:after="0"/>
              <w:rPr>
                <w:sz w:val="17"/>
                <w:szCs w:val="17"/>
                <w:color w:val="auto"/>
              </w:rPr>
            </w:pPr>
          </w:p>
        </w:tc>
        <w:tc>
          <w:tcPr>
            <w:tcW w:w="1360" w:type="dxa"/>
            <w:vAlign w:val="bottom"/>
            <w:tcBorders>
              <w:top w:val="single" w:sz="8" w:color="E5FFFF"/>
              <w:bottom w:val="single" w:sz="8" w:color="E5FFFF"/>
            </w:tcBorders>
            <w:shd w:val="clear" w:color="auto" w:fill="E5FFFF"/>
          </w:tcPr>
          <w:p>
            <w:pPr>
              <w:spacing w:after="0"/>
              <w:rPr>
                <w:sz w:val="17"/>
                <w:szCs w:val="17"/>
                <w:color w:val="auto"/>
              </w:rPr>
            </w:pP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360" w:type="dxa"/>
            <w:vAlign w:val="bottom"/>
            <w:tcBorders>
              <w:top w:val="single" w:sz="8" w:color="E5FFFF"/>
              <w:bottom w:val="single" w:sz="8" w:color="E5FFFF"/>
            </w:tcBorders>
            <w:shd w:val="clear" w:color="auto" w:fill="E5FFFF"/>
          </w:tcPr>
          <w:p>
            <w:pPr>
              <w:spacing w:after="0"/>
              <w:rPr>
                <w:sz w:val="17"/>
                <w:szCs w:val="17"/>
                <w:color w:val="auto"/>
              </w:rPr>
            </w:pPr>
          </w:p>
        </w:tc>
        <w:tc>
          <w:tcPr>
            <w:tcW w:w="160" w:type="dxa"/>
            <w:vAlign w:val="bottom"/>
            <w:tcBorders>
              <w:top w:val="single" w:sz="8" w:color="E5FFFF"/>
              <w:bottom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21,531</w:t>
            </w: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0" w:type="dxa"/>
            <w:vAlign w:val="bottom"/>
            <w:gridSpan w:val="6"/>
            <w:vMerge w:val="restart"/>
          </w:tcPr>
          <w:p>
            <w:pPr>
              <w:spacing w:after="0"/>
              <w:rPr>
                <w:sz w:val="20"/>
                <w:szCs w:val="20"/>
                <w:color w:val="auto"/>
              </w:rPr>
            </w:pPr>
            <w:r>
              <w:rPr>
                <w:rFonts w:ascii="Arial" w:cs="Arial" w:eastAsia="Arial" w:hAnsi="Arial"/>
                <w:sz w:val="16"/>
                <w:szCs w:val="16"/>
                <w:b w:val="1"/>
                <w:bCs w:val="1"/>
                <w:color w:val="auto"/>
              </w:rPr>
              <w:t>5. Tangible Fixed Assets and Vessels Under Construction</w:t>
            </w: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000" w:type="dxa"/>
            <w:vAlign w:val="bottom"/>
            <w:gridSpan w:val="6"/>
            <w:vMerge w:val="continue"/>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60" w:type="dxa"/>
            <w:vAlign w:val="bottom"/>
            <w:gridSpan w:val="7"/>
          </w:tcPr>
          <w:p>
            <w:pPr>
              <w:ind w:left="100"/>
              <w:spacing w:after="0"/>
              <w:rPr>
                <w:sz w:val="20"/>
                <w:szCs w:val="20"/>
                <w:color w:val="auto"/>
              </w:rPr>
            </w:pPr>
            <w:r>
              <w:rPr>
                <w:rFonts w:ascii="Arial" w:cs="Arial" w:eastAsia="Arial" w:hAnsi="Arial"/>
                <w:sz w:val="16"/>
                <w:szCs w:val="16"/>
                <w:color w:val="auto"/>
              </w:rPr>
              <w:t>The movements in tangible fixed assets and vessels under construction are reported in the following table:</w:t>
            </w: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Office property</w:t>
            </w:r>
          </w:p>
        </w:tc>
        <w:tc>
          <w:tcPr>
            <w:tcW w:w="15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4"/>
              </w:rPr>
              <w:t>Total</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and other</w:t>
            </w:r>
          </w:p>
        </w:tc>
        <w:tc>
          <w:tcPr>
            <w:tcW w:w="15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tangible fixed</w:t>
            </w:r>
          </w:p>
        </w:tc>
        <w:tc>
          <w:tcPr>
            <w:tcW w:w="120" w:type="dxa"/>
            <w:vAlign w:val="bottom"/>
          </w:tcPr>
          <w:p>
            <w:pPr>
              <w:spacing w:after="0"/>
              <w:rPr>
                <w:sz w:val="17"/>
                <w:szCs w:val="17"/>
                <w:color w:val="auto"/>
              </w:rPr>
            </w:pPr>
          </w:p>
        </w:tc>
        <w:tc>
          <w:tcPr>
            <w:tcW w:w="1480" w:type="dxa"/>
            <w:vAlign w:val="bottom"/>
            <w:gridSpan w:val="4"/>
          </w:tcPr>
          <w:p>
            <w:pPr>
              <w:jc w:val="right"/>
              <w:ind w:right="320"/>
              <w:spacing w:after="0"/>
              <w:rPr>
                <w:sz w:val="20"/>
                <w:szCs w:val="20"/>
                <w:color w:val="auto"/>
              </w:rPr>
            </w:pPr>
            <w:r>
              <w:rPr>
                <w:rFonts w:ascii="Arial" w:cs="Arial" w:eastAsia="Arial" w:hAnsi="Arial"/>
                <w:sz w:val="16"/>
                <w:szCs w:val="16"/>
                <w:b w:val="1"/>
                <w:bCs w:val="1"/>
                <w:color w:val="auto"/>
              </w:rPr>
              <w:t>Vessels under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660" w:type="dxa"/>
            <w:vAlign w:val="bottom"/>
            <w:gridSpan w:val="2"/>
          </w:tcPr>
          <w:p>
            <w:pPr>
              <w:jc w:val="right"/>
              <w:ind w:right="740"/>
              <w:spacing w:after="0"/>
              <w:rPr>
                <w:sz w:val="20"/>
                <w:szCs w:val="20"/>
                <w:color w:val="auto"/>
              </w:rPr>
            </w:pPr>
            <w:r>
              <w:rPr>
                <w:rFonts w:ascii="Arial" w:cs="Arial" w:eastAsia="Arial" w:hAnsi="Arial"/>
                <w:sz w:val="16"/>
                <w:szCs w:val="16"/>
                <w:b w:val="1"/>
                <w:bCs w:val="1"/>
                <w:color w:val="auto"/>
              </w:rPr>
              <w:t>Vessels</w:t>
            </w: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tangible assets</w:t>
            </w:r>
          </w:p>
        </w:tc>
        <w:tc>
          <w:tcPr>
            <w:tcW w:w="15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0"/>
              </w:rPr>
              <w:t>assets</w:t>
            </w:r>
          </w:p>
        </w:tc>
        <w:tc>
          <w:tcPr>
            <w:tcW w:w="120" w:type="dxa"/>
            <w:vAlign w:val="bottom"/>
          </w:tcPr>
          <w:p>
            <w:pPr>
              <w:spacing w:after="0"/>
              <w:rPr>
                <w:sz w:val="18"/>
                <w:szCs w:val="18"/>
                <w:color w:val="auto"/>
              </w:rPr>
            </w:pPr>
          </w:p>
        </w:tc>
        <w:tc>
          <w:tcPr>
            <w:tcW w:w="1480" w:type="dxa"/>
            <w:vAlign w:val="bottom"/>
            <w:gridSpan w:val="4"/>
          </w:tcPr>
          <w:p>
            <w:pPr>
              <w:jc w:val="right"/>
              <w:ind w:right="360"/>
              <w:spacing w:after="0"/>
              <w:rPr>
                <w:sz w:val="20"/>
                <w:szCs w:val="20"/>
                <w:color w:val="auto"/>
              </w:rPr>
            </w:pPr>
            <w:r>
              <w:rPr>
                <w:rFonts w:ascii="Arial" w:cs="Arial" w:eastAsia="Arial" w:hAnsi="Arial"/>
                <w:sz w:val="16"/>
                <w:szCs w:val="16"/>
                <w:b w:val="1"/>
                <w:bCs w:val="1"/>
                <w:color w:val="auto"/>
              </w:rPr>
              <w:t>construction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80" w:type="dxa"/>
            <w:vAlign w:val="bottom"/>
            <w:tcBorders>
              <w:top w:val="single" w:sz="8" w:color="E5FFFF"/>
            </w:tcBorders>
            <w:gridSpan w:val="5"/>
            <w:shd w:val="clear" w:color="auto" w:fill="E5FFFF"/>
          </w:tcPr>
          <w:p>
            <w:pPr>
              <w:spacing w:after="0" w:line="148" w:lineRule="exact"/>
              <w:rPr>
                <w:sz w:val="20"/>
                <w:szCs w:val="20"/>
                <w:color w:val="auto"/>
              </w:rPr>
            </w:pPr>
            <w:r>
              <w:rPr>
                <w:rFonts w:ascii="Arial" w:cs="Arial" w:eastAsia="Arial" w:hAnsi="Arial"/>
                <w:sz w:val="16"/>
                <w:szCs w:val="16"/>
                <w:b w:val="1"/>
                <w:bCs w:val="1"/>
                <w:color w:val="auto"/>
              </w:rPr>
              <w:t>Cost</w:t>
            </w:r>
          </w:p>
        </w:tc>
        <w:tc>
          <w:tcPr>
            <w:tcW w:w="1360" w:type="dxa"/>
            <w:vAlign w:val="bottom"/>
            <w:tcBorders>
              <w:top w:val="single" w:sz="8" w:color="auto"/>
            </w:tcBorders>
            <w:shd w:val="clear" w:color="auto" w:fill="E5FFFF"/>
          </w:tcPr>
          <w:p>
            <w:pPr>
              <w:spacing w:after="0"/>
              <w:rPr>
                <w:sz w:val="12"/>
                <w:szCs w:val="12"/>
                <w:color w:val="auto"/>
              </w:rPr>
            </w:pPr>
          </w:p>
        </w:tc>
        <w:tc>
          <w:tcPr>
            <w:tcW w:w="300" w:type="dxa"/>
            <w:vAlign w:val="bottom"/>
            <w:tcBorders>
              <w:top w:val="single" w:sz="8" w:color="E5FFFF"/>
            </w:tcBorders>
            <w:shd w:val="clear" w:color="auto" w:fill="E5FFFF"/>
          </w:tcPr>
          <w:p>
            <w:pPr>
              <w:spacing w:after="0"/>
              <w:rPr>
                <w:sz w:val="12"/>
                <w:szCs w:val="12"/>
                <w:color w:val="auto"/>
              </w:rPr>
            </w:pPr>
          </w:p>
        </w:tc>
        <w:tc>
          <w:tcPr>
            <w:tcW w:w="1360" w:type="dxa"/>
            <w:vAlign w:val="bottom"/>
            <w:tcBorders>
              <w:top w:val="single" w:sz="8" w:color="auto"/>
            </w:tcBorders>
            <w:shd w:val="clear" w:color="auto" w:fill="E5FFFF"/>
          </w:tcPr>
          <w:p>
            <w:pPr>
              <w:spacing w:after="0"/>
              <w:rPr>
                <w:sz w:val="12"/>
                <w:szCs w:val="12"/>
                <w:color w:val="auto"/>
              </w:rPr>
            </w:pPr>
          </w:p>
        </w:tc>
        <w:tc>
          <w:tcPr>
            <w:tcW w:w="280" w:type="dxa"/>
            <w:vAlign w:val="bottom"/>
            <w:tcBorders>
              <w:top w:val="single" w:sz="8" w:color="E5FFFF"/>
            </w:tcBorders>
            <w:shd w:val="clear" w:color="auto" w:fill="E5FFFF"/>
          </w:tcPr>
          <w:p>
            <w:pPr>
              <w:spacing w:after="0"/>
              <w:rPr>
                <w:sz w:val="12"/>
                <w:szCs w:val="12"/>
                <w:color w:val="auto"/>
              </w:rPr>
            </w:pPr>
          </w:p>
        </w:tc>
        <w:tc>
          <w:tcPr>
            <w:tcW w:w="1360" w:type="dxa"/>
            <w:vAlign w:val="bottom"/>
            <w:tcBorders>
              <w:top w:val="single" w:sz="8" w:color="auto"/>
            </w:tcBorders>
            <w:shd w:val="clear" w:color="auto" w:fill="E5FFFF"/>
          </w:tcPr>
          <w:p>
            <w:pPr>
              <w:spacing w:after="0"/>
              <w:rPr>
                <w:sz w:val="12"/>
                <w:szCs w:val="12"/>
                <w:color w:val="auto"/>
              </w:rPr>
            </w:pPr>
          </w:p>
        </w:tc>
        <w:tc>
          <w:tcPr>
            <w:tcW w:w="160" w:type="dxa"/>
            <w:vAlign w:val="bottom"/>
            <w:tcBorders>
              <w:top w:val="single" w:sz="8" w:color="E5FFFF"/>
            </w:tcBorders>
            <w:shd w:val="clear" w:color="auto" w:fill="E5FFFF"/>
          </w:tcPr>
          <w:p>
            <w:pPr>
              <w:spacing w:after="0"/>
              <w:rPr>
                <w:sz w:val="12"/>
                <w:szCs w:val="12"/>
                <w:color w:val="auto"/>
              </w:rPr>
            </w:pPr>
          </w:p>
        </w:tc>
        <w:tc>
          <w:tcPr>
            <w:tcW w:w="120" w:type="dxa"/>
            <w:vAlign w:val="bottom"/>
            <w:tcBorders>
              <w:top w:val="single" w:sz="8" w:color="E5FFFF"/>
            </w:tcBorders>
            <w:shd w:val="clear" w:color="auto" w:fill="E5FFFF"/>
          </w:tcPr>
          <w:p>
            <w:pPr>
              <w:spacing w:after="0"/>
              <w:rPr>
                <w:sz w:val="12"/>
                <w:szCs w:val="12"/>
                <w:color w:val="auto"/>
              </w:rPr>
            </w:pPr>
          </w:p>
        </w:tc>
        <w:tc>
          <w:tcPr>
            <w:tcW w:w="1240" w:type="dxa"/>
            <w:vAlign w:val="bottom"/>
            <w:tcBorders>
              <w:top w:val="single" w:sz="8" w:color="auto"/>
            </w:tcBorders>
            <w:shd w:val="clear" w:color="auto" w:fill="E5FFFF"/>
          </w:tcPr>
          <w:p>
            <w:pPr>
              <w:spacing w:after="0"/>
              <w:rPr>
                <w:sz w:val="12"/>
                <w:szCs w:val="12"/>
                <w:color w:val="auto"/>
              </w:rPr>
            </w:pPr>
          </w:p>
        </w:tc>
        <w:tc>
          <w:tcPr>
            <w:tcW w:w="100" w:type="dxa"/>
            <w:vAlign w:val="bottom"/>
            <w:tcBorders>
              <w:top w:val="single" w:sz="8" w:color="auto"/>
            </w:tcBorders>
            <w:shd w:val="clear" w:color="auto" w:fill="E5FFFF"/>
          </w:tcPr>
          <w:p>
            <w:pPr>
              <w:spacing w:after="0"/>
              <w:rPr>
                <w:sz w:val="12"/>
                <w:szCs w:val="12"/>
                <w:color w:val="auto"/>
              </w:rPr>
            </w:pPr>
          </w:p>
        </w:tc>
        <w:tc>
          <w:tcPr>
            <w:tcW w:w="40" w:type="dxa"/>
            <w:vAlign w:val="bottom"/>
            <w:tcBorders>
              <w:top w:val="single" w:sz="8" w:color="auto"/>
            </w:tcBorders>
            <w:shd w:val="clear" w:color="auto" w:fill="E5FFFF"/>
          </w:tcPr>
          <w:p>
            <w:pPr>
              <w:spacing w:after="0"/>
              <w:rPr>
                <w:sz w:val="12"/>
                <w:szCs w:val="12"/>
                <w:color w:val="auto"/>
              </w:rPr>
            </w:pPr>
          </w:p>
        </w:tc>
        <w:tc>
          <w:tcPr>
            <w:tcW w:w="100" w:type="dxa"/>
            <w:vAlign w:val="bottom"/>
            <w:tcBorders>
              <w:top w:val="single" w:sz="8" w:color="E5FFFF"/>
            </w:tcBorders>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Borders>
              <w:top w:val="single" w:sz="8" w:color="auto"/>
            </w:tcBorders>
            <w:shd w:val="clear" w:color="auto" w:fill="E5FFFF"/>
          </w:tcPr>
          <w:p>
            <w:pPr>
              <w:spacing w:after="0" w:line="20" w:lineRule="exact"/>
              <w:rPr>
                <w:sz w:val="1"/>
                <w:szCs w:val="1"/>
                <w:color w:val="auto"/>
              </w:rPr>
            </w:pPr>
          </w:p>
        </w:tc>
        <w:tc>
          <w:tcPr>
            <w:tcW w:w="20" w:type="dxa"/>
            <w:vAlign w:val="bottom"/>
            <w:tcBorders>
              <w:top w:val="single" w:sz="8" w:color="E5FFFF"/>
            </w:tcBorders>
            <w:shd w:val="clear" w:color="auto" w:fill="E5FFFF"/>
          </w:tcPr>
          <w:p>
            <w:pPr>
              <w:spacing w:after="0" w:line="20" w:lineRule="exact"/>
              <w:rPr>
                <w:sz w:val="1"/>
                <w:szCs w:val="1"/>
                <w:color w:val="auto"/>
              </w:rPr>
            </w:pPr>
          </w:p>
        </w:tc>
        <w:tc>
          <w:tcPr>
            <w:tcW w:w="700" w:type="dxa"/>
            <w:vAlign w:val="bottom"/>
            <w:tcBorders>
              <w:top w:val="single" w:sz="8" w:color="E5FFFF"/>
            </w:tcBorders>
            <w:shd w:val="clear" w:color="auto" w:fill="E5FFFF"/>
          </w:tcPr>
          <w:p>
            <w:pPr>
              <w:spacing w:after="0" w:line="20" w:lineRule="exact"/>
              <w:rPr>
                <w:sz w:val="1"/>
                <w:szCs w:val="1"/>
                <w:color w:val="auto"/>
              </w:rPr>
            </w:pPr>
          </w:p>
        </w:tc>
        <w:tc>
          <w:tcPr>
            <w:tcW w:w="780" w:type="dxa"/>
            <w:vAlign w:val="bottom"/>
            <w:tcBorders>
              <w:top w:val="single" w:sz="8" w:color="E5FFFF"/>
            </w:tcBorders>
            <w:shd w:val="clear" w:color="auto" w:fill="E5FFFF"/>
          </w:tcPr>
          <w:p>
            <w:pPr>
              <w:spacing w:after="0" w:line="20" w:lineRule="exact"/>
              <w:rPr>
                <w:sz w:val="1"/>
                <w:szCs w:val="1"/>
                <w:color w:val="auto"/>
              </w:rPr>
            </w:pPr>
          </w:p>
        </w:tc>
        <w:tc>
          <w:tcPr>
            <w:tcW w:w="3180" w:type="dxa"/>
            <w:vAlign w:val="bottom"/>
            <w:tcBorders>
              <w:top w:val="single" w:sz="8" w:color="E5FFFF"/>
            </w:tcBorders>
            <w:shd w:val="clear" w:color="auto" w:fill="E5FFFF"/>
          </w:tcPr>
          <w:p>
            <w:pPr>
              <w:spacing w:after="0" w:line="20" w:lineRule="exact"/>
              <w:rPr>
                <w:sz w:val="1"/>
                <w:szCs w:val="1"/>
                <w:color w:val="auto"/>
              </w:rPr>
            </w:pPr>
          </w:p>
        </w:tc>
        <w:tc>
          <w:tcPr>
            <w:tcW w:w="1360" w:type="dxa"/>
            <w:vAlign w:val="bottom"/>
            <w:tcBorders>
              <w:top w:val="single" w:sz="8" w:color="E5FFFF"/>
            </w:tcBorders>
            <w:shd w:val="clear" w:color="auto" w:fill="E5FFFF"/>
          </w:tcPr>
          <w:p>
            <w:pPr>
              <w:spacing w:after="0" w:line="20" w:lineRule="exact"/>
              <w:rPr>
                <w:sz w:val="1"/>
                <w:szCs w:val="1"/>
                <w:color w:val="auto"/>
              </w:rPr>
            </w:pPr>
          </w:p>
        </w:tc>
        <w:tc>
          <w:tcPr>
            <w:tcW w:w="300" w:type="dxa"/>
            <w:vAlign w:val="bottom"/>
            <w:tcBorders>
              <w:top w:val="single" w:sz="8" w:color="E5FFFF"/>
            </w:tcBorders>
            <w:shd w:val="clear" w:color="auto" w:fill="E5FFFF"/>
          </w:tcPr>
          <w:p>
            <w:pPr>
              <w:spacing w:after="0" w:line="20" w:lineRule="exact"/>
              <w:rPr>
                <w:sz w:val="1"/>
                <w:szCs w:val="1"/>
                <w:color w:val="auto"/>
              </w:rPr>
            </w:pPr>
          </w:p>
        </w:tc>
        <w:tc>
          <w:tcPr>
            <w:tcW w:w="1360" w:type="dxa"/>
            <w:vAlign w:val="bottom"/>
            <w:tcBorders>
              <w:top w:val="single" w:sz="8" w:color="E5FFFF"/>
            </w:tcBorders>
            <w:shd w:val="clear" w:color="auto" w:fill="E5FFFF"/>
          </w:tcPr>
          <w:p>
            <w:pPr>
              <w:spacing w:after="0" w:line="20" w:lineRule="exact"/>
              <w:rPr>
                <w:sz w:val="1"/>
                <w:szCs w:val="1"/>
                <w:color w:val="auto"/>
              </w:rPr>
            </w:pPr>
          </w:p>
        </w:tc>
        <w:tc>
          <w:tcPr>
            <w:tcW w:w="280" w:type="dxa"/>
            <w:vAlign w:val="bottom"/>
            <w:tcBorders>
              <w:top w:val="single" w:sz="8" w:color="E5FFFF"/>
            </w:tcBorders>
            <w:shd w:val="clear" w:color="auto" w:fill="E5FFFF"/>
          </w:tcPr>
          <w:p>
            <w:pPr>
              <w:spacing w:after="0" w:line="20" w:lineRule="exact"/>
              <w:rPr>
                <w:sz w:val="1"/>
                <w:szCs w:val="1"/>
                <w:color w:val="auto"/>
              </w:rPr>
            </w:pPr>
          </w:p>
        </w:tc>
        <w:tc>
          <w:tcPr>
            <w:tcW w:w="1360" w:type="dxa"/>
            <w:vAlign w:val="bottom"/>
            <w:tcBorders>
              <w:top w:val="single" w:sz="8" w:color="E5FFFF"/>
            </w:tcBorders>
            <w:shd w:val="clear" w:color="auto" w:fill="E5FFFF"/>
          </w:tcPr>
          <w:p>
            <w:pPr>
              <w:spacing w:after="0" w:line="20" w:lineRule="exact"/>
              <w:rPr>
                <w:sz w:val="1"/>
                <w:szCs w:val="1"/>
                <w:color w:val="auto"/>
              </w:rPr>
            </w:pPr>
          </w:p>
        </w:tc>
        <w:tc>
          <w:tcPr>
            <w:tcW w:w="160" w:type="dxa"/>
            <w:vAlign w:val="bottom"/>
            <w:tcBorders>
              <w:top w:val="single" w:sz="8" w:color="E5FFFF"/>
            </w:tcBorders>
            <w:shd w:val="clear" w:color="auto" w:fill="E5FFFF"/>
          </w:tcPr>
          <w:p>
            <w:pPr>
              <w:spacing w:after="0" w:line="20" w:lineRule="exact"/>
              <w:rPr>
                <w:sz w:val="1"/>
                <w:szCs w:val="1"/>
                <w:color w:val="auto"/>
              </w:rPr>
            </w:pPr>
          </w:p>
        </w:tc>
        <w:tc>
          <w:tcPr>
            <w:tcW w:w="120" w:type="dxa"/>
            <w:vAlign w:val="bottom"/>
            <w:tcBorders>
              <w:top w:val="single" w:sz="8" w:color="E5FFFF"/>
            </w:tcBorders>
            <w:shd w:val="clear" w:color="auto" w:fill="E5FFFF"/>
          </w:tcPr>
          <w:p>
            <w:pPr>
              <w:spacing w:after="0" w:line="20" w:lineRule="exact"/>
              <w:rPr>
                <w:sz w:val="1"/>
                <w:szCs w:val="1"/>
                <w:color w:val="auto"/>
              </w:rPr>
            </w:pPr>
          </w:p>
        </w:tc>
        <w:tc>
          <w:tcPr>
            <w:tcW w:w="1240" w:type="dxa"/>
            <w:vAlign w:val="bottom"/>
            <w:tcBorders>
              <w:top w:val="single" w:sz="8" w:color="E5FFFF"/>
            </w:tcBorders>
            <w:shd w:val="clear" w:color="auto" w:fill="E5FFFF"/>
          </w:tcPr>
          <w:p>
            <w:pPr>
              <w:spacing w:after="0" w:line="20" w:lineRule="exact"/>
              <w:rPr>
                <w:sz w:val="1"/>
                <w:szCs w:val="1"/>
                <w:color w:val="auto"/>
              </w:rPr>
            </w:pPr>
          </w:p>
        </w:tc>
        <w:tc>
          <w:tcPr>
            <w:tcW w:w="100" w:type="dxa"/>
            <w:vAlign w:val="bottom"/>
            <w:tcBorders>
              <w:top w:val="single" w:sz="8" w:color="E5FFFF"/>
            </w:tcBorders>
            <w:shd w:val="clear" w:color="auto" w:fill="E5FFFF"/>
          </w:tcPr>
          <w:p>
            <w:pPr>
              <w:spacing w:after="0" w:line="20" w:lineRule="exact"/>
              <w:rPr>
                <w:sz w:val="1"/>
                <w:szCs w:val="1"/>
                <w:color w:val="auto"/>
              </w:rPr>
            </w:pPr>
          </w:p>
        </w:tc>
        <w:tc>
          <w:tcPr>
            <w:tcW w:w="40" w:type="dxa"/>
            <w:vAlign w:val="bottom"/>
            <w:tcBorders>
              <w:top w:val="single" w:sz="8" w:color="E5FFFF"/>
            </w:tcBorders>
            <w:shd w:val="clear" w:color="auto" w:fill="E5FFFF"/>
          </w:tcPr>
          <w:p>
            <w:pPr>
              <w:spacing w:after="0" w:line="20" w:lineRule="exact"/>
              <w:rPr>
                <w:sz w:val="1"/>
                <w:szCs w:val="1"/>
                <w:color w:val="auto"/>
              </w:rPr>
            </w:pPr>
          </w:p>
        </w:tc>
        <w:tc>
          <w:tcPr>
            <w:tcW w:w="100" w:type="dxa"/>
            <w:vAlign w:val="bottom"/>
            <w:tcBorders>
              <w:top w:val="single" w:sz="8" w:color="E5FFFF"/>
            </w:tcBorders>
            <w:shd w:val="clear" w:color="auto" w:fill="E5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80" w:type="dxa"/>
            <w:vAlign w:val="bottom"/>
            <w:gridSpan w:val="5"/>
          </w:tcPr>
          <w:p>
            <w:pPr>
              <w:spacing w:after="0"/>
              <w:rPr>
                <w:sz w:val="20"/>
                <w:szCs w:val="20"/>
                <w:color w:val="auto"/>
              </w:rPr>
            </w:pPr>
            <w:r>
              <w:rPr>
                <w:rFonts w:ascii="Arial" w:cs="Arial" w:eastAsia="Arial" w:hAnsi="Arial"/>
                <w:sz w:val="16"/>
                <w:szCs w:val="16"/>
                <w:color w:val="auto"/>
              </w:rPr>
              <w:t>As of January 1, 2019</w:t>
            </w:r>
          </w:p>
        </w:tc>
        <w:tc>
          <w:tcPr>
            <w:tcW w:w="1360" w:type="dxa"/>
            <w:vAlign w:val="bottom"/>
          </w:tcPr>
          <w:p>
            <w:pPr>
              <w:jc w:val="right"/>
              <w:spacing w:after="0"/>
              <w:rPr>
                <w:sz w:val="20"/>
                <w:szCs w:val="20"/>
                <w:color w:val="auto"/>
              </w:rPr>
            </w:pPr>
            <w:r>
              <w:rPr>
                <w:rFonts w:ascii="Arial" w:cs="Arial" w:eastAsia="Arial" w:hAnsi="Arial"/>
                <w:sz w:val="16"/>
                <w:szCs w:val="16"/>
                <w:color w:val="auto"/>
              </w:rPr>
              <w:t>4,899,678</w:t>
            </w:r>
          </w:p>
        </w:tc>
        <w:tc>
          <w:tcPr>
            <w:tcW w:w="3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23,710</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4,923,388</w:t>
            </w:r>
          </w:p>
        </w:tc>
        <w:tc>
          <w:tcPr>
            <w:tcW w:w="160" w:type="dxa"/>
            <w:vAlign w:val="bottom"/>
          </w:tcPr>
          <w:p>
            <w:pPr>
              <w:spacing w:after="0"/>
              <w:rPr>
                <w:sz w:val="17"/>
                <w:szCs w:val="17"/>
                <w:color w:val="auto"/>
              </w:rPr>
            </w:pPr>
          </w:p>
        </w:tc>
        <w:tc>
          <w:tcPr>
            <w:tcW w:w="1600" w:type="dxa"/>
            <w:vAlign w:val="bottom"/>
            <w:gridSpan w:val="5"/>
          </w:tcPr>
          <w:p>
            <w:pPr>
              <w:jc w:val="right"/>
              <w:ind w:right="100"/>
              <w:spacing w:after="0"/>
              <w:rPr>
                <w:sz w:val="20"/>
                <w:szCs w:val="20"/>
                <w:color w:val="auto"/>
              </w:rPr>
            </w:pPr>
            <w:r>
              <w:rPr>
                <w:rFonts w:ascii="Arial" w:cs="Arial" w:eastAsia="Arial" w:hAnsi="Arial"/>
                <w:sz w:val="16"/>
                <w:szCs w:val="16"/>
                <w:color w:val="auto"/>
              </w:rPr>
              <w:t>159,275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gridSpan w:val="5"/>
            <w:shd w:val="clear" w:color="auto" w:fill="E5FFFF"/>
          </w:tcPr>
          <w:p>
            <w:pPr>
              <w:spacing w:after="0"/>
              <w:rPr>
                <w:sz w:val="20"/>
                <w:szCs w:val="20"/>
                <w:color w:val="auto"/>
              </w:rPr>
            </w:pPr>
            <w:r>
              <w:rPr>
                <w:rFonts w:ascii="Arial" w:cs="Arial" w:eastAsia="Arial" w:hAnsi="Arial"/>
                <w:sz w:val="16"/>
                <w:szCs w:val="16"/>
                <w:color w:val="auto"/>
              </w:rPr>
              <w:t>Additions</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10,993</w:t>
            </w:r>
          </w:p>
        </w:tc>
        <w:tc>
          <w:tcPr>
            <w:tcW w:w="30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1,355</w:t>
            </w:r>
          </w:p>
        </w:tc>
        <w:tc>
          <w:tcPr>
            <w:tcW w:w="28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12,348</w:t>
            </w:r>
          </w:p>
        </w:tc>
        <w:tc>
          <w:tcPr>
            <w:tcW w:w="160" w:type="dxa"/>
            <w:vAlign w:val="bottom"/>
            <w:shd w:val="clear" w:color="auto" w:fill="E5FFFF"/>
          </w:tcPr>
          <w:p>
            <w:pPr>
              <w:spacing w:after="0"/>
              <w:rPr>
                <w:sz w:val="17"/>
                <w:szCs w:val="17"/>
                <w:color w:val="auto"/>
              </w:rPr>
            </w:pPr>
          </w:p>
        </w:tc>
        <w:tc>
          <w:tcPr>
            <w:tcW w:w="1600" w:type="dxa"/>
            <w:vAlign w:val="bottom"/>
            <w:gridSpan w:val="5"/>
            <w:shd w:val="clear" w:color="auto" w:fill="E5FFFF"/>
          </w:tcPr>
          <w:p>
            <w:pPr>
              <w:jc w:val="right"/>
              <w:ind w:right="100"/>
              <w:spacing w:after="0"/>
              <w:rPr>
                <w:sz w:val="20"/>
                <w:szCs w:val="20"/>
                <w:color w:val="auto"/>
              </w:rPr>
            </w:pPr>
            <w:r>
              <w:rPr>
                <w:rFonts w:ascii="Arial" w:cs="Arial" w:eastAsia="Arial" w:hAnsi="Arial"/>
                <w:sz w:val="16"/>
                <w:szCs w:val="16"/>
                <w:color w:val="auto"/>
              </w:rPr>
              <w:t>429,897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gridSpan w:val="5"/>
          </w:tcPr>
          <w:p>
            <w:pPr>
              <w:spacing w:after="0"/>
              <w:rPr>
                <w:sz w:val="20"/>
                <w:szCs w:val="20"/>
                <w:color w:val="auto"/>
              </w:rPr>
            </w:pPr>
            <w:r>
              <w:rPr>
                <w:rFonts w:ascii="Arial" w:cs="Arial" w:eastAsia="Arial" w:hAnsi="Arial"/>
                <w:sz w:val="16"/>
                <w:szCs w:val="16"/>
                <w:color w:val="auto"/>
              </w:rPr>
              <w:t>Return of capital expenditures</w:t>
            </w:r>
          </w:p>
        </w:tc>
        <w:tc>
          <w:tcPr>
            <w:tcW w:w="1660" w:type="dxa"/>
            <w:vAlign w:val="bottom"/>
            <w:gridSpan w:val="2"/>
          </w:tcPr>
          <w:p>
            <w:pPr>
              <w:jc w:val="right"/>
              <w:ind w:right="240"/>
              <w:spacing w:after="0"/>
              <w:rPr>
                <w:sz w:val="20"/>
                <w:szCs w:val="20"/>
                <w:color w:val="auto"/>
              </w:rPr>
            </w:pPr>
            <w:r>
              <w:rPr>
                <w:rFonts w:ascii="Arial" w:cs="Arial" w:eastAsia="Arial" w:hAnsi="Arial"/>
                <w:sz w:val="16"/>
                <w:szCs w:val="16"/>
                <w:color w:val="auto"/>
              </w:rPr>
              <w:t>(11,224)</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6"/>
                <w:szCs w:val="16"/>
                <w:color w:val="auto"/>
              </w:rPr>
              <w:t>(11,224)</w:t>
            </w:r>
          </w:p>
        </w:tc>
        <w:tc>
          <w:tcPr>
            <w:tcW w:w="120" w:type="dxa"/>
            <w:vAlign w:val="bottom"/>
          </w:tcPr>
          <w:p>
            <w:pPr>
              <w:spacing w:after="0"/>
              <w:rPr>
                <w:sz w:val="17"/>
                <w:szCs w:val="17"/>
                <w:color w:val="auto"/>
              </w:rPr>
            </w:pPr>
          </w:p>
        </w:tc>
        <w:tc>
          <w:tcPr>
            <w:tcW w:w="1480" w:type="dxa"/>
            <w:vAlign w:val="bottom"/>
            <w:gridSpan w:val="4"/>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gridSpan w:val="5"/>
            <w:shd w:val="clear" w:color="auto" w:fill="E5FFFF"/>
          </w:tcPr>
          <w:p>
            <w:pPr>
              <w:spacing w:after="0"/>
              <w:rPr>
                <w:sz w:val="20"/>
                <w:szCs w:val="20"/>
                <w:color w:val="auto"/>
              </w:rPr>
            </w:pPr>
            <w:r>
              <w:rPr>
                <w:rFonts w:ascii="Arial" w:cs="Arial" w:eastAsia="Arial" w:hAnsi="Arial"/>
                <w:sz w:val="16"/>
                <w:szCs w:val="16"/>
                <w:color w:val="auto"/>
              </w:rPr>
              <w:t>Transfer from vessels under construction</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406,578</w:t>
            </w:r>
          </w:p>
        </w:tc>
        <w:tc>
          <w:tcPr>
            <w:tcW w:w="300" w:type="dxa"/>
            <w:vAlign w:val="bottom"/>
            <w:shd w:val="clear" w:color="auto" w:fill="E5FFFF"/>
          </w:tcPr>
          <w:p>
            <w:pPr>
              <w:spacing w:after="0"/>
              <w:rPr>
                <w:sz w:val="17"/>
                <w:szCs w:val="17"/>
                <w:color w:val="auto"/>
              </w:rPr>
            </w:pP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406,578</w:t>
            </w:r>
          </w:p>
        </w:tc>
        <w:tc>
          <w:tcPr>
            <w:tcW w:w="160" w:type="dxa"/>
            <w:vAlign w:val="bottom"/>
            <w:shd w:val="clear" w:color="auto" w:fill="E5FFFF"/>
          </w:tcPr>
          <w:p>
            <w:pPr>
              <w:spacing w:after="0"/>
              <w:rPr>
                <w:sz w:val="17"/>
                <w:szCs w:val="17"/>
                <w:color w:val="auto"/>
              </w:rPr>
            </w:pPr>
          </w:p>
        </w:tc>
        <w:tc>
          <w:tcPr>
            <w:tcW w:w="1600" w:type="dxa"/>
            <w:vAlign w:val="bottom"/>
            <w:gridSpan w:val="5"/>
            <w:shd w:val="clear" w:color="auto" w:fill="E5FFFF"/>
          </w:tcPr>
          <w:p>
            <w:pPr>
              <w:jc w:val="right"/>
              <w:ind w:right="60"/>
              <w:spacing w:after="0"/>
              <w:rPr>
                <w:sz w:val="20"/>
                <w:szCs w:val="20"/>
                <w:color w:val="auto"/>
              </w:rPr>
            </w:pPr>
            <w:r>
              <w:rPr>
                <w:rFonts w:ascii="Arial" w:cs="Arial" w:eastAsia="Arial" w:hAnsi="Arial"/>
                <w:sz w:val="16"/>
                <w:szCs w:val="16"/>
                <w:color w:val="auto"/>
              </w:rPr>
              <w:t>(406,578)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gridSpan w:val="5"/>
          </w:tcPr>
          <w:p>
            <w:pPr>
              <w:spacing w:after="0"/>
              <w:rPr>
                <w:sz w:val="20"/>
                <w:szCs w:val="20"/>
                <w:color w:val="auto"/>
              </w:rPr>
            </w:pPr>
            <w:r>
              <w:rPr>
                <w:rFonts w:ascii="Arial" w:cs="Arial" w:eastAsia="Arial" w:hAnsi="Arial"/>
                <w:sz w:val="16"/>
                <w:szCs w:val="16"/>
                <w:color w:val="auto"/>
              </w:rPr>
              <w:t>Fully amortized fixed assets</w:t>
            </w:r>
          </w:p>
        </w:tc>
        <w:tc>
          <w:tcPr>
            <w:tcW w:w="1660" w:type="dxa"/>
            <w:vAlign w:val="bottom"/>
            <w:gridSpan w:val="2"/>
          </w:tcPr>
          <w:p>
            <w:pPr>
              <w:jc w:val="right"/>
              <w:ind w:right="240"/>
              <w:spacing w:after="0"/>
              <w:rPr>
                <w:sz w:val="20"/>
                <w:szCs w:val="20"/>
                <w:color w:val="auto"/>
              </w:rPr>
            </w:pPr>
            <w:r>
              <w:rPr>
                <w:rFonts w:ascii="Arial" w:cs="Arial" w:eastAsia="Arial" w:hAnsi="Arial"/>
                <w:sz w:val="16"/>
                <w:szCs w:val="16"/>
                <w:color w:val="auto"/>
              </w:rPr>
              <w:t>(2,500)</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6"/>
                <w:szCs w:val="16"/>
                <w:color w:val="auto"/>
              </w:rPr>
              <w:t>(2,500)</w:t>
            </w:r>
          </w:p>
        </w:tc>
        <w:tc>
          <w:tcPr>
            <w:tcW w:w="120" w:type="dxa"/>
            <w:vAlign w:val="bottom"/>
          </w:tcPr>
          <w:p>
            <w:pPr>
              <w:spacing w:after="0"/>
              <w:rPr>
                <w:sz w:val="17"/>
                <w:szCs w:val="17"/>
                <w:color w:val="auto"/>
              </w:rPr>
            </w:pPr>
          </w:p>
        </w:tc>
        <w:tc>
          <w:tcPr>
            <w:tcW w:w="1480" w:type="dxa"/>
            <w:vAlign w:val="bottom"/>
            <w:gridSpan w:val="4"/>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tcBorders>
              <w:top w:val="single" w:sz="8" w:color="E5FFFF"/>
            </w:tcBorders>
            <w:gridSpan w:val="5"/>
            <w:shd w:val="clear" w:color="auto" w:fill="E5FFFF"/>
          </w:tcPr>
          <w:p>
            <w:pPr>
              <w:spacing w:after="0"/>
              <w:rPr>
                <w:sz w:val="20"/>
                <w:szCs w:val="20"/>
                <w:color w:val="auto"/>
              </w:rPr>
            </w:pPr>
            <w:r>
              <w:rPr>
                <w:rFonts w:ascii="Arial" w:cs="Arial" w:eastAsia="Arial" w:hAnsi="Arial"/>
                <w:sz w:val="16"/>
                <w:szCs w:val="16"/>
                <w:b w:val="1"/>
                <w:bCs w:val="1"/>
                <w:color w:val="auto"/>
              </w:rPr>
              <w:t>As of September 30, 2019</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5,303,525</w:t>
            </w:r>
          </w:p>
        </w:tc>
        <w:tc>
          <w:tcPr>
            <w:tcW w:w="30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25,065</w:t>
            </w:r>
          </w:p>
        </w:tc>
        <w:tc>
          <w:tcPr>
            <w:tcW w:w="28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5,328,590</w:t>
            </w:r>
          </w:p>
        </w:tc>
        <w:tc>
          <w:tcPr>
            <w:tcW w:w="16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Arial" w:cs="Arial" w:eastAsia="Arial" w:hAnsi="Arial"/>
                <w:sz w:val="16"/>
                <w:szCs w:val="16"/>
                <w:b w:val="1"/>
                <w:bCs w:val="1"/>
                <w:color w:val="auto"/>
              </w:rPr>
              <w:t>182,594</w:t>
            </w:r>
          </w:p>
        </w:tc>
        <w:tc>
          <w:tcPr>
            <w:tcW w:w="10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4980" w:type="dxa"/>
            <w:vAlign w:val="bottom"/>
            <w:gridSpan w:val="5"/>
            <w:shd w:val="clear" w:color="auto" w:fill="E5FFFF"/>
          </w:tcPr>
          <w:p>
            <w:pPr>
              <w:spacing w:after="0" w:line="162" w:lineRule="exact"/>
              <w:rPr>
                <w:sz w:val="20"/>
                <w:szCs w:val="20"/>
                <w:color w:val="auto"/>
              </w:rPr>
            </w:pPr>
            <w:r>
              <w:rPr>
                <w:rFonts w:ascii="Arial" w:cs="Arial" w:eastAsia="Arial" w:hAnsi="Arial"/>
                <w:sz w:val="16"/>
                <w:szCs w:val="16"/>
                <w:b w:val="1"/>
                <w:bCs w:val="1"/>
                <w:color w:val="auto"/>
              </w:rPr>
              <w:t>Accumulated depreciation</w:t>
            </w:r>
          </w:p>
        </w:tc>
        <w:tc>
          <w:tcPr>
            <w:tcW w:w="1360" w:type="dxa"/>
            <w:vAlign w:val="bottom"/>
            <w:shd w:val="clear" w:color="auto" w:fill="E5FFFF"/>
          </w:tcPr>
          <w:p>
            <w:pPr>
              <w:spacing w:after="0"/>
              <w:rPr>
                <w:sz w:val="15"/>
                <w:szCs w:val="15"/>
                <w:color w:val="auto"/>
              </w:rPr>
            </w:pPr>
          </w:p>
        </w:tc>
        <w:tc>
          <w:tcPr>
            <w:tcW w:w="300" w:type="dxa"/>
            <w:vAlign w:val="bottom"/>
            <w:shd w:val="clear" w:color="auto" w:fill="E5FFFF"/>
          </w:tcPr>
          <w:p>
            <w:pPr>
              <w:spacing w:after="0"/>
              <w:rPr>
                <w:sz w:val="15"/>
                <w:szCs w:val="15"/>
                <w:color w:val="auto"/>
              </w:rPr>
            </w:pPr>
          </w:p>
        </w:tc>
        <w:tc>
          <w:tcPr>
            <w:tcW w:w="1360" w:type="dxa"/>
            <w:vAlign w:val="bottom"/>
            <w:shd w:val="clear" w:color="auto" w:fill="E5FFFF"/>
          </w:tcPr>
          <w:p>
            <w:pPr>
              <w:spacing w:after="0"/>
              <w:rPr>
                <w:sz w:val="15"/>
                <w:szCs w:val="15"/>
                <w:color w:val="auto"/>
              </w:rPr>
            </w:pPr>
          </w:p>
        </w:tc>
        <w:tc>
          <w:tcPr>
            <w:tcW w:w="280" w:type="dxa"/>
            <w:vAlign w:val="bottom"/>
            <w:shd w:val="clear" w:color="auto" w:fill="E5FFFF"/>
          </w:tcPr>
          <w:p>
            <w:pPr>
              <w:spacing w:after="0"/>
              <w:rPr>
                <w:sz w:val="15"/>
                <w:szCs w:val="15"/>
                <w:color w:val="auto"/>
              </w:rPr>
            </w:pPr>
          </w:p>
        </w:tc>
        <w:tc>
          <w:tcPr>
            <w:tcW w:w="1360" w:type="dxa"/>
            <w:vAlign w:val="bottom"/>
            <w:shd w:val="clear" w:color="auto" w:fill="E5FFFF"/>
          </w:tcPr>
          <w:p>
            <w:pPr>
              <w:spacing w:after="0"/>
              <w:rPr>
                <w:sz w:val="15"/>
                <w:szCs w:val="15"/>
                <w:color w:val="auto"/>
              </w:rPr>
            </w:pPr>
          </w:p>
        </w:tc>
        <w:tc>
          <w:tcPr>
            <w:tcW w:w="160" w:type="dxa"/>
            <w:vAlign w:val="bottom"/>
            <w:shd w:val="clear" w:color="auto" w:fill="E5FFFF"/>
          </w:tcPr>
          <w:p>
            <w:pPr>
              <w:spacing w:after="0"/>
              <w:rPr>
                <w:sz w:val="15"/>
                <w:szCs w:val="15"/>
                <w:color w:val="auto"/>
              </w:rPr>
            </w:pPr>
          </w:p>
        </w:tc>
        <w:tc>
          <w:tcPr>
            <w:tcW w:w="120" w:type="dxa"/>
            <w:vAlign w:val="bottom"/>
            <w:shd w:val="clear" w:color="auto" w:fill="E5FFFF"/>
          </w:tcPr>
          <w:p>
            <w:pPr>
              <w:spacing w:after="0"/>
              <w:rPr>
                <w:sz w:val="15"/>
                <w:szCs w:val="15"/>
                <w:color w:val="auto"/>
              </w:rPr>
            </w:pPr>
          </w:p>
        </w:tc>
        <w:tc>
          <w:tcPr>
            <w:tcW w:w="124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4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0" w:type="dxa"/>
            <w:vAlign w:val="bottom"/>
            <w:tcBorders>
              <w:top w:val="single" w:sz="8" w:color="auto"/>
            </w:tcBorders>
            <w:gridSpan w:val="4"/>
          </w:tcPr>
          <w:p>
            <w:pPr>
              <w:spacing w:after="0"/>
              <w:rPr>
                <w:sz w:val="20"/>
                <w:szCs w:val="20"/>
                <w:color w:val="auto"/>
              </w:rPr>
            </w:pPr>
            <w:r>
              <w:rPr>
                <w:rFonts w:ascii="Arial" w:cs="Arial" w:eastAsia="Arial" w:hAnsi="Arial"/>
                <w:sz w:val="16"/>
                <w:szCs w:val="16"/>
                <w:color w:val="auto"/>
              </w:rPr>
              <w:t>As of January 1, 2019</w:t>
            </w:r>
          </w:p>
        </w:tc>
        <w:tc>
          <w:tcPr>
            <w:tcW w:w="3180" w:type="dxa"/>
            <w:vAlign w:val="bottom"/>
            <w:tcBorders>
              <w:top w:val="single" w:sz="8" w:color="E5FFFF"/>
            </w:tcBorders>
          </w:tcPr>
          <w:p>
            <w:pPr>
              <w:spacing w:after="0"/>
              <w:rPr>
                <w:sz w:val="17"/>
                <w:szCs w:val="17"/>
                <w:color w:val="auto"/>
              </w:rPr>
            </w:pPr>
          </w:p>
        </w:tc>
        <w:tc>
          <w:tcPr>
            <w:tcW w:w="1360" w:type="dxa"/>
            <w:vAlign w:val="bottom"/>
            <w:tcBorders>
              <w:top w:val="single" w:sz="8" w:color="E5FFFF"/>
            </w:tcBorders>
          </w:tcPr>
          <w:p>
            <w:pPr>
              <w:jc w:val="right"/>
              <w:spacing w:after="0"/>
              <w:rPr>
                <w:sz w:val="20"/>
                <w:szCs w:val="20"/>
                <w:color w:val="auto"/>
              </w:rPr>
            </w:pPr>
            <w:r>
              <w:rPr>
                <w:rFonts w:ascii="Arial" w:cs="Arial" w:eastAsia="Arial" w:hAnsi="Arial"/>
                <w:sz w:val="16"/>
                <w:szCs w:val="16"/>
                <w:color w:val="auto"/>
              </w:rPr>
              <w:t>595,426</w:t>
            </w:r>
          </w:p>
        </w:tc>
        <w:tc>
          <w:tcPr>
            <w:tcW w:w="300" w:type="dxa"/>
            <w:vAlign w:val="bottom"/>
            <w:tcBorders>
              <w:top w:val="single" w:sz="8" w:color="E5FFFF"/>
            </w:tcBorders>
          </w:tcPr>
          <w:p>
            <w:pPr>
              <w:spacing w:after="0"/>
              <w:rPr>
                <w:sz w:val="17"/>
                <w:szCs w:val="17"/>
                <w:color w:val="auto"/>
              </w:rPr>
            </w:pPr>
          </w:p>
        </w:tc>
        <w:tc>
          <w:tcPr>
            <w:tcW w:w="1360" w:type="dxa"/>
            <w:vAlign w:val="bottom"/>
            <w:tcBorders>
              <w:top w:val="single" w:sz="8" w:color="E5FFFF"/>
            </w:tcBorders>
          </w:tcPr>
          <w:p>
            <w:pPr>
              <w:jc w:val="right"/>
              <w:spacing w:after="0"/>
              <w:rPr>
                <w:sz w:val="20"/>
                <w:szCs w:val="20"/>
                <w:color w:val="auto"/>
              </w:rPr>
            </w:pPr>
            <w:r>
              <w:rPr>
                <w:rFonts w:ascii="Arial" w:cs="Arial" w:eastAsia="Arial" w:hAnsi="Arial"/>
                <w:sz w:val="16"/>
                <w:szCs w:val="16"/>
                <w:color w:val="auto"/>
              </w:rPr>
              <w:t>4,380</w:t>
            </w:r>
          </w:p>
        </w:tc>
        <w:tc>
          <w:tcPr>
            <w:tcW w:w="280" w:type="dxa"/>
            <w:vAlign w:val="bottom"/>
            <w:tcBorders>
              <w:top w:val="single" w:sz="8" w:color="E5FFFF"/>
            </w:tcBorders>
          </w:tcPr>
          <w:p>
            <w:pPr>
              <w:spacing w:after="0"/>
              <w:rPr>
                <w:sz w:val="17"/>
                <w:szCs w:val="17"/>
                <w:color w:val="auto"/>
              </w:rPr>
            </w:pPr>
          </w:p>
        </w:tc>
        <w:tc>
          <w:tcPr>
            <w:tcW w:w="1360" w:type="dxa"/>
            <w:vAlign w:val="bottom"/>
            <w:tcBorders>
              <w:top w:val="single" w:sz="8" w:color="E5FFFF"/>
            </w:tcBorders>
          </w:tcPr>
          <w:p>
            <w:pPr>
              <w:jc w:val="right"/>
              <w:spacing w:after="0"/>
              <w:rPr>
                <w:sz w:val="20"/>
                <w:szCs w:val="20"/>
                <w:color w:val="auto"/>
              </w:rPr>
            </w:pPr>
            <w:r>
              <w:rPr>
                <w:rFonts w:ascii="Arial" w:cs="Arial" w:eastAsia="Arial" w:hAnsi="Arial"/>
                <w:sz w:val="16"/>
                <w:szCs w:val="16"/>
                <w:color w:val="auto"/>
              </w:rPr>
              <w:t>599,806</w:t>
            </w:r>
          </w:p>
        </w:tc>
        <w:tc>
          <w:tcPr>
            <w:tcW w:w="160" w:type="dxa"/>
            <w:vAlign w:val="bottom"/>
            <w:tcBorders>
              <w:top w:val="single" w:sz="8" w:color="E5FFFF"/>
            </w:tcBorders>
          </w:tcPr>
          <w:p>
            <w:pPr>
              <w:spacing w:after="0"/>
              <w:rPr>
                <w:sz w:val="17"/>
                <w:szCs w:val="17"/>
                <w:color w:val="auto"/>
              </w:rPr>
            </w:pPr>
          </w:p>
        </w:tc>
        <w:tc>
          <w:tcPr>
            <w:tcW w:w="120" w:type="dxa"/>
            <w:vAlign w:val="bottom"/>
            <w:tcBorders>
              <w:top w:val="single" w:sz="8" w:color="E5FFFF"/>
            </w:tcBorders>
          </w:tcPr>
          <w:p>
            <w:pPr>
              <w:spacing w:after="0"/>
              <w:rPr>
                <w:sz w:val="17"/>
                <w:szCs w:val="17"/>
                <w:color w:val="auto"/>
              </w:rPr>
            </w:pPr>
          </w:p>
        </w:tc>
        <w:tc>
          <w:tcPr>
            <w:tcW w:w="1480" w:type="dxa"/>
            <w:vAlign w:val="bottom"/>
            <w:tcBorders>
              <w:top w:val="single" w:sz="8" w:color="E5FFFF"/>
            </w:tcBorders>
            <w:gridSpan w:val="4"/>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gridSpan w:val="5"/>
            <w:shd w:val="clear" w:color="auto" w:fill="E5FFFF"/>
          </w:tcPr>
          <w:p>
            <w:pPr>
              <w:spacing w:after="0"/>
              <w:rPr>
                <w:sz w:val="20"/>
                <w:szCs w:val="20"/>
                <w:color w:val="auto"/>
              </w:rPr>
            </w:pPr>
            <w:r>
              <w:rPr>
                <w:rFonts w:ascii="Arial" w:cs="Arial" w:eastAsia="Arial" w:hAnsi="Arial"/>
                <w:sz w:val="16"/>
                <w:szCs w:val="16"/>
                <w:color w:val="auto"/>
              </w:rPr>
              <w:t>Depreciation expense</w:t>
            </w:r>
          </w:p>
        </w:tc>
        <w:tc>
          <w:tcPr>
            <w:tcW w:w="1660" w:type="dxa"/>
            <w:vAlign w:val="bottom"/>
            <w:gridSpan w:val="2"/>
            <w:shd w:val="clear" w:color="auto" w:fill="E5FFFF"/>
          </w:tcPr>
          <w:p>
            <w:pPr>
              <w:jc w:val="right"/>
              <w:ind w:right="300"/>
              <w:spacing w:after="0"/>
              <w:rPr>
                <w:sz w:val="20"/>
                <w:szCs w:val="20"/>
                <w:color w:val="auto"/>
              </w:rPr>
            </w:pPr>
            <w:r>
              <w:rPr>
                <w:rFonts w:ascii="Arial" w:cs="Arial" w:eastAsia="Arial" w:hAnsi="Arial"/>
                <w:sz w:val="16"/>
                <w:szCs w:val="16"/>
                <w:color w:val="auto"/>
              </w:rPr>
              <w:t>115,821</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659</w:t>
            </w:r>
          </w:p>
        </w:tc>
        <w:tc>
          <w:tcPr>
            <w:tcW w:w="280" w:type="dxa"/>
            <w:vAlign w:val="bottom"/>
            <w:shd w:val="clear" w:color="auto" w:fill="E5FFFF"/>
          </w:tcPr>
          <w:p>
            <w:pPr>
              <w:spacing w:after="0"/>
              <w:rPr>
                <w:sz w:val="17"/>
                <w:szCs w:val="17"/>
                <w:color w:val="auto"/>
              </w:rPr>
            </w:pPr>
          </w:p>
        </w:tc>
        <w:tc>
          <w:tcPr>
            <w:tcW w:w="152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116,480</w:t>
            </w:r>
          </w:p>
        </w:tc>
        <w:tc>
          <w:tcPr>
            <w:tcW w:w="120" w:type="dxa"/>
            <w:vAlign w:val="bottom"/>
            <w:shd w:val="clear" w:color="auto" w:fill="E5FFFF"/>
          </w:tcPr>
          <w:p>
            <w:pPr>
              <w:spacing w:after="0"/>
              <w:rPr>
                <w:sz w:val="17"/>
                <w:szCs w:val="17"/>
                <w:color w:val="auto"/>
              </w:rPr>
            </w:pPr>
          </w:p>
        </w:tc>
        <w:tc>
          <w:tcPr>
            <w:tcW w:w="1480" w:type="dxa"/>
            <w:vAlign w:val="bottom"/>
            <w:gridSpan w:val="4"/>
            <w:shd w:val="clear" w:color="auto" w:fill="E5FF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gridSpan w:val="5"/>
          </w:tcPr>
          <w:p>
            <w:pPr>
              <w:spacing w:after="0"/>
              <w:rPr>
                <w:sz w:val="20"/>
                <w:szCs w:val="20"/>
                <w:color w:val="auto"/>
              </w:rPr>
            </w:pPr>
            <w:r>
              <w:rPr>
                <w:rFonts w:ascii="Arial" w:cs="Arial" w:eastAsia="Arial" w:hAnsi="Arial"/>
                <w:sz w:val="16"/>
                <w:szCs w:val="16"/>
                <w:color w:val="auto"/>
              </w:rPr>
              <w:t>Fully amortized fixed assets</w:t>
            </w:r>
          </w:p>
        </w:tc>
        <w:tc>
          <w:tcPr>
            <w:tcW w:w="1660" w:type="dxa"/>
            <w:vAlign w:val="bottom"/>
            <w:gridSpan w:val="2"/>
          </w:tcPr>
          <w:p>
            <w:pPr>
              <w:jc w:val="right"/>
              <w:ind w:right="240"/>
              <w:spacing w:after="0"/>
              <w:rPr>
                <w:sz w:val="20"/>
                <w:szCs w:val="20"/>
                <w:color w:val="auto"/>
              </w:rPr>
            </w:pPr>
            <w:r>
              <w:rPr>
                <w:rFonts w:ascii="Arial" w:cs="Arial" w:eastAsia="Arial" w:hAnsi="Arial"/>
                <w:sz w:val="16"/>
                <w:szCs w:val="16"/>
                <w:color w:val="auto"/>
              </w:rPr>
              <w:t>(2,500)</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6"/>
                <w:szCs w:val="16"/>
                <w:color w:val="auto"/>
              </w:rPr>
              <w:t>(2,500)</w:t>
            </w:r>
          </w:p>
        </w:tc>
        <w:tc>
          <w:tcPr>
            <w:tcW w:w="120" w:type="dxa"/>
            <w:vAlign w:val="bottom"/>
          </w:tcPr>
          <w:p>
            <w:pPr>
              <w:spacing w:after="0"/>
              <w:rPr>
                <w:sz w:val="17"/>
                <w:szCs w:val="17"/>
                <w:color w:val="auto"/>
              </w:rPr>
            </w:pPr>
          </w:p>
        </w:tc>
        <w:tc>
          <w:tcPr>
            <w:tcW w:w="1480" w:type="dxa"/>
            <w:vAlign w:val="bottom"/>
            <w:gridSpan w:val="4"/>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tcBorders>
              <w:top w:val="single" w:sz="8" w:color="E5FFFF"/>
            </w:tcBorders>
            <w:gridSpan w:val="5"/>
            <w:shd w:val="clear" w:color="auto" w:fill="E5FFFF"/>
          </w:tcPr>
          <w:p>
            <w:pPr>
              <w:spacing w:after="0"/>
              <w:rPr>
                <w:sz w:val="20"/>
                <w:szCs w:val="20"/>
                <w:color w:val="auto"/>
              </w:rPr>
            </w:pPr>
            <w:r>
              <w:rPr>
                <w:rFonts w:ascii="Arial" w:cs="Arial" w:eastAsia="Arial" w:hAnsi="Arial"/>
                <w:sz w:val="16"/>
                <w:szCs w:val="16"/>
                <w:b w:val="1"/>
                <w:bCs w:val="1"/>
                <w:color w:val="auto"/>
              </w:rPr>
              <w:t>As of September 30, 2019</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708,747</w:t>
            </w:r>
          </w:p>
        </w:tc>
        <w:tc>
          <w:tcPr>
            <w:tcW w:w="30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5,039</w:t>
            </w:r>
          </w:p>
        </w:tc>
        <w:tc>
          <w:tcPr>
            <w:tcW w:w="28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713,786</w:t>
            </w:r>
          </w:p>
        </w:tc>
        <w:tc>
          <w:tcPr>
            <w:tcW w:w="16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980" w:type="dxa"/>
            <w:vAlign w:val="bottom"/>
            <w:gridSpan w:val="5"/>
            <w:shd w:val="clear" w:color="auto" w:fill="E5FFFF"/>
          </w:tcPr>
          <w:p>
            <w:pPr>
              <w:spacing w:after="0" w:line="162" w:lineRule="exact"/>
              <w:rPr>
                <w:sz w:val="20"/>
                <w:szCs w:val="20"/>
                <w:color w:val="auto"/>
              </w:rPr>
            </w:pPr>
            <w:r>
              <w:rPr>
                <w:rFonts w:ascii="Arial" w:cs="Arial" w:eastAsia="Arial" w:hAnsi="Arial"/>
                <w:sz w:val="16"/>
                <w:szCs w:val="16"/>
                <w:b w:val="1"/>
                <w:bCs w:val="1"/>
                <w:color w:val="auto"/>
              </w:rPr>
              <w:t>Net book value</w:t>
            </w:r>
          </w:p>
        </w:tc>
        <w:tc>
          <w:tcPr>
            <w:tcW w:w="1360" w:type="dxa"/>
            <w:vAlign w:val="bottom"/>
            <w:shd w:val="clear" w:color="auto" w:fill="E5FFFF"/>
          </w:tcPr>
          <w:p>
            <w:pPr>
              <w:spacing w:after="0"/>
              <w:rPr>
                <w:sz w:val="14"/>
                <w:szCs w:val="14"/>
                <w:color w:val="auto"/>
              </w:rPr>
            </w:pPr>
          </w:p>
        </w:tc>
        <w:tc>
          <w:tcPr>
            <w:tcW w:w="300" w:type="dxa"/>
            <w:vAlign w:val="bottom"/>
            <w:shd w:val="clear" w:color="auto" w:fill="E5FFFF"/>
          </w:tcPr>
          <w:p>
            <w:pPr>
              <w:spacing w:after="0"/>
              <w:rPr>
                <w:sz w:val="14"/>
                <w:szCs w:val="14"/>
                <w:color w:val="auto"/>
              </w:rPr>
            </w:pPr>
          </w:p>
        </w:tc>
        <w:tc>
          <w:tcPr>
            <w:tcW w:w="1360" w:type="dxa"/>
            <w:vAlign w:val="bottom"/>
            <w:shd w:val="clear" w:color="auto" w:fill="E5FFFF"/>
          </w:tcPr>
          <w:p>
            <w:pPr>
              <w:spacing w:after="0"/>
              <w:rPr>
                <w:sz w:val="14"/>
                <w:szCs w:val="14"/>
                <w:color w:val="auto"/>
              </w:rPr>
            </w:pPr>
          </w:p>
        </w:tc>
        <w:tc>
          <w:tcPr>
            <w:tcW w:w="280" w:type="dxa"/>
            <w:vAlign w:val="bottom"/>
            <w:shd w:val="clear" w:color="auto" w:fill="E5FFFF"/>
          </w:tcPr>
          <w:p>
            <w:pPr>
              <w:spacing w:after="0"/>
              <w:rPr>
                <w:sz w:val="14"/>
                <w:szCs w:val="14"/>
                <w:color w:val="auto"/>
              </w:rPr>
            </w:pPr>
          </w:p>
        </w:tc>
        <w:tc>
          <w:tcPr>
            <w:tcW w:w="13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124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4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Borders>
              <w:top w:val="single" w:sz="8" w:color="auto"/>
            </w:tcBorders>
            <w:shd w:val="clear" w:color="auto" w:fill="E5FFFF"/>
          </w:tcPr>
          <w:p>
            <w:pPr>
              <w:spacing w:after="0" w:line="20" w:lineRule="exact"/>
              <w:rPr>
                <w:sz w:val="1"/>
                <w:szCs w:val="1"/>
                <w:color w:val="auto"/>
              </w:rPr>
            </w:pPr>
          </w:p>
        </w:tc>
        <w:tc>
          <w:tcPr>
            <w:tcW w:w="20" w:type="dxa"/>
            <w:vAlign w:val="bottom"/>
            <w:tcBorders>
              <w:top w:val="single" w:sz="8" w:color="auto"/>
            </w:tcBorders>
            <w:shd w:val="clear" w:color="auto" w:fill="E5FFFF"/>
          </w:tcPr>
          <w:p>
            <w:pPr>
              <w:spacing w:after="0" w:line="20" w:lineRule="exact"/>
              <w:rPr>
                <w:sz w:val="1"/>
                <w:szCs w:val="1"/>
                <w:color w:val="auto"/>
              </w:rPr>
            </w:pPr>
          </w:p>
        </w:tc>
        <w:tc>
          <w:tcPr>
            <w:tcW w:w="700" w:type="dxa"/>
            <w:vAlign w:val="bottom"/>
            <w:tcBorders>
              <w:top w:val="single" w:sz="8" w:color="auto"/>
            </w:tcBorders>
            <w:shd w:val="clear" w:color="auto" w:fill="E5FFFF"/>
          </w:tcPr>
          <w:p>
            <w:pPr>
              <w:spacing w:after="0" w:line="20" w:lineRule="exact"/>
              <w:rPr>
                <w:sz w:val="1"/>
                <w:szCs w:val="1"/>
                <w:color w:val="auto"/>
              </w:rPr>
            </w:pPr>
          </w:p>
        </w:tc>
        <w:tc>
          <w:tcPr>
            <w:tcW w:w="780" w:type="dxa"/>
            <w:vAlign w:val="bottom"/>
            <w:tcBorders>
              <w:top w:val="single" w:sz="8" w:color="E5FFFF"/>
            </w:tcBorders>
            <w:shd w:val="clear" w:color="auto" w:fill="E5FFFF"/>
          </w:tcPr>
          <w:p>
            <w:pPr>
              <w:spacing w:after="0" w:line="20" w:lineRule="exact"/>
              <w:rPr>
                <w:sz w:val="1"/>
                <w:szCs w:val="1"/>
                <w:color w:val="auto"/>
              </w:rPr>
            </w:pPr>
          </w:p>
        </w:tc>
        <w:tc>
          <w:tcPr>
            <w:tcW w:w="3180" w:type="dxa"/>
            <w:vAlign w:val="bottom"/>
            <w:tcBorders>
              <w:top w:val="single" w:sz="8" w:color="E5FFFF"/>
            </w:tcBorders>
            <w:shd w:val="clear" w:color="auto" w:fill="E5FFFF"/>
          </w:tcPr>
          <w:p>
            <w:pPr>
              <w:spacing w:after="0" w:line="20" w:lineRule="exact"/>
              <w:rPr>
                <w:sz w:val="1"/>
                <w:szCs w:val="1"/>
                <w:color w:val="auto"/>
              </w:rPr>
            </w:pPr>
          </w:p>
        </w:tc>
        <w:tc>
          <w:tcPr>
            <w:tcW w:w="1360" w:type="dxa"/>
            <w:vAlign w:val="bottom"/>
            <w:tcBorders>
              <w:top w:val="single" w:sz="8" w:color="E5FFFF"/>
            </w:tcBorders>
            <w:shd w:val="clear" w:color="auto" w:fill="E5FFFF"/>
          </w:tcPr>
          <w:p>
            <w:pPr>
              <w:spacing w:after="0" w:line="20" w:lineRule="exact"/>
              <w:rPr>
                <w:sz w:val="1"/>
                <w:szCs w:val="1"/>
                <w:color w:val="auto"/>
              </w:rPr>
            </w:pPr>
          </w:p>
        </w:tc>
        <w:tc>
          <w:tcPr>
            <w:tcW w:w="300" w:type="dxa"/>
            <w:vAlign w:val="bottom"/>
            <w:tcBorders>
              <w:top w:val="single" w:sz="8" w:color="E5FFFF"/>
            </w:tcBorders>
            <w:shd w:val="clear" w:color="auto" w:fill="E5FFFF"/>
          </w:tcPr>
          <w:p>
            <w:pPr>
              <w:spacing w:after="0" w:line="20" w:lineRule="exact"/>
              <w:rPr>
                <w:sz w:val="1"/>
                <w:szCs w:val="1"/>
                <w:color w:val="auto"/>
              </w:rPr>
            </w:pPr>
          </w:p>
        </w:tc>
        <w:tc>
          <w:tcPr>
            <w:tcW w:w="1360" w:type="dxa"/>
            <w:vAlign w:val="bottom"/>
            <w:tcBorders>
              <w:top w:val="single" w:sz="8" w:color="E5FFFF"/>
            </w:tcBorders>
            <w:shd w:val="clear" w:color="auto" w:fill="E5FFFF"/>
          </w:tcPr>
          <w:p>
            <w:pPr>
              <w:spacing w:after="0" w:line="20" w:lineRule="exact"/>
              <w:rPr>
                <w:sz w:val="1"/>
                <w:szCs w:val="1"/>
                <w:color w:val="auto"/>
              </w:rPr>
            </w:pPr>
          </w:p>
        </w:tc>
        <w:tc>
          <w:tcPr>
            <w:tcW w:w="280" w:type="dxa"/>
            <w:vAlign w:val="bottom"/>
            <w:tcBorders>
              <w:top w:val="single" w:sz="8" w:color="E5FFFF"/>
            </w:tcBorders>
            <w:shd w:val="clear" w:color="auto" w:fill="E5FFFF"/>
          </w:tcPr>
          <w:p>
            <w:pPr>
              <w:spacing w:after="0" w:line="20" w:lineRule="exact"/>
              <w:rPr>
                <w:sz w:val="1"/>
                <w:szCs w:val="1"/>
                <w:color w:val="auto"/>
              </w:rPr>
            </w:pPr>
          </w:p>
        </w:tc>
        <w:tc>
          <w:tcPr>
            <w:tcW w:w="1360" w:type="dxa"/>
            <w:vAlign w:val="bottom"/>
            <w:tcBorders>
              <w:top w:val="single" w:sz="8" w:color="E5FFFF"/>
            </w:tcBorders>
            <w:shd w:val="clear" w:color="auto" w:fill="E5FFFF"/>
          </w:tcPr>
          <w:p>
            <w:pPr>
              <w:spacing w:after="0" w:line="20" w:lineRule="exact"/>
              <w:rPr>
                <w:sz w:val="1"/>
                <w:szCs w:val="1"/>
                <w:color w:val="auto"/>
              </w:rPr>
            </w:pPr>
          </w:p>
        </w:tc>
        <w:tc>
          <w:tcPr>
            <w:tcW w:w="160" w:type="dxa"/>
            <w:vAlign w:val="bottom"/>
            <w:tcBorders>
              <w:top w:val="single" w:sz="8" w:color="E5FFFF"/>
            </w:tcBorders>
            <w:shd w:val="clear" w:color="auto" w:fill="E5FFFF"/>
          </w:tcPr>
          <w:p>
            <w:pPr>
              <w:spacing w:after="0" w:line="20" w:lineRule="exact"/>
              <w:rPr>
                <w:sz w:val="1"/>
                <w:szCs w:val="1"/>
                <w:color w:val="auto"/>
              </w:rPr>
            </w:pPr>
          </w:p>
        </w:tc>
        <w:tc>
          <w:tcPr>
            <w:tcW w:w="120" w:type="dxa"/>
            <w:vAlign w:val="bottom"/>
            <w:tcBorders>
              <w:top w:val="single" w:sz="8" w:color="E5FFFF"/>
            </w:tcBorders>
            <w:shd w:val="clear" w:color="auto" w:fill="E5FFFF"/>
          </w:tcPr>
          <w:p>
            <w:pPr>
              <w:spacing w:after="0" w:line="20" w:lineRule="exact"/>
              <w:rPr>
                <w:sz w:val="1"/>
                <w:szCs w:val="1"/>
                <w:color w:val="auto"/>
              </w:rPr>
            </w:pPr>
          </w:p>
        </w:tc>
        <w:tc>
          <w:tcPr>
            <w:tcW w:w="1240" w:type="dxa"/>
            <w:vAlign w:val="bottom"/>
            <w:tcBorders>
              <w:top w:val="single" w:sz="8" w:color="E5FFFF"/>
            </w:tcBorders>
            <w:shd w:val="clear" w:color="auto" w:fill="E5FFFF"/>
          </w:tcPr>
          <w:p>
            <w:pPr>
              <w:spacing w:after="0" w:line="20" w:lineRule="exact"/>
              <w:rPr>
                <w:sz w:val="1"/>
                <w:szCs w:val="1"/>
                <w:color w:val="auto"/>
              </w:rPr>
            </w:pPr>
          </w:p>
        </w:tc>
        <w:tc>
          <w:tcPr>
            <w:tcW w:w="100" w:type="dxa"/>
            <w:vAlign w:val="bottom"/>
            <w:tcBorders>
              <w:top w:val="single" w:sz="8" w:color="E5FFFF"/>
            </w:tcBorders>
            <w:shd w:val="clear" w:color="auto" w:fill="E5FFFF"/>
          </w:tcPr>
          <w:p>
            <w:pPr>
              <w:spacing w:after="0" w:line="20" w:lineRule="exact"/>
              <w:rPr>
                <w:sz w:val="1"/>
                <w:szCs w:val="1"/>
                <w:color w:val="auto"/>
              </w:rPr>
            </w:pPr>
          </w:p>
        </w:tc>
        <w:tc>
          <w:tcPr>
            <w:tcW w:w="40" w:type="dxa"/>
            <w:vAlign w:val="bottom"/>
            <w:tcBorders>
              <w:top w:val="single" w:sz="8" w:color="E5FFFF"/>
            </w:tcBorders>
            <w:shd w:val="clear" w:color="auto" w:fill="E5FFFF"/>
          </w:tcPr>
          <w:p>
            <w:pPr>
              <w:spacing w:after="0" w:line="20" w:lineRule="exact"/>
              <w:rPr>
                <w:sz w:val="1"/>
                <w:szCs w:val="1"/>
                <w:color w:val="auto"/>
              </w:rPr>
            </w:pPr>
          </w:p>
        </w:tc>
        <w:tc>
          <w:tcPr>
            <w:tcW w:w="100" w:type="dxa"/>
            <w:vAlign w:val="bottom"/>
            <w:tcBorders>
              <w:top w:val="single" w:sz="8" w:color="E5FFFF"/>
            </w:tcBorders>
            <w:shd w:val="clear" w:color="auto" w:fill="E5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80" w:type="dxa"/>
            <w:vAlign w:val="bottom"/>
            <w:gridSpan w:val="5"/>
          </w:tcPr>
          <w:p>
            <w:pPr>
              <w:spacing w:after="0"/>
              <w:rPr>
                <w:sz w:val="20"/>
                <w:szCs w:val="20"/>
                <w:color w:val="auto"/>
              </w:rPr>
            </w:pPr>
            <w:r>
              <w:rPr>
                <w:rFonts w:ascii="Arial" w:cs="Arial" w:eastAsia="Arial" w:hAnsi="Arial"/>
                <w:sz w:val="16"/>
                <w:szCs w:val="16"/>
                <w:b w:val="1"/>
                <w:bCs w:val="1"/>
                <w:color w:val="auto"/>
              </w:rPr>
              <w:t>As of December 31, 2018</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4,304,252</w:t>
            </w:r>
          </w:p>
        </w:tc>
        <w:tc>
          <w:tcPr>
            <w:tcW w:w="3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19,330</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4,323,582</w:t>
            </w:r>
          </w:p>
        </w:tc>
        <w:tc>
          <w:tcPr>
            <w:tcW w:w="160" w:type="dxa"/>
            <w:vAlign w:val="bottom"/>
          </w:tcPr>
          <w:p>
            <w:pPr>
              <w:spacing w:after="0"/>
              <w:rPr>
                <w:sz w:val="17"/>
                <w:szCs w:val="17"/>
                <w:color w:val="auto"/>
              </w:rPr>
            </w:pPr>
          </w:p>
        </w:tc>
        <w:tc>
          <w:tcPr>
            <w:tcW w:w="1600" w:type="dxa"/>
            <w:vAlign w:val="bottom"/>
            <w:gridSpan w:val="5"/>
          </w:tcPr>
          <w:p>
            <w:pPr>
              <w:jc w:val="right"/>
              <w:ind w:right="100"/>
              <w:spacing w:after="0"/>
              <w:rPr>
                <w:sz w:val="20"/>
                <w:szCs w:val="20"/>
                <w:color w:val="auto"/>
              </w:rPr>
            </w:pPr>
            <w:r>
              <w:rPr>
                <w:rFonts w:ascii="Arial" w:cs="Arial" w:eastAsia="Arial" w:hAnsi="Arial"/>
                <w:sz w:val="16"/>
                <w:szCs w:val="16"/>
                <w:b w:val="1"/>
                <w:bCs w:val="1"/>
                <w:color w:val="auto"/>
              </w:rPr>
              <w:t>159,275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tcBorders>
              <w:top w:val="single" w:sz="8" w:color="E5FFFF"/>
              <w:bottom w:val="single" w:sz="8" w:color="E5FFFF"/>
            </w:tcBorders>
            <w:gridSpan w:val="5"/>
            <w:shd w:val="clear" w:color="auto" w:fill="E5FFFF"/>
          </w:tcPr>
          <w:p>
            <w:pPr>
              <w:spacing w:after="0"/>
              <w:rPr>
                <w:sz w:val="20"/>
                <w:szCs w:val="20"/>
                <w:color w:val="auto"/>
              </w:rPr>
            </w:pPr>
            <w:r>
              <w:rPr>
                <w:rFonts w:ascii="Arial" w:cs="Arial" w:eastAsia="Arial" w:hAnsi="Arial"/>
                <w:sz w:val="16"/>
                <w:szCs w:val="16"/>
                <w:b w:val="1"/>
                <w:bCs w:val="1"/>
                <w:color w:val="auto"/>
              </w:rPr>
              <w:t>As of September 30, 2019</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4,594,778</w:t>
            </w:r>
          </w:p>
        </w:tc>
        <w:tc>
          <w:tcPr>
            <w:tcW w:w="300" w:type="dxa"/>
            <w:vAlign w:val="bottom"/>
            <w:tcBorders>
              <w:top w:val="single" w:sz="8" w:color="E5FFFF"/>
              <w:bottom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20,026</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4,614,804</w:t>
            </w:r>
          </w:p>
        </w:tc>
        <w:tc>
          <w:tcPr>
            <w:tcW w:w="160" w:type="dxa"/>
            <w:vAlign w:val="bottom"/>
            <w:tcBorders>
              <w:top w:val="single" w:sz="8" w:color="E5FFFF"/>
              <w:bottom w:val="single" w:sz="8" w:color="E5FFFF"/>
            </w:tcBorders>
            <w:shd w:val="clear" w:color="auto" w:fill="E5FFFF"/>
          </w:tcPr>
          <w:p>
            <w:pPr>
              <w:spacing w:after="0"/>
              <w:rPr>
                <w:sz w:val="17"/>
                <w:szCs w:val="17"/>
                <w:color w:val="auto"/>
              </w:rPr>
            </w:pPr>
          </w:p>
        </w:tc>
        <w:tc>
          <w:tcPr>
            <w:tcW w:w="120" w:type="dxa"/>
            <w:vAlign w:val="bottom"/>
            <w:tcBorders>
              <w:top w:val="single" w:sz="8" w:color="E5FFFF"/>
              <w:bottom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Arial" w:cs="Arial" w:eastAsia="Arial" w:hAnsi="Arial"/>
                <w:sz w:val="16"/>
                <w:szCs w:val="16"/>
                <w:b w:val="1"/>
                <w:bCs w:val="1"/>
                <w:color w:val="auto"/>
              </w:rPr>
              <w:t>182,594</w:t>
            </w: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right="40" w:firstLine="436"/>
        <w:spacing w:after="0" w:line="293" w:lineRule="auto"/>
        <w:rPr>
          <w:sz w:val="20"/>
          <w:szCs w:val="20"/>
          <w:color w:val="auto"/>
        </w:rPr>
      </w:pPr>
      <w:r>
        <w:rPr>
          <w:rFonts w:ascii="Arial" w:cs="Arial" w:eastAsia="Arial" w:hAnsi="Arial"/>
          <w:sz w:val="16"/>
          <w:szCs w:val="16"/>
          <w:color w:val="auto"/>
        </w:rPr>
        <w:t>Vessels with an aggregate carrying amount of $4,594,778 as of September 30, 2019 (December 31, 2018: $4,304,252) have been pledged as collateral under the terms of the Group’s loan agreements.</w:t>
      </w:r>
    </w:p>
    <w:p>
      <w:pPr>
        <w:spacing w:after="0" w:line="172" w:lineRule="exact"/>
        <w:rPr>
          <w:sz w:val="20"/>
          <w:szCs w:val="20"/>
          <w:color w:val="auto"/>
        </w:rPr>
      </w:pPr>
    </w:p>
    <w:p>
      <w:pPr>
        <w:ind w:right="80" w:firstLine="436"/>
        <w:spacing w:after="0" w:line="324" w:lineRule="auto"/>
        <w:rPr>
          <w:sz w:val="20"/>
          <w:szCs w:val="20"/>
          <w:color w:val="auto"/>
        </w:rPr>
      </w:pPr>
      <w:r>
        <w:rPr>
          <w:rFonts w:ascii="Arial" w:cs="Arial" w:eastAsia="Arial" w:hAnsi="Arial"/>
          <w:sz w:val="14"/>
          <w:szCs w:val="14"/>
          <w:color w:val="auto"/>
        </w:rPr>
        <w:t>In April and May 2017, GasLog LNG Services Ltd. entered into agreements in relation to investments in certain of the Partnership’s and GasLog’s vessels, with the aim of enhancing their operational performance. On March 7, 2019, GasLog LNG Services Ltd. and one of the suppliers signed an interim agreement regarding the reimbursement of amounts already paid by the Group in respect of the aforementioned enhancements which were not timely delivered or in the correct contractual condition. In accordance with the terms of the interim agreement, $10,451 has been reimbursed to the Group with realized foreign exchange losses of $773 recorded in profit or loss.</w:t>
      </w:r>
    </w:p>
    <w:p>
      <w:pPr>
        <w:spacing w:after="0" w:line="157" w:lineRule="exact"/>
        <w:rPr>
          <w:sz w:val="20"/>
          <w:szCs w:val="20"/>
          <w:color w:val="auto"/>
        </w:rPr>
      </w:pPr>
    </w:p>
    <w:p>
      <w:pPr>
        <w:ind w:right="100" w:firstLine="436"/>
        <w:spacing w:after="0" w:line="293" w:lineRule="auto"/>
        <w:rPr>
          <w:sz w:val="20"/>
          <w:szCs w:val="20"/>
          <w:color w:val="auto"/>
        </w:rPr>
      </w:pPr>
      <w:r>
        <w:rPr>
          <w:rFonts w:ascii="Arial" w:cs="Arial" w:eastAsia="Arial" w:hAnsi="Arial"/>
          <w:sz w:val="16"/>
          <w:szCs w:val="16"/>
          <w:color w:val="auto"/>
        </w:rPr>
        <w:t xml:space="preserve">In May 2014, GAS-twenty three Ltd. entered into a shipbuilding contract with Samsung Heavy Industries Co. Ltd. (“Samsung”) for the construction of a 174,000 cubic meter LNG carrier. The vessel, the </w:t>
      </w:r>
      <w:r>
        <w:rPr>
          <w:rFonts w:ascii="Arial" w:cs="Arial" w:eastAsia="Arial" w:hAnsi="Arial"/>
          <w:sz w:val="16"/>
          <w:szCs w:val="16"/>
          <w:i w:val="1"/>
          <w:iCs w:val="1"/>
          <w:color w:val="auto"/>
        </w:rPr>
        <w:t>GasLog Gladstone</w:t>
      </w:r>
      <w:r>
        <w:rPr>
          <w:rFonts w:ascii="Arial" w:cs="Arial" w:eastAsia="Arial" w:hAnsi="Arial"/>
          <w:sz w:val="16"/>
          <w:szCs w:val="16"/>
          <w:color w:val="auto"/>
        </w:rPr>
        <w:t>, was delivered on March 15, 2019.</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September 2016, GasLog Carriers entered into a shipbuilding contract with Samsung for the construction of a 180,000 cubic meter LNG</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5" w:name="page36"/>
    <w:bookmarkEnd w:id="35"/>
    <w:p>
      <w:pPr>
        <w:spacing w:after="0"/>
        <w:rPr>
          <w:sz w:val="20"/>
          <w:szCs w:val="20"/>
          <w:color w:val="auto"/>
        </w:rPr>
      </w:pPr>
      <w:r>
        <w:rPr>
          <w:rFonts w:ascii="Arial" w:cs="Arial" w:eastAsia="Arial" w:hAnsi="Arial"/>
          <w:sz w:val="16"/>
          <w:szCs w:val="16"/>
          <w:color w:val="auto"/>
        </w:rPr>
        <w:t xml:space="preserve">carrier. The vessel, the </w:t>
      </w:r>
      <w:r>
        <w:rPr>
          <w:rFonts w:ascii="Arial" w:cs="Arial" w:eastAsia="Arial" w:hAnsi="Arial"/>
          <w:sz w:val="16"/>
          <w:szCs w:val="16"/>
          <w:i w:val="1"/>
          <w:iCs w:val="1"/>
          <w:color w:val="auto"/>
        </w:rPr>
        <w:t>GasLog Warsaw</w:t>
      </w:r>
      <w:r>
        <w:rPr>
          <w:rFonts w:ascii="Arial" w:cs="Arial" w:eastAsia="Arial" w:hAnsi="Arial"/>
          <w:sz w:val="16"/>
          <w:szCs w:val="16"/>
          <w:color w:val="auto"/>
        </w:rPr>
        <w:t>, was delivered on July 31, 2019.</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Vessels under construction</w:t>
      </w:r>
    </w:p>
    <w:p>
      <w:pPr>
        <w:spacing w:after="0" w:line="23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 of September 30, 2019, GasLog has the following newbuildings on order at Samsung: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Date of</w:t>
            </w:r>
          </w:p>
        </w:tc>
        <w:tc>
          <w:tcPr>
            <w:tcW w:w="16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Estimated</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Cargo Capacity</w:t>
            </w:r>
          </w:p>
        </w:tc>
      </w:tr>
      <w:tr>
        <w:trPr>
          <w:trHeight w:val="213"/>
        </w:trPr>
        <w:tc>
          <w:tcPr>
            <w:tcW w:w="2800" w:type="dxa"/>
            <w:vAlign w:val="bottom"/>
            <w:gridSpan w:val="2"/>
          </w:tcPr>
          <w:p>
            <w:pPr>
              <w:spacing w:after="0"/>
              <w:rPr>
                <w:sz w:val="20"/>
                <w:szCs w:val="20"/>
                <w:color w:val="auto"/>
              </w:rPr>
            </w:pPr>
            <w:r>
              <w:rPr>
                <w:rFonts w:ascii="Arial" w:cs="Arial" w:eastAsia="Arial" w:hAnsi="Arial"/>
                <w:sz w:val="16"/>
                <w:szCs w:val="16"/>
                <w:b w:val="1"/>
                <w:bCs w:val="1"/>
                <w:color w:val="auto"/>
              </w:rPr>
              <w:t>LNG Carrier</w:t>
            </w:r>
          </w:p>
        </w:tc>
        <w:tc>
          <w:tcPr>
            <w:tcW w:w="16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agreement</w:t>
            </w:r>
          </w:p>
        </w:tc>
        <w:tc>
          <w:tcPr>
            <w:tcW w:w="16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delivery</w:t>
            </w:r>
          </w:p>
        </w:tc>
        <w:tc>
          <w:tcPr>
            <w:tcW w:w="14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(cbm)</w:t>
            </w:r>
          </w:p>
        </w:tc>
      </w:tr>
      <w:tr>
        <w:trPr>
          <w:trHeight w:val="199"/>
        </w:trPr>
        <w:tc>
          <w:tcPr>
            <w:tcW w:w="252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color w:val="auto"/>
              </w:rPr>
              <w:t>Hull No. 2213</w:t>
            </w:r>
          </w:p>
        </w:tc>
        <w:tc>
          <w:tcPr>
            <w:tcW w:w="28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8"/>
              </w:rPr>
              <w:t>January 2018</w:t>
            </w:r>
          </w:p>
        </w:tc>
        <w:tc>
          <w:tcPr>
            <w:tcW w:w="30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1"/>
              </w:rPr>
              <w:t>Q2 2020</w:t>
            </w:r>
          </w:p>
        </w:tc>
        <w:tc>
          <w:tcPr>
            <w:tcW w:w="28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3"/>
              </w:rPr>
              <w:t>180,000</w:t>
            </w:r>
          </w:p>
        </w:tc>
        <w:tc>
          <w:tcPr>
            <w:tcW w:w="120" w:type="dxa"/>
            <w:vAlign w:val="bottom"/>
            <w:tcBorders>
              <w:top w:val="single" w:sz="8" w:color="E5FFFF"/>
            </w:tcBorders>
            <w:shd w:val="clear" w:color="auto" w:fill="E5FFFF"/>
          </w:tcPr>
          <w:p>
            <w:pPr>
              <w:spacing w:after="0"/>
              <w:rPr>
                <w:sz w:val="17"/>
                <w:szCs w:val="17"/>
                <w:color w:val="auto"/>
              </w:rPr>
            </w:pPr>
          </w:p>
        </w:tc>
      </w:tr>
      <w:tr>
        <w:trPr>
          <w:trHeight w:val="203"/>
        </w:trPr>
        <w:tc>
          <w:tcPr>
            <w:tcW w:w="2800" w:type="dxa"/>
            <w:vAlign w:val="bottom"/>
            <w:gridSpan w:val="2"/>
          </w:tcPr>
          <w:p>
            <w:pPr>
              <w:spacing w:after="0"/>
              <w:rPr>
                <w:sz w:val="20"/>
                <w:szCs w:val="20"/>
                <w:color w:val="auto"/>
              </w:rPr>
            </w:pPr>
            <w:r>
              <w:rPr>
                <w:rFonts w:ascii="Arial" w:cs="Arial" w:eastAsia="Arial" w:hAnsi="Arial"/>
                <w:sz w:val="16"/>
                <w:szCs w:val="16"/>
                <w:color w:val="auto"/>
              </w:rPr>
              <w:t>Hull No. 2274</w:t>
            </w:r>
          </w:p>
        </w:tc>
        <w:tc>
          <w:tcPr>
            <w:tcW w:w="1660" w:type="dxa"/>
            <w:vAlign w:val="bottom"/>
            <w:gridSpan w:val="2"/>
          </w:tcPr>
          <w:p>
            <w:pPr>
              <w:jc w:val="center"/>
              <w:ind w:right="280"/>
              <w:spacing w:after="0"/>
              <w:rPr>
                <w:sz w:val="20"/>
                <w:szCs w:val="20"/>
                <w:color w:val="auto"/>
              </w:rPr>
            </w:pPr>
            <w:r>
              <w:rPr>
                <w:rFonts w:ascii="Arial" w:cs="Arial" w:eastAsia="Arial" w:hAnsi="Arial"/>
                <w:sz w:val="16"/>
                <w:szCs w:val="16"/>
                <w:color w:val="auto"/>
                <w:w w:val="92"/>
              </w:rPr>
              <w:t>March 2018</w:t>
            </w:r>
          </w:p>
        </w:tc>
        <w:tc>
          <w:tcPr>
            <w:tcW w:w="1620" w:type="dxa"/>
            <w:vAlign w:val="bottom"/>
            <w:gridSpan w:val="2"/>
          </w:tcPr>
          <w:p>
            <w:pPr>
              <w:jc w:val="center"/>
              <w:ind w:right="300"/>
              <w:spacing w:after="0"/>
              <w:rPr>
                <w:sz w:val="20"/>
                <w:szCs w:val="20"/>
                <w:color w:val="auto"/>
              </w:rPr>
            </w:pPr>
            <w:r>
              <w:rPr>
                <w:rFonts w:ascii="Arial" w:cs="Arial" w:eastAsia="Arial" w:hAnsi="Arial"/>
                <w:sz w:val="16"/>
                <w:szCs w:val="16"/>
                <w:color w:val="auto"/>
                <w:w w:val="91"/>
              </w:rPr>
              <w:t>Q2 2020</w:t>
            </w:r>
          </w:p>
        </w:tc>
        <w:tc>
          <w:tcPr>
            <w:tcW w:w="1340" w:type="dxa"/>
            <w:vAlign w:val="bottom"/>
          </w:tcPr>
          <w:p>
            <w:pPr>
              <w:jc w:val="center"/>
              <w:spacing w:after="0"/>
              <w:rPr>
                <w:sz w:val="20"/>
                <w:szCs w:val="20"/>
                <w:color w:val="auto"/>
              </w:rPr>
            </w:pPr>
            <w:r>
              <w:rPr>
                <w:rFonts w:ascii="Arial" w:cs="Arial" w:eastAsia="Arial" w:hAnsi="Arial"/>
                <w:sz w:val="16"/>
                <w:szCs w:val="16"/>
                <w:color w:val="auto"/>
                <w:w w:val="93"/>
              </w:rPr>
              <w:t>180,000</w:t>
            </w:r>
          </w:p>
        </w:tc>
        <w:tc>
          <w:tcPr>
            <w:tcW w:w="120" w:type="dxa"/>
            <w:vAlign w:val="bottom"/>
          </w:tcPr>
          <w:p>
            <w:pPr>
              <w:spacing w:after="0"/>
              <w:rPr>
                <w:sz w:val="17"/>
                <w:szCs w:val="17"/>
                <w:color w:val="auto"/>
              </w:rPr>
            </w:pPr>
          </w:p>
        </w:tc>
      </w:tr>
      <w:tr>
        <w:trPr>
          <w:trHeight w:val="203"/>
        </w:trPr>
        <w:tc>
          <w:tcPr>
            <w:tcW w:w="28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Hull No. 2262</w:t>
            </w:r>
          </w:p>
        </w:tc>
        <w:tc>
          <w:tcPr>
            <w:tcW w:w="1660" w:type="dxa"/>
            <w:vAlign w:val="bottom"/>
            <w:gridSpan w:val="2"/>
            <w:shd w:val="clear" w:color="auto" w:fill="E5FFFF"/>
          </w:tcPr>
          <w:p>
            <w:pPr>
              <w:jc w:val="center"/>
              <w:ind w:right="280"/>
              <w:spacing w:after="0"/>
              <w:rPr>
                <w:sz w:val="20"/>
                <w:szCs w:val="20"/>
                <w:color w:val="auto"/>
              </w:rPr>
            </w:pPr>
            <w:r>
              <w:rPr>
                <w:rFonts w:ascii="Arial" w:cs="Arial" w:eastAsia="Arial" w:hAnsi="Arial"/>
                <w:sz w:val="16"/>
                <w:szCs w:val="16"/>
                <w:color w:val="auto"/>
                <w:w w:val="93"/>
              </w:rPr>
              <w:t>May 2018</w:t>
            </w:r>
          </w:p>
        </w:tc>
        <w:tc>
          <w:tcPr>
            <w:tcW w:w="1620" w:type="dxa"/>
            <w:vAlign w:val="bottom"/>
            <w:gridSpan w:val="2"/>
            <w:shd w:val="clear" w:color="auto" w:fill="E5FFFF"/>
          </w:tcPr>
          <w:p>
            <w:pPr>
              <w:jc w:val="center"/>
              <w:ind w:right="300"/>
              <w:spacing w:after="0"/>
              <w:rPr>
                <w:sz w:val="20"/>
                <w:szCs w:val="20"/>
                <w:color w:val="auto"/>
              </w:rPr>
            </w:pPr>
            <w:r>
              <w:rPr>
                <w:rFonts w:ascii="Arial" w:cs="Arial" w:eastAsia="Arial" w:hAnsi="Arial"/>
                <w:sz w:val="16"/>
                <w:szCs w:val="16"/>
                <w:color w:val="auto"/>
                <w:w w:val="91"/>
              </w:rPr>
              <w:t>Q3 2020</w:t>
            </w:r>
          </w:p>
        </w:tc>
        <w:tc>
          <w:tcPr>
            <w:tcW w:w="13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3"/>
              </w:rPr>
              <w:t>180,000</w:t>
            </w:r>
          </w:p>
        </w:tc>
        <w:tc>
          <w:tcPr>
            <w:tcW w:w="120" w:type="dxa"/>
            <w:vAlign w:val="bottom"/>
            <w:shd w:val="clear" w:color="auto" w:fill="E5FFFF"/>
          </w:tcPr>
          <w:p>
            <w:pPr>
              <w:spacing w:after="0"/>
              <w:rPr>
                <w:sz w:val="17"/>
                <w:szCs w:val="17"/>
                <w:color w:val="auto"/>
              </w:rPr>
            </w:pPr>
          </w:p>
        </w:tc>
      </w:tr>
      <w:tr>
        <w:trPr>
          <w:trHeight w:val="203"/>
        </w:trPr>
        <w:tc>
          <w:tcPr>
            <w:tcW w:w="2800" w:type="dxa"/>
            <w:vAlign w:val="bottom"/>
            <w:gridSpan w:val="2"/>
          </w:tcPr>
          <w:p>
            <w:pPr>
              <w:spacing w:after="0"/>
              <w:rPr>
                <w:sz w:val="20"/>
                <w:szCs w:val="20"/>
                <w:color w:val="auto"/>
              </w:rPr>
            </w:pPr>
            <w:r>
              <w:rPr>
                <w:rFonts w:ascii="Arial" w:cs="Arial" w:eastAsia="Arial" w:hAnsi="Arial"/>
                <w:sz w:val="16"/>
                <w:szCs w:val="16"/>
                <w:color w:val="auto"/>
              </w:rPr>
              <w:t>Hull No. 2300</w:t>
            </w:r>
          </w:p>
        </w:tc>
        <w:tc>
          <w:tcPr>
            <w:tcW w:w="1660" w:type="dxa"/>
            <w:vAlign w:val="bottom"/>
            <w:gridSpan w:val="2"/>
          </w:tcPr>
          <w:p>
            <w:pPr>
              <w:jc w:val="center"/>
              <w:ind w:right="300"/>
              <w:spacing w:after="0"/>
              <w:rPr>
                <w:sz w:val="20"/>
                <w:szCs w:val="20"/>
                <w:color w:val="auto"/>
              </w:rPr>
            </w:pPr>
            <w:r>
              <w:rPr>
                <w:rFonts w:ascii="Arial" w:cs="Arial" w:eastAsia="Arial" w:hAnsi="Arial"/>
                <w:sz w:val="16"/>
                <w:szCs w:val="16"/>
                <w:color w:val="auto"/>
                <w:w w:val="93"/>
              </w:rPr>
              <w:t>August 2018</w:t>
            </w:r>
          </w:p>
        </w:tc>
        <w:tc>
          <w:tcPr>
            <w:tcW w:w="1620" w:type="dxa"/>
            <w:vAlign w:val="bottom"/>
            <w:gridSpan w:val="2"/>
          </w:tcPr>
          <w:p>
            <w:pPr>
              <w:jc w:val="center"/>
              <w:ind w:right="300"/>
              <w:spacing w:after="0"/>
              <w:rPr>
                <w:sz w:val="20"/>
                <w:szCs w:val="20"/>
                <w:color w:val="auto"/>
              </w:rPr>
            </w:pPr>
            <w:r>
              <w:rPr>
                <w:rFonts w:ascii="Arial" w:cs="Arial" w:eastAsia="Arial" w:hAnsi="Arial"/>
                <w:sz w:val="16"/>
                <w:szCs w:val="16"/>
                <w:color w:val="auto"/>
                <w:w w:val="91"/>
              </w:rPr>
              <w:t>Q4 2020</w:t>
            </w:r>
          </w:p>
        </w:tc>
        <w:tc>
          <w:tcPr>
            <w:tcW w:w="1340" w:type="dxa"/>
            <w:vAlign w:val="bottom"/>
          </w:tcPr>
          <w:p>
            <w:pPr>
              <w:jc w:val="center"/>
              <w:spacing w:after="0"/>
              <w:rPr>
                <w:sz w:val="20"/>
                <w:szCs w:val="20"/>
                <w:color w:val="auto"/>
              </w:rPr>
            </w:pPr>
            <w:r>
              <w:rPr>
                <w:rFonts w:ascii="Arial" w:cs="Arial" w:eastAsia="Arial" w:hAnsi="Arial"/>
                <w:sz w:val="16"/>
                <w:szCs w:val="16"/>
                <w:color w:val="auto"/>
                <w:w w:val="93"/>
              </w:rPr>
              <w:t>174,000</w:t>
            </w:r>
          </w:p>
        </w:tc>
        <w:tc>
          <w:tcPr>
            <w:tcW w:w="120" w:type="dxa"/>
            <w:vAlign w:val="bottom"/>
          </w:tcPr>
          <w:p>
            <w:pPr>
              <w:spacing w:after="0"/>
              <w:rPr>
                <w:sz w:val="17"/>
                <w:szCs w:val="17"/>
                <w:color w:val="auto"/>
              </w:rPr>
            </w:pPr>
          </w:p>
        </w:tc>
      </w:tr>
      <w:tr>
        <w:trPr>
          <w:trHeight w:val="203"/>
        </w:trPr>
        <w:tc>
          <w:tcPr>
            <w:tcW w:w="28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Hull No. 2301</w:t>
            </w:r>
          </w:p>
        </w:tc>
        <w:tc>
          <w:tcPr>
            <w:tcW w:w="1660" w:type="dxa"/>
            <w:vAlign w:val="bottom"/>
            <w:gridSpan w:val="2"/>
            <w:shd w:val="clear" w:color="auto" w:fill="E5FFFF"/>
          </w:tcPr>
          <w:p>
            <w:pPr>
              <w:jc w:val="center"/>
              <w:ind w:right="300"/>
              <w:spacing w:after="0"/>
              <w:rPr>
                <w:sz w:val="20"/>
                <w:szCs w:val="20"/>
                <w:color w:val="auto"/>
              </w:rPr>
            </w:pPr>
            <w:r>
              <w:rPr>
                <w:rFonts w:ascii="Arial" w:cs="Arial" w:eastAsia="Arial" w:hAnsi="Arial"/>
                <w:sz w:val="16"/>
                <w:szCs w:val="16"/>
                <w:color w:val="auto"/>
                <w:w w:val="93"/>
              </w:rPr>
              <w:t>August 2018</w:t>
            </w:r>
          </w:p>
        </w:tc>
        <w:tc>
          <w:tcPr>
            <w:tcW w:w="1620" w:type="dxa"/>
            <w:vAlign w:val="bottom"/>
            <w:gridSpan w:val="2"/>
            <w:shd w:val="clear" w:color="auto" w:fill="E5FFFF"/>
          </w:tcPr>
          <w:p>
            <w:pPr>
              <w:jc w:val="center"/>
              <w:ind w:right="300"/>
              <w:spacing w:after="0"/>
              <w:rPr>
                <w:sz w:val="20"/>
                <w:szCs w:val="20"/>
                <w:color w:val="auto"/>
              </w:rPr>
            </w:pPr>
            <w:r>
              <w:rPr>
                <w:rFonts w:ascii="Arial" w:cs="Arial" w:eastAsia="Arial" w:hAnsi="Arial"/>
                <w:sz w:val="16"/>
                <w:szCs w:val="16"/>
                <w:color w:val="auto"/>
                <w:w w:val="91"/>
              </w:rPr>
              <w:t>Q4 2020</w:t>
            </w:r>
          </w:p>
        </w:tc>
        <w:tc>
          <w:tcPr>
            <w:tcW w:w="13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3"/>
              </w:rPr>
              <w:t>174,000</w:t>
            </w:r>
          </w:p>
        </w:tc>
        <w:tc>
          <w:tcPr>
            <w:tcW w:w="120" w:type="dxa"/>
            <w:vAlign w:val="bottom"/>
            <w:shd w:val="clear" w:color="auto" w:fill="E5FFFF"/>
          </w:tcPr>
          <w:p>
            <w:pPr>
              <w:spacing w:after="0"/>
              <w:rPr>
                <w:sz w:val="17"/>
                <w:szCs w:val="17"/>
                <w:color w:val="auto"/>
              </w:rPr>
            </w:pPr>
          </w:p>
        </w:tc>
      </w:tr>
      <w:tr>
        <w:trPr>
          <w:trHeight w:val="203"/>
        </w:trPr>
        <w:tc>
          <w:tcPr>
            <w:tcW w:w="2800" w:type="dxa"/>
            <w:vAlign w:val="bottom"/>
            <w:gridSpan w:val="2"/>
          </w:tcPr>
          <w:p>
            <w:pPr>
              <w:spacing w:after="0"/>
              <w:rPr>
                <w:sz w:val="20"/>
                <w:szCs w:val="20"/>
                <w:color w:val="auto"/>
              </w:rPr>
            </w:pPr>
            <w:r>
              <w:rPr>
                <w:rFonts w:ascii="Arial" w:cs="Arial" w:eastAsia="Arial" w:hAnsi="Arial"/>
                <w:sz w:val="16"/>
                <w:szCs w:val="16"/>
                <w:color w:val="auto"/>
              </w:rPr>
              <w:t>Hull No. 2311</w:t>
            </w:r>
          </w:p>
        </w:tc>
        <w:tc>
          <w:tcPr>
            <w:tcW w:w="1660" w:type="dxa"/>
            <w:vAlign w:val="bottom"/>
            <w:gridSpan w:val="2"/>
          </w:tcPr>
          <w:p>
            <w:pPr>
              <w:jc w:val="center"/>
              <w:ind w:right="280"/>
              <w:spacing w:after="0"/>
              <w:rPr>
                <w:sz w:val="20"/>
                <w:szCs w:val="20"/>
                <w:color w:val="auto"/>
              </w:rPr>
            </w:pPr>
            <w:r>
              <w:rPr>
                <w:rFonts w:ascii="Arial" w:cs="Arial" w:eastAsia="Arial" w:hAnsi="Arial"/>
                <w:sz w:val="16"/>
                <w:szCs w:val="16"/>
                <w:color w:val="auto"/>
                <w:w w:val="89"/>
              </w:rPr>
              <w:t>December 2018</w:t>
            </w:r>
          </w:p>
        </w:tc>
        <w:tc>
          <w:tcPr>
            <w:tcW w:w="1620" w:type="dxa"/>
            <w:vAlign w:val="bottom"/>
            <w:gridSpan w:val="2"/>
          </w:tcPr>
          <w:p>
            <w:pPr>
              <w:jc w:val="center"/>
              <w:ind w:right="300"/>
              <w:spacing w:after="0"/>
              <w:rPr>
                <w:sz w:val="20"/>
                <w:szCs w:val="20"/>
                <w:color w:val="auto"/>
              </w:rPr>
            </w:pPr>
            <w:r>
              <w:rPr>
                <w:rFonts w:ascii="Arial" w:cs="Arial" w:eastAsia="Arial" w:hAnsi="Arial"/>
                <w:sz w:val="16"/>
                <w:szCs w:val="16"/>
                <w:color w:val="auto"/>
                <w:w w:val="91"/>
              </w:rPr>
              <w:t>Q2 2021</w:t>
            </w:r>
          </w:p>
        </w:tc>
        <w:tc>
          <w:tcPr>
            <w:tcW w:w="1340" w:type="dxa"/>
            <w:vAlign w:val="bottom"/>
          </w:tcPr>
          <w:p>
            <w:pPr>
              <w:jc w:val="center"/>
              <w:spacing w:after="0"/>
              <w:rPr>
                <w:sz w:val="20"/>
                <w:szCs w:val="20"/>
                <w:color w:val="auto"/>
              </w:rPr>
            </w:pPr>
            <w:r>
              <w:rPr>
                <w:rFonts w:ascii="Arial" w:cs="Arial" w:eastAsia="Arial" w:hAnsi="Arial"/>
                <w:sz w:val="16"/>
                <w:szCs w:val="16"/>
                <w:color w:val="auto"/>
                <w:w w:val="93"/>
              </w:rPr>
              <w:t>180,000</w:t>
            </w:r>
          </w:p>
        </w:tc>
        <w:tc>
          <w:tcPr>
            <w:tcW w:w="120" w:type="dxa"/>
            <w:vAlign w:val="bottom"/>
          </w:tcPr>
          <w:p>
            <w:pPr>
              <w:spacing w:after="0"/>
              <w:rPr>
                <w:sz w:val="17"/>
                <w:szCs w:val="17"/>
                <w:color w:val="auto"/>
              </w:rPr>
            </w:pPr>
          </w:p>
        </w:tc>
      </w:tr>
      <w:tr>
        <w:trPr>
          <w:trHeight w:val="203"/>
        </w:trPr>
        <w:tc>
          <w:tcPr>
            <w:tcW w:w="28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Hull No. 2312</w:t>
            </w:r>
          </w:p>
        </w:tc>
        <w:tc>
          <w:tcPr>
            <w:tcW w:w="1660" w:type="dxa"/>
            <w:vAlign w:val="bottom"/>
            <w:gridSpan w:val="2"/>
            <w:shd w:val="clear" w:color="auto" w:fill="E5FFFF"/>
          </w:tcPr>
          <w:p>
            <w:pPr>
              <w:jc w:val="center"/>
              <w:ind w:right="280"/>
              <w:spacing w:after="0"/>
              <w:rPr>
                <w:sz w:val="20"/>
                <w:szCs w:val="20"/>
                <w:color w:val="auto"/>
              </w:rPr>
            </w:pPr>
            <w:r>
              <w:rPr>
                <w:rFonts w:ascii="Arial" w:cs="Arial" w:eastAsia="Arial" w:hAnsi="Arial"/>
                <w:sz w:val="16"/>
                <w:szCs w:val="16"/>
                <w:color w:val="auto"/>
                <w:w w:val="89"/>
              </w:rPr>
              <w:t>December 2018</w:t>
            </w:r>
          </w:p>
        </w:tc>
        <w:tc>
          <w:tcPr>
            <w:tcW w:w="1620" w:type="dxa"/>
            <w:vAlign w:val="bottom"/>
            <w:gridSpan w:val="2"/>
            <w:shd w:val="clear" w:color="auto" w:fill="E5FFFF"/>
          </w:tcPr>
          <w:p>
            <w:pPr>
              <w:jc w:val="center"/>
              <w:ind w:right="300"/>
              <w:spacing w:after="0"/>
              <w:rPr>
                <w:sz w:val="20"/>
                <w:szCs w:val="20"/>
                <w:color w:val="auto"/>
              </w:rPr>
            </w:pPr>
            <w:r>
              <w:rPr>
                <w:rFonts w:ascii="Arial" w:cs="Arial" w:eastAsia="Arial" w:hAnsi="Arial"/>
                <w:sz w:val="16"/>
                <w:szCs w:val="16"/>
                <w:color w:val="auto"/>
                <w:w w:val="91"/>
              </w:rPr>
              <w:t>Q3 2021</w:t>
            </w:r>
          </w:p>
        </w:tc>
        <w:tc>
          <w:tcPr>
            <w:tcW w:w="13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3"/>
              </w:rPr>
              <w:t>180,000</w:t>
            </w:r>
          </w:p>
        </w:tc>
        <w:tc>
          <w:tcPr>
            <w:tcW w:w="120" w:type="dxa"/>
            <w:vAlign w:val="bottom"/>
            <w:shd w:val="clear" w:color="auto" w:fill="E5FFFF"/>
          </w:tcPr>
          <w:p>
            <w:pPr>
              <w:spacing w:after="0"/>
              <w:rPr>
                <w:sz w:val="17"/>
                <w:szCs w:val="17"/>
                <w:color w:val="auto"/>
              </w:rPr>
            </w:pPr>
          </w:p>
        </w:tc>
      </w:tr>
    </w:tbl>
    <w:p>
      <w:pPr>
        <w:spacing w:after="0" w:line="206" w:lineRule="exact"/>
        <w:rPr>
          <w:sz w:val="20"/>
          <w:szCs w:val="20"/>
          <w:color w:val="auto"/>
        </w:rPr>
      </w:pPr>
    </w:p>
    <w:p>
      <w:pPr>
        <w:ind w:right="100" w:firstLine="436"/>
        <w:spacing w:after="0" w:line="278" w:lineRule="auto"/>
        <w:rPr>
          <w:sz w:val="20"/>
          <w:szCs w:val="20"/>
          <w:color w:val="auto"/>
        </w:rPr>
      </w:pPr>
      <w:r>
        <w:rPr>
          <w:rFonts w:ascii="Arial" w:cs="Arial" w:eastAsia="Arial" w:hAnsi="Arial"/>
          <w:sz w:val="16"/>
          <w:szCs w:val="16"/>
          <w:color w:val="auto"/>
        </w:rPr>
        <w:t>Vessels under construction represent scheduled advance payments to the shipyards as well as certain capitalized expenditures. As of September 30, 2019, the Group has paid to the shipyard $178,886 for the vessels that are under construction and expects to pay the remaining installments as they come due upon each vessel’s keel laying, launching and delivery (Note 14).</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vessels under construction costs as of December 31, 2018 and September 30, 2019 are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40" w:type="dxa"/>
            <w:vAlign w:val="bottom"/>
          </w:tcPr>
          <w:p>
            <w:pPr>
              <w:spacing w:after="0"/>
              <w:rPr>
                <w:sz w:val="14"/>
                <w:szCs w:val="14"/>
                <w:color w:val="auto"/>
              </w:rPr>
            </w:pPr>
          </w:p>
        </w:tc>
        <w:tc>
          <w:tcPr>
            <w:tcW w:w="18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 2018</w:t>
            </w:r>
          </w:p>
        </w:tc>
        <w:tc>
          <w:tcPr>
            <w:tcW w:w="1600" w:type="dxa"/>
            <w:vAlign w:val="bottom"/>
          </w:tcPr>
          <w:p>
            <w:pPr>
              <w:jc w:val="right"/>
              <w:ind w:right="121"/>
              <w:spacing w:after="0"/>
              <w:rPr>
                <w:sz w:val="20"/>
                <w:szCs w:val="20"/>
                <w:color w:val="auto"/>
              </w:rPr>
            </w:pPr>
            <w:r>
              <w:rPr>
                <w:rFonts w:ascii="Arial" w:cs="Arial" w:eastAsia="Arial" w:hAnsi="Arial"/>
                <w:sz w:val="14"/>
                <w:szCs w:val="14"/>
                <w:b w:val="1"/>
                <w:bCs w:val="1"/>
                <w:color w:val="auto"/>
              </w:rPr>
              <w:t>September 30, 2019</w:t>
            </w:r>
          </w:p>
        </w:tc>
      </w:tr>
      <w:tr>
        <w:trPr>
          <w:trHeight w:val="196"/>
        </w:trPr>
        <w:tc>
          <w:tcPr>
            <w:tcW w:w="79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Progress shipyard installments</w:t>
            </w:r>
          </w:p>
        </w:tc>
        <w:tc>
          <w:tcPr>
            <w:tcW w:w="16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152,075</w:t>
            </w:r>
          </w:p>
        </w:tc>
        <w:tc>
          <w:tcPr>
            <w:tcW w:w="280" w:type="dxa"/>
            <w:vAlign w:val="bottom"/>
            <w:tcBorders>
              <w:top w:val="single" w:sz="8" w:color="E5FFFF"/>
            </w:tcBorders>
            <w:shd w:val="clear" w:color="auto" w:fill="E5FFFF"/>
          </w:tcPr>
          <w:p>
            <w:pPr>
              <w:spacing w:after="0"/>
              <w:rPr>
                <w:sz w:val="17"/>
                <w:szCs w:val="17"/>
                <w:color w:val="auto"/>
              </w:rPr>
            </w:pPr>
          </w:p>
        </w:tc>
        <w:tc>
          <w:tcPr>
            <w:tcW w:w="16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178,886</w:t>
            </w:r>
          </w:p>
        </w:tc>
      </w:tr>
      <w:tr>
        <w:trPr>
          <w:trHeight w:val="203"/>
        </w:trPr>
        <w:tc>
          <w:tcPr>
            <w:tcW w:w="7940" w:type="dxa"/>
            <w:vAlign w:val="bottom"/>
          </w:tcPr>
          <w:p>
            <w:pPr>
              <w:spacing w:after="0"/>
              <w:rPr>
                <w:sz w:val="20"/>
                <w:szCs w:val="20"/>
                <w:color w:val="auto"/>
              </w:rPr>
            </w:pPr>
            <w:r>
              <w:rPr>
                <w:rFonts w:ascii="Arial" w:cs="Arial" w:eastAsia="Arial" w:hAnsi="Arial"/>
                <w:sz w:val="16"/>
                <w:szCs w:val="16"/>
                <w:color w:val="auto"/>
              </w:rPr>
              <w:t>Onsite supervision costs</w:t>
            </w:r>
          </w:p>
        </w:tc>
        <w:tc>
          <w:tcPr>
            <w:tcW w:w="1880" w:type="dxa"/>
            <w:vAlign w:val="bottom"/>
            <w:gridSpan w:val="2"/>
          </w:tcPr>
          <w:p>
            <w:pPr>
              <w:jc w:val="right"/>
              <w:ind w:right="280"/>
              <w:spacing w:after="0"/>
              <w:rPr>
                <w:sz w:val="20"/>
                <w:szCs w:val="20"/>
                <w:color w:val="auto"/>
              </w:rPr>
            </w:pPr>
            <w:r>
              <w:rPr>
                <w:rFonts w:ascii="Arial" w:cs="Arial" w:eastAsia="Arial" w:hAnsi="Arial"/>
                <w:sz w:val="16"/>
                <w:szCs w:val="16"/>
                <w:color w:val="auto"/>
              </w:rPr>
              <w:t>5,766</w:t>
            </w:r>
          </w:p>
        </w:tc>
        <w:tc>
          <w:tcPr>
            <w:tcW w:w="1600" w:type="dxa"/>
            <w:vAlign w:val="bottom"/>
          </w:tcPr>
          <w:p>
            <w:pPr>
              <w:jc w:val="right"/>
              <w:spacing w:after="0"/>
              <w:rPr>
                <w:sz w:val="20"/>
                <w:szCs w:val="20"/>
                <w:color w:val="auto"/>
              </w:rPr>
            </w:pPr>
            <w:r>
              <w:rPr>
                <w:rFonts w:ascii="Arial" w:cs="Arial" w:eastAsia="Arial" w:hAnsi="Arial"/>
                <w:sz w:val="16"/>
                <w:szCs w:val="16"/>
                <w:color w:val="auto"/>
              </w:rPr>
              <w:t>3,092</w:t>
            </w:r>
          </w:p>
        </w:tc>
      </w:tr>
      <w:tr>
        <w:trPr>
          <w:trHeight w:val="203"/>
        </w:trPr>
        <w:tc>
          <w:tcPr>
            <w:tcW w:w="7940" w:type="dxa"/>
            <w:vAlign w:val="bottom"/>
            <w:shd w:val="clear" w:color="auto" w:fill="E5FFFF"/>
          </w:tcPr>
          <w:p>
            <w:pPr>
              <w:spacing w:after="0"/>
              <w:rPr>
                <w:sz w:val="20"/>
                <w:szCs w:val="20"/>
                <w:color w:val="auto"/>
              </w:rPr>
            </w:pPr>
            <w:r>
              <w:rPr>
                <w:rFonts w:ascii="Arial" w:cs="Arial" w:eastAsia="Arial" w:hAnsi="Arial"/>
                <w:sz w:val="16"/>
                <w:szCs w:val="16"/>
                <w:color w:val="auto"/>
              </w:rPr>
              <w:t>Critical spare parts, equipment and other vessel delivery expenses</w:t>
            </w:r>
          </w:p>
        </w:tc>
        <w:tc>
          <w:tcPr>
            <w:tcW w:w="188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1,434</w:t>
            </w:r>
          </w:p>
        </w:tc>
        <w:tc>
          <w:tcPr>
            <w:tcW w:w="1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616</w:t>
            </w:r>
          </w:p>
        </w:tc>
      </w:tr>
      <w:tr>
        <w:trPr>
          <w:trHeight w:val="196"/>
        </w:trPr>
        <w:tc>
          <w:tcPr>
            <w:tcW w:w="794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159,275</w:t>
            </w:r>
          </w:p>
        </w:tc>
        <w:tc>
          <w:tcPr>
            <w:tcW w:w="280" w:type="dxa"/>
            <w:vAlign w:val="bottom"/>
          </w:tcPr>
          <w:p>
            <w:pPr>
              <w:spacing w:after="0"/>
              <w:rPr>
                <w:sz w:val="17"/>
                <w:szCs w:val="17"/>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182,594</w:t>
            </w:r>
          </w:p>
        </w:tc>
      </w:tr>
      <w:tr>
        <w:trPr>
          <w:trHeight w:val="20"/>
        </w:trPr>
        <w:tc>
          <w:tcPr>
            <w:tcW w:w="79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Leases</w:t>
      </w:r>
    </w:p>
    <w:p>
      <w:pPr>
        <w:spacing w:after="0" w:line="239" w:lineRule="exact"/>
        <w:rPr>
          <w:sz w:val="20"/>
          <w:szCs w:val="20"/>
          <w:color w:val="auto"/>
        </w:rPr>
      </w:pPr>
    </w:p>
    <w:p>
      <w:pPr>
        <w:jc w:val="both"/>
        <w:ind w:firstLine="383"/>
        <w:spacing w:after="0" w:line="278" w:lineRule="auto"/>
        <w:rPr>
          <w:sz w:val="20"/>
          <w:szCs w:val="20"/>
          <w:color w:val="auto"/>
        </w:rPr>
      </w:pPr>
      <w:r>
        <w:rPr>
          <w:rFonts w:ascii="Arial" w:cs="Arial" w:eastAsia="Arial" w:hAnsi="Arial"/>
          <w:sz w:val="16"/>
          <w:szCs w:val="16"/>
          <w:color w:val="auto"/>
        </w:rPr>
        <w:t xml:space="preserve">On adoption of IFRS 16, the Group recognised lease liabilities in relation to leases of various properties, vessel communication equipment and certain printers which had previously been classified as operating leases under IAS 17 </w:t>
      </w:r>
      <w:r>
        <w:rPr>
          <w:rFonts w:ascii="Arial" w:cs="Arial" w:eastAsia="Arial" w:hAnsi="Arial"/>
          <w:sz w:val="16"/>
          <w:szCs w:val="16"/>
          <w:i w:val="1"/>
          <w:iCs w:val="1"/>
          <w:color w:val="auto"/>
        </w:rPr>
        <w:t>Leases</w:t>
      </w:r>
      <w:r>
        <w:rPr>
          <w:rFonts w:ascii="Arial" w:cs="Arial" w:eastAsia="Arial" w:hAnsi="Arial"/>
          <w:sz w:val="16"/>
          <w:szCs w:val="16"/>
          <w:color w:val="auto"/>
        </w:rPr>
        <w:t>. As of January 1, 2019, these liabilities were measured at the present value of the remaining lease payments, discounted using a weighted average incremental borrowing rate of 4.8%.</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movements in right-of use assets are reported in the following table:</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3840" w:type="dxa"/>
            <w:vAlign w:val="bottom"/>
          </w:tcPr>
          <w:p>
            <w:pPr>
              <w:spacing w:after="0"/>
              <w:rPr>
                <w:sz w:val="20"/>
                <w:szCs w:val="20"/>
                <w:color w:val="auto"/>
              </w:rPr>
            </w:pPr>
            <w:r>
              <w:rPr>
                <w:rFonts w:ascii="Arial" w:cs="Arial" w:eastAsia="Arial" w:hAnsi="Arial"/>
                <w:sz w:val="16"/>
                <w:szCs w:val="16"/>
                <w:b w:val="1"/>
                <w:bCs w:val="1"/>
                <w:color w:val="auto"/>
              </w:rPr>
              <w:t>Right-of-Use Assets</w:t>
            </w:r>
          </w:p>
        </w:tc>
        <w:tc>
          <w:tcPr>
            <w:tcW w:w="1400" w:type="dxa"/>
            <w:vAlign w:val="bottom"/>
            <w:gridSpan w:val="2"/>
          </w:tcPr>
          <w:p>
            <w:pPr>
              <w:ind w:left="320"/>
              <w:spacing w:after="0"/>
              <w:rPr>
                <w:sz w:val="20"/>
                <w:szCs w:val="20"/>
                <w:color w:val="auto"/>
              </w:rPr>
            </w:pPr>
            <w:r>
              <w:rPr>
                <w:rFonts w:ascii="Arial" w:cs="Arial" w:eastAsia="Arial" w:hAnsi="Arial"/>
                <w:sz w:val="16"/>
                <w:szCs w:val="16"/>
                <w:b w:val="1"/>
                <w:bCs w:val="1"/>
                <w:color w:val="auto"/>
              </w:rPr>
              <w:t>Vessels</w:t>
            </w:r>
          </w:p>
        </w:tc>
        <w:tc>
          <w:tcPr>
            <w:tcW w:w="1960" w:type="dxa"/>
            <w:vAlign w:val="bottom"/>
            <w:gridSpan w:val="2"/>
          </w:tcPr>
          <w:p>
            <w:pPr>
              <w:ind w:left="220"/>
              <w:spacing w:after="0"/>
              <w:rPr>
                <w:sz w:val="20"/>
                <w:szCs w:val="20"/>
                <w:color w:val="auto"/>
              </w:rPr>
            </w:pPr>
            <w:r>
              <w:rPr>
                <w:rFonts w:ascii="Arial" w:cs="Arial" w:eastAsia="Arial" w:hAnsi="Arial"/>
                <w:sz w:val="16"/>
                <w:szCs w:val="16"/>
                <w:b w:val="1"/>
                <w:bCs w:val="1"/>
                <w:color w:val="auto"/>
              </w:rPr>
              <w:t>Vessel Equipment</w:t>
            </w:r>
          </w:p>
        </w:tc>
        <w:tc>
          <w:tcPr>
            <w:tcW w:w="1420" w:type="dxa"/>
            <w:vAlign w:val="bottom"/>
            <w:gridSpan w:val="2"/>
          </w:tcPr>
          <w:p>
            <w:pPr>
              <w:ind w:left="220"/>
              <w:spacing w:after="0"/>
              <w:rPr>
                <w:sz w:val="20"/>
                <w:szCs w:val="20"/>
                <w:color w:val="auto"/>
              </w:rPr>
            </w:pPr>
            <w:r>
              <w:rPr>
                <w:rFonts w:ascii="Arial" w:cs="Arial" w:eastAsia="Arial" w:hAnsi="Arial"/>
                <w:sz w:val="16"/>
                <w:szCs w:val="16"/>
                <w:b w:val="1"/>
                <w:bCs w:val="1"/>
                <w:color w:val="auto"/>
              </w:rPr>
              <w:t>Properties</w:t>
            </w:r>
          </w:p>
        </w:tc>
        <w:tc>
          <w:tcPr>
            <w:tcW w:w="780" w:type="dxa"/>
            <w:vAlign w:val="bottom"/>
          </w:tcPr>
          <w:p>
            <w:pPr>
              <w:ind w:left="340"/>
              <w:spacing w:after="0"/>
              <w:rPr>
                <w:sz w:val="20"/>
                <w:szCs w:val="20"/>
                <w:color w:val="auto"/>
              </w:rPr>
            </w:pPr>
            <w:r>
              <w:rPr>
                <w:rFonts w:ascii="Arial" w:cs="Arial" w:eastAsia="Arial" w:hAnsi="Arial"/>
                <w:sz w:val="16"/>
                <w:szCs w:val="16"/>
                <w:b w:val="1"/>
                <w:bCs w:val="1"/>
                <w:color w:val="auto"/>
                <w:w w:val="98"/>
              </w:rPr>
              <w:t>Other</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319"/>
              <w:spacing w:after="0"/>
              <w:rPr>
                <w:sz w:val="20"/>
                <w:szCs w:val="20"/>
                <w:color w:val="auto"/>
              </w:rPr>
            </w:pPr>
            <w:r>
              <w:rPr>
                <w:rFonts w:ascii="Arial" w:cs="Arial" w:eastAsia="Arial" w:hAnsi="Arial"/>
                <w:sz w:val="16"/>
                <w:szCs w:val="16"/>
                <w:b w:val="1"/>
                <w:bCs w:val="1"/>
                <w:color w:val="auto"/>
              </w:rPr>
              <w:t>Total</w:t>
            </w:r>
          </w:p>
        </w:tc>
      </w:tr>
      <w:tr>
        <w:trPr>
          <w:trHeight w:val="202"/>
        </w:trPr>
        <w:tc>
          <w:tcPr>
            <w:tcW w:w="38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As of January 1, 2019</w:t>
            </w:r>
          </w:p>
        </w:tc>
        <w:tc>
          <w:tcPr>
            <w:tcW w:w="1120" w:type="dxa"/>
            <w:vAlign w:val="bottom"/>
            <w:tcBorders>
              <w:top w:val="single" w:sz="8" w:color="auto"/>
            </w:tcBorders>
            <w:shd w:val="clear" w:color="auto" w:fill="E5FFFF"/>
          </w:tcPr>
          <w:p>
            <w:pPr>
              <w:jc w:val="right"/>
              <w:spacing w:after="0" w:line="202" w:lineRule="exact"/>
              <w:rPr>
                <w:sz w:val="20"/>
                <w:szCs w:val="20"/>
                <w:color w:val="auto"/>
              </w:rPr>
            </w:pPr>
            <w:r>
              <w:rPr>
                <w:rFonts w:ascii="Arial" w:cs="Arial" w:eastAsia="Arial" w:hAnsi="Arial"/>
                <w:sz w:val="16"/>
                <w:szCs w:val="16"/>
                <w:color w:val="auto"/>
              </w:rPr>
              <w:t>206,753</w:t>
            </w:r>
            <w:r>
              <w:rPr>
                <w:rFonts w:ascii="Arial" w:cs="Arial" w:eastAsia="Arial" w:hAnsi="Arial"/>
                <w:sz w:val="21"/>
                <w:szCs w:val="21"/>
                <w:color w:val="auto"/>
                <w:vertAlign w:val="superscript"/>
              </w:rPr>
              <w:t>(*)</w:t>
            </w:r>
          </w:p>
        </w:tc>
        <w:tc>
          <w:tcPr>
            <w:tcW w:w="280" w:type="dxa"/>
            <w:vAlign w:val="bottom"/>
            <w:tcBorders>
              <w:top w:val="single" w:sz="8" w:color="E5FFFF"/>
            </w:tcBorders>
            <w:shd w:val="clear" w:color="auto" w:fill="E5FFFF"/>
          </w:tcPr>
          <w:p>
            <w:pPr>
              <w:spacing w:after="0"/>
              <w:rPr>
                <w:sz w:val="17"/>
                <w:szCs w:val="17"/>
                <w:color w:val="auto"/>
              </w:rPr>
            </w:pPr>
          </w:p>
        </w:tc>
        <w:tc>
          <w:tcPr>
            <w:tcW w:w="17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2,630</w:t>
            </w:r>
          </w:p>
        </w:tc>
        <w:tc>
          <w:tcPr>
            <w:tcW w:w="26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4,969</w:t>
            </w:r>
          </w:p>
        </w:tc>
        <w:tc>
          <w:tcPr>
            <w:tcW w:w="280" w:type="dxa"/>
            <w:vAlign w:val="bottom"/>
            <w:tcBorders>
              <w:top w:val="single" w:sz="8" w:color="E5FFFF"/>
            </w:tcBorders>
            <w:shd w:val="clear" w:color="auto" w:fill="E5FFFF"/>
          </w:tcPr>
          <w:p>
            <w:pPr>
              <w:spacing w:after="0"/>
              <w:rPr>
                <w:sz w:val="17"/>
                <w:szCs w:val="17"/>
                <w:color w:val="auto"/>
              </w:rPr>
            </w:pPr>
          </w:p>
        </w:tc>
        <w:tc>
          <w:tcPr>
            <w:tcW w:w="780" w:type="dxa"/>
            <w:vAlign w:val="bottom"/>
            <w:tcBorders>
              <w:top w:val="single" w:sz="8" w:color="auto"/>
            </w:tcBorders>
            <w:shd w:val="clear" w:color="auto" w:fill="E5FFFF"/>
          </w:tcPr>
          <w:p>
            <w:pPr>
              <w:spacing w:after="0"/>
              <w:rPr>
                <w:sz w:val="17"/>
                <w:szCs w:val="17"/>
                <w:color w:val="auto"/>
              </w:rPr>
            </w:pPr>
          </w:p>
        </w:tc>
        <w:tc>
          <w:tcPr>
            <w:tcW w:w="3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19</w:t>
            </w:r>
          </w:p>
        </w:tc>
        <w:tc>
          <w:tcPr>
            <w:tcW w:w="280" w:type="dxa"/>
            <w:vAlign w:val="bottom"/>
            <w:tcBorders>
              <w:top w:val="single" w:sz="8" w:color="E5FFFF"/>
            </w:tcBorders>
            <w:shd w:val="clear" w:color="auto" w:fill="E5FFFF"/>
          </w:tcPr>
          <w:p>
            <w:pPr>
              <w:spacing w:after="0"/>
              <w:rPr>
                <w:sz w:val="17"/>
                <w:szCs w:val="17"/>
                <w:color w:val="auto"/>
              </w:rPr>
            </w:pPr>
          </w:p>
        </w:tc>
        <w:tc>
          <w:tcPr>
            <w:tcW w:w="11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214,371</w:t>
            </w:r>
          </w:p>
        </w:tc>
      </w:tr>
      <w:tr>
        <w:trPr>
          <w:trHeight w:val="203"/>
        </w:trPr>
        <w:tc>
          <w:tcPr>
            <w:tcW w:w="3840" w:type="dxa"/>
            <w:vAlign w:val="bottom"/>
          </w:tcPr>
          <w:p>
            <w:pPr>
              <w:spacing w:after="0"/>
              <w:rPr>
                <w:sz w:val="20"/>
                <w:szCs w:val="20"/>
                <w:color w:val="auto"/>
              </w:rPr>
            </w:pPr>
            <w:r>
              <w:rPr>
                <w:rFonts w:ascii="Arial" w:cs="Arial" w:eastAsia="Arial" w:hAnsi="Arial"/>
                <w:sz w:val="16"/>
                <w:szCs w:val="16"/>
                <w:color w:val="auto"/>
              </w:rPr>
              <w:t>Additions</w:t>
            </w:r>
          </w:p>
        </w:tc>
        <w:tc>
          <w:tcPr>
            <w:tcW w:w="1120" w:type="dxa"/>
            <w:vAlign w:val="bottom"/>
          </w:tcPr>
          <w:p>
            <w:pPr>
              <w:jc w:val="right"/>
              <w:spacing w:after="0"/>
              <w:rPr>
                <w:sz w:val="20"/>
                <w:szCs w:val="20"/>
                <w:color w:val="auto"/>
              </w:rPr>
            </w:pPr>
            <w:r>
              <w:rPr>
                <w:rFonts w:ascii="Arial" w:cs="Arial" w:eastAsia="Arial" w:hAnsi="Arial"/>
                <w:sz w:val="16"/>
                <w:szCs w:val="16"/>
                <w:color w:val="auto"/>
              </w:rPr>
              <w:t>532</w:t>
            </w:r>
          </w:p>
        </w:tc>
        <w:tc>
          <w:tcPr>
            <w:tcW w:w="2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336</w:t>
            </w: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1,080</w:t>
            </w: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32</w:t>
            </w: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1,980</w:t>
            </w:r>
          </w:p>
        </w:tc>
      </w:tr>
      <w:tr>
        <w:trPr>
          <w:trHeight w:val="203"/>
        </w:trPr>
        <w:tc>
          <w:tcPr>
            <w:tcW w:w="3840" w:type="dxa"/>
            <w:vAlign w:val="bottom"/>
            <w:shd w:val="clear" w:color="auto" w:fill="E5FFFF"/>
          </w:tcPr>
          <w:p>
            <w:pPr>
              <w:spacing w:after="0"/>
              <w:rPr>
                <w:sz w:val="20"/>
                <w:szCs w:val="20"/>
                <w:color w:val="auto"/>
              </w:rPr>
            </w:pPr>
            <w:r>
              <w:rPr>
                <w:rFonts w:ascii="Arial" w:cs="Arial" w:eastAsia="Arial" w:hAnsi="Arial"/>
                <w:sz w:val="16"/>
                <w:szCs w:val="16"/>
                <w:color w:val="auto"/>
              </w:rPr>
              <w:t>Depreciation expense</w:t>
            </w:r>
          </w:p>
        </w:tc>
        <w:tc>
          <w:tcPr>
            <w:tcW w:w="11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(5,776)</w:t>
            </w:r>
          </w:p>
        </w:tc>
        <w:tc>
          <w:tcPr>
            <w:tcW w:w="280" w:type="dxa"/>
            <w:vAlign w:val="bottom"/>
            <w:shd w:val="clear" w:color="auto" w:fill="E5FFFF"/>
          </w:tcPr>
          <w:p>
            <w:pPr>
              <w:spacing w:after="0"/>
              <w:rPr>
                <w:sz w:val="17"/>
                <w:szCs w:val="17"/>
                <w:color w:val="auto"/>
              </w:rPr>
            </w:pPr>
          </w:p>
        </w:tc>
        <w:tc>
          <w:tcPr>
            <w:tcW w:w="1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(818)</w:t>
            </w:r>
          </w:p>
        </w:tc>
        <w:tc>
          <w:tcPr>
            <w:tcW w:w="260" w:type="dxa"/>
            <w:vAlign w:val="bottom"/>
            <w:shd w:val="clear" w:color="auto" w:fill="E5FFFF"/>
          </w:tcPr>
          <w:p>
            <w:pPr>
              <w:spacing w:after="0"/>
              <w:rPr>
                <w:sz w:val="17"/>
                <w:szCs w:val="17"/>
                <w:color w:val="auto"/>
              </w:rPr>
            </w:pPr>
          </w:p>
        </w:tc>
        <w:tc>
          <w:tcPr>
            <w:tcW w:w="1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(1,102)</w:t>
            </w:r>
          </w:p>
        </w:tc>
        <w:tc>
          <w:tcPr>
            <w:tcW w:w="280" w:type="dxa"/>
            <w:vAlign w:val="bottom"/>
            <w:shd w:val="clear" w:color="auto" w:fill="E5FFFF"/>
          </w:tcPr>
          <w:p>
            <w:pPr>
              <w:spacing w:after="0"/>
              <w:rPr>
                <w:sz w:val="17"/>
                <w:szCs w:val="17"/>
                <w:color w:val="auto"/>
              </w:rPr>
            </w:pPr>
          </w:p>
        </w:tc>
        <w:tc>
          <w:tcPr>
            <w:tcW w:w="780" w:type="dxa"/>
            <w:vAlign w:val="bottom"/>
            <w:tcBorders>
              <w:bottom w:val="single" w:sz="8" w:color="auto"/>
            </w:tcBorders>
            <w:shd w:val="clear" w:color="auto" w:fill="E5FFFF"/>
          </w:tcPr>
          <w:p>
            <w:pPr>
              <w:spacing w:after="0"/>
              <w:rPr>
                <w:sz w:val="17"/>
                <w:szCs w:val="17"/>
                <w:color w:val="auto"/>
              </w:rPr>
            </w:pPr>
          </w:p>
        </w:tc>
        <w:tc>
          <w:tcPr>
            <w:tcW w:w="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w w:val="91"/>
              </w:rPr>
              <w:t>(10)</w:t>
            </w:r>
          </w:p>
        </w:tc>
        <w:tc>
          <w:tcPr>
            <w:tcW w:w="280" w:type="dxa"/>
            <w:vAlign w:val="bottom"/>
            <w:shd w:val="clear" w:color="auto" w:fill="E5FFFF"/>
          </w:tcPr>
          <w:p>
            <w:pPr>
              <w:spacing w:after="0"/>
              <w:rPr>
                <w:sz w:val="17"/>
                <w:szCs w:val="17"/>
                <w:color w:val="auto"/>
              </w:rPr>
            </w:pPr>
          </w:p>
        </w:tc>
        <w:tc>
          <w:tcPr>
            <w:tcW w:w="1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(7,706)</w:t>
            </w:r>
          </w:p>
        </w:tc>
      </w:tr>
      <w:tr>
        <w:trPr>
          <w:trHeight w:val="196"/>
        </w:trPr>
        <w:tc>
          <w:tcPr>
            <w:tcW w:w="3840" w:type="dxa"/>
            <w:vAlign w:val="bottom"/>
          </w:tcPr>
          <w:p>
            <w:pPr>
              <w:spacing w:after="0"/>
              <w:rPr>
                <w:sz w:val="20"/>
                <w:szCs w:val="20"/>
                <w:color w:val="auto"/>
              </w:rPr>
            </w:pPr>
            <w:r>
              <w:rPr>
                <w:rFonts w:ascii="Arial" w:cs="Arial" w:eastAsia="Arial" w:hAnsi="Arial"/>
                <w:sz w:val="16"/>
                <w:szCs w:val="16"/>
                <w:b w:val="1"/>
                <w:bCs w:val="1"/>
                <w:color w:val="auto"/>
              </w:rPr>
              <w:t>As of September 30, 2019</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201,509</w:t>
            </w:r>
          </w:p>
        </w:tc>
        <w:tc>
          <w:tcPr>
            <w:tcW w:w="280" w:type="dxa"/>
            <w:vAlign w:val="bottom"/>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2,148</w:t>
            </w:r>
          </w:p>
        </w:tc>
        <w:tc>
          <w:tcPr>
            <w:tcW w:w="26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4,947</w:t>
            </w:r>
          </w:p>
        </w:tc>
        <w:tc>
          <w:tcPr>
            <w:tcW w:w="28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w:t>
            </w:r>
          </w:p>
        </w:tc>
        <w:tc>
          <w:tcPr>
            <w:tcW w:w="28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208,645</w:t>
            </w:r>
          </w:p>
        </w:tc>
      </w:tr>
      <w:tr>
        <w:trPr>
          <w:trHeight w:val="20"/>
        </w:trPr>
        <w:tc>
          <w:tcPr>
            <w:tcW w:w="38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right="320"/>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The balance as of December 31, 2018 represented the vessel held under finance lease and was included in the financial statement line “Vessel held under finance lease”, which was renamed to</w:t>
      </w:r>
      <w:r>
        <w:rPr>
          <w:rFonts w:ascii="Arial" w:cs="Arial" w:eastAsia="Arial" w:hAnsi="Arial"/>
          <w:sz w:val="16"/>
          <w:szCs w:val="16"/>
          <w:color w:val="auto"/>
        </w:rPr>
        <w:t xml:space="preserve"> </w:t>
      </w:r>
      <w:r>
        <w:rPr>
          <w:rFonts w:ascii="Arial" w:cs="Arial" w:eastAsia="Arial" w:hAnsi="Arial"/>
          <w:sz w:val="14"/>
          <w:szCs w:val="14"/>
          <w:color w:val="auto"/>
        </w:rPr>
        <w:t>“Right-of-use assets” as of January 1, 2019.</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460" w:type="dxa"/>
            <w:vAlign w:val="bottom"/>
          </w:tcPr>
          <w:p>
            <w:pPr>
              <w:ind w:left="440"/>
              <w:spacing w:after="0"/>
              <w:rPr>
                <w:sz w:val="20"/>
                <w:szCs w:val="20"/>
                <w:color w:val="auto"/>
              </w:rPr>
            </w:pPr>
            <w:r>
              <w:rPr>
                <w:rFonts w:ascii="Arial" w:cs="Arial" w:eastAsia="Arial" w:hAnsi="Arial"/>
                <w:sz w:val="16"/>
                <w:szCs w:val="16"/>
                <w:color w:val="auto"/>
              </w:rPr>
              <w:t>An analysis of the lease liabilities is as follows:</w:t>
            </w: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8460" w:type="dxa"/>
            <w:vAlign w:val="bottom"/>
          </w:tcPr>
          <w:p>
            <w:pPr>
              <w:spacing w:after="0"/>
              <w:rPr>
                <w:sz w:val="24"/>
                <w:szCs w:val="24"/>
                <w:color w:val="auto"/>
              </w:rPr>
            </w:pPr>
          </w:p>
        </w:tc>
        <w:tc>
          <w:tcPr>
            <w:tcW w:w="182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Lease Liabilities</w:t>
            </w:r>
          </w:p>
        </w:tc>
        <w:tc>
          <w:tcPr>
            <w:tcW w:w="0" w:type="dxa"/>
            <w:vAlign w:val="bottom"/>
          </w:tcPr>
          <w:p>
            <w:pPr>
              <w:spacing w:after="0"/>
              <w:rPr>
                <w:sz w:val="1"/>
                <w:szCs w:val="1"/>
                <w:color w:val="auto"/>
              </w:rPr>
            </w:pPr>
          </w:p>
        </w:tc>
      </w:tr>
      <w:tr>
        <w:trPr>
          <w:trHeight w:val="202"/>
        </w:trPr>
        <w:tc>
          <w:tcPr>
            <w:tcW w:w="84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As of January 1, 2019</w:t>
            </w:r>
          </w:p>
        </w:tc>
        <w:tc>
          <w:tcPr>
            <w:tcW w:w="17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213,374</w:t>
            </w:r>
          </w:p>
        </w:tc>
        <w:tc>
          <w:tcPr>
            <w:tcW w:w="2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60" w:type="dxa"/>
            <w:vAlign w:val="bottom"/>
          </w:tcPr>
          <w:p>
            <w:pPr>
              <w:spacing w:after="0"/>
              <w:rPr>
                <w:sz w:val="20"/>
                <w:szCs w:val="20"/>
                <w:color w:val="auto"/>
              </w:rPr>
            </w:pPr>
            <w:r>
              <w:rPr>
                <w:rFonts w:ascii="Arial" w:cs="Arial" w:eastAsia="Arial" w:hAnsi="Arial"/>
                <w:sz w:val="16"/>
                <w:szCs w:val="16"/>
                <w:color w:val="auto"/>
              </w:rPr>
              <w:t>Additions</w:t>
            </w:r>
          </w:p>
        </w:tc>
        <w:tc>
          <w:tcPr>
            <w:tcW w:w="1720" w:type="dxa"/>
            <w:vAlign w:val="bottom"/>
            <w:gridSpan w:val="2"/>
          </w:tcPr>
          <w:p>
            <w:pPr>
              <w:jc w:val="right"/>
              <w:ind w:right="20"/>
              <w:spacing w:after="0"/>
              <w:rPr>
                <w:sz w:val="20"/>
                <w:szCs w:val="20"/>
                <w:color w:val="auto"/>
              </w:rPr>
            </w:pPr>
            <w:r>
              <w:rPr>
                <w:rFonts w:ascii="Arial" w:cs="Arial" w:eastAsia="Arial" w:hAnsi="Arial"/>
                <w:sz w:val="16"/>
                <w:szCs w:val="16"/>
                <w:color w:val="auto"/>
              </w:rPr>
              <w:t>1,447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60" w:type="dxa"/>
            <w:vAlign w:val="bottom"/>
            <w:shd w:val="clear" w:color="auto" w:fill="E5FFFF"/>
          </w:tcPr>
          <w:p>
            <w:pPr>
              <w:spacing w:after="0"/>
              <w:rPr>
                <w:sz w:val="20"/>
                <w:szCs w:val="20"/>
                <w:color w:val="auto"/>
              </w:rPr>
            </w:pPr>
            <w:r>
              <w:rPr>
                <w:rFonts w:ascii="Arial" w:cs="Arial" w:eastAsia="Arial" w:hAnsi="Arial"/>
                <w:sz w:val="16"/>
                <w:szCs w:val="16"/>
                <w:color w:val="auto"/>
              </w:rPr>
              <w:t>Lease charge (Note 16)</w:t>
            </w:r>
          </w:p>
        </w:tc>
        <w:tc>
          <w:tcPr>
            <w:tcW w:w="172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7,900</w:t>
            </w: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60" w:type="dxa"/>
            <w:vAlign w:val="bottom"/>
          </w:tcPr>
          <w:p>
            <w:pPr>
              <w:spacing w:after="0"/>
              <w:rPr>
                <w:sz w:val="20"/>
                <w:szCs w:val="20"/>
                <w:color w:val="auto"/>
              </w:rPr>
            </w:pPr>
            <w:r>
              <w:rPr>
                <w:rFonts w:ascii="Arial" w:cs="Arial" w:eastAsia="Arial" w:hAnsi="Arial"/>
                <w:sz w:val="16"/>
                <w:szCs w:val="16"/>
                <w:color w:val="auto"/>
              </w:rPr>
              <w:t>Payments</w:t>
            </w:r>
          </w:p>
        </w:tc>
        <w:tc>
          <w:tcPr>
            <w:tcW w:w="1820" w:type="dxa"/>
            <w:vAlign w:val="bottom"/>
            <w:gridSpan w:val="3"/>
          </w:tcPr>
          <w:p>
            <w:pPr>
              <w:jc w:val="right"/>
              <w:ind w:right="60"/>
              <w:spacing w:after="0"/>
              <w:rPr>
                <w:sz w:val="20"/>
                <w:szCs w:val="20"/>
                <w:color w:val="auto"/>
              </w:rPr>
            </w:pPr>
            <w:r>
              <w:rPr>
                <w:rFonts w:ascii="Arial" w:cs="Arial" w:eastAsia="Arial" w:hAnsi="Arial"/>
                <w:sz w:val="16"/>
                <w:szCs w:val="16"/>
                <w:color w:val="auto"/>
              </w:rPr>
              <w:t>(15,247)</w:t>
            </w:r>
          </w:p>
        </w:tc>
        <w:tc>
          <w:tcPr>
            <w:tcW w:w="0" w:type="dxa"/>
            <w:vAlign w:val="bottom"/>
          </w:tcPr>
          <w:p>
            <w:pPr>
              <w:spacing w:after="0"/>
              <w:rPr>
                <w:sz w:val="1"/>
                <w:szCs w:val="1"/>
                <w:color w:val="auto"/>
              </w:rPr>
            </w:pPr>
          </w:p>
        </w:tc>
      </w:tr>
      <w:tr>
        <w:trPr>
          <w:trHeight w:val="196"/>
        </w:trPr>
        <w:tc>
          <w:tcPr>
            <w:tcW w:w="846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As of September 30, 2019</w:t>
            </w: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207,474</w:t>
            </w:r>
          </w:p>
        </w:tc>
        <w:tc>
          <w:tcPr>
            <w:tcW w:w="20" w:type="dxa"/>
            <w:vAlign w:val="bottom"/>
            <w:tcBorders>
              <w:top w:val="single" w:sz="8" w:color="E5FFFF"/>
              <w:bottom w:val="single" w:sz="8" w:color="E5FFFF"/>
            </w:tcBorders>
            <w:shd w:val="clear" w:color="auto" w:fill="E5FFFF"/>
          </w:tcPr>
          <w:p>
            <w:pPr>
              <w:spacing w:after="0"/>
              <w:rPr>
                <w:sz w:val="17"/>
                <w:szCs w:val="17"/>
                <w:color w:val="auto"/>
              </w:rPr>
            </w:pP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Arial" w:cs="Arial" w:eastAsia="Arial" w:hAnsi="Arial"/>
                <w:sz w:val="16"/>
                <w:szCs w:val="16"/>
                <w:color w:val="auto"/>
              </w:rPr>
              <w:t>Lease liability, current portion</w:t>
            </w:r>
          </w:p>
        </w:tc>
        <w:tc>
          <w:tcPr>
            <w:tcW w:w="1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60" w:type="dxa"/>
            <w:vAlign w:val="bottom"/>
            <w:vMerge w:val="continue"/>
          </w:tcPr>
          <w:p>
            <w:pPr>
              <w:spacing w:after="0"/>
              <w:rPr>
                <w:sz w:val="15"/>
                <w:szCs w:val="15"/>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9,280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460" w:type="dxa"/>
            <w:vAlign w:val="bottom"/>
            <w:shd w:val="clear" w:color="auto" w:fill="E5FFFF"/>
          </w:tcPr>
          <w:p>
            <w:pPr>
              <w:spacing w:after="0"/>
              <w:rPr>
                <w:sz w:val="20"/>
                <w:szCs w:val="20"/>
                <w:color w:val="auto"/>
              </w:rPr>
            </w:pPr>
            <w:r>
              <w:rPr>
                <w:rFonts w:ascii="Arial" w:cs="Arial" w:eastAsia="Arial" w:hAnsi="Arial"/>
                <w:sz w:val="16"/>
                <w:szCs w:val="16"/>
                <w:color w:val="auto"/>
              </w:rPr>
              <w:t>Lease liability, non-current portion</w:t>
            </w:r>
          </w:p>
        </w:tc>
        <w:tc>
          <w:tcPr>
            <w:tcW w:w="172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198,194</w:t>
            </w: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6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207,474</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140" w:firstLine="383"/>
        <w:spacing w:after="0" w:line="293" w:lineRule="auto"/>
        <w:rPr>
          <w:sz w:val="20"/>
          <w:szCs w:val="20"/>
          <w:color w:val="auto"/>
        </w:rPr>
      </w:pPr>
      <w:r>
        <w:rPr>
          <w:rFonts w:ascii="Arial" w:cs="Arial" w:eastAsia="Arial" w:hAnsi="Arial"/>
          <w:sz w:val="16"/>
          <w:szCs w:val="16"/>
          <w:color w:val="auto"/>
        </w:rPr>
        <w:t>An amount of $78 has been recognized in the unaudited condensed consolidated statement of profit or loss for the quarter ending September 30, 2019, which represents the lease expense incurred for low value leases not included in the measurement of the right-of-use assets and the lease liability.</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Borrowings</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An analysis of the borrowings is as follows: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194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w w:val="99"/>
              </w:rPr>
              <w:t>December 31, 2018</w:t>
            </w:r>
          </w:p>
        </w:tc>
        <w:tc>
          <w:tcPr>
            <w:tcW w:w="170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97"/>
              </w:rPr>
              <w:t>September 30, 2019</w:t>
            </w:r>
          </w:p>
        </w:tc>
      </w:tr>
      <w:tr>
        <w:trPr>
          <w:trHeight w:val="202"/>
        </w:trPr>
        <w:tc>
          <w:tcPr>
            <w:tcW w:w="77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Amounts due within one year</w:t>
            </w:r>
          </w:p>
        </w:tc>
        <w:tc>
          <w:tcPr>
            <w:tcW w:w="16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531,209</w:t>
            </w:r>
          </w:p>
        </w:tc>
        <w:tc>
          <w:tcPr>
            <w:tcW w:w="340" w:type="dxa"/>
            <w:vAlign w:val="bottom"/>
            <w:tcBorders>
              <w:top w:val="single" w:sz="8" w:color="E5FFFF"/>
            </w:tcBorders>
            <w:shd w:val="clear" w:color="auto" w:fill="E5FFFF"/>
          </w:tcPr>
          <w:p>
            <w:pPr>
              <w:spacing w:after="0"/>
              <w:rPr>
                <w:sz w:val="17"/>
                <w:szCs w:val="17"/>
                <w:color w:val="auto"/>
              </w:rPr>
            </w:pPr>
          </w:p>
        </w:tc>
        <w:tc>
          <w:tcPr>
            <w:tcW w:w="16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218,857</w:t>
            </w:r>
          </w:p>
        </w:tc>
        <w:tc>
          <w:tcPr>
            <w:tcW w:w="2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r>
      <w:tr>
        <w:trPr>
          <w:trHeight w:val="203"/>
        </w:trPr>
        <w:tc>
          <w:tcPr>
            <w:tcW w:w="7780" w:type="dxa"/>
            <w:vAlign w:val="bottom"/>
          </w:tcPr>
          <w:p>
            <w:pPr>
              <w:spacing w:after="0"/>
              <w:rPr>
                <w:sz w:val="20"/>
                <w:szCs w:val="20"/>
                <w:color w:val="auto"/>
              </w:rPr>
            </w:pPr>
            <w:r>
              <w:rPr>
                <w:rFonts w:ascii="Arial" w:cs="Arial" w:eastAsia="Arial" w:hAnsi="Arial"/>
                <w:sz w:val="16"/>
                <w:szCs w:val="16"/>
                <w:color w:val="auto"/>
              </w:rPr>
              <w:t>Less: unamortized deferred loan/bond issuance costs</w:t>
            </w:r>
          </w:p>
        </w:tc>
        <w:tc>
          <w:tcPr>
            <w:tcW w:w="1940" w:type="dxa"/>
            <w:vAlign w:val="bottom"/>
            <w:gridSpan w:val="2"/>
          </w:tcPr>
          <w:p>
            <w:pPr>
              <w:jc w:val="right"/>
              <w:ind w:right="280"/>
              <w:spacing w:after="0"/>
              <w:rPr>
                <w:sz w:val="20"/>
                <w:szCs w:val="20"/>
                <w:color w:val="auto"/>
              </w:rPr>
            </w:pPr>
            <w:r>
              <w:rPr>
                <w:rFonts w:ascii="Arial" w:cs="Arial" w:eastAsia="Arial" w:hAnsi="Arial"/>
                <w:sz w:val="16"/>
                <w:szCs w:val="16"/>
                <w:color w:val="auto"/>
              </w:rPr>
              <w:t>(10,659)</w:t>
            </w:r>
          </w:p>
        </w:tc>
        <w:tc>
          <w:tcPr>
            <w:tcW w:w="1700" w:type="dxa"/>
            <w:vAlign w:val="bottom"/>
            <w:gridSpan w:val="3"/>
          </w:tcPr>
          <w:p>
            <w:pPr>
              <w:jc w:val="right"/>
              <w:ind w:right="60"/>
              <w:spacing w:after="0"/>
              <w:rPr>
                <w:sz w:val="20"/>
                <w:szCs w:val="20"/>
                <w:color w:val="auto"/>
              </w:rPr>
            </w:pPr>
            <w:r>
              <w:rPr>
                <w:rFonts w:ascii="Arial" w:cs="Arial" w:eastAsia="Arial" w:hAnsi="Arial"/>
                <w:sz w:val="16"/>
                <w:szCs w:val="16"/>
                <w:color w:val="auto"/>
              </w:rPr>
              <w:t>(11,233)</w:t>
            </w:r>
          </w:p>
        </w:tc>
      </w:tr>
      <w:tr>
        <w:trPr>
          <w:trHeight w:val="196"/>
        </w:trPr>
        <w:tc>
          <w:tcPr>
            <w:tcW w:w="77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Borrowings, current portion</w:t>
            </w:r>
          </w:p>
        </w:tc>
        <w:tc>
          <w:tcPr>
            <w:tcW w:w="16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520,550</w:t>
            </w:r>
          </w:p>
        </w:tc>
        <w:tc>
          <w:tcPr>
            <w:tcW w:w="340" w:type="dxa"/>
            <w:vAlign w:val="bottom"/>
            <w:tcBorders>
              <w:top w:val="single" w:sz="8" w:color="E5FFFF"/>
            </w:tcBorders>
            <w:shd w:val="clear" w:color="auto" w:fill="E5FFFF"/>
          </w:tcPr>
          <w:p>
            <w:pPr>
              <w:spacing w:after="0"/>
              <w:rPr>
                <w:sz w:val="17"/>
                <w:szCs w:val="17"/>
                <w:color w:val="auto"/>
              </w:rPr>
            </w:pPr>
          </w:p>
        </w:tc>
        <w:tc>
          <w:tcPr>
            <w:tcW w:w="16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207,624</w:t>
            </w:r>
          </w:p>
        </w:tc>
        <w:tc>
          <w:tcPr>
            <w:tcW w:w="2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r>
      <w:tr>
        <w:trPr>
          <w:trHeight w:val="196"/>
        </w:trPr>
        <w:tc>
          <w:tcPr>
            <w:tcW w:w="7780" w:type="dxa"/>
            <w:vAlign w:val="bottom"/>
          </w:tcPr>
          <w:p>
            <w:pPr>
              <w:spacing w:after="0"/>
              <w:rPr>
                <w:sz w:val="20"/>
                <w:szCs w:val="20"/>
                <w:color w:val="auto"/>
              </w:rPr>
            </w:pPr>
            <w:r>
              <w:rPr>
                <w:rFonts w:ascii="Arial" w:cs="Arial" w:eastAsia="Arial" w:hAnsi="Arial"/>
                <w:sz w:val="16"/>
                <w:szCs w:val="16"/>
                <w:color w:val="auto"/>
              </w:rPr>
              <w:t>Amounts due after one year</w:t>
            </w:r>
          </w:p>
        </w:tc>
        <w:tc>
          <w:tcPr>
            <w:tcW w:w="1600" w:type="dxa"/>
            <w:vAlign w:val="bottom"/>
          </w:tcPr>
          <w:p>
            <w:pPr>
              <w:jc w:val="right"/>
              <w:spacing w:after="0"/>
              <w:rPr>
                <w:sz w:val="20"/>
                <w:szCs w:val="20"/>
                <w:color w:val="auto"/>
              </w:rPr>
            </w:pPr>
            <w:r>
              <w:rPr>
                <w:rFonts w:ascii="Arial" w:cs="Arial" w:eastAsia="Arial" w:hAnsi="Arial"/>
                <w:sz w:val="16"/>
                <w:szCs w:val="16"/>
                <w:color w:val="auto"/>
              </w:rPr>
              <w:t>2,344,389</w:t>
            </w:r>
          </w:p>
        </w:tc>
        <w:tc>
          <w:tcPr>
            <w:tcW w:w="3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2,939,051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780" w:type="dxa"/>
            <w:vAlign w:val="bottom"/>
            <w:shd w:val="clear" w:color="auto" w:fill="E5FFFF"/>
          </w:tcPr>
          <w:p>
            <w:pPr>
              <w:spacing w:after="0"/>
              <w:rPr>
                <w:sz w:val="20"/>
                <w:szCs w:val="20"/>
                <w:color w:val="auto"/>
              </w:rPr>
            </w:pPr>
            <w:r>
              <w:rPr>
                <w:rFonts w:ascii="Arial" w:cs="Arial" w:eastAsia="Arial" w:hAnsi="Arial"/>
                <w:sz w:val="16"/>
                <w:szCs w:val="16"/>
                <w:color w:val="auto"/>
              </w:rPr>
              <w:t>Plus: unamortized premium</w:t>
            </w:r>
          </w:p>
        </w:tc>
        <w:tc>
          <w:tcPr>
            <w:tcW w:w="1940" w:type="dxa"/>
            <w:vAlign w:val="bottom"/>
            <w:gridSpan w:val="2"/>
            <w:shd w:val="clear" w:color="auto" w:fill="E5FFFF"/>
          </w:tcPr>
          <w:p>
            <w:pPr>
              <w:jc w:val="right"/>
              <w:ind w:right="340"/>
              <w:spacing w:after="0"/>
              <w:rPr>
                <w:sz w:val="20"/>
                <w:szCs w:val="20"/>
                <w:color w:val="auto"/>
              </w:rPr>
            </w:pPr>
            <w:r>
              <w:rPr>
                <w:rFonts w:ascii="Arial" w:cs="Arial" w:eastAsia="Arial" w:hAnsi="Arial"/>
                <w:sz w:val="16"/>
                <w:szCs w:val="16"/>
                <w:color w:val="auto"/>
              </w:rPr>
              <w:t>—</w:t>
            </w:r>
          </w:p>
        </w:tc>
        <w:tc>
          <w:tcPr>
            <w:tcW w:w="162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1,624</w:t>
            </w:r>
          </w:p>
        </w:tc>
        <w:tc>
          <w:tcPr>
            <w:tcW w:w="80" w:type="dxa"/>
            <w:vAlign w:val="bottom"/>
            <w:shd w:val="clear" w:color="auto" w:fill="E5FFFF"/>
          </w:tcPr>
          <w:p>
            <w:pPr>
              <w:spacing w:after="0"/>
              <w:rPr>
                <w:sz w:val="17"/>
                <w:szCs w:val="17"/>
                <w:color w:val="auto"/>
              </w:rPr>
            </w:pPr>
          </w:p>
        </w:tc>
      </w:tr>
      <w:tr>
        <w:trPr>
          <w:trHeight w:val="203"/>
        </w:trPr>
        <w:tc>
          <w:tcPr>
            <w:tcW w:w="7780" w:type="dxa"/>
            <w:vAlign w:val="bottom"/>
          </w:tcPr>
          <w:p>
            <w:pPr>
              <w:spacing w:after="0"/>
              <w:rPr>
                <w:sz w:val="20"/>
                <w:szCs w:val="20"/>
                <w:color w:val="auto"/>
              </w:rPr>
            </w:pPr>
            <w:r>
              <w:rPr>
                <w:rFonts w:ascii="Arial" w:cs="Arial" w:eastAsia="Arial" w:hAnsi="Arial"/>
                <w:sz w:val="16"/>
                <w:szCs w:val="16"/>
                <w:color w:val="auto"/>
              </w:rPr>
              <w:t>Less: unamortized deferred loan/bond issuance costs</w:t>
            </w:r>
          </w:p>
        </w:tc>
        <w:tc>
          <w:tcPr>
            <w:tcW w:w="1940" w:type="dxa"/>
            <w:vAlign w:val="bottom"/>
            <w:gridSpan w:val="2"/>
          </w:tcPr>
          <w:p>
            <w:pPr>
              <w:jc w:val="right"/>
              <w:ind w:right="280"/>
              <w:spacing w:after="0"/>
              <w:rPr>
                <w:sz w:val="20"/>
                <w:szCs w:val="20"/>
                <w:color w:val="auto"/>
              </w:rPr>
            </w:pPr>
            <w:r>
              <w:rPr>
                <w:rFonts w:ascii="Arial" w:cs="Arial" w:eastAsia="Arial" w:hAnsi="Arial"/>
                <w:sz w:val="16"/>
                <w:szCs w:val="16"/>
                <w:color w:val="auto"/>
              </w:rPr>
              <w:t>(36,480)</w:t>
            </w:r>
          </w:p>
        </w:tc>
        <w:tc>
          <w:tcPr>
            <w:tcW w:w="1700" w:type="dxa"/>
            <w:vAlign w:val="bottom"/>
            <w:gridSpan w:val="3"/>
          </w:tcPr>
          <w:p>
            <w:pPr>
              <w:jc w:val="right"/>
              <w:ind w:right="60"/>
              <w:spacing w:after="0"/>
              <w:rPr>
                <w:sz w:val="20"/>
                <w:szCs w:val="20"/>
                <w:color w:val="auto"/>
              </w:rPr>
            </w:pPr>
            <w:r>
              <w:rPr>
                <w:rFonts w:ascii="Arial" w:cs="Arial" w:eastAsia="Arial" w:hAnsi="Arial"/>
                <w:sz w:val="16"/>
                <w:szCs w:val="16"/>
                <w:color w:val="auto"/>
              </w:rPr>
              <w:t>(40,510)</w:t>
            </w:r>
          </w:p>
        </w:tc>
      </w:tr>
      <w:tr>
        <w:trPr>
          <w:trHeight w:val="196"/>
        </w:trPr>
        <w:tc>
          <w:tcPr>
            <w:tcW w:w="77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Borrowings, non-current portion</w:t>
            </w:r>
          </w:p>
        </w:tc>
        <w:tc>
          <w:tcPr>
            <w:tcW w:w="16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2,307,909</w:t>
            </w:r>
          </w:p>
        </w:tc>
        <w:tc>
          <w:tcPr>
            <w:tcW w:w="340" w:type="dxa"/>
            <w:vAlign w:val="bottom"/>
            <w:tcBorders>
              <w:top w:val="single" w:sz="8" w:color="E5FFFF"/>
            </w:tcBorders>
            <w:shd w:val="clear" w:color="auto" w:fill="E5FFFF"/>
          </w:tcPr>
          <w:p>
            <w:pPr>
              <w:spacing w:after="0"/>
              <w:rPr>
                <w:sz w:val="17"/>
                <w:szCs w:val="17"/>
                <w:color w:val="auto"/>
              </w:rPr>
            </w:pPr>
          </w:p>
        </w:tc>
        <w:tc>
          <w:tcPr>
            <w:tcW w:w="16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2,900,165</w:t>
            </w:r>
          </w:p>
        </w:tc>
        <w:tc>
          <w:tcPr>
            <w:tcW w:w="2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r>
      <w:tr>
        <w:trPr>
          <w:trHeight w:val="196"/>
        </w:trPr>
        <w:tc>
          <w:tcPr>
            <w:tcW w:w="778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2,828,459</w:t>
            </w:r>
          </w:p>
        </w:tc>
        <w:tc>
          <w:tcPr>
            <w:tcW w:w="34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3,107,789</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77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Bank Loans</w:t>
      </w:r>
    </w:p>
    <w:p>
      <w:pPr>
        <w:spacing w:after="0" w:line="221" w:lineRule="exact"/>
        <w:rPr>
          <w:sz w:val="20"/>
          <w:szCs w:val="20"/>
          <w:color w:val="auto"/>
        </w:rPr>
      </w:pPr>
    </w:p>
    <w:p>
      <w:pPr>
        <w:ind w:right="240" w:firstLine="383"/>
        <w:spacing w:after="0" w:line="293" w:lineRule="auto"/>
        <w:rPr>
          <w:sz w:val="20"/>
          <w:szCs w:val="20"/>
          <w:color w:val="auto"/>
        </w:rPr>
      </w:pPr>
      <w:r>
        <w:rPr>
          <w:rFonts w:ascii="Arial" w:cs="Arial" w:eastAsia="Arial" w:hAnsi="Arial"/>
          <w:sz w:val="16"/>
          <w:szCs w:val="16"/>
          <w:color w:val="auto"/>
        </w:rPr>
        <w:t>The main terms of the Group’s loan facilities in existence as of December 31, 2018 have been disclosed in the annual audited consolidated financial statements for the year ended December 31, 2018. Refer to Note 13 “Borrowings”.</w:t>
      </w:r>
    </w:p>
    <w:p>
      <w:pPr>
        <w:spacing w:after="0" w:line="159" w:lineRule="exact"/>
        <w:rPr>
          <w:sz w:val="20"/>
          <w:szCs w:val="20"/>
          <w:color w:val="auto"/>
        </w:rPr>
      </w:pPr>
    </w:p>
    <w:p>
      <w:pPr>
        <w:ind w:right="400" w:firstLine="383"/>
        <w:spacing w:after="0" w:line="293" w:lineRule="auto"/>
        <w:rPr>
          <w:sz w:val="20"/>
          <w:szCs w:val="20"/>
          <w:color w:val="auto"/>
        </w:rPr>
      </w:pPr>
      <w:r>
        <w:rPr>
          <w:rFonts w:ascii="Arial" w:cs="Arial" w:eastAsia="Arial" w:hAnsi="Arial"/>
          <w:sz w:val="16"/>
          <w:szCs w:val="16"/>
          <w:color w:val="auto"/>
        </w:rPr>
        <w:t xml:space="preserve">During the nine months ended September 30, 2019, the Group drew down $165,805 and $129,500 to partially finance the delivery of the </w:t>
      </w:r>
      <w:r>
        <w:rPr>
          <w:rFonts w:ascii="Arial" w:cs="Arial" w:eastAsia="Arial" w:hAnsi="Arial"/>
          <w:sz w:val="16"/>
          <w:szCs w:val="16"/>
          <w:i w:val="1"/>
          <w:iCs w:val="1"/>
          <w:color w:val="auto"/>
        </w:rPr>
        <w:t>GasLog Gladstone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Warsaw</w:t>
      </w:r>
      <w:r>
        <w:rPr>
          <w:rFonts w:ascii="Arial" w:cs="Arial" w:eastAsia="Arial" w:hAnsi="Arial"/>
          <w:sz w:val="16"/>
          <w:szCs w:val="16"/>
          <w:color w:val="auto"/>
        </w:rPr>
        <w:t>, respectively, and repaid $165,004 in accordance with the repayment terms under its loan facilities.</w:t>
      </w:r>
    </w:p>
    <w:p>
      <w:pPr>
        <w:spacing w:after="0" w:line="159"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u w:val="single" w:color="auto"/>
          <w:color w:val="auto"/>
        </w:rPr>
        <w:t>2019 Partnership Facility</w:t>
      </w:r>
    </w:p>
    <w:p>
      <w:pPr>
        <w:spacing w:after="0" w:line="221" w:lineRule="exact"/>
        <w:rPr>
          <w:sz w:val="20"/>
          <w:szCs w:val="20"/>
          <w:color w:val="auto"/>
        </w:rPr>
      </w:pPr>
    </w:p>
    <w:p>
      <w:pPr>
        <w:ind w:right="60" w:firstLine="405"/>
        <w:spacing w:after="0" w:line="291" w:lineRule="auto"/>
        <w:rPr>
          <w:sz w:val="20"/>
          <w:szCs w:val="20"/>
          <w:color w:val="auto"/>
        </w:rPr>
      </w:pPr>
      <w:r>
        <w:rPr>
          <w:rFonts w:ascii="Arial" w:cs="Arial" w:eastAsia="Arial" w:hAnsi="Arial"/>
          <w:sz w:val="15"/>
          <w:szCs w:val="15"/>
          <w:color w:val="auto"/>
        </w:rPr>
        <w:t xml:space="preserve">On February 20, 2019, GAS-three Ltd., GAS-four Ltd., GAS-five Ltd., GAS-sixteen Ltd., GAS-seventeen Ltd., GasLog Partners and GasLog Partners Holdings LLC entered into a loan agreement with Credit Suisse AG, Nordea Bank Abp, filial i Norge (“Nordea”) and Iyo Bank Ltd., Singapore Branch, each an original lender and Nordea acting as security agent and trustee for and on behalf of the other finance parties mentioned above, for a credit facility for up to $450,000 (the “2019 Partnership Facility”) for the purpose of refinancing in full the existing facility agreement dated November 12, 2014, with Citibank N.A., London Branch, acting as security agent and trustee (the “Existing Partnership Facility”). Subsequently on the same date, the Development Bank of Japan, Inc. entered the facility as lender via transfer certificate. The vessels covered by the 2019 Partnership Facility are the </w:t>
      </w:r>
      <w:r>
        <w:rPr>
          <w:rFonts w:ascii="Arial" w:cs="Arial" w:eastAsia="Arial" w:hAnsi="Arial"/>
          <w:sz w:val="15"/>
          <w:szCs w:val="15"/>
          <w:i w:val="1"/>
          <w:iCs w:val="1"/>
          <w:color w:val="auto"/>
        </w:rPr>
        <w:t>GasLog Shanghai</w:t>
      </w:r>
      <w:r>
        <w:rPr>
          <w:rFonts w:ascii="Arial" w:cs="Arial" w:eastAsia="Arial" w:hAnsi="Arial"/>
          <w:sz w:val="15"/>
          <w:szCs w:val="15"/>
          <w:color w:val="auto"/>
        </w:rPr>
        <w:t xml:space="preserve">, the </w:t>
      </w:r>
      <w:r>
        <w:rPr>
          <w:rFonts w:ascii="Arial" w:cs="Arial" w:eastAsia="Arial" w:hAnsi="Arial"/>
          <w:sz w:val="15"/>
          <w:szCs w:val="15"/>
          <w:i w:val="1"/>
          <w:iCs w:val="1"/>
          <w:color w:val="auto"/>
        </w:rPr>
        <w:t>GasLog Santiago</w:t>
      </w:r>
      <w:r>
        <w:rPr>
          <w:rFonts w:ascii="Arial" w:cs="Arial" w:eastAsia="Arial" w:hAnsi="Arial"/>
          <w:sz w:val="15"/>
          <w:szCs w:val="15"/>
          <w:color w:val="auto"/>
        </w:rPr>
        <w:t xml:space="preserve">, the </w:t>
      </w:r>
      <w:r>
        <w:rPr>
          <w:rFonts w:ascii="Arial" w:cs="Arial" w:eastAsia="Arial" w:hAnsi="Arial"/>
          <w:sz w:val="15"/>
          <w:szCs w:val="15"/>
          <w:i w:val="1"/>
          <w:iCs w:val="1"/>
          <w:color w:val="auto"/>
        </w:rPr>
        <w:t>GasLog Sydney</w:t>
      </w:r>
      <w:r>
        <w:rPr>
          <w:rFonts w:ascii="Arial" w:cs="Arial" w:eastAsia="Arial" w:hAnsi="Arial"/>
          <w:sz w:val="15"/>
          <w:szCs w:val="15"/>
          <w:color w:val="auto"/>
        </w:rPr>
        <w:t xml:space="preserve">, the </w:t>
      </w:r>
      <w:r>
        <w:rPr>
          <w:rFonts w:ascii="Arial" w:cs="Arial" w:eastAsia="Arial" w:hAnsi="Arial"/>
          <w:sz w:val="15"/>
          <w:szCs w:val="15"/>
          <w:i w:val="1"/>
          <w:iCs w:val="1"/>
          <w:color w:val="auto"/>
        </w:rPr>
        <w:t>Methane Rita Andrea</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Methane Jane Elizabeth</w:t>
      </w:r>
      <w:r>
        <w:rPr>
          <w:rFonts w:ascii="Arial" w:cs="Arial" w:eastAsia="Arial" w:hAnsi="Arial"/>
          <w:sz w:val="15"/>
          <w:szCs w:val="15"/>
          <w:color w:val="auto"/>
        </w:rPr>
        <w:t>.</w:t>
      </w:r>
    </w:p>
    <w:p>
      <w:pPr>
        <w:spacing w:after="0" w:line="163" w:lineRule="exact"/>
        <w:rPr>
          <w:sz w:val="20"/>
          <w:szCs w:val="20"/>
          <w:color w:val="auto"/>
        </w:rPr>
      </w:pPr>
    </w:p>
    <w:p>
      <w:pPr>
        <w:ind w:right="20" w:firstLine="405"/>
        <w:spacing w:after="0" w:line="273" w:lineRule="auto"/>
        <w:rPr>
          <w:sz w:val="20"/>
          <w:szCs w:val="20"/>
          <w:color w:val="auto"/>
        </w:rPr>
      </w:pPr>
      <w:r>
        <w:rPr>
          <w:rFonts w:ascii="Arial" w:cs="Arial" w:eastAsia="Arial" w:hAnsi="Arial"/>
          <w:sz w:val="16"/>
          <w:szCs w:val="16"/>
          <w:color w:val="auto"/>
        </w:rPr>
        <w:t>The agreement provides for an amortizing revolving credit facility which can be repaid and redrawn at any time, subject to the outstanding amount immediately after any drawdown not exceeding (i) 75% of the aggregate of the market values of all vessels under the agreement, or (ii) the total facility amount. The total facility amount reduces in 20 equal quarterly amounts of $7,357, with a final balloon amount of up to $302,860 together with the last quarterly reduction in February 2024. The credit facility bears interest at London Interbank Offered Rate (“LIBOR”) plus a margin.</w:t>
      </w:r>
    </w:p>
    <w:p>
      <w:pPr>
        <w:spacing w:after="0" w:line="176" w:lineRule="exact"/>
        <w:rPr>
          <w:sz w:val="20"/>
          <w:szCs w:val="20"/>
          <w:color w:val="auto"/>
        </w:rPr>
      </w:pPr>
    </w:p>
    <w:p>
      <w:pPr>
        <w:ind w:right="40" w:firstLine="405"/>
        <w:spacing w:after="0" w:line="305" w:lineRule="auto"/>
        <w:rPr>
          <w:sz w:val="20"/>
          <w:szCs w:val="20"/>
          <w:color w:val="auto"/>
        </w:rPr>
      </w:pPr>
      <w:r>
        <w:rPr>
          <w:rFonts w:ascii="Arial" w:cs="Arial" w:eastAsia="Arial" w:hAnsi="Arial"/>
          <w:sz w:val="15"/>
          <w:szCs w:val="15"/>
          <w:color w:val="auto"/>
        </w:rPr>
        <w:t xml:space="preserve">The obligations under the 2019 Partnership Facility are secured by a first priority mortgage over the vessels, a pledge of the share capital of the respective vessel-owning companies and a first priority assignment of earnings related to the vessels (excluding the </w:t>
      </w:r>
      <w:r>
        <w:rPr>
          <w:rFonts w:ascii="Arial" w:cs="Arial" w:eastAsia="Arial" w:hAnsi="Arial"/>
          <w:sz w:val="15"/>
          <w:szCs w:val="15"/>
          <w:i w:val="1"/>
          <w:iCs w:val="1"/>
          <w:color w:val="auto"/>
        </w:rPr>
        <w:t>GasLog Shanghai</w:t>
      </w:r>
      <w:r>
        <w:rPr>
          <w:rFonts w:ascii="Arial" w:cs="Arial" w:eastAsia="Arial" w:hAnsi="Arial"/>
          <w:sz w:val="15"/>
          <w:szCs w:val="15"/>
          <w:color w:val="auto"/>
        </w:rPr>
        <w:t>), including charter revenue, management revenue and any insurance and requisition compensation. The obligations under the facility are guaranteed by the Partnership and GasLog Partners Holdings LLC.</w:t>
      </w:r>
    </w:p>
    <w:p>
      <w:pPr>
        <w:spacing w:after="0" w:line="153" w:lineRule="exact"/>
        <w:rPr>
          <w:sz w:val="20"/>
          <w:szCs w:val="20"/>
          <w:color w:val="auto"/>
        </w:rPr>
      </w:pPr>
    </w:p>
    <w:p>
      <w:pPr>
        <w:ind w:right="300" w:firstLine="405"/>
        <w:spacing w:after="0" w:line="293" w:lineRule="auto"/>
        <w:rPr>
          <w:sz w:val="20"/>
          <w:szCs w:val="20"/>
          <w:color w:val="auto"/>
        </w:rPr>
      </w:pPr>
      <w:r>
        <w:rPr>
          <w:rFonts w:ascii="Arial" w:cs="Arial" w:eastAsia="Arial" w:hAnsi="Arial"/>
          <w:sz w:val="16"/>
          <w:szCs w:val="16"/>
          <w:color w:val="auto"/>
        </w:rPr>
        <w:t>The 2019 Partnership Facility is subject to specified financial covenants that apply to GasLog Partners on a consolidated basis. These financial covenants include the following:</w:t>
      </w:r>
    </w:p>
    <w:p>
      <w:pPr>
        <w:spacing w:after="0" w:line="172" w:lineRule="exact"/>
        <w:rPr>
          <w:sz w:val="20"/>
          <w:szCs w:val="20"/>
          <w:color w:val="auto"/>
        </w:rPr>
      </w:pPr>
    </w:p>
    <w:p>
      <w:pPr>
        <w:ind w:left="380" w:right="220" w:hanging="329"/>
        <w:spacing w:after="0" w:line="251" w:lineRule="auto"/>
        <w:tabs>
          <w:tab w:leader="none" w:pos="386" w:val="left"/>
        </w:tabs>
        <w:numPr>
          <w:ilvl w:val="0"/>
          <w:numId w:val="19"/>
        </w:numPr>
        <w:rPr>
          <w:rFonts w:ascii="Arial" w:cs="Arial" w:eastAsia="Arial" w:hAnsi="Arial"/>
          <w:sz w:val="18"/>
          <w:szCs w:val="18"/>
          <w:color w:val="auto"/>
        </w:rPr>
      </w:pPr>
      <w:r>
        <w:rPr>
          <w:rFonts w:ascii="Arial" w:cs="Arial" w:eastAsia="Arial" w:hAnsi="Arial"/>
          <w:sz w:val="16"/>
          <w:szCs w:val="16"/>
          <w:color w:val="auto"/>
        </w:rPr>
        <w:t>the aggregate amount of cash and cash equivalents, short-term investments and available undrawn facilities with remaining maturities of at least six months (excluding loans from affiliates) must be at least $45,000;</w:t>
      </w:r>
    </w:p>
    <w:p>
      <w:pPr>
        <w:spacing w:after="0" w:line="9" w:lineRule="exact"/>
        <w:rPr>
          <w:rFonts w:ascii="Arial" w:cs="Arial" w:eastAsia="Arial" w:hAnsi="Arial"/>
          <w:sz w:val="18"/>
          <w:szCs w:val="18"/>
          <w:color w:val="auto"/>
        </w:rPr>
      </w:pPr>
    </w:p>
    <w:p>
      <w:pPr>
        <w:ind w:left="380" w:hanging="329"/>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6"/>
          <w:szCs w:val="16"/>
          <w:color w:val="auto"/>
        </w:rPr>
        <w:t>total indebtedness divided by total assets must be less than 65.0%; and</w:t>
      </w:r>
    </w:p>
    <w:p>
      <w:pPr>
        <w:spacing w:after="0" w:line="9" w:lineRule="exact"/>
        <w:rPr>
          <w:rFonts w:ascii="Arial" w:cs="Arial" w:eastAsia="Arial" w:hAnsi="Arial"/>
          <w:sz w:val="18"/>
          <w:szCs w:val="18"/>
          <w:color w:val="auto"/>
        </w:rPr>
      </w:pPr>
    </w:p>
    <w:p>
      <w:pPr>
        <w:ind w:left="380" w:right="100" w:hanging="329"/>
        <w:spacing w:after="0" w:line="263" w:lineRule="auto"/>
        <w:tabs>
          <w:tab w:leader="none" w:pos="386" w:val="left"/>
        </w:tabs>
        <w:numPr>
          <w:ilvl w:val="0"/>
          <w:numId w:val="19"/>
        </w:numPr>
        <w:rPr>
          <w:rFonts w:ascii="Arial" w:cs="Arial" w:eastAsia="Arial" w:hAnsi="Arial"/>
          <w:sz w:val="18"/>
          <w:szCs w:val="18"/>
          <w:color w:val="auto"/>
        </w:rPr>
      </w:pPr>
      <w:r>
        <w:rPr>
          <w:rFonts w:ascii="Arial" w:cs="Arial" w:eastAsia="Arial" w:hAnsi="Arial"/>
          <w:sz w:val="16"/>
          <w:szCs w:val="16"/>
          <w:color w:val="auto"/>
        </w:rPr>
        <w:t>the Partnership is permitted to declare or pay any dividends or distributions, subject to no event of default having occurred or occurring as a consequence of the payment of such dividends or distributions.</w:t>
      </w:r>
    </w:p>
    <w:p>
      <w:pPr>
        <w:spacing w:after="0" w:line="179" w:lineRule="exact"/>
        <w:rPr>
          <w:sz w:val="20"/>
          <w:szCs w:val="20"/>
          <w:color w:val="auto"/>
        </w:rPr>
      </w:pPr>
    </w:p>
    <w:p>
      <w:pPr>
        <w:ind w:right="60" w:firstLine="405"/>
        <w:spacing w:after="0" w:line="289" w:lineRule="auto"/>
        <w:rPr>
          <w:sz w:val="20"/>
          <w:szCs w:val="20"/>
          <w:color w:val="auto"/>
        </w:rPr>
      </w:pPr>
      <w:r>
        <w:rPr>
          <w:rFonts w:ascii="Arial" w:cs="Arial" w:eastAsia="Arial" w:hAnsi="Arial"/>
          <w:sz w:val="15"/>
          <w:szCs w:val="15"/>
          <w:color w:val="auto"/>
        </w:rPr>
        <w:t>The 2019 Partnership Facility contains customary events of default, including non-payment of principal or interest, breach of covenants or material inaccuracy of representations, default under other material indebtedness and bankruptcy as well as an event of default in the event of the cancellation, rescission, frustration or withdrawal of a charter agreement prior to its scheduled expiration, if certain prepayment and security provisions are not met. In addition, the 2019 Partnership Facility contains covenants requiring us and certain of our subsidiaries to maintain the aggregate of (i) the market value, on a charter exclusive basis, of the mortgaged vessel or vessels and (ii) the market value of any additional security provided to the lenders, at a total value not less than 120.0% of the then-outstanding amount under the facility. If GasLog Partners fails to comply with these covenants and is not able to obtain covenant waivers or modifications, its lenders could require it to make prepayments or provide additional collateral sufficient to bring it into compliance with such covenants, and if it fails to do so its lenders could accelerate our indebtedness.</w:t>
      </w:r>
    </w:p>
    <w:p>
      <w:pPr>
        <w:spacing w:after="0" w:line="167"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The 2019 Partnership Facility also imposes certain restrictions relating to the Partnership, including restrictions that limit its ability to make any substantial change in the nature of its business or to the partnership structure without approval from the lenders.</w:t>
      </w:r>
    </w:p>
    <w:p>
      <w:pPr>
        <w:spacing w:after="0" w:line="159" w:lineRule="exact"/>
        <w:rPr>
          <w:sz w:val="20"/>
          <w:szCs w:val="20"/>
          <w:color w:val="auto"/>
        </w:rPr>
      </w:pPr>
    </w:p>
    <w:p>
      <w:pPr>
        <w:ind w:right="260" w:firstLine="405"/>
        <w:spacing w:after="0" w:line="273" w:lineRule="auto"/>
        <w:rPr>
          <w:sz w:val="20"/>
          <w:szCs w:val="20"/>
          <w:color w:val="auto"/>
        </w:rPr>
      </w:pPr>
      <w:r>
        <w:rPr>
          <w:rFonts w:ascii="Arial" w:cs="Arial" w:eastAsia="Arial" w:hAnsi="Arial"/>
          <w:sz w:val="16"/>
          <w:szCs w:val="16"/>
          <w:color w:val="auto"/>
        </w:rPr>
        <w:t>On March 6, 2019, the Partnership drew down $360,000 under the 2019 Partnership Facility, out of which $354,375 was used to prepay the outstanding debt of GAS-three Ltd., GAS-four Ltd., GAS-five Ltd., GAS-sixteen Ltd. and GAS-seventeen Ltd., which would have been due in November 2019. On March 7, 2019, the Existing Partnership Facility was terminated and the respective unamortized loan fees of $988 were written-off to profit or loss. On April 1, 2019, the Partnership drew down an additional $75,000 under the 2019 Partnership Facility.</w:t>
      </w:r>
    </w:p>
    <w:p>
      <w:pPr>
        <w:spacing w:after="0" w:line="176"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u w:val="single" w:color="auto"/>
          <w:color w:val="auto"/>
        </w:rPr>
        <w:t>GasLog Warsaw Facility</w:t>
      </w:r>
    </w:p>
    <w:p>
      <w:pPr>
        <w:spacing w:after="0" w:line="22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On June 25, 2019, GasLog Hellas-1 Special Maritime Enterprise entered into a loan agreement with ABN AMRO BANK N.V. and Oversea-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37" w:name="page38"/>
    <w:bookmarkEnd w:id="37"/>
    <w:p>
      <w:pPr>
        <w:ind w:right="320"/>
        <w:spacing w:after="0" w:line="278" w:lineRule="auto"/>
        <w:rPr>
          <w:sz w:val="20"/>
          <w:szCs w:val="20"/>
          <w:color w:val="auto"/>
        </w:rPr>
      </w:pPr>
      <w:r>
        <w:rPr>
          <w:rFonts w:ascii="Arial" w:cs="Arial" w:eastAsia="Arial" w:hAnsi="Arial"/>
          <w:sz w:val="16"/>
          <w:szCs w:val="16"/>
          <w:color w:val="auto"/>
        </w:rPr>
        <w:t xml:space="preserve">Chinese Banking Corporation Limited, for the financing of the </w:t>
      </w:r>
      <w:r>
        <w:rPr>
          <w:rFonts w:ascii="Arial" w:cs="Arial" w:eastAsia="Arial" w:hAnsi="Arial"/>
          <w:sz w:val="16"/>
          <w:szCs w:val="16"/>
          <w:i w:val="1"/>
          <w:iCs w:val="1"/>
          <w:color w:val="auto"/>
        </w:rPr>
        <w:t>GasLog Warsaw</w:t>
      </w:r>
      <w:r>
        <w:rPr>
          <w:rFonts w:ascii="Arial" w:cs="Arial" w:eastAsia="Arial" w:hAnsi="Arial"/>
          <w:sz w:val="16"/>
          <w:szCs w:val="16"/>
          <w:color w:val="auto"/>
        </w:rPr>
        <w:t>, which was delivered on July 31, 2019 (the “</w:t>
      </w:r>
      <w:r>
        <w:rPr>
          <w:rFonts w:ascii="Arial" w:cs="Arial" w:eastAsia="Arial" w:hAnsi="Arial"/>
          <w:sz w:val="16"/>
          <w:szCs w:val="16"/>
          <w:i w:val="1"/>
          <w:iCs w:val="1"/>
          <w:color w:val="auto"/>
        </w:rPr>
        <w:t>GasLog Warsaw</w:t>
      </w:r>
      <w:r>
        <w:rPr>
          <w:rFonts w:ascii="Arial" w:cs="Arial" w:eastAsia="Arial" w:hAnsi="Arial"/>
          <w:sz w:val="16"/>
          <w:szCs w:val="16"/>
          <w:color w:val="auto"/>
        </w:rPr>
        <w:t xml:space="preserve"> Facility”). The agreement provides for a single tranche of $129,500 that was drawn on July 25, 2019 and is repayable in 28 equal quarterly installments of $1,619 each and a final balloon payment of $84,175 payable concurrently with the last quarterly installment in June 2026. The loan bears interest at LIBOR plus a margin.</w:t>
      </w:r>
    </w:p>
    <w:p>
      <w:pPr>
        <w:spacing w:after="0" w:line="171" w:lineRule="exact"/>
        <w:rPr>
          <w:sz w:val="20"/>
          <w:szCs w:val="20"/>
          <w:color w:val="auto"/>
        </w:rPr>
      </w:pPr>
    </w:p>
    <w:p>
      <w:pPr>
        <w:ind w:right="180" w:firstLine="405"/>
        <w:spacing w:after="0" w:line="329" w:lineRule="auto"/>
        <w:rPr>
          <w:sz w:val="20"/>
          <w:szCs w:val="20"/>
          <w:color w:val="auto"/>
        </w:rPr>
      </w:pPr>
      <w:r>
        <w:rPr>
          <w:rFonts w:ascii="Arial" w:cs="Arial" w:eastAsia="Arial" w:hAnsi="Arial"/>
          <w:sz w:val="15"/>
          <w:szCs w:val="15"/>
          <w:color w:val="auto"/>
        </w:rPr>
        <w:t xml:space="preserve">The obligations under the </w:t>
      </w:r>
      <w:r>
        <w:rPr>
          <w:rFonts w:ascii="Arial" w:cs="Arial" w:eastAsia="Arial" w:hAnsi="Arial"/>
          <w:sz w:val="15"/>
          <w:szCs w:val="15"/>
          <w:i w:val="1"/>
          <w:iCs w:val="1"/>
          <w:color w:val="auto"/>
        </w:rPr>
        <w:t>GasLog Warsaw</w:t>
      </w:r>
      <w:r>
        <w:rPr>
          <w:rFonts w:ascii="Arial" w:cs="Arial" w:eastAsia="Arial" w:hAnsi="Arial"/>
          <w:sz w:val="15"/>
          <w:szCs w:val="15"/>
          <w:color w:val="auto"/>
        </w:rPr>
        <w:t xml:space="preserve"> Facility are secured by a first priority mortgage over the vessel, a pledge of the share capital of the respective vessel-owning company and a first priority assignment of earnings related to the vessel. The obligations under the facility are guaranteed by GasLog and GasLog Carriers.</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5"/>
          <w:szCs w:val="15"/>
          <w:color w:val="auto"/>
        </w:rPr>
        <w:t xml:space="preserve">The </w:t>
      </w:r>
      <w:r>
        <w:rPr>
          <w:rFonts w:ascii="Arial" w:cs="Arial" w:eastAsia="Arial" w:hAnsi="Arial"/>
          <w:sz w:val="15"/>
          <w:szCs w:val="15"/>
          <w:i w:val="1"/>
          <w:iCs w:val="1"/>
          <w:color w:val="auto"/>
        </w:rPr>
        <w:t>GasLog Warsaw</w:t>
      </w:r>
      <w:r>
        <w:rPr>
          <w:rFonts w:ascii="Arial" w:cs="Arial" w:eastAsia="Arial" w:hAnsi="Arial"/>
          <w:sz w:val="15"/>
          <w:szCs w:val="15"/>
          <w:color w:val="auto"/>
        </w:rPr>
        <w:t xml:space="preserve"> Facility is subject to specified financial covenants that apply to GasLog on a consolidated basis. These financial covenants include the following:</w:t>
      </w:r>
    </w:p>
    <w:p>
      <w:pPr>
        <w:spacing w:after="0" w:line="246" w:lineRule="exact"/>
        <w:rPr>
          <w:sz w:val="20"/>
          <w:szCs w:val="20"/>
          <w:color w:val="auto"/>
        </w:rPr>
      </w:pPr>
    </w:p>
    <w:p>
      <w:pPr>
        <w:ind w:left="400" w:hanging="392"/>
        <w:spacing w:after="0"/>
        <w:tabs>
          <w:tab w:leader="none" w:pos="400" w:val="left"/>
        </w:tabs>
        <w:numPr>
          <w:ilvl w:val="0"/>
          <w:numId w:val="20"/>
        </w:numPr>
        <w:rPr>
          <w:rFonts w:ascii="Arial" w:cs="Arial" w:eastAsia="Arial" w:hAnsi="Arial"/>
          <w:sz w:val="18"/>
          <w:szCs w:val="18"/>
          <w:color w:val="auto"/>
        </w:rPr>
      </w:pPr>
      <w:r>
        <w:rPr>
          <w:rFonts w:ascii="Arial" w:cs="Arial" w:eastAsia="Arial" w:hAnsi="Arial"/>
          <w:sz w:val="16"/>
          <w:szCs w:val="16"/>
          <w:color w:val="auto"/>
        </w:rPr>
        <w:t>net working capital (excluding the current portion of long-term debt) must be not less than $0;</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20"/>
        </w:numPr>
        <w:rPr>
          <w:rFonts w:ascii="Arial" w:cs="Arial" w:eastAsia="Arial" w:hAnsi="Arial"/>
          <w:sz w:val="18"/>
          <w:szCs w:val="18"/>
          <w:color w:val="auto"/>
        </w:rPr>
      </w:pPr>
      <w:r>
        <w:rPr>
          <w:rFonts w:ascii="Arial" w:cs="Arial" w:eastAsia="Arial" w:hAnsi="Arial"/>
          <w:sz w:val="16"/>
          <w:szCs w:val="16"/>
          <w:color w:val="auto"/>
        </w:rPr>
        <w:t>market value adjusted net worth must at all times be not less than $350,000;</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20"/>
        </w:numPr>
        <w:rPr>
          <w:rFonts w:ascii="Arial" w:cs="Arial" w:eastAsia="Arial" w:hAnsi="Arial"/>
          <w:sz w:val="18"/>
          <w:szCs w:val="18"/>
          <w:color w:val="auto"/>
        </w:rPr>
      </w:pPr>
      <w:r>
        <w:rPr>
          <w:rFonts w:ascii="Arial" w:cs="Arial" w:eastAsia="Arial" w:hAnsi="Arial"/>
          <w:sz w:val="16"/>
          <w:szCs w:val="16"/>
          <w:color w:val="auto"/>
        </w:rPr>
        <w:t>the aggregate amount of cash and cash equivalents and short-term investments must be at least $75,000;</w:t>
      </w:r>
    </w:p>
    <w:p>
      <w:pPr>
        <w:spacing w:after="0" w:line="9" w:lineRule="exact"/>
        <w:rPr>
          <w:rFonts w:ascii="Arial" w:cs="Arial" w:eastAsia="Arial" w:hAnsi="Arial"/>
          <w:sz w:val="18"/>
          <w:szCs w:val="18"/>
          <w:color w:val="auto"/>
        </w:rPr>
      </w:pPr>
    </w:p>
    <w:p>
      <w:pPr>
        <w:ind w:left="400" w:right="260" w:hanging="392"/>
        <w:spacing w:after="0" w:line="255" w:lineRule="auto"/>
        <w:tabs>
          <w:tab w:leader="none" w:pos="401" w:val="left"/>
        </w:tabs>
        <w:numPr>
          <w:ilvl w:val="0"/>
          <w:numId w:val="20"/>
        </w:numPr>
        <w:rPr>
          <w:rFonts w:ascii="Arial" w:cs="Arial" w:eastAsia="Arial" w:hAnsi="Arial"/>
          <w:sz w:val="18"/>
          <w:szCs w:val="18"/>
          <w:color w:val="auto"/>
        </w:rPr>
      </w:pPr>
      <w:r>
        <w:rPr>
          <w:rFonts w:ascii="Arial" w:cs="Arial" w:eastAsia="Arial" w:hAnsi="Arial"/>
          <w:sz w:val="16"/>
          <w:szCs w:val="16"/>
          <w:color w:val="auto"/>
        </w:rPr>
        <w:t>the ratio of EBITDA over our debt service obligations (including interest and debt repayments) on a trailing 12 months’ basis must be not less than 110.0%. The ratio shall be regarded as having been complied with even if the ratio falls below the stipulated 110% when cash and cash equivalent and short-term investments are at least $110,000.</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20"/>
        </w:numPr>
        <w:rPr>
          <w:rFonts w:ascii="Arial" w:cs="Arial" w:eastAsia="Arial" w:hAnsi="Arial"/>
          <w:sz w:val="18"/>
          <w:szCs w:val="18"/>
          <w:color w:val="auto"/>
        </w:rPr>
      </w:pPr>
      <w:r>
        <w:rPr>
          <w:rFonts w:ascii="Arial" w:cs="Arial" w:eastAsia="Arial" w:hAnsi="Arial"/>
          <w:sz w:val="16"/>
          <w:szCs w:val="16"/>
          <w:color w:val="auto"/>
        </w:rPr>
        <w:t>total indebtedness divided by total assets must be less than 75.0%; and</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20"/>
        </w:numPr>
        <w:rPr>
          <w:rFonts w:ascii="Arial" w:cs="Arial" w:eastAsia="Arial" w:hAnsi="Arial"/>
          <w:sz w:val="17"/>
          <w:szCs w:val="17"/>
          <w:color w:val="auto"/>
        </w:rPr>
      </w:pPr>
      <w:r>
        <w:rPr>
          <w:rFonts w:ascii="Arial" w:cs="Arial" w:eastAsia="Arial" w:hAnsi="Arial"/>
          <w:sz w:val="15"/>
          <w:szCs w:val="15"/>
          <w:color w:val="auto"/>
        </w:rPr>
        <w:t>GasLog is permitted to declare or pay any dividends, subject to no event of default having occurred or occurring as a consequence of the payment of such dividends.</w:t>
      </w:r>
    </w:p>
    <w:p>
      <w:pPr>
        <w:spacing w:after="0" w:line="210" w:lineRule="exact"/>
        <w:rPr>
          <w:sz w:val="20"/>
          <w:szCs w:val="20"/>
          <w:color w:val="auto"/>
        </w:rPr>
      </w:pPr>
    </w:p>
    <w:p>
      <w:pPr>
        <w:ind w:right="100" w:firstLine="383"/>
        <w:spacing w:after="0" w:line="289" w:lineRule="auto"/>
        <w:rPr>
          <w:sz w:val="20"/>
          <w:szCs w:val="20"/>
          <w:color w:val="auto"/>
        </w:rPr>
      </w:pPr>
      <w:r>
        <w:rPr>
          <w:rFonts w:ascii="Arial" w:cs="Arial" w:eastAsia="Arial" w:hAnsi="Arial"/>
          <w:sz w:val="15"/>
          <w:szCs w:val="15"/>
          <w:color w:val="auto"/>
        </w:rPr>
        <w:t xml:space="preserve">The </w:t>
      </w:r>
      <w:r>
        <w:rPr>
          <w:rFonts w:ascii="Arial" w:cs="Arial" w:eastAsia="Arial" w:hAnsi="Arial"/>
          <w:sz w:val="15"/>
          <w:szCs w:val="15"/>
          <w:i w:val="1"/>
          <w:iCs w:val="1"/>
          <w:color w:val="auto"/>
        </w:rPr>
        <w:t>GasLog Warsaw</w:t>
      </w:r>
      <w:r>
        <w:rPr>
          <w:rFonts w:ascii="Arial" w:cs="Arial" w:eastAsia="Arial" w:hAnsi="Arial"/>
          <w:sz w:val="15"/>
          <w:szCs w:val="15"/>
          <w:color w:val="auto"/>
        </w:rPr>
        <w:t xml:space="preserve"> Facility contains customary events of default, including non-payment of principal or interest, breach of covenants or material inaccuracy of representations, default under other material indebtedness and bankruptcy as well as an event of default in the event of the cancellation, rescission, frustration or withdrawal of a charter agreement prior to its scheduled expiration, if certain prepayment and security provisions are not met. In addition, the </w:t>
      </w:r>
      <w:r>
        <w:rPr>
          <w:rFonts w:ascii="Arial" w:cs="Arial" w:eastAsia="Arial" w:hAnsi="Arial"/>
          <w:sz w:val="15"/>
          <w:szCs w:val="15"/>
          <w:i w:val="1"/>
          <w:iCs w:val="1"/>
          <w:color w:val="auto"/>
        </w:rPr>
        <w:t>GasLog Warsaw</w:t>
      </w:r>
      <w:r>
        <w:rPr>
          <w:rFonts w:ascii="Arial" w:cs="Arial" w:eastAsia="Arial" w:hAnsi="Arial"/>
          <w:sz w:val="15"/>
          <w:szCs w:val="15"/>
          <w:color w:val="auto"/>
        </w:rPr>
        <w:t xml:space="preserve"> Facility contains covenants requiring GasLog and certain of GasLog’s subsidiaries to maintain the aggregate of (i) the market value, on a charter exclusive basis, of the mortgaged vessel; and (ii) the market value of any additional security provided to the lenders, at a total value not less than 120.0% of the then-outstanding amount under the facility. If GasLog fails to comply with these covenants and is not able to obtain covenant waivers or modifications, its lenders could require it to make prepayments or provide additional collateral sufficient to bring it into compliance with such covenants, and if it fails to do so its lenders could accelerate our indebtedness.</w:t>
      </w:r>
    </w:p>
    <w:p>
      <w:pPr>
        <w:spacing w:after="0" w:line="167" w:lineRule="exact"/>
        <w:rPr>
          <w:sz w:val="20"/>
          <w:szCs w:val="20"/>
          <w:color w:val="auto"/>
        </w:rPr>
      </w:pPr>
    </w:p>
    <w:p>
      <w:pPr>
        <w:ind w:right="460" w:firstLine="383"/>
        <w:spacing w:after="0" w:line="293"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GasLog Warsaw</w:t>
      </w:r>
      <w:r>
        <w:rPr>
          <w:rFonts w:ascii="Arial" w:cs="Arial" w:eastAsia="Arial" w:hAnsi="Arial"/>
          <w:sz w:val="16"/>
          <w:szCs w:val="16"/>
          <w:color w:val="auto"/>
        </w:rPr>
        <w:t xml:space="preserve"> Facility also imposes certain restrictions relating to the Group, including restrictions that limit its ability to make any substantial change in the nature of its business or to the Partnership structure without approval from the lenders.</w:t>
      </w:r>
    </w:p>
    <w:p>
      <w:pPr>
        <w:spacing w:after="0" w:line="159" w:lineRule="exact"/>
        <w:rPr>
          <w:sz w:val="20"/>
          <w:szCs w:val="20"/>
          <w:color w:val="auto"/>
        </w:rPr>
      </w:pPr>
    </w:p>
    <w:p>
      <w:pPr>
        <w:ind w:right="100" w:firstLine="383"/>
        <w:spacing w:after="0" w:line="293" w:lineRule="auto"/>
        <w:rPr>
          <w:sz w:val="20"/>
          <w:szCs w:val="20"/>
          <w:color w:val="auto"/>
        </w:rPr>
      </w:pPr>
      <w:r>
        <w:rPr>
          <w:rFonts w:ascii="Arial" w:cs="Arial" w:eastAsia="Arial" w:hAnsi="Arial"/>
          <w:sz w:val="16"/>
          <w:szCs w:val="16"/>
          <w:color w:val="auto"/>
        </w:rPr>
        <w:t>The carrying amount of the Group’s bank debt recognized in the unaudited condensed consolidated financial statements approximates its fair value after adjusting for the unamortized loan/bond issuance costs.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Bonds</w:t>
      </w:r>
    </w:p>
    <w:p>
      <w:pPr>
        <w:spacing w:after="0" w:line="221" w:lineRule="exact"/>
        <w:rPr>
          <w:sz w:val="20"/>
          <w:szCs w:val="20"/>
          <w:color w:val="auto"/>
        </w:rPr>
      </w:pPr>
    </w:p>
    <w:p>
      <w:pPr>
        <w:ind w:right="180" w:firstLine="436"/>
        <w:spacing w:after="0" w:line="293" w:lineRule="auto"/>
        <w:rPr>
          <w:sz w:val="20"/>
          <w:szCs w:val="20"/>
          <w:color w:val="auto"/>
        </w:rPr>
      </w:pPr>
      <w:r>
        <w:rPr>
          <w:rFonts w:ascii="Arial" w:cs="Arial" w:eastAsia="Arial" w:hAnsi="Arial"/>
          <w:sz w:val="16"/>
          <w:szCs w:val="16"/>
          <w:color w:val="auto"/>
        </w:rPr>
        <w:t>The main terms of the Group’s bonds have been disclosed in the annual audited consolidated financial statements for the year ended December 31, 2018. Refer to Note 13 “Borrowings”.</w:t>
      </w:r>
    </w:p>
    <w:p>
      <w:pPr>
        <w:spacing w:after="0" w:line="159" w:lineRule="exact"/>
        <w:rPr>
          <w:sz w:val="20"/>
          <w:szCs w:val="20"/>
          <w:color w:val="auto"/>
        </w:rPr>
      </w:pPr>
    </w:p>
    <w:p>
      <w:pPr>
        <w:ind w:right="340" w:firstLine="436"/>
        <w:spacing w:after="0" w:line="293" w:lineRule="auto"/>
        <w:rPr>
          <w:sz w:val="20"/>
          <w:szCs w:val="20"/>
          <w:color w:val="auto"/>
        </w:rPr>
      </w:pPr>
      <w:r>
        <w:rPr>
          <w:rFonts w:ascii="Arial" w:cs="Arial" w:eastAsia="Arial" w:hAnsi="Arial"/>
          <w:sz w:val="16"/>
          <w:szCs w:val="16"/>
          <w:color w:val="auto"/>
        </w:rPr>
        <w:t>On May 16, 2019, GasLog closed a follow-on issue of $75,000 of the 8.875% senior unsecured notes due 2022 (the “8.875% Senior Notes”) priced at 102.5% of par with a yield to maturity of 7.89%.</w:t>
      </w:r>
    </w:p>
    <w:p>
      <w:pPr>
        <w:spacing w:after="0" w:line="159" w:lineRule="exact"/>
        <w:rPr>
          <w:sz w:val="20"/>
          <w:szCs w:val="20"/>
          <w:color w:val="auto"/>
        </w:rPr>
      </w:pPr>
    </w:p>
    <w:p>
      <w:pPr>
        <w:ind w:right="140" w:firstLine="436"/>
        <w:spacing w:after="0" w:line="278" w:lineRule="auto"/>
        <w:rPr>
          <w:sz w:val="20"/>
          <w:szCs w:val="20"/>
          <w:color w:val="auto"/>
        </w:rPr>
      </w:pPr>
      <w:r>
        <w:rPr>
          <w:rFonts w:ascii="Arial" w:cs="Arial" w:eastAsia="Arial" w:hAnsi="Arial"/>
          <w:sz w:val="16"/>
          <w:szCs w:val="16"/>
          <w:color w:val="auto"/>
        </w:rPr>
        <w:t>The carrying amount under the NOK bonds maturing in 2021 (the “NOK 2021 Bonds”), net of unamortized financing costs, as of September 30, 2019 is $81,887 (December 31, 2018: $85,231) while their fair value is $85,857 based on a USD/NOK exchange rate of 0.1101 as of September 30, 2019 (December 31, 2018: $91,664, based on a USD/NOK exchange rate of 0.1149).</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carrying amount under the 8.875% Senior Notes, net of unamortized financing costs and premium as of September 30, 2019 is $322,753 (December 31, 2018:</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$246,760).</w:t>
      </w:r>
    </w:p>
    <w:p>
      <w:pPr>
        <w:spacing w:after="0" w:line="21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Group was in compliance with its financial covenants as of September 30, 2019.</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Related Party Transactions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Group has the following balances with related parties which have been included in the unaudited condensed consolidated statements of financial position:</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940" w:type="dxa"/>
            <w:vAlign w:val="bottom"/>
          </w:tcPr>
          <w:p>
            <w:pPr>
              <w:spacing w:after="0"/>
              <w:rPr>
                <w:sz w:val="20"/>
                <w:szCs w:val="20"/>
                <w:color w:val="auto"/>
              </w:rPr>
            </w:pPr>
            <w:r>
              <w:rPr>
                <w:rFonts w:ascii="Arial" w:cs="Arial" w:eastAsia="Arial" w:hAnsi="Arial"/>
                <w:sz w:val="16"/>
                <w:szCs w:val="16"/>
                <w:b w:val="1"/>
                <w:bCs w:val="1"/>
                <w:i w:val="1"/>
                <w:iCs w:val="1"/>
                <w:color w:val="auto"/>
              </w:rPr>
              <w:t>Current Assets</w:t>
            </w:r>
          </w:p>
        </w:tc>
        <w:tc>
          <w:tcPr>
            <w:tcW w:w="3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05"/>
        </w:trPr>
        <w:tc>
          <w:tcPr>
            <w:tcW w:w="4940" w:type="dxa"/>
            <w:vAlign w:val="bottom"/>
          </w:tcPr>
          <w:p>
            <w:pPr>
              <w:spacing w:after="0"/>
              <w:rPr>
                <w:sz w:val="20"/>
                <w:szCs w:val="20"/>
                <w:color w:val="auto"/>
              </w:rPr>
            </w:pPr>
            <w:r>
              <w:rPr>
                <w:rFonts w:ascii="Arial" w:cs="Arial" w:eastAsia="Arial" w:hAnsi="Arial"/>
                <w:sz w:val="16"/>
                <w:szCs w:val="16"/>
                <w:b w:val="1"/>
                <w:bCs w:val="1"/>
                <w:i w:val="1"/>
                <w:iCs w:val="1"/>
                <w:color w:val="auto"/>
                <w:w w:val="99"/>
              </w:rPr>
              <w:t>Dividends receivable and other amounts due from related parties</w:t>
            </w:r>
          </w:p>
        </w:tc>
        <w:tc>
          <w:tcPr>
            <w:tcW w:w="3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7"/>
        </w:trPr>
        <w:tc>
          <w:tcPr>
            <w:tcW w:w="49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700" w:type="dxa"/>
            <w:vAlign w:val="bottom"/>
            <w:gridSpan w:val="2"/>
          </w:tcPr>
          <w:p>
            <w:pPr>
              <w:ind w:left="220"/>
              <w:spacing w:after="0"/>
              <w:rPr>
                <w:sz w:val="20"/>
                <w:szCs w:val="20"/>
                <w:color w:val="auto"/>
              </w:rPr>
            </w:pPr>
            <w:r>
              <w:rPr>
                <w:rFonts w:ascii="Arial" w:cs="Arial" w:eastAsia="Arial" w:hAnsi="Arial"/>
                <w:sz w:val="16"/>
                <w:szCs w:val="16"/>
                <w:b w:val="1"/>
                <w:bCs w:val="1"/>
                <w:color w:val="auto"/>
              </w:rPr>
              <w:t>December 31,</w:t>
            </w:r>
          </w:p>
        </w:tc>
        <w:tc>
          <w:tcPr>
            <w:tcW w:w="1520" w:type="dxa"/>
            <w:vAlign w:val="bottom"/>
            <w:gridSpan w:val="2"/>
          </w:tcPr>
          <w:p>
            <w:pPr>
              <w:ind w:left="260"/>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4940" w:type="dxa"/>
            <w:vAlign w:val="bottom"/>
          </w:tcPr>
          <w:p>
            <w:pPr>
              <w:spacing w:after="0"/>
              <w:rPr>
                <w:sz w:val="18"/>
                <w:szCs w:val="18"/>
                <w:color w:val="auto"/>
              </w:rPr>
            </w:pPr>
          </w:p>
        </w:tc>
        <w:tc>
          <w:tcPr>
            <w:tcW w:w="4680" w:type="dxa"/>
            <w:vAlign w:val="bottom"/>
            <w:gridSpan w:val="2"/>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320" w:type="dxa"/>
            <w:vAlign w:val="bottom"/>
          </w:tcPr>
          <w:p>
            <w:pPr>
              <w:spacing w:after="0"/>
              <w:rPr>
                <w:sz w:val="18"/>
                <w:szCs w:val="18"/>
                <w:color w:val="auto"/>
              </w:rPr>
            </w:pPr>
          </w:p>
        </w:tc>
        <w:tc>
          <w:tcPr>
            <w:tcW w:w="1480" w:type="dxa"/>
            <w:vAlign w:val="bottom"/>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40" w:type="dxa"/>
            <w:vAlign w:val="bottom"/>
          </w:tcPr>
          <w:p>
            <w:pPr>
              <w:spacing w:after="0"/>
              <w:rPr>
                <w:sz w:val="18"/>
                <w:szCs w:val="18"/>
                <w:color w:val="auto"/>
              </w:rPr>
            </w:pPr>
          </w:p>
        </w:tc>
      </w:tr>
      <w:tr>
        <w:trPr>
          <w:trHeight w:val="202"/>
        </w:trPr>
        <w:tc>
          <w:tcPr>
            <w:tcW w:w="49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Dividends receivable from associate</w:t>
            </w:r>
          </w:p>
        </w:tc>
        <w:tc>
          <w:tcPr>
            <w:tcW w:w="330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885</w:t>
            </w:r>
          </w:p>
        </w:tc>
        <w:tc>
          <w:tcPr>
            <w:tcW w:w="320" w:type="dxa"/>
            <w:vAlign w:val="bottom"/>
            <w:tcBorders>
              <w:top w:val="single" w:sz="8" w:color="E5FFFF"/>
            </w:tcBorders>
            <w:shd w:val="clear" w:color="auto" w:fill="E5FFFF"/>
          </w:tcPr>
          <w:p>
            <w:pPr>
              <w:spacing w:after="0"/>
              <w:rPr>
                <w:sz w:val="17"/>
                <w:szCs w:val="17"/>
                <w:color w:val="auto"/>
              </w:rPr>
            </w:pPr>
          </w:p>
        </w:tc>
        <w:tc>
          <w:tcPr>
            <w:tcW w:w="14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375</w:t>
            </w:r>
          </w:p>
        </w:tc>
        <w:tc>
          <w:tcPr>
            <w:tcW w:w="40" w:type="dxa"/>
            <w:vAlign w:val="bottom"/>
          </w:tcPr>
          <w:p>
            <w:pPr>
              <w:spacing w:after="0"/>
              <w:rPr>
                <w:sz w:val="17"/>
                <w:szCs w:val="17"/>
                <w:color w:val="auto"/>
              </w:rPr>
            </w:pPr>
          </w:p>
        </w:tc>
      </w:tr>
      <w:tr>
        <w:trPr>
          <w:trHeight w:val="203"/>
        </w:trPr>
        <w:tc>
          <w:tcPr>
            <w:tcW w:w="4940" w:type="dxa"/>
            <w:vAlign w:val="bottom"/>
          </w:tcPr>
          <w:p>
            <w:pPr>
              <w:spacing w:after="0"/>
              <w:rPr>
                <w:sz w:val="20"/>
                <w:szCs w:val="20"/>
                <w:color w:val="auto"/>
              </w:rPr>
            </w:pPr>
            <w:r>
              <w:rPr>
                <w:rFonts w:ascii="Arial" w:cs="Arial" w:eastAsia="Arial" w:hAnsi="Arial"/>
                <w:sz w:val="16"/>
                <w:szCs w:val="16"/>
                <w:color w:val="auto"/>
              </w:rPr>
              <w:t>Due from The Cool Pool Limited</w:t>
            </w:r>
          </w:p>
        </w:tc>
        <w:tc>
          <w:tcPr>
            <w:tcW w:w="4680" w:type="dxa"/>
            <w:vAlign w:val="bottom"/>
            <w:gridSpan w:val="2"/>
          </w:tcPr>
          <w:p>
            <w:pPr>
              <w:jc w:val="right"/>
              <w:spacing w:after="0"/>
              <w:rPr>
                <w:sz w:val="20"/>
                <w:szCs w:val="20"/>
                <w:color w:val="auto"/>
              </w:rPr>
            </w:pPr>
            <w:r>
              <w:rPr>
                <w:rFonts w:ascii="Arial" w:cs="Arial" w:eastAsia="Arial" w:hAnsi="Arial"/>
                <w:sz w:val="16"/>
                <w:szCs w:val="16"/>
                <w:color w:val="auto"/>
              </w:rPr>
              <w:t>32,397</w:t>
            </w:r>
          </w:p>
        </w:tc>
        <w:tc>
          <w:tcPr>
            <w:tcW w:w="3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r>
      <w:tr>
        <w:trPr>
          <w:trHeight w:val="203"/>
        </w:trPr>
        <w:tc>
          <w:tcPr>
            <w:tcW w:w="4940" w:type="dxa"/>
            <w:vAlign w:val="bottom"/>
            <w:shd w:val="clear" w:color="auto" w:fill="E5FFFF"/>
          </w:tcPr>
          <w:p>
            <w:pPr>
              <w:spacing w:after="0"/>
              <w:rPr>
                <w:sz w:val="20"/>
                <w:szCs w:val="20"/>
                <w:color w:val="auto"/>
              </w:rPr>
            </w:pPr>
            <w:r>
              <w:rPr>
                <w:rFonts w:ascii="Arial" w:cs="Arial" w:eastAsia="Arial" w:hAnsi="Arial"/>
                <w:sz w:val="16"/>
                <w:szCs w:val="16"/>
                <w:color w:val="auto"/>
              </w:rPr>
              <w:t>Other receivables</w:t>
            </w:r>
          </w:p>
        </w:tc>
        <w:tc>
          <w:tcPr>
            <w:tcW w:w="5000" w:type="dxa"/>
            <w:vAlign w:val="bottom"/>
            <w:gridSpan w:val="3"/>
            <w:shd w:val="clear" w:color="auto" w:fill="E5FFFF"/>
          </w:tcPr>
          <w:p>
            <w:pPr>
              <w:jc w:val="right"/>
              <w:ind w:right="320"/>
              <w:spacing w:after="0"/>
              <w:rPr>
                <w:sz w:val="20"/>
                <w:szCs w:val="20"/>
                <w:color w:val="auto"/>
              </w:rPr>
            </w:pPr>
            <w:r>
              <w:rPr>
                <w:rFonts w:ascii="Arial" w:cs="Arial" w:eastAsia="Arial" w:hAnsi="Arial"/>
                <w:sz w:val="16"/>
                <w:szCs w:val="16"/>
                <w:color w:val="auto"/>
              </w:rPr>
              <w:t>113</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134</w:t>
            </w:r>
          </w:p>
        </w:tc>
        <w:tc>
          <w:tcPr>
            <w:tcW w:w="40" w:type="dxa"/>
            <w:vAlign w:val="bottom"/>
          </w:tcPr>
          <w:p>
            <w:pPr>
              <w:spacing w:after="0"/>
              <w:rPr>
                <w:sz w:val="17"/>
                <w:szCs w:val="17"/>
                <w:color w:val="auto"/>
              </w:rPr>
            </w:pPr>
          </w:p>
        </w:tc>
      </w:tr>
      <w:tr>
        <w:trPr>
          <w:trHeight w:val="196"/>
        </w:trPr>
        <w:tc>
          <w:tcPr>
            <w:tcW w:w="494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3300" w:type="dxa"/>
            <w:vAlign w:val="bottom"/>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33,395</w:t>
            </w:r>
          </w:p>
        </w:tc>
        <w:tc>
          <w:tcPr>
            <w:tcW w:w="320" w:type="dxa"/>
            <w:vAlign w:val="bottom"/>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509</w:t>
            </w:r>
          </w:p>
        </w:tc>
        <w:tc>
          <w:tcPr>
            <w:tcW w:w="40" w:type="dxa"/>
            <w:vAlign w:val="bottom"/>
          </w:tcPr>
          <w:p>
            <w:pPr>
              <w:spacing w:after="0"/>
              <w:rPr>
                <w:sz w:val="17"/>
                <w:szCs w:val="17"/>
                <w:color w:val="auto"/>
              </w:rPr>
            </w:pPr>
          </w:p>
        </w:tc>
      </w:tr>
      <w:tr>
        <w:trPr>
          <w:trHeight w:val="20"/>
        </w:trPr>
        <w:tc>
          <w:tcPr>
            <w:tcW w:w="49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0"/>
        </w:trPr>
        <w:tc>
          <w:tcPr>
            <w:tcW w:w="4940" w:type="dxa"/>
            <w:vAlign w:val="bottom"/>
          </w:tcPr>
          <w:p>
            <w:pPr>
              <w:spacing w:after="0"/>
              <w:rPr>
                <w:sz w:val="24"/>
                <w:szCs w:val="24"/>
                <w:color w:val="auto"/>
              </w:rPr>
            </w:pPr>
          </w:p>
        </w:tc>
        <w:tc>
          <w:tcPr>
            <w:tcW w:w="5000" w:type="dxa"/>
            <w:vAlign w:val="bottom"/>
            <w:gridSpan w:val="3"/>
          </w:tcPr>
          <w:p>
            <w:pPr>
              <w:ind w:left="620"/>
              <w:spacing w:after="0"/>
              <w:rPr>
                <w:sz w:val="20"/>
                <w:szCs w:val="20"/>
                <w:color w:val="auto"/>
              </w:rPr>
            </w:pPr>
            <w:r>
              <w:rPr>
                <w:rFonts w:ascii="Arial" w:cs="Arial" w:eastAsia="Arial" w:hAnsi="Arial"/>
                <w:sz w:val="16"/>
                <w:szCs w:val="16"/>
                <w:color w:val="auto"/>
              </w:rPr>
              <w:t>F-13</w:t>
            </w: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8"/>
        </w:trPr>
        <w:tc>
          <w:tcPr>
            <w:tcW w:w="4940" w:type="dxa"/>
            <w:vAlign w:val="bottom"/>
            <w:tcBorders>
              <w:bottom w:val="single" w:sz="8" w:color="808080"/>
            </w:tcBorders>
          </w:tcPr>
          <w:p>
            <w:pPr>
              <w:spacing w:after="0"/>
              <w:rPr>
                <w:sz w:val="11"/>
                <w:szCs w:val="11"/>
                <w:color w:val="auto"/>
              </w:rPr>
            </w:pPr>
          </w:p>
        </w:tc>
        <w:tc>
          <w:tcPr>
            <w:tcW w:w="330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4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2" w:right="199" w:bottom="1440" w:gutter="0" w:footer="0" w:header="0"/>
        </w:sectPr>
      </w:pPr>
    </w:p>
    <w:bookmarkStart w:id="38" w:name="page39"/>
    <w:bookmarkEnd w:id="38"/>
    <w:p>
      <w:pPr>
        <w:ind w:right="100" w:firstLine="383"/>
        <w:spacing w:after="0" w:line="293" w:lineRule="auto"/>
        <w:rPr>
          <w:sz w:val="20"/>
          <w:szCs w:val="20"/>
          <w:color w:val="auto"/>
        </w:rPr>
      </w:pPr>
      <w:r>
        <w:rPr>
          <w:rFonts w:ascii="Arial" w:cs="Arial" w:eastAsia="Arial" w:hAnsi="Arial"/>
          <w:sz w:val="16"/>
          <w:szCs w:val="16"/>
          <w:color w:val="auto"/>
        </w:rPr>
        <w:t>On June 28, 2019, GasLog transferred to Golar its 100 shares of the common capital stock of The Cool Pool Limited (Note 1). As of September 30, 2019, the receivable balance from the Cool Pool of $3,120 was included under Trade and other receivables.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240" w:type="dxa"/>
            <w:vAlign w:val="bottom"/>
          </w:tcPr>
          <w:p>
            <w:pPr>
              <w:spacing w:after="0"/>
              <w:rPr>
                <w:sz w:val="20"/>
                <w:szCs w:val="20"/>
                <w:color w:val="auto"/>
              </w:rPr>
            </w:pPr>
            <w:r>
              <w:rPr>
                <w:rFonts w:ascii="Arial" w:cs="Arial" w:eastAsia="Arial" w:hAnsi="Arial"/>
                <w:sz w:val="16"/>
                <w:szCs w:val="16"/>
                <w:b w:val="1"/>
                <w:bCs w:val="1"/>
                <w:i w:val="1"/>
                <w:iCs w:val="1"/>
                <w:color w:val="auto"/>
              </w:rPr>
              <w:t>Current Liabilities</w:t>
            </w: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405"/>
        </w:trPr>
        <w:tc>
          <w:tcPr>
            <w:tcW w:w="8240" w:type="dxa"/>
            <w:vAlign w:val="bottom"/>
          </w:tcPr>
          <w:p>
            <w:pPr>
              <w:spacing w:after="0"/>
              <w:rPr>
                <w:sz w:val="20"/>
                <w:szCs w:val="20"/>
                <w:color w:val="auto"/>
              </w:rPr>
            </w:pPr>
            <w:r>
              <w:rPr>
                <w:rFonts w:ascii="Arial" w:cs="Arial" w:eastAsia="Arial" w:hAnsi="Arial"/>
                <w:sz w:val="16"/>
                <w:szCs w:val="16"/>
                <w:b w:val="1"/>
                <w:bCs w:val="1"/>
                <w:i w:val="1"/>
                <w:iCs w:val="1"/>
                <w:color w:val="auto"/>
              </w:rPr>
              <w:t>Amounts due to related parties</w:t>
            </w: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97"/>
        </w:trPr>
        <w:tc>
          <w:tcPr>
            <w:tcW w:w="8240" w:type="dxa"/>
            <w:vAlign w:val="bottom"/>
          </w:tcPr>
          <w:p>
            <w:pPr>
              <w:spacing w:after="0"/>
              <w:rPr>
                <w:sz w:val="24"/>
                <w:szCs w:val="24"/>
                <w:color w:val="auto"/>
              </w:rPr>
            </w:pPr>
          </w:p>
        </w:tc>
        <w:tc>
          <w:tcPr>
            <w:tcW w:w="1700" w:type="dxa"/>
            <w:vAlign w:val="bottom"/>
            <w:gridSpan w:val="2"/>
          </w:tcPr>
          <w:p>
            <w:pPr>
              <w:ind w:left="220"/>
              <w:spacing w:after="0"/>
              <w:rPr>
                <w:sz w:val="20"/>
                <w:szCs w:val="20"/>
                <w:color w:val="auto"/>
              </w:rPr>
            </w:pPr>
            <w:r>
              <w:rPr>
                <w:rFonts w:ascii="Arial" w:cs="Arial" w:eastAsia="Arial" w:hAnsi="Arial"/>
                <w:sz w:val="16"/>
                <w:szCs w:val="16"/>
                <w:b w:val="1"/>
                <w:bCs w:val="1"/>
                <w:color w:val="auto"/>
              </w:rPr>
              <w:t>December 31,</w:t>
            </w:r>
          </w:p>
        </w:tc>
        <w:tc>
          <w:tcPr>
            <w:tcW w:w="1480" w:type="dxa"/>
            <w:vAlign w:val="bottom"/>
          </w:tcPr>
          <w:p>
            <w:pPr>
              <w:jc w:val="right"/>
              <w:ind w:right="159"/>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8240" w:type="dxa"/>
            <w:vAlign w:val="bottom"/>
            <w:tcBorders>
              <w:bottom w:val="single" w:sz="8" w:color="E5FFFF"/>
            </w:tcBorders>
          </w:tcPr>
          <w:p>
            <w:pPr>
              <w:spacing w:after="0"/>
              <w:rPr>
                <w:sz w:val="18"/>
                <w:szCs w:val="18"/>
                <w:color w:val="auto"/>
              </w:rPr>
            </w:pPr>
          </w:p>
        </w:tc>
        <w:tc>
          <w:tcPr>
            <w:tcW w:w="13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320" w:type="dxa"/>
            <w:vAlign w:val="bottom"/>
            <w:tcBorders>
              <w:bottom w:val="single" w:sz="8" w:color="E5FFFF"/>
            </w:tcBorders>
          </w:tcPr>
          <w:p>
            <w:pPr>
              <w:spacing w:after="0"/>
              <w:rPr>
                <w:sz w:val="18"/>
                <w:szCs w:val="18"/>
                <w:color w:val="auto"/>
              </w:rPr>
            </w:pPr>
          </w:p>
        </w:tc>
        <w:tc>
          <w:tcPr>
            <w:tcW w:w="14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r>
      <w:tr>
        <w:trPr>
          <w:trHeight w:val="202"/>
        </w:trPr>
        <w:tc>
          <w:tcPr>
            <w:tcW w:w="8240" w:type="dxa"/>
            <w:vAlign w:val="bottom"/>
            <w:shd w:val="clear" w:color="auto" w:fill="E5FFFF"/>
          </w:tcPr>
          <w:p>
            <w:pPr>
              <w:spacing w:after="0"/>
              <w:rPr>
                <w:sz w:val="20"/>
                <w:szCs w:val="20"/>
                <w:color w:val="auto"/>
              </w:rPr>
            </w:pPr>
            <w:r>
              <w:rPr>
                <w:rFonts w:ascii="Arial" w:cs="Arial" w:eastAsia="Arial" w:hAnsi="Arial"/>
                <w:sz w:val="16"/>
                <w:szCs w:val="16"/>
                <w:color w:val="auto"/>
              </w:rPr>
              <w:t>Ship management creditors</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268</w:t>
            </w:r>
          </w:p>
        </w:tc>
        <w:tc>
          <w:tcPr>
            <w:tcW w:w="320" w:type="dxa"/>
            <w:vAlign w:val="bottom"/>
            <w:shd w:val="clear" w:color="auto" w:fill="E5FFFF"/>
          </w:tcPr>
          <w:p>
            <w:pPr>
              <w:spacing w:after="0"/>
              <w:rPr>
                <w:sz w:val="17"/>
                <w:szCs w:val="17"/>
                <w:color w:val="auto"/>
              </w:rPr>
            </w:pP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485</w:t>
            </w:r>
          </w:p>
        </w:tc>
      </w:tr>
      <w:tr>
        <w:trPr>
          <w:trHeight w:val="206"/>
        </w:trPr>
        <w:tc>
          <w:tcPr>
            <w:tcW w:w="8240" w:type="dxa"/>
            <w:vAlign w:val="bottom"/>
          </w:tcPr>
          <w:p>
            <w:pPr>
              <w:spacing w:after="0"/>
              <w:rPr>
                <w:sz w:val="20"/>
                <w:szCs w:val="20"/>
                <w:color w:val="auto"/>
              </w:rPr>
            </w:pPr>
            <w:r>
              <w:rPr>
                <w:rFonts w:ascii="Arial" w:cs="Arial" w:eastAsia="Arial" w:hAnsi="Arial"/>
                <w:sz w:val="16"/>
                <w:szCs w:val="16"/>
                <w:color w:val="auto"/>
              </w:rPr>
              <w:t>Amounts due to related parties</w:t>
            </w:r>
          </w:p>
        </w:tc>
        <w:tc>
          <w:tcPr>
            <w:tcW w:w="1380" w:type="dxa"/>
            <w:vAlign w:val="bottom"/>
          </w:tcPr>
          <w:p>
            <w:pPr>
              <w:jc w:val="right"/>
              <w:spacing w:after="0"/>
              <w:rPr>
                <w:sz w:val="20"/>
                <w:szCs w:val="20"/>
                <w:color w:val="auto"/>
              </w:rPr>
            </w:pPr>
            <w:r>
              <w:rPr>
                <w:rFonts w:ascii="Arial" w:cs="Arial" w:eastAsia="Arial" w:hAnsi="Arial"/>
                <w:sz w:val="16"/>
                <w:szCs w:val="16"/>
                <w:color w:val="auto"/>
              </w:rPr>
              <w:t>169</w:t>
            </w:r>
          </w:p>
        </w:tc>
        <w:tc>
          <w:tcPr>
            <w:tcW w:w="3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264</w:t>
            </w:r>
          </w:p>
        </w:tc>
      </w:tr>
    </w:tbl>
    <w:p>
      <w:pPr>
        <w:spacing w:after="0" w:line="189" w:lineRule="exact"/>
        <w:rPr>
          <w:sz w:val="20"/>
          <w:szCs w:val="20"/>
          <w:color w:val="auto"/>
        </w:rPr>
      </w:pPr>
    </w:p>
    <w:p>
      <w:pPr>
        <w:ind w:left="440"/>
        <w:spacing w:after="0"/>
        <w:rPr>
          <w:sz w:val="20"/>
          <w:szCs w:val="20"/>
          <w:color w:val="auto"/>
        </w:rPr>
      </w:pPr>
      <w:r>
        <w:rPr>
          <w:rFonts w:ascii="Arial" w:cs="Arial" w:eastAsia="Arial" w:hAnsi="Arial"/>
          <w:sz w:val="15"/>
          <w:szCs w:val="15"/>
          <w:color w:val="auto"/>
        </w:rPr>
        <w:t>Ship management creditors’ liability comprises cash collected from Egypt LNG Shipping Ltd. to cover the obligations of its vessel under the Group’s management.</w:t>
      </w:r>
    </w:p>
    <w:p>
      <w:pPr>
        <w:spacing w:after="0" w:line="233" w:lineRule="exact"/>
        <w:rPr>
          <w:sz w:val="20"/>
          <w:szCs w:val="20"/>
          <w:color w:val="auto"/>
        </w:rPr>
      </w:pPr>
    </w:p>
    <w:p>
      <w:pPr>
        <w:jc w:val="both"/>
        <w:ind w:firstLine="436"/>
        <w:spacing w:after="0" w:line="293" w:lineRule="auto"/>
        <w:rPr>
          <w:sz w:val="20"/>
          <w:szCs w:val="20"/>
          <w:color w:val="auto"/>
        </w:rPr>
      </w:pPr>
      <w:r>
        <w:rPr>
          <w:rFonts w:ascii="Arial" w:cs="Arial" w:eastAsia="Arial" w:hAnsi="Arial"/>
          <w:sz w:val="16"/>
          <w:szCs w:val="16"/>
          <w:color w:val="auto"/>
        </w:rPr>
        <w:t>Amounts due to related parties of $264 as of September 30, 2019 (December 31, 2018: $169) are expenses paid by a related party on behalf of the Group and payables to other related parties for the office lease and other operating expenses.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Revenues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Group has recognized the following amounts relating to revenues: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20" w:type="dxa"/>
            <w:vAlign w:val="bottom"/>
          </w:tcPr>
          <w:p>
            <w:pPr>
              <w:spacing w:after="0"/>
              <w:rPr>
                <w:sz w:val="17"/>
                <w:szCs w:val="17"/>
                <w:color w:val="auto"/>
              </w:rPr>
            </w:pPr>
          </w:p>
        </w:tc>
        <w:tc>
          <w:tcPr>
            <w:tcW w:w="3420" w:type="dxa"/>
            <w:vAlign w:val="bottom"/>
            <w:gridSpan w:val="4"/>
          </w:tcPr>
          <w:p>
            <w:pPr>
              <w:jc w:val="right"/>
              <w:ind w:right="920"/>
              <w:spacing w:after="0"/>
              <w:rPr>
                <w:sz w:val="20"/>
                <w:szCs w:val="20"/>
                <w:color w:val="auto"/>
              </w:rPr>
            </w:pPr>
            <w:r>
              <w:rPr>
                <w:rFonts w:ascii="Arial" w:cs="Arial" w:eastAsia="Arial" w:hAnsi="Arial"/>
                <w:sz w:val="16"/>
                <w:szCs w:val="16"/>
                <w:b w:val="1"/>
                <w:bCs w:val="1"/>
                <w:color w:val="auto"/>
              </w:rPr>
              <w:t>For the three months ended</w:t>
            </w:r>
          </w:p>
        </w:tc>
        <w:tc>
          <w:tcPr>
            <w:tcW w:w="3080" w:type="dxa"/>
            <w:vAlign w:val="bottom"/>
            <w:gridSpan w:val="3"/>
          </w:tcPr>
          <w:p>
            <w:pPr>
              <w:jc w:val="right"/>
              <w:ind w:right="539"/>
              <w:spacing w:after="0"/>
              <w:rPr>
                <w:sz w:val="20"/>
                <w:szCs w:val="20"/>
                <w:color w:val="auto"/>
              </w:rPr>
            </w:pPr>
            <w:r>
              <w:rPr>
                <w:rFonts w:ascii="Arial" w:cs="Arial" w:eastAsia="Arial" w:hAnsi="Arial"/>
                <w:sz w:val="16"/>
                <w:szCs w:val="16"/>
                <w:b w:val="1"/>
                <w:bCs w:val="1"/>
                <w:color w:val="auto"/>
              </w:rPr>
              <w:t>For the nine months ended</w:t>
            </w:r>
          </w:p>
        </w:tc>
      </w:tr>
      <w:tr>
        <w:trPr>
          <w:trHeight w:val="203"/>
        </w:trPr>
        <w:tc>
          <w:tcPr>
            <w:tcW w:w="4820" w:type="dxa"/>
            <w:vAlign w:val="bottom"/>
          </w:tcPr>
          <w:p>
            <w:pPr>
              <w:spacing w:after="0"/>
              <w:rPr>
                <w:sz w:val="17"/>
                <w:szCs w:val="17"/>
                <w:color w:val="auto"/>
              </w:rPr>
            </w:pPr>
          </w:p>
        </w:tc>
        <w:tc>
          <w:tcPr>
            <w:tcW w:w="1720" w:type="dxa"/>
            <w:vAlign w:val="bottom"/>
            <w:gridSpan w:val="2"/>
          </w:tcPr>
          <w:p>
            <w:pPr>
              <w:ind w:left="200"/>
              <w:spacing w:after="0"/>
              <w:rPr>
                <w:sz w:val="20"/>
                <w:szCs w:val="20"/>
                <w:color w:val="auto"/>
              </w:rPr>
            </w:pPr>
            <w:r>
              <w:rPr>
                <w:rFonts w:ascii="Arial" w:cs="Arial" w:eastAsia="Arial" w:hAnsi="Arial"/>
                <w:sz w:val="16"/>
                <w:szCs w:val="16"/>
                <w:b w:val="1"/>
                <w:bCs w:val="1"/>
                <w:color w:val="auto"/>
              </w:rPr>
              <w:t>September 30,</w:t>
            </w:r>
          </w:p>
        </w:tc>
        <w:tc>
          <w:tcPr>
            <w:tcW w:w="170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September 30,</w:t>
            </w:r>
          </w:p>
        </w:tc>
        <w:tc>
          <w:tcPr>
            <w:tcW w:w="1700" w:type="dxa"/>
            <w:vAlign w:val="bottom"/>
            <w:gridSpan w:val="2"/>
          </w:tcPr>
          <w:p>
            <w:pPr>
              <w:ind w:left="200"/>
              <w:spacing w:after="0"/>
              <w:rPr>
                <w:sz w:val="20"/>
                <w:szCs w:val="20"/>
                <w:color w:val="auto"/>
              </w:rPr>
            </w:pPr>
            <w:r>
              <w:rPr>
                <w:rFonts w:ascii="Arial" w:cs="Arial" w:eastAsia="Arial" w:hAnsi="Arial"/>
                <w:sz w:val="16"/>
                <w:szCs w:val="16"/>
                <w:b w:val="1"/>
                <w:bCs w:val="1"/>
                <w:color w:val="auto"/>
              </w:rPr>
              <w:t>September 30,</w:t>
            </w:r>
          </w:p>
        </w:tc>
        <w:tc>
          <w:tcPr>
            <w:tcW w:w="1380" w:type="dxa"/>
            <w:vAlign w:val="bottom"/>
          </w:tcPr>
          <w:p>
            <w:pPr>
              <w:jc w:val="right"/>
              <w:ind w:right="119"/>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4820" w:type="dxa"/>
            <w:vAlign w:val="bottom"/>
            <w:tcBorders>
              <w:bottom w:val="single" w:sz="8" w:color="E5FFFF"/>
            </w:tcBorders>
          </w:tcPr>
          <w:p>
            <w:pPr>
              <w:spacing w:after="0"/>
              <w:rPr>
                <w:sz w:val="18"/>
                <w:szCs w:val="18"/>
                <w:color w:val="auto"/>
              </w:rPr>
            </w:pPr>
          </w:p>
        </w:tc>
        <w:tc>
          <w:tcPr>
            <w:tcW w:w="13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34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340" w:type="dxa"/>
            <w:vAlign w:val="bottom"/>
            <w:tcBorders>
              <w:bottom w:val="single" w:sz="8" w:color="E5FFFF"/>
            </w:tcBorders>
          </w:tcPr>
          <w:p>
            <w:pPr>
              <w:spacing w:after="0"/>
              <w:rPr>
                <w:sz w:val="18"/>
                <w:szCs w:val="18"/>
                <w:color w:val="auto"/>
              </w:rPr>
            </w:pPr>
          </w:p>
        </w:tc>
        <w:tc>
          <w:tcPr>
            <w:tcW w:w="13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320" w:type="dxa"/>
            <w:vAlign w:val="bottom"/>
            <w:tcBorders>
              <w:bottom w:val="single" w:sz="8" w:color="E5FFFF"/>
            </w:tcBorders>
          </w:tcPr>
          <w:p>
            <w:pPr>
              <w:spacing w:after="0"/>
              <w:rPr>
                <w:sz w:val="18"/>
                <w:szCs w:val="18"/>
                <w:color w:val="auto"/>
              </w:rPr>
            </w:pPr>
          </w:p>
        </w:tc>
        <w:tc>
          <w:tcPr>
            <w:tcW w:w="13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r>
      <w:tr>
        <w:trPr>
          <w:trHeight w:val="202"/>
        </w:trPr>
        <w:tc>
          <w:tcPr>
            <w:tcW w:w="4820" w:type="dxa"/>
            <w:vAlign w:val="bottom"/>
            <w:shd w:val="clear" w:color="auto" w:fill="E5FFFF"/>
          </w:tcPr>
          <w:p>
            <w:pPr>
              <w:spacing w:after="0"/>
              <w:rPr>
                <w:sz w:val="20"/>
                <w:szCs w:val="20"/>
                <w:color w:val="auto"/>
              </w:rPr>
            </w:pPr>
            <w:r>
              <w:rPr>
                <w:rFonts w:ascii="Arial" w:cs="Arial" w:eastAsia="Arial" w:hAnsi="Arial"/>
                <w:sz w:val="16"/>
                <w:szCs w:val="16"/>
                <w:color w:val="auto"/>
              </w:rPr>
              <w:t>Revenues from fixed rate time charters</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132,280</w:t>
            </w:r>
          </w:p>
        </w:tc>
        <w:tc>
          <w:tcPr>
            <w:tcW w:w="34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144,002</w:t>
            </w:r>
          </w:p>
        </w:tc>
        <w:tc>
          <w:tcPr>
            <w:tcW w:w="34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384,747</w:t>
            </w:r>
          </w:p>
        </w:tc>
        <w:tc>
          <w:tcPr>
            <w:tcW w:w="32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418,994</w:t>
            </w:r>
          </w:p>
        </w:tc>
      </w:tr>
      <w:tr>
        <w:trPr>
          <w:trHeight w:val="203"/>
        </w:trPr>
        <w:tc>
          <w:tcPr>
            <w:tcW w:w="4820" w:type="dxa"/>
            <w:vAlign w:val="bottom"/>
          </w:tcPr>
          <w:p>
            <w:pPr>
              <w:spacing w:after="0"/>
              <w:rPr>
                <w:sz w:val="20"/>
                <w:szCs w:val="20"/>
                <w:color w:val="auto"/>
              </w:rPr>
            </w:pPr>
            <w:r>
              <w:rPr>
                <w:rFonts w:ascii="Arial" w:cs="Arial" w:eastAsia="Arial" w:hAnsi="Arial"/>
                <w:sz w:val="16"/>
                <w:szCs w:val="16"/>
                <w:color w:val="auto"/>
              </w:rPr>
              <w:t>Revenues from variable rate time charters</w:t>
            </w:r>
          </w:p>
        </w:tc>
        <w:tc>
          <w:tcPr>
            <w:tcW w:w="17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700" w:type="dxa"/>
            <w:vAlign w:val="bottom"/>
            <w:gridSpan w:val="2"/>
          </w:tcPr>
          <w:p>
            <w:pPr>
              <w:jc w:val="right"/>
              <w:ind w:right="340"/>
              <w:spacing w:after="0"/>
              <w:rPr>
                <w:sz w:val="20"/>
                <w:szCs w:val="20"/>
                <w:color w:val="auto"/>
              </w:rPr>
            </w:pPr>
            <w:r>
              <w:rPr>
                <w:rFonts w:ascii="Arial" w:cs="Arial" w:eastAsia="Arial" w:hAnsi="Arial"/>
                <w:sz w:val="16"/>
                <w:szCs w:val="16"/>
                <w:color w:val="auto"/>
              </w:rPr>
              <w:t>21,056</w:t>
            </w:r>
          </w:p>
        </w:tc>
        <w:tc>
          <w:tcPr>
            <w:tcW w:w="17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21,567</w:t>
            </w:r>
          </w:p>
        </w:tc>
      </w:tr>
      <w:tr>
        <w:trPr>
          <w:trHeight w:val="203"/>
        </w:trPr>
        <w:tc>
          <w:tcPr>
            <w:tcW w:w="4820" w:type="dxa"/>
            <w:vAlign w:val="bottom"/>
            <w:shd w:val="clear" w:color="auto" w:fill="E5FFFF"/>
          </w:tcPr>
          <w:p>
            <w:pPr>
              <w:spacing w:after="0"/>
              <w:rPr>
                <w:sz w:val="20"/>
                <w:szCs w:val="20"/>
                <w:color w:val="auto"/>
              </w:rPr>
            </w:pPr>
            <w:r>
              <w:rPr>
                <w:rFonts w:ascii="Arial" w:cs="Arial" w:eastAsia="Arial" w:hAnsi="Arial"/>
                <w:sz w:val="16"/>
                <w:szCs w:val="16"/>
                <w:color w:val="auto"/>
              </w:rPr>
              <w:t>Revenues from The Cool Pool Limited (GasLog vessels)</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25,947</w:t>
            </w:r>
          </w:p>
        </w:tc>
        <w:tc>
          <w:tcPr>
            <w:tcW w:w="340" w:type="dxa"/>
            <w:vAlign w:val="bottom"/>
            <w:shd w:val="clear" w:color="auto" w:fill="E5FFFF"/>
          </w:tcPr>
          <w:p>
            <w:pPr>
              <w:spacing w:after="0"/>
              <w:rPr>
                <w:sz w:val="17"/>
                <w:szCs w:val="17"/>
                <w:color w:val="auto"/>
              </w:rPr>
            </w:pPr>
          </w:p>
        </w:tc>
        <w:tc>
          <w:tcPr>
            <w:tcW w:w="1700" w:type="dxa"/>
            <w:vAlign w:val="bottom"/>
            <w:gridSpan w:val="2"/>
            <w:shd w:val="clear" w:color="auto" w:fill="E5FFFF"/>
          </w:tcPr>
          <w:p>
            <w:pPr>
              <w:jc w:val="right"/>
              <w:ind w:right="340"/>
              <w:spacing w:after="0"/>
              <w:rPr>
                <w:sz w:val="20"/>
                <w:szCs w:val="20"/>
                <w:color w:val="auto"/>
              </w:rPr>
            </w:pPr>
            <w:r>
              <w:rPr>
                <w:rFonts w:ascii="Arial" w:cs="Arial" w:eastAsia="Arial" w:hAnsi="Arial"/>
                <w:sz w:val="16"/>
                <w:szCs w:val="16"/>
                <w:color w:val="auto"/>
              </w:rPr>
              <w:t>335</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44,399</w:t>
            </w:r>
          </w:p>
        </w:tc>
        <w:tc>
          <w:tcPr>
            <w:tcW w:w="32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45,253</w:t>
            </w:r>
          </w:p>
        </w:tc>
      </w:tr>
      <w:tr>
        <w:trPr>
          <w:trHeight w:val="203"/>
        </w:trPr>
        <w:tc>
          <w:tcPr>
            <w:tcW w:w="4820" w:type="dxa"/>
            <w:vAlign w:val="bottom"/>
          </w:tcPr>
          <w:p>
            <w:pPr>
              <w:spacing w:after="0"/>
              <w:rPr>
                <w:sz w:val="20"/>
                <w:szCs w:val="20"/>
                <w:color w:val="auto"/>
              </w:rPr>
            </w:pPr>
            <w:r>
              <w:rPr>
                <w:rFonts w:ascii="Arial" w:cs="Arial" w:eastAsia="Arial" w:hAnsi="Arial"/>
                <w:sz w:val="16"/>
                <w:szCs w:val="16"/>
                <w:color w:val="auto"/>
              </w:rPr>
              <w:t>Revenues from vessel management services</w:t>
            </w:r>
          </w:p>
        </w:tc>
        <w:tc>
          <w:tcPr>
            <w:tcW w:w="1380" w:type="dxa"/>
            <w:vAlign w:val="bottom"/>
          </w:tcPr>
          <w:p>
            <w:pPr>
              <w:jc w:val="right"/>
              <w:spacing w:after="0"/>
              <w:rPr>
                <w:sz w:val="20"/>
                <w:szCs w:val="20"/>
                <w:color w:val="auto"/>
              </w:rPr>
            </w:pPr>
            <w:r>
              <w:rPr>
                <w:rFonts w:ascii="Arial" w:cs="Arial" w:eastAsia="Arial" w:hAnsi="Arial"/>
                <w:sz w:val="16"/>
                <w:szCs w:val="16"/>
                <w:color w:val="auto"/>
              </w:rPr>
              <w:t>171</w:t>
            </w:r>
          </w:p>
        </w:tc>
        <w:tc>
          <w:tcPr>
            <w:tcW w:w="340" w:type="dxa"/>
            <w:vAlign w:val="bottom"/>
          </w:tcPr>
          <w:p>
            <w:pPr>
              <w:spacing w:after="0"/>
              <w:rPr>
                <w:sz w:val="17"/>
                <w:szCs w:val="17"/>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6"/>
                <w:szCs w:val="16"/>
                <w:color w:val="auto"/>
              </w:rPr>
              <w:t>193</w:t>
            </w:r>
          </w:p>
        </w:tc>
        <w:tc>
          <w:tcPr>
            <w:tcW w:w="1380" w:type="dxa"/>
            <w:vAlign w:val="bottom"/>
          </w:tcPr>
          <w:p>
            <w:pPr>
              <w:jc w:val="right"/>
              <w:spacing w:after="0"/>
              <w:rPr>
                <w:sz w:val="20"/>
                <w:szCs w:val="20"/>
                <w:color w:val="auto"/>
              </w:rPr>
            </w:pPr>
            <w:r>
              <w:rPr>
                <w:rFonts w:ascii="Arial" w:cs="Arial" w:eastAsia="Arial" w:hAnsi="Arial"/>
                <w:sz w:val="16"/>
                <w:szCs w:val="16"/>
                <w:color w:val="auto"/>
              </w:rPr>
              <w:t>554</w:t>
            </w:r>
          </w:p>
        </w:tc>
        <w:tc>
          <w:tcPr>
            <w:tcW w:w="3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570</w:t>
            </w:r>
          </w:p>
        </w:tc>
      </w:tr>
      <w:tr>
        <w:trPr>
          <w:trHeight w:val="196"/>
        </w:trPr>
        <w:tc>
          <w:tcPr>
            <w:tcW w:w="482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158,398</w:t>
            </w:r>
          </w:p>
        </w:tc>
        <w:tc>
          <w:tcPr>
            <w:tcW w:w="340" w:type="dxa"/>
            <w:vAlign w:val="bottom"/>
            <w:tcBorders>
              <w:top w:val="single" w:sz="8" w:color="E5FFFF"/>
              <w:bottom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165,586</w:t>
            </w:r>
          </w:p>
        </w:tc>
        <w:tc>
          <w:tcPr>
            <w:tcW w:w="340" w:type="dxa"/>
            <w:vAlign w:val="bottom"/>
            <w:tcBorders>
              <w:top w:val="single" w:sz="8" w:color="E5FFFF"/>
              <w:bottom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429,700</w:t>
            </w:r>
          </w:p>
        </w:tc>
        <w:tc>
          <w:tcPr>
            <w:tcW w:w="320" w:type="dxa"/>
            <w:vAlign w:val="bottom"/>
            <w:tcBorders>
              <w:top w:val="single" w:sz="8" w:color="E5FFFF"/>
              <w:bottom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486,384</w:t>
            </w:r>
          </w:p>
        </w:tc>
      </w:tr>
      <w:tr>
        <w:trPr>
          <w:trHeight w:val="20"/>
        </w:trPr>
        <w:tc>
          <w:tcPr>
            <w:tcW w:w="48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right="80" w:firstLine="383"/>
        <w:spacing w:after="0" w:line="278" w:lineRule="auto"/>
        <w:rPr>
          <w:sz w:val="20"/>
          <w:szCs w:val="20"/>
          <w:color w:val="auto"/>
        </w:rPr>
      </w:pPr>
      <w:r>
        <w:rPr>
          <w:rFonts w:ascii="Arial" w:cs="Arial" w:eastAsia="Arial" w:hAnsi="Arial"/>
          <w:sz w:val="16"/>
          <w:szCs w:val="16"/>
          <w:color w:val="auto"/>
        </w:rPr>
        <w:t>Revenues from the Cool Pool relate only to the pool revenues received from GasLog’s vessels operating in the Cool Pool and do not include the Net pool allocation to GasLog of ($184) and ($4,264) for the three and nine months ended September 30, 2019, respectively ($3,882 and $19,493 for the three and nine months ended September 30, 2018, respectively).</w:t>
      </w:r>
    </w:p>
    <w:p>
      <w:pPr>
        <w:spacing w:after="0" w:line="171" w:lineRule="exact"/>
        <w:rPr>
          <w:sz w:val="20"/>
          <w:szCs w:val="20"/>
          <w:color w:val="auto"/>
        </w:rPr>
      </w:pPr>
    </w:p>
    <w:p>
      <w:pPr>
        <w:ind w:right="20" w:firstLine="436"/>
        <w:spacing w:after="0" w:line="273" w:lineRule="auto"/>
        <w:rPr>
          <w:sz w:val="20"/>
          <w:szCs w:val="20"/>
          <w:color w:val="auto"/>
        </w:rPr>
      </w:pPr>
      <w:r>
        <w:rPr>
          <w:rFonts w:ascii="Arial" w:cs="Arial" w:eastAsia="Arial" w:hAnsi="Arial"/>
          <w:sz w:val="16"/>
          <w:szCs w:val="16"/>
          <w:color w:val="auto"/>
        </w:rPr>
        <w:t xml:space="preserve">Following the exit from the Cool Pool, management allocates revenues from time charters to two categories: (a) variable rate charters and (b) fixed rate charters. The variable rate charter category contains vessels operating in the LNG carrier spot and short-term market or those which have a variable rate of hire across the charter period. The vessels currently in this category are the </w:t>
      </w:r>
      <w:r>
        <w:rPr>
          <w:rFonts w:ascii="Arial" w:cs="Arial" w:eastAsia="Arial" w:hAnsi="Arial"/>
          <w:sz w:val="16"/>
          <w:szCs w:val="16"/>
          <w:i w:val="1"/>
          <w:iCs w:val="1"/>
          <w:color w:val="auto"/>
        </w:rPr>
        <w:t>GasLog Savannah</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Singapore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Skagen</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Saratoga</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Salem</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Chelsea</w:t>
      </w:r>
      <w:r>
        <w:rPr>
          <w:rFonts w:ascii="Arial" w:cs="Arial" w:eastAsia="Arial" w:hAnsi="Arial"/>
          <w:sz w:val="16"/>
          <w:szCs w:val="16"/>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20" w:type="dxa"/>
            <w:vAlign w:val="bottom"/>
          </w:tcPr>
          <w:p>
            <w:pPr>
              <w:spacing w:after="0"/>
              <w:rPr>
                <w:sz w:val="20"/>
                <w:szCs w:val="20"/>
                <w:color w:val="auto"/>
              </w:rPr>
            </w:pPr>
            <w:r>
              <w:rPr>
                <w:rFonts w:ascii="Arial" w:cs="Arial" w:eastAsia="Arial" w:hAnsi="Arial"/>
                <w:sz w:val="16"/>
                <w:szCs w:val="16"/>
                <w:b w:val="1"/>
                <w:bCs w:val="1"/>
                <w:color w:val="auto"/>
              </w:rPr>
              <w:t>10. General and Administrative Expenses</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4820" w:type="dxa"/>
            <w:vAlign w:val="bottom"/>
          </w:tcPr>
          <w:p>
            <w:pPr>
              <w:ind w:left="440"/>
              <w:spacing w:after="0"/>
              <w:rPr>
                <w:sz w:val="20"/>
                <w:szCs w:val="20"/>
                <w:color w:val="auto"/>
              </w:rPr>
            </w:pPr>
            <w:r>
              <w:rPr>
                <w:rFonts w:ascii="Arial" w:cs="Arial" w:eastAsia="Arial" w:hAnsi="Arial"/>
                <w:sz w:val="16"/>
                <w:szCs w:val="16"/>
                <w:color w:val="auto"/>
                <w:w w:val="94"/>
              </w:rPr>
              <w:t>An analysis of general and administrative expenses is as follows:</w:t>
            </w: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4820" w:type="dxa"/>
            <w:vAlign w:val="bottom"/>
          </w:tcPr>
          <w:p>
            <w:pPr>
              <w:spacing w:after="0"/>
              <w:rPr>
                <w:sz w:val="24"/>
                <w:szCs w:val="24"/>
                <w:color w:val="auto"/>
              </w:rPr>
            </w:pPr>
          </w:p>
        </w:tc>
        <w:tc>
          <w:tcPr>
            <w:tcW w:w="3420" w:type="dxa"/>
            <w:vAlign w:val="bottom"/>
            <w:gridSpan w:val="4"/>
          </w:tcPr>
          <w:p>
            <w:pPr>
              <w:ind w:left="580"/>
              <w:spacing w:after="0"/>
              <w:rPr>
                <w:sz w:val="20"/>
                <w:szCs w:val="20"/>
                <w:color w:val="auto"/>
              </w:rPr>
            </w:pPr>
            <w:r>
              <w:rPr>
                <w:rFonts w:ascii="Arial" w:cs="Arial" w:eastAsia="Arial" w:hAnsi="Arial"/>
                <w:sz w:val="16"/>
                <w:szCs w:val="16"/>
                <w:b w:val="1"/>
                <w:bCs w:val="1"/>
                <w:color w:val="auto"/>
              </w:rPr>
              <w:t>For the three months ended</w:t>
            </w:r>
          </w:p>
        </w:tc>
        <w:tc>
          <w:tcPr>
            <w:tcW w:w="3080" w:type="dxa"/>
            <w:vAlign w:val="bottom"/>
            <w:gridSpan w:val="3"/>
          </w:tcPr>
          <w:p>
            <w:pPr>
              <w:jc w:val="right"/>
              <w:ind w:right="539"/>
              <w:spacing w:after="0"/>
              <w:rPr>
                <w:sz w:val="20"/>
                <w:szCs w:val="20"/>
                <w:color w:val="auto"/>
              </w:rPr>
            </w:pPr>
            <w:r>
              <w:rPr>
                <w:rFonts w:ascii="Arial" w:cs="Arial" w:eastAsia="Arial" w:hAnsi="Arial"/>
                <w:sz w:val="16"/>
                <w:szCs w:val="16"/>
                <w:b w:val="1"/>
                <w:bCs w:val="1"/>
                <w:color w:val="auto"/>
              </w:rPr>
              <w:t>For the nine months ended</w:t>
            </w:r>
          </w:p>
        </w:tc>
        <w:tc>
          <w:tcPr>
            <w:tcW w:w="0" w:type="dxa"/>
            <w:vAlign w:val="bottom"/>
          </w:tcPr>
          <w:p>
            <w:pPr>
              <w:spacing w:after="0"/>
              <w:rPr>
                <w:sz w:val="1"/>
                <w:szCs w:val="1"/>
                <w:color w:val="auto"/>
              </w:rPr>
            </w:pPr>
          </w:p>
        </w:tc>
      </w:tr>
      <w:tr>
        <w:trPr>
          <w:trHeight w:val="203"/>
        </w:trPr>
        <w:tc>
          <w:tcPr>
            <w:tcW w:w="4820" w:type="dxa"/>
            <w:vAlign w:val="bottom"/>
          </w:tcPr>
          <w:p>
            <w:pPr>
              <w:spacing w:after="0"/>
              <w:rPr>
                <w:sz w:val="17"/>
                <w:szCs w:val="17"/>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September 30,</w:t>
            </w:r>
          </w:p>
        </w:tc>
        <w:tc>
          <w:tcPr>
            <w:tcW w:w="17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September 30,</w:t>
            </w:r>
          </w:p>
        </w:tc>
        <w:tc>
          <w:tcPr>
            <w:tcW w:w="17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September 30,</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210"/>
        </w:trPr>
        <w:tc>
          <w:tcPr>
            <w:tcW w:w="4820" w:type="dxa"/>
            <w:vAlign w:val="bottom"/>
            <w:tcBorders>
              <w:bottom w:val="single" w:sz="8" w:color="E5FFFF"/>
            </w:tcBorders>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34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2019</w:t>
            </w:r>
          </w:p>
        </w:tc>
        <w:tc>
          <w:tcPr>
            <w:tcW w:w="340" w:type="dxa"/>
            <w:vAlign w:val="bottom"/>
            <w:tcBorders>
              <w:bottom w:val="single" w:sz="8" w:color="E5FFFF"/>
            </w:tcBorders>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2018</w:t>
            </w:r>
          </w:p>
        </w:tc>
        <w:tc>
          <w:tcPr>
            <w:tcW w:w="320" w:type="dxa"/>
            <w:vAlign w:val="bottom"/>
            <w:tcBorders>
              <w:bottom w:val="single" w:sz="8" w:color="E5FFFF"/>
            </w:tcBorders>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2019</w:t>
            </w:r>
          </w:p>
        </w:tc>
        <w:tc>
          <w:tcPr>
            <w:tcW w:w="0" w:type="dxa"/>
            <w:vAlign w:val="bottom"/>
          </w:tcPr>
          <w:p>
            <w:pPr>
              <w:spacing w:after="0"/>
              <w:rPr>
                <w:sz w:val="1"/>
                <w:szCs w:val="1"/>
                <w:color w:val="auto"/>
              </w:rPr>
            </w:pPr>
          </w:p>
        </w:tc>
      </w:tr>
      <w:tr>
        <w:trPr>
          <w:trHeight w:val="202"/>
        </w:trPr>
        <w:tc>
          <w:tcPr>
            <w:tcW w:w="4820" w:type="dxa"/>
            <w:vAlign w:val="bottom"/>
            <w:shd w:val="clear" w:color="auto" w:fill="E5FFFF"/>
          </w:tcPr>
          <w:p>
            <w:pPr>
              <w:spacing w:after="0"/>
              <w:rPr>
                <w:sz w:val="20"/>
                <w:szCs w:val="20"/>
                <w:color w:val="auto"/>
              </w:rPr>
            </w:pPr>
            <w:r>
              <w:rPr>
                <w:rFonts w:ascii="Arial" w:cs="Arial" w:eastAsia="Arial" w:hAnsi="Arial"/>
                <w:sz w:val="16"/>
                <w:szCs w:val="16"/>
                <w:color w:val="auto"/>
              </w:rPr>
              <w:t>Employee costs</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4,893</w:t>
            </w:r>
          </w:p>
        </w:tc>
        <w:tc>
          <w:tcPr>
            <w:tcW w:w="340" w:type="dxa"/>
            <w:vAlign w:val="bottom"/>
            <w:shd w:val="clear" w:color="auto" w:fill="E5FFFF"/>
          </w:tcPr>
          <w:p>
            <w:pPr>
              <w:spacing w:after="0"/>
              <w:rPr>
                <w:sz w:val="17"/>
                <w:szCs w:val="17"/>
                <w:color w:val="auto"/>
              </w:rPr>
            </w:pPr>
          </w:p>
        </w:tc>
        <w:tc>
          <w:tcPr>
            <w:tcW w:w="1360" w:type="dxa"/>
            <w:vAlign w:val="bottom"/>
            <w:shd w:val="clear" w:color="auto" w:fill="E5FFFF"/>
          </w:tcPr>
          <w:p>
            <w:pPr>
              <w:ind w:left="1000"/>
              <w:spacing w:after="0"/>
              <w:rPr>
                <w:sz w:val="20"/>
                <w:szCs w:val="20"/>
                <w:color w:val="auto"/>
              </w:rPr>
            </w:pPr>
            <w:r>
              <w:rPr>
                <w:rFonts w:ascii="Arial" w:cs="Arial" w:eastAsia="Arial" w:hAnsi="Arial"/>
                <w:sz w:val="16"/>
                <w:szCs w:val="16"/>
                <w:color w:val="auto"/>
                <w:w w:val="84"/>
              </w:rPr>
              <w:t>5,621</w:t>
            </w:r>
          </w:p>
        </w:tc>
        <w:tc>
          <w:tcPr>
            <w:tcW w:w="34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16,521</w:t>
            </w:r>
          </w:p>
        </w:tc>
        <w:tc>
          <w:tcPr>
            <w:tcW w:w="32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16,043</w:t>
            </w:r>
          </w:p>
        </w:tc>
        <w:tc>
          <w:tcPr>
            <w:tcW w:w="0" w:type="dxa"/>
            <w:vAlign w:val="bottom"/>
          </w:tcPr>
          <w:p>
            <w:pPr>
              <w:spacing w:after="0"/>
              <w:rPr>
                <w:sz w:val="1"/>
                <w:szCs w:val="1"/>
                <w:color w:val="auto"/>
              </w:rPr>
            </w:pPr>
          </w:p>
        </w:tc>
      </w:tr>
      <w:tr>
        <w:trPr>
          <w:trHeight w:val="203"/>
        </w:trPr>
        <w:tc>
          <w:tcPr>
            <w:tcW w:w="482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1380" w:type="dxa"/>
            <w:vAlign w:val="bottom"/>
          </w:tcPr>
          <w:p>
            <w:pPr>
              <w:jc w:val="right"/>
              <w:spacing w:after="0"/>
              <w:rPr>
                <w:sz w:val="20"/>
                <w:szCs w:val="20"/>
                <w:color w:val="auto"/>
              </w:rPr>
            </w:pPr>
            <w:r>
              <w:rPr>
                <w:rFonts w:ascii="Arial" w:cs="Arial" w:eastAsia="Arial" w:hAnsi="Arial"/>
                <w:sz w:val="16"/>
                <w:szCs w:val="16"/>
                <w:color w:val="auto"/>
              </w:rPr>
              <w:t>1,350</w:t>
            </w:r>
          </w:p>
        </w:tc>
        <w:tc>
          <w:tcPr>
            <w:tcW w:w="340" w:type="dxa"/>
            <w:vAlign w:val="bottom"/>
          </w:tcPr>
          <w:p>
            <w:pPr>
              <w:spacing w:after="0"/>
              <w:rPr>
                <w:sz w:val="17"/>
                <w:szCs w:val="17"/>
                <w:color w:val="auto"/>
              </w:rPr>
            </w:pPr>
          </w:p>
        </w:tc>
        <w:tc>
          <w:tcPr>
            <w:tcW w:w="1700" w:type="dxa"/>
            <w:vAlign w:val="bottom"/>
            <w:gridSpan w:val="2"/>
          </w:tcPr>
          <w:p>
            <w:pPr>
              <w:ind w:left="1000"/>
              <w:spacing w:after="0"/>
              <w:rPr>
                <w:sz w:val="20"/>
                <w:szCs w:val="20"/>
                <w:color w:val="auto"/>
              </w:rPr>
            </w:pPr>
            <w:r>
              <w:rPr>
                <w:rFonts w:ascii="Arial" w:cs="Arial" w:eastAsia="Arial" w:hAnsi="Arial"/>
                <w:sz w:val="16"/>
                <w:szCs w:val="16"/>
                <w:color w:val="auto"/>
              </w:rPr>
              <w:t>1,129</w:t>
            </w:r>
          </w:p>
        </w:tc>
        <w:tc>
          <w:tcPr>
            <w:tcW w:w="1380" w:type="dxa"/>
            <w:vAlign w:val="bottom"/>
          </w:tcPr>
          <w:p>
            <w:pPr>
              <w:jc w:val="right"/>
              <w:spacing w:after="0"/>
              <w:rPr>
                <w:sz w:val="20"/>
                <w:szCs w:val="20"/>
                <w:color w:val="auto"/>
              </w:rPr>
            </w:pPr>
            <w:r>
              <w:rPr>
                <w:rFonts w:ascii="Arial" w:cs="Arial" w:eastAsia="Arial" w:hAnsi="Arial"/>
                <w:sz w:val="16"/>
                <w:szCs w:val="16"/>
                <w:color w:val="auto"/>
              </w:rPr>
              <w:t>3,865</w:t>
            </w:r>
          </w:p>
        </w:tc>
        <w:tc>
          <w:tcPr>
            <w:tcW w:w="3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3,450</w:t>
            </w:r>
          </w:p>
        </w:tc>
        <w:tc>
          <w:tcPr>
            <w:tcW w:w="0" w:type="dxa"/>
            <w:vAlign w:val="bottom"/>
          </w:tcPr>
          <w:p>
            <w:pPr>
              <w:spacing w:after="0"/>
              <w:rPr>
                <w:sz w:val="1"/>
                <w:szCs w:val="1"/>
                <w:color w:val="auto"/>
              </w:rPr>
            </w:pPr>
          </w:p>
        </w:tc>
      </w:tr>
      <w:tr>
        <w:trPr>
          <w:trHeight w:val="203"/>
        </w:trPr>
        <w:tc>
          <w:tcPr>
            <w:tcW w:w="4820" w:type="dxa"/>
            <w:vAlign w:val="bottom"/>
            <w:shd w:val="clear" w:color="auto" w:fill="E5FFFF"/>
          </w:tcPr>
          <w:p>
            <w:pPr>
              <w:spacing w:after="0"/>
              <w:rPr>
                <w:sz w:val="20"/>
                <w:szCs w:val="20"/>
                <w:color w:val="auto"/>
              </w:rPr>
            </w:pPr>
            <w:r>
              <w:rPr>
                <w:rFonts w:ascii="Arial" w:cs="Arial" w:eastAsia="Arial" w:hAnsi="Arial"/>
                <w:sz w:val="16"/>
                <w:szCs w:val="16"/>
                <w:color w:val="auto"/>
              </w:rPr>
              <w:t>Other expenses</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3,674</w:t>
            </w:r>
          </w:p>
        </w:tc>
        <w:tc>
          <w:tcPr>
            <w:tcW w:w="340" w:type="dxa"/>
            <w:vAlign w:val="bottom"/>
            <w:shd w:val="clear" w:color="auto" w:fill="E5FFFF"/>
          </w:tcPr>
          <w:p>
            <w:pPr>
              <w:spacing w:after="0"/>
              <w:rPr>
                <w:sz w:val="17"/>
                <w:szCs w:val="17"/>
                <w:color w:val="auto"/>
              </w:rPr>
            </w:pPr>
          </w:p>
        </w:tc>
        <w:tc>
          <w:tcPr>
            <w:tcW w:w="1700" w:type="dxa"/>
            <w:vAlign w:val="bottom"/>
            <w:gridSpan w:val="2"/>
            <w:shd w:val="clear" w:color="auto" w:fill="E5FFFF"/>
          </w:tcPr>
          <w:p>
            <w:pPr>
              <w:ind w:left="1000"/>
              <w:spacing w:after="0"/>
              <w:rPr>
                <w:sz w:val="20"/>
                <w:szCs w:val="20"/>
                <w:color w:val="auto"/>
              </w:rPr>
            </w:pPr>
            <w:r>
              <w:rPr>
                <w:rFonts w:ascii="Arial" w:cs="Arial" w:eastAsia="Arial" w:hAnsi="Arial"/>
                <w:sz w:val="16"/>
                <w:szCs w:val="16"/>
                <w:color w:val="auto"/>
              </w:rPr>
              <w:t>4,574</w:t>
            </w:r>
          </w:p>
        </w:tc>
        <w:tc>
          <w:tcPr>
            <w:tcW w:w="1700" w:type="dxa"/>
            <w:vAlign w:val="bottom"/>
            <w:gridSpan w:val="2"/>
            <w:shd w:val="clear" w:color="auto" w:fill="E5FFFF"/>
          </w:tcPr>
          <w:p>
            <w:pPr>
              <w:jc w:val="right"/>
              <w:ind w:right="320"/>
              <w:spacing w:after="0"/>
              <w:rPr>
                <w:sz w:val="20"/>
                <w:szCs w:val="20"/>
                <w:color w:val="auto"/>
              </w:rPr>
            </w:pPr>
            <w:r>
              <w:rPr>
                <w:rFonts w:ascii="Arial" w:cs="Arial" w:eastAsia="Arial" w:hAnsi="Arial"/>
                <w:sz w:val="16"/>
                <w:szCs w:val="16"/>
                <w:color w:val="auto"/>
              </w:rPr>
              <w:t>11,896</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13,380</w:t>
            </w:r>
          </w:p>
        </w:tc>
        <w:tc>
          <w:tcPr>
            <w:tcW w:w="0" w:type="dxa"/>
            <w:vAlign w:val="bottom"/>
          </w:tcPr>
          <w:p>
            <w:pPr>
              <w:spacing w:after="0"/>
              <w:rPr>
                <w:sz w:val="1"/>
                <w:szCs w:val="1"/>
                <w:color w:val="auto"/>
              </w:rPr>
            </w:pPr>
          </w:p>
        </w:tc>
      </w:tr>
      <w:tr>
        <w:trPr>
          <w:trHeight w:val="196"/>
        </w:trPr>
        <w:tc>
          <w:tcPr>
            <w:tcW w:w="482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9,917</w:t>
            </w:r>
          </w:p>
        </w:tc>
        <w:tc>
          <w:tcPr>
            <w:tcW w:w="34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11,324</w:t>
            </w:r>
          </w:p>
        </w:tc>
        <w:tc>
          <w:tcPr>
            <w:tcW w:w="340" w:type="dxa"/>
            <w:vAlign w:val="bottom"/>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32,282</w:t>
            </w:r>
          </w:p>
        </w:tc>
        <w:tc>
          <w:tcPr>
            <w:tcW w:w="320" w:type="dxa"/>
            <w:vAlign w:val="bottom"/>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32,873</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6"/>
                <w:szCs w:val="16"/>
                <w:b w:val="1"/>
                <w:bCs w:val="1"/>
                <w:color w:val="auto"/>
              </w:rPr>
              <w:t>11. Vessel Operating and Supervision Costs</w:t>
            </w: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2"/>
        </w:trPr>
        <w:tc>
          <w:tcPr>
            <w:tcW w:w="482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820" w:type="dxa"/>
            <w:vAlign w:val="bottom"/>
          </w:tcPr>
          <w:p>
            <w:pPr>
              <w:ind w:left="440"/>
              <w:spacing w:after="0"/>
              <w:rPr>
                <w:sz w:val="20"/>
                <w:szCs w:val="20"/>
                <w:color w:val="auto"/>
              </w:rPr>
            </w:pPr>
            <w:r>
              <w:rPr>
                <w:rFonts w:ascii="Arial" w:cs="Arial" w:eastAsia="Arial" w:hAnsi="Arial"/>
                <w:sz w:val="16"/>
                <w:szCs w:val="16"/>
                <w:color w:val="auto"/>
                <w:w w:val="91"/>
              </w:rPr>
              <w:t>An analysis of vessel operating and supervision costs is as follows:</w:t>
            </w: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4820" w:type="dxa"/>
            <w:vAlign w:val="bottom"/>
          </w:tcPr>
          <w:p>
            <w:pPr>
              <w:spacing w:after="0"/>
              <w:rPr>
                <w:sz w:val="24"/>
                <w:szCs w:val="24"/>
                <w:color w:val="auto"/>
              </w:rPr>
            </w:pPr>
          </w:p>
        </w:tc>
        <w:tc>
          <w:tcPr>
            <w:tcW w:w="3420" w:type="dxa"/>
            <w:vAlign w:val="bottom"/>
            <w:gridSpan w:val="4"/>
          </w:tcPr>
          <w:p>
            <w:pPr>
              <w:ind w:left="580"/>
              <w:spacing w:after="0"/>
              <w:rPr>
                <w:sz w:val="20"/>
                <w:szCs w:val="20"/>
                <w:color w:val="auto"/>
              </w:rPr>
            </w:pPr>
            <w:r>
              <w:rPr>
                <w:rFonts w:ascii="Arial" w:cs="Arial" w:eastAsia="Arial" w:hAnsi="Arial"/>
                <w:sz w:val="16"/>
                <w:szCs w:val="16"/>
                <w:b w:val="1"/>
                <w:bCs w:val="1"/>
                <w:color w:val="auto"/>
              </w:rPr>
              <w:t>For the three months ended</w:t>
            </w:r>
          </w:p>
        </w:tc>
        <w:tc>
          <w:tcPr>
            <w:tcW w:w="3080" w:type="dxa"/>
            <w:vAlign w:val="bottom"/>
            <w:gridSpan w:val="3"/>
          </w:tcPr>
          <w:p>
            <w:pPr>
              <w:jc w:val="right"/>
              <w:ind w:right="539"/>
              <w:spacing w:after="0"/>
              <w:rPr>
                <w:sz w:val="20"/>
                <w:szCs w:val="20"/>
                <w:color w:val="auto"/>
              </w:rPr>
            </w:pPr>
            <w:r>
              <w:rPr>
                <w:rFonts w:ascii="Arial" w:cs="Arial" w:eastAsia="Arial" w:hAnsi="Arial"/>
                <w:sz w:val="16"/>
                <w:szCs w:val="16"/>
                <w:b w:val="1"/>
                <w:bCs w:val="1"/>
                <w:color w:val="auto"/>
              </w:rPr>
              <w:t>For the nine months ended</w:t>
            </w:r>
          </w:p>
        </w:tc>
        <w:tc>
          <w:tcPr>
            <w:tcW w:w="0" w:type="dxa"/>
            <w:vAlign w:val="bottom"/>
          </w:tcPr>
          <w:p>
            <w:pPr>
              <w:spacing w:after="0"/>
              <w:rPr>
                <w:sz w:val="1"/>
                <w:szCs w:val="1"/>
                <w:color w:val="auto"/>
              </w:rPr>
            </w:pPr>
          </w:p>
        </w:tc>
      </w:tr>
      <w:tr>
        <w:trPr>
          <w:trHeight w:val="203"/>
        </w:trPr>
        <w:tc>
          <w:tcPr>
            <w:tcW w:w="4820" w:type="dxa"/>
            <w:vAlign w:val="bottom"/>
          </w:tcPr>
          <w:p>
            <w:pPr>
              <w:spacing w:after="0"/>
              <w:rPr>
                <w:sz w:val="17"/>
                <w:szCs w:val="17"/>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September 30,</w:t>
            </w:r>
          </w:p>
        </w:tc>
        <w:tc>
          <w:tcPr>
            <w:tcW w:w="17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September 30,</w:t>
            </w:r>
          </w:p>
        </w:tc>
        <w:tc>
          <w:tcPr>
            <w:tcW w:w="17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September 30,</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210"/>
        </w:trPr>
        <w:tc>
          <w:tcPr>
            <w:tcW w:w="4820" w:type="dxa"/>
            <w:vAlign w:val="bottom"/>
            <w:tcBorders>
              <w:bottom w:val="single" w:sz="8" w:color="E5FFFF"/>
            </w:tcBorders>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34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2019</w:t>
            </w:r>
          </w:p>
        </w:tc>
        <w:tc>
          <w:tcPr>
            <w:tcW w:w="340" w:type="dxa"/>
            <w:vAlign w:val="bottom"/>
            <w:tcBorders>
              <w:bottom w:val="single" w:sz="8" w:color="E5FFFF"/>
            </w:tcBorders>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2018</w:t>
            </w:r>
          </w:p>
        </w:tc>
        <w:tc>
          <w:tcPr>
            <w:tcW w:w="320" w:type="dxa"/>
            <w:vAlign w:val="bottom"/>
            <w:tcBorders>
              <w:bottom w:val="single" w:sz="8" w:color="E5FFFF"/>
            </w:tcBorders>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2019</w:t>
            </w:r>
          </w:p>
        </w:tc>
        <w:tc>
          <w:tcPr>
            <w:tcW w:w="0" w:type="dxa"/>
            <w:vAlign w:val="bottom"/>
          </w:tcPr>
          <w:p>
            <w:pPr>
              <w:spacing w:after="0"/>
              <w:rPr>
                <w:sz w:val="1"/>
                <w:szCs w:val="1"/>
                <w:color w:val="auto"/>
              </w:rPr>
            </w:pPr>
          </w:p>
        </w:tc>
      </w:tr>
      <w:tr>
        <w:trPr>
          <w:trHeight w:val="202"/>
        </w:trPr>
        <w:tc>
          <w:tcPr>
            <w:tcW w:w="4820" w:type="dxa"/>
            <w:vAlign w:val="bottom"/>
            <w:shd w:val="clear" w:color="auto" w:fill="E5FFFF"/>
          </w:tcPr>
          <w:p>
            <w:pPr>
              <w:spacing w:after="0"/>
              <w:rPr>
                <w:sz w:val="20"/>
                <w:szCs w:val="20"/>
                <w:color w:val="auto"/>
              </w:rPr>
            </w:pPr>
            <w:r>
              <w:rPr>
                <w:rFonts w:ascii="Arial" w:cs="Arial" w:eastAsia="Arial" w:hAnsi="Arial"/>
                <w:sz w:val="16"/>
                <w:szCs w:val="16"/>
                <w:color w:val="auto"/>
              </w:rPr>
              <w:t>Crew wages and vessel management employee costs</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20,143</w:t>
            </w:r>
          </w:p>
        </w:tc>
        <w:tc>
          <w:tcPr>
            <w:tcW w:w="34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20,212</w:t>
            </w:r>
          </w:p>
        </w:tc>
        <w:tc>
          <w:tcPr>
            <w:tcW w:w="34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60,401</w:t>
            </w:r>
          </w:p>
        </w:tc>
        <w:tc>
          <w:tcPr>
            <w:tcW w:w="32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59,556</w:t>
            </w:r>
          </w:p>
        </w:tc>
        <w:tc>
          <w:tcPr>
            <w:tcW w:w="0" w:type="dxa"/>
            <w:vAlign w:val="bottom"/>
          </w:tcPr>
          <w:p>
            <w:pPr>
              <w:spacing w:after="0"/>
              <w:rPr>
                <w:sz w:val="1"/>
                <w:szCs w:val="1"/>
                <w:color w:val="auto"/>
              </w:rPr>
            </w:pPr>
          </w:p>
        </w:tc>
      </w:tr>
      <w:tr>
        <w:trPr>
          <w:trHeight w:val="203"/>
        </w:trPr>
        <w:tc>
          <w:tcPr>
            <w:tcW w:w="4820" w:type="dxa"/>
            <w:vAlign w:val="bottom"/>
          </w:tcPr>
          <w:p>
            <w:pPr>
              <w:spacing w:after="0"/>
              <w:rPr>
                <w:sz w:val="20"/>
                <w:szCs w:val="20"/>
                <w:color w:val="auto"/>
              </w:rPr>
            </w:pPr>
            <w:r>
              <w:rPr>
                <w:rFonts w:ascii="Arial" w:cs="Arial" w:eastAsia="Arial" w:hAnsi="Arial"/>
                <w:sz w:val="16"/>
                <w:szCs w:val="16"/>
                <w:color w:val="auto"/>
              </w:rPr>
              <w:t>Technical maintenance expenses</w:t>
            </w:r>
          </w:p>
        </w:tc>
        <w:tc>
          <w:tcPr>
            <w:tcW w:w="1380" w:type="dxa"/>
            <w:vAlign w:val="bottom"/>
          </w:tcPr>
          <w:p>
            <w:pPr>
              <w:jc w:val="right"/>
              <w:spacing w:after="0"/>
              <w:rPr>
                <w:sz w:val="20"/>
                <w:szCs w:val="20"/>
                <w:color w:val="auto"/>
              </w:rPr>
            </w:pPr>
            <w:r>
              <w:rPr>
                <w:rFonts w:ascii="Arial" w:cs="Arial" w:eastAsia="Arial" w:hAnsi="Arial"/>
                <w:sz w:val="16"/>
                <w:szCs w:val="16"/>
                <w:color w:val="auto"/>
              </w:rPr>
              <w:t>6,447</w:t>
            </w:r>
          </w:p>
        </w:tc>
        <w:tc>
          <w:tcPr>
            <w:tcW w:w="340" w:type="dxa"/>
            <w:vAlign w:val="bottom"/>
          </w:tcPr>
          <w:p>
            <w:pPr>
              <w:spacing w:after="0"/>
              <w:rPr>
                <w:sz w:val="17"/>
                <w:szCs w:val="17"/>
                <w:color w:val="auto"/>
              </w:rPr>
            </w:pPr>
          </w:p>
        </w:tc>
        <w:tc>
          <w:tcPr>
            <w:tcW w:w="1700" w:type="dxa"/>
            <w:vAlign w:val="bottom"/>
            <w:gridSpan w:val="2"/>
          </w:tcPr>
          <w:p>
            <w:pPr>
              <w:ind w:left="1000"/>
              <w:spacing w:after="0"/>
              <w:rPr>
                <w:sz w:val="20"/>
                <w:szCs w:val="20"/>
                <w:color w:val="auto"/>
              </w:rPr>
            </w:pPr>
            <w:r>
              <w:rPr>
                <w:rFonts w:ascii="Arial" w:cs="Arial" w:eastAsia="Arial" w:hAnsi="Arial"/>
                <w:sz w:val="16"/>
                <w:szCs w:val="16"/>
                <w:color w:val="auto"/>
              </w:rPr>
              <w:t>8,303</w:t>
            </w:r>
          </w:p>
        </w:tc>
        <w:tc>
          <w:tcPr>
            <w:tcW w:w="1380" w:type="dxa"/>
            <w:vAlign w:val="bottom"/>
          </w:tcPr>
          <w:p>
            <w:pPr>
              <w:jc w:val="right"/>
              <w:spacing w:after="0"/>
              <w:rPr>
                <w:sz w:val="20"/>
                <w:szCs w:val="20"/>
                <w:color w:val="auto"/>
              </w:rPr>
            </w:pPr>
            <w:r>
              <w:rPr>
                <w:rFonts w:ascii="Arial" w:cs="Arial" w:eastAsia="Arial" w:hAnsi="Arial"/>
                <w:sz w:val="16"/>
                <w:szCs w:val="16"/>
                <w:color w:val="auto"/>
              </w:rPr>
              <w:t>22,048</w:t>
            </w:r>
          </w:p>
        </w:tc>
        <w:tc>
          <w:tcPr>
            <w:tcW w:w="3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25,428</w:t>
            </w:r>
          </w:p>
        </w:tc>
        <w:tc>
          <w:tcPr>
            <w:tcW w:w="0" w:type="dxa"/>
            <w:vAlign w:val="bottom"/>
          </w:tcPr>
          <w:p>
            <w:pPr>
              <w:spacing w:after="0"/>
              <w:rPr>
                <w:sz w:val="1"/>
                <w:szCs w:val="1"/>
                <w:color w:val="auto"/>
              </w:rPr>
            </w:pPr>
          </w:p>
        </w:tc>
      </w:tr>
      <w:tr>
        <w:trPr>
          <w:trHeight w:val="203"/>
        </w:trPr>
        <w:tc>
          <w:tcPr>
            <w:tcW w:w="4820" w:type="dxa"/>
            <w:vAlign w:val="bottom"/>
            <w:shd w:val="clear" w:color="auto" w:fill="E5FFFF"/>
          </w:tcPr>
          <w:p>
            <w:pPr>
              <w:spacing w:after="0"/>
              <w:rPr>
                <w:sz w:val="20"/>
                <w:szCs w:val="20"/>
                <w:color w:val="auto"/>
              </w:rPr>
            </w:pPr>
            <w:r>
              <w:rPr>
                <w:rFonts w:ascii="Arial" w:cs="Arial" w:eastAsia="Arial" w:hAnsi="Arial"/>
                <w:sz w:val="16"/>
                <w:szCs w:val="16"/>
                <w:color w:val="auto"/>
              </w:rPr>
              <w:t>Other vessel operating expenses</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5,358</w:t>
            </w:r>
          </w:p>
        </w:tc>
        <w:tc>
          <w:tcPr>
            <w:tcW w:w="340" w:type="dxa"/>
            <w:vAlign w:val="bottom"/>
            <w:shd w:val="clear" w:color="auto" w:fill="E5FFFF"/>
          </w:tcPr>
          <w:p>
            <w:pPr>
              <w:spacing w:after="0"/>
              <w:rPr>
                <w:sz w:val="17"/>
                <w:szCs w:val="17"/>
                <w:color w:val="auto"/>
              </w:rPr>
            </w:pPr>
          </w:p>
        </w:tc>
        <w:tc>
          <w:tcPr>
            <w:tcW w:w="1700" w:type="dxa"/>
            <w:vAlign w:val="bottom"/>
            <w:gridSpan w:val="2"/>
            <w:shd w:val="clear" w:color="auto" w:fill="E5FFFF"/>
          </w:tcPr>
          <w:p>
            <w:pPr>
              <w:ind w:left="1000"/>
              <w:spacing w:after="0"/>
              <w:rPr>
                <w:sz w:val="20"/>
                <w:szCs w:val="20"/>
                <w:color w:val="auto"/>
              </w:rPr>
            </w:pPr>
            <w:r>
              <w:rPr>
                <w:rFonts w:ascii="Arial" w:cs="Arial" w:eastAsia="Arial" w:hAnsi="Arial"/>
                <w:sz w:val="16"/>
                <w:szCs w:val="16"/>
                <w:color w:val="auto"/>
              </w:rPr>
              <w:t>5,281</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16,515</w:t>
            </w:r>
          </w:p>
        </w:tc>
        <w:tc>
          <w:tcPr>
            <w:tcW w:w="32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15,140</w:t>
            </w:r>
          </w:p>
        </w:tc>
        <w:tc>
          <w:tcPr>
            <w:tcW w:w="0" w:type="dxa"/>
            <w:vAlign w:val="bottom"/>
          </w:tcPr>
          <w:p>
            <w:pPr>
              <w:spacing w:after="0"/>
              <w:rPr>
                <w:sz w:val="1"/>
                <w:szCs w:val="1"/>
                <w:color w:val="auto"/>
              </w:rPr>
            </w:pPr>
          </w:p>
        </w:tc>
      </w:tr>
      <w:tr>
        <w:trPr>
          <w:trHeight w:val="196"/>
        </w:trPr>
        <w:tc>
          <w:tcPr>
            <w:tcW w:w="482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31,948</w:t>
            </w:r>
          </w:p>
        </w:tc>
        <w:tc>
          <w:tcPr>
            <w:tcW w:w="34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33,796</w:t>
            </w:r>
          </w:p>
        </w:tc>
        <w:tc>
          <w:tcPr>
            <w:tcW w:w="340" w:type="dxa"/>
            <w:vAlign w:val="bottom"/>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98,964</w:t>
            </w:r>
          </w:p>
        </w:tc>
        <w:tc>
          <w:tcPr>
            <w:tcW w:w="320" w:type="dxa"/>
            <w:vAlign w:val="bottom"/>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100,124</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Other Payables and Accruals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An analysis of other payables and accruals is as follows: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3"/>
        </w:trPr>
        <w:tc>
          <w:tcPr>
            <w:tcW w:w="7820" w:type="dxa"/>
            <w:vAlign w:val="bottom"/>
          </w:tcPr>
          <w:p>
            <w:pPr>
              <w:spacing w:after="0"/>
              <w:rPr>
                <w:sz w:val="17"/>
                <w:szCs w:val="17"/>
                <w:color w:val="auto"/>
              </w:rPr>
            </w:pPr>
          </w:p>
        </w:tc>
        <w:tc>
          <w:tcPr>
            <w:tcW w:w="166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December 31,</w:t>
            </w:r>
          </w:p>
        </w:tc>
        <w:tc>
          <w:tcPr>
            <w:tcW w:w="1480" w:type="dxa"/>
            <w:vAlign w:val="bottom"/>
          </w:tcPr>
          <w:p>
            <w:pPr>
              <w:jc w:val="right"/>
              <w:ind w:right="159"/>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7820" w:type="dxa"/>
            <w:vAlign w:val="bottom"/>
            <w:tcBorders>
              <w:bottom w:val="single" w:sz="8" w:color="E5FFFF"/>
            </w:tcBorders>
          </w:tcPr>
          <w:p>
            <w:pPr>
              <w:spacing w:after="0"/>
              <w:rPr>
                <w:sz w:val="18"/>
                <w:szCs w:val="18"/>
                <w:color w:val="auto"/>
              </w:rPr>
            </w:pPr>
          </w:p>
        </w:tc>
        <w:tc>
          <w:tcPr>
            <w:tcW w:w="13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320" w:type="dxa"/>
            <w:vAlign w:val="bottom"/>
            <w:tcBorders>
              <w:bottom w:val="single" w:sz="8" w:color="E5FFFF"/>
            </w:tcBorders>
          </w:tcPr>
          <w:p>
            <w:pPr>
              <w:spacing w:after="0"/>
              <w:rPr>
                <w:sz w:val="18"/>
                <w:szCs w:val="18"/>
                <w:color w:val="auto"/>
              </w:rPr>
            </w:pPr>
          </w:p>
        </w:tc>
        <w:tc>
          <w:tcPr>
            <w:tcW w:w="14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r>
      <w:tr>
        <w:trPr>
          <w:trHeight w:val="202"/>
        </w:trPr>
        <w:tc>
          <w:tcPr>
            <w:tcW w:w="7820" w:type="dxa"/>
            <w:vAlign w:val="bottom"/>
            <w:shd w:val="clear" w:color="auto" w:fill="E5FFFF"/>
          </w:tcPr>
          <w:p>
            <w:pPr>
              <w:spacing w:after="0"/>
              <w:rPr>
                <w:sz w:val="20"/>
                <w:szCs w:val="20"/>
                <w:color w:val="auto"/>
              </w:rPr>
            </w:pPr>
            <w:r>
              <w:rPr>
                <w:rFonts w:ascii="Arial" w:cs="Arial" w:eastAsia="Arial" w:hAnsi="Arial"/>
                <w:sz w:val="16"/>
                <w:szCs w:val="16"/>
                <w:color w:val="auto"/>
              </w:rPr>
              <w:t>Unearned revenue</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38,680</w:t>
            </w:r>
          </w:p>
        </w:tc>
        <w:tc>
          <w:tcPr>
            <w:tcW w:w="320" w:type="dxa"/>
            <w:vAlign w:val="bottom"/>
            <w:shd w:val="clear" w:color="auto" w:fill="E5FFFF"/>
          </w:tcPr>
          <w:p>
            <w:pPr>
              <w:spacing w:after="0"/>
              <w:rPr>
                <w:sz w:val="17"/>
                <w:szCs w:val="17"/>
                <w:color w:val="auto"/>
              </w:rPr>
            </w:pP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7820" w:type="dxa"/>
            <w:vAlign w:val="bottom"/>
          </w:tcPr>
          <w:p>
            <w:pPr>
              <w:spacing w:after="0"/>
              <w:rPr>
                <w:sz w:val="20"/>
                <w:szCs w:val="20"/>
                <w:color w:val="auto"/>
              </w:rPr>
            </w:pPr>
            <w:r>
              <w:rPr>
                <w:rFonts w:ascii="Arial" w:cs="Arial" w:eastAsia="Arial" w:hAnsi="Arial"/>
                <w:sz w:val="16"/>
                <w:szCs w:val="16"/>
                <w:color w:val="auto"/>
              </w:rPr>
              <w:t>Accrued off-hire</w:t>
            </w:r>
          </w:p>
        </w:tc>
        <w:tc>
          <w:tcPr>
            <w:tcW w:w="1660" w:type="dxa"/>
            <w:vAlign w:val="bottom"/>
            <w:gridSpan w:val="2"/>
          </w:tcPr>
          <w:p>
            <w:pPr>
              <w:jc w:val="right"/>
              <w:ind w:right="320"/>
              <w:spacing w:after="0"/>
              <w:rPr>
                <w:sz w:val="20"/>
                <w:szCs w:val="20"/>
                <w:color w:val="auto"/>
              </w:rPr>
            </w:pPr>
            <w:r>
              <w:rPr>
                <w:rFonts w:ascii="Arial" w:cs="Arial" w:eastAsia="Arial" w:hAnsi="Arial"/>
                <w:sz w:val="16"/>
                <w:szCs w:val="16"/>
                <w:color w:val="auto"/>
              </w:rPr>
              <w:t>7,376</w:t>
            </w:r>
          </w:p>
        </w:tc>
        <w:tc>
          <w:tcPr>
            <w:tcW w:w="1480" w:type="dxa"/>
            <w:vAlign w:val="bottom"/>
          </w:tcPr>
          <w:p>
            <w:pPr>
              <w:jc w:val="right"/>
              <w:spacing w:after="0"/>
              <w:rPr>
                <w:sz w:val="20"/>
                <w:szCs w:val="20"/>
                <w:color w:val="auto"/>
              </w:rPr>
            </w:pPr>
            <w:r>
              <w:rPr>
                <w:rFonts w:ascii="Arial" w:cs="Arial" w:eastAsia="Arial" w:hAnsi="Arial"/>
                <w:sz w:val="16"/>
                <w:szCs w:val="16"/>
                <w:color w:val="auto"/>
              </w:rPr>
              <w:t>5,620</w:t>
            </w:r>
          </w:p>
        </w:tc>
      </w:tr>
      <w:tr>
        <w:trPr>
          <w:trHeight w:val="203"/>
        </w:trPr>
        <w:tc>
          <w:tcPr>
            <w:tcW w:w="7820" w:type="dxa"/>
            <w:vAlign w:val="bottom"/>
            <w:shd w:val="clear" w:color="auto" w:fill="E5FFFF"/>
          </w:tcPr>
          <w:p>
            <w:pPr>
              <w:spacing w:after="0"/>
              <w:rPr>
                <w:sz w:val="20"/>
                <w:szCs w:val="20"/>
                <w:color w:val="auto"/>
              </w:rPr>
            </w:pPr>
            <w:r>
              <w:rPr>
                <w:rFonts w:ascii="Arial" w:cs="Arial" w:eastAsia="Arial" w:hAnsi="Arial"/>
                <w:sz w:val="16"/>
                <w:szCs w:val="16"/>
                <w:color w:val="auto"/>
              </w:rPr>
              <w:t>Accrued purchases</w:t>
            </w:r>
          </w:p>
        </w:tc>
        <w:tc>
          <w:tcPr>
            <w:tcW w:w="1660" w:type="dxa"/>
            <w:vAlign w:val="bottom"/>
            <w:gridSpan w:val="2"/>
            <w:shd w:val="clear" w:color="auto" w:fill="E5FFFF"/>
          </w:tcPr>
          <w:p>
            <w:pPr>
              <w:jc w:val="right"/>
              <w:ind w:right="320"/>
              <w:spacing w:after="0"/>
              <w:rPr>
                <w:sz w:val="20"/>
                <w:szCs w:val="20"/>
                <w:color w:val="auto"/>
              </w:rPr>
            </w:pPr>
            <w:r>
              <w:rPr>
                <w:rFonts w:ascii="Arial" w:cs="Arial" w:eastAsia="Arial" w:hAnsi="Arial"/>
                <w:sz w:val="16"/>
                <w:szCs w:val="16"/>
                <w:color w:val="auto"/>
              </w:rPr>
              <w:t>18,578</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6,067</w:t>
            </w:r>
          </w:p>
        </w:tc>
      </w:tr>
      <w:tr>
        <w:trPr>
          <w:trHeight w:val="203"/>
        </w:trPr>
        <w:tc>
          <w:tcPr>
            <w:tcW w:w="7820" w:type="dxa"/>
            <w:vAlign w:val="bottom"/>
          </w:tcPr>
          <w:p>
            <w:pPr>
              <w:spacing w:after="0"/>
              <w:rPr>
                <w:sz w:val="20"/>
                <w:szCs w:val="20"/>
                <w:color w:val="auto"/>
              </w:rPr>
            </w:pPr>
            <w:r>
              <w:rPr>
                <w:rFonts w:ascii="Arial" w:cs="Arial" w:eastAsia="Arial" w:hAnsi="Arial"/>
                <w:sz w:val="16"/>
                <w:szCs w:val="16"/>
                <w:color w:val="auto"/>
              </w:rPr>
              <w:t>Accrued interest</w:t>
            </w:r>
          </w:p>
        </w:tc>
        <w:tc>
          <w:tcPr>
            <w:tcW w:w="1660" w:type="dxa"/>
            <w:vAlign w:val="bottom"/>
            <w:gridSpan w:val="2"/>
          </w:tcPr>
          <w:p>
            <w:pPr>
              <w:jc w:val="right"/>
              <w:ind w:right="320"/>
              <w:spacing w:after="0"/>
              <w:rPr>
                <w:sz w:val="20"/>
                <w:szCs w:val="20"/>
                <w:color w:val="auto"/>
              </w:rPr>
            </w:pPr>
            <w:r>
              <w:rPr>
                <w:rFonts w:ascii="Arial" w:cs="Arial" w:eastAsia="Arial" w:hAnsi="Arial"/>
                <w:sz w:val="16"/>
                <w:szCs w:val="16"/>
                <w:color w:val="auto"/>
              </w:rPr>
              <w:t>38,107</w:t>
            </w:r>
          </w:p>
        </w:tc>
        <w:tc>
          <w:tcPr>
            <w:tcW w:w="1480" w:type="dxa"/>
            <w:vAlign w:val="bottom"/>
          </w:tcPr>
          <w:p>
            <w:pPr>
              <w:jc w:val="right"/>
              <w:spacing w:after="0"/>
              <w:rPr>
                <w:sz w:val="20"/>
                <w:szCs w:val="20"/>
                <w:color w:val="auto"/>
              </w:rPr>
            </w:pPr>
            <w:r>
              <w:rPr>
                <w:rFonts w:ascii="Arial" w:cs="Arial" w:eastAsia="Arial" w:hAnsi="Arial"/>
                <w:sz w:val="16"/>
                <w:szCs w:val="16"/>
                <w:color w:val="auto"/>
              </w:rPr>
              <w:t>21,942</w:t>
            </w:r>
          </w:p>
        </w:tc>
      </w:tr>
      <w:tr>
        <w:trPr>
          <w:trHeight w:val="203"/>
        </w:trPr>
        <w:tc>
          <w:tcPr>
            <w:tcW w:w="7820" w:type="dxa"/>
            <w:vAlign w:val="bottom"/>
            <w:shd w:val="clear" w:color="auto" w:fill="E5FFFF"/>
          </w:tcPr>
          <w:p>
            <w:pPr>
              <w:spacing w:after="0"/>
              <w:rPr>
                <w:sz w:val="20"/>
                <w:szCs w:val="20"/>
                <w:color w:val="auto"/>
              </w:rPr>
            </w:pPr>
            <w:r>
              <w:rPr>
                <w:rFonts w:ascii="Arial" w:cs="Arial" w:eastAsia="Arial" w:hAnsi="Arial"/>
                <w:sz w:val="16"/>
                <w:szCs w:val="16"/>
                <w:color w:val="auto"/>
              </w:rPr>
              <w:t>Other accruals</w:t>
            </w:r>
          </w:p>
        </w:tc>
        <w:tc>
          <w:tcPr>
            <w:tcW w:w="1660" w:type="dxa"/>
            <w:vAlign w:val="bottom"/>
            <w:gridSpan w:val="2"/>
            <w:shd w:val="clear" w:color="auto" w:fill="E5FFFF"/>
          </w:tcPr>
          <w:p>
            <w:pPr>
              <w:jc w:val="right"/>
              <w:ind w:right="320"/>
              <w:spacing w:after="0"/>
              <w:rPr>
                <w:sz w:val="20"/>
                <w:szCs w:val="20"/>
                <w:color w:val="auto"/>
              </w:rPr>
            </w:pPr>
            <w:r>
              <w:rPr>
                <w:rFonts w:ascii="Arial" w:cs="Arial" w:eastAsia="Arial" w:hAnsi="Arial"/>
                <w:sz w:val="16"/>
                <w:szCs w:val="16"/>
                <w:color w:val="auto"/>
              </w:rPr>
              <w:t>24,709</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27,867</w:t>
            </w:r>
          </w:p>
        </w:tc>
      </w:tr>
      <w:tr>
        <w:trPr>
          <w:trHeight w:val="196"/>
        </w:trPr>
        <w:tc>
          <w:tcPr>
            <w:tcW w:w="782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127,450</w:t>
            </w:r>
          </w:p>
        </w:tc>
        <w:tc>
          <w:tcPr>
            <w:tcW w:w="320" w:type="dxa"/>
            <w:vAlign w:val="bottom"/>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61,496</w:t>
            </w:r>
          </w:p>
        </w:tc>
      </w:tr>
      <w:tr>
        <w:trPr>
          <w:trHeight w:val="20"/>
        </w:trPr>
        <w:tc>
          <w:tcPr>
            <w:tcW w:w="78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right="160" w:firstLine="396"/>
        <w:spacing w:after="0" w:line="293" w:lineRule="auto"/>
        <w:rPr>
          <w:sz w:val="20"/>
          <w:szCs w:val="20"/>
          <w:color w:val="auto"/>
        </w:rPr>
      </w:pPr>
      <w:r>
        <w:rPr>
          <w:rFonts w:ascii="Arial" w:cs="Arial" w:eastAsia="Arial" w:hAnsi="Arial"/>
          <w:sz w:val="16"/>
          <w:szCs w:val="16"/>
          <w:color w:val="auto"/>
        </w:rPr>
        <w:t>As of December 31, 2018, the unearned revenue of $38,680 represented monthly charter hires received in advance relating to January 2019. As of September 30, 2019, the balance was nil since the relevant hires were received on or after October 1, 2019.</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13. Share Capital and Preference Shares</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GasLog’s authorized share capital consists of 500,000,000 shares with a par value of $0.01 per share.</w:t>
      </w:r>
    </w:p>
    <w:p>
      <w:pPr>
        <w:spacing w:after="0" w:line="221" w:lineRule="exact"/>
        <w:rPr>
          <w:sz w:val="20"/>
          <w:szCs w:val="20"/>
          <w:color w:val="auto"/>
        </w:rPr>
      </w:pPr>
    </w:p>
    <w:p>
      <w:pPr>
        <w:ind w:right="120" w:firstLine="396"/>
        <w:spacing w:after="0" w:line="278" w:lineRule="auto"/>
        <w:rPr>
          <w:sz w:val="20"/>
          <w:szCs w:val="20"/>
          <w:color w:val="auto"/>
        </w:rPr>
      </w:pPr>
      <w:r>
        <w:rPr>
          <w:rFonts w:ascii="Arial" w:cs="Arial" w:eastAsia="Arial" w:hAnsi="Arial"/>
          <w:sz w:val="16"/>
          <w:szCs w:val="16"/>
          <w:color w:val="auto"/>
        </w:rPr>
        <w:t>As of September 30, 2019, the share capital consisted of 80,861,350 issued and outstanding common shares, par value $0.01 per share, 131,776 treasury shares issued and held by GasLog and 4,600,000 preference shares issued and outstanding. The movements in the number of shares, the share capital, the preference shares, the contributed surplus and the treasury shares are reported in the following table: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8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w w:val="98"/>
              </w:rPr>
              <w:t>Number of Shares</w:t>
            </w:r>
          </w:p>
        </w:tc>
        <w:tc>
          <w:tcPr>
            <w:tcW w:w="14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6"/>
                <w:szCs w:val="16"/>
                <w:b w:val="1"/>
                <w:bCs w:val="1"/>
                <w:color w:val="auto"/>
                <w:w w:val="92"/>
              </w:rPr>
              <w:t>Amounts</w:t>
            </w:r>
          </w:p>
        </w:tc>
        <w:tc>
          <w:tcPr>
            <w:tcW w:w="9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180" w:type="dxa"/>
            <w:vAlign w:val="bottom"/>
          </w:tcPr>
          <w:p>
            <w:pPr>
              <w:spacing w:after="0"/>
              <w:rPr>
                <w:sz w:val="16"/>
                <w:szCs w:val="16"/>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Number of</w:t>
            </w:r>
          </w:p>
        </w:tc>
        <w:tc>
          <w:tcPr>
            <w:tcW w:w="150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Number of</w:t>
            </w:r>
          </w:p>
        </w:tc>
        <w:tc>
          <w:tcPr>
            <w:tcW w:w="1480" w:type="dxa"/>
            <w:vAlign w:val="bottom"/>
          </w:tcPr>
          <w:p>
            <w:pPr>
              <w:jc w:val="right"/>
              <w:ind w:right="279"/>
              <w:spacing w:after="0"/>
              <w:rPr>
                <w:sz w:val="20"/>
                <w:szCs w:val="20"/>
                <w:color w:val="auto"/>
              </w:rPr>
            </w:pPr>
            <w:r>
              <w:rPr>
                <w:rFonts w:ascii="Arial" w:cs="Arial" w:eastAsia="Arial" w:hAnsi="Arial"/>
                <w:sz w:val="16"/>
                <w:szCs w:val="16"/>
                <w:b w:val="1"/>
                <w:bCs w:val="1"/>
                <w:color w:val="auto"/>
              </w:rPr>
              <w:t>Number of</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Preference</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Contributed</w:t>
            </w:r>
          </w:p>
        </w:tc>
        <w:tc>
          <w:tcPr>
            <w:tcW w:w="920" w:type="dxa"/>
            <w:vAlign w:val="bottom"/>
          </w:tcPr>
          <w:p>
            <w:pPr>
              <w:jc w:val="right"/>
              <w:ind w:right="59"/>
              <w:spacing w:after="0"/>
              <w:rPr>
                <w:sz w:val="20"/>
                <w:szCs w:val="20"/>
                <w:color w:val="auto"/>
              </w:rPr>
            </w:pPr>
            <w:r>
              <w:rPr>
                <w:rFonts w:ascii="Arial" w:cs="Arial" w:eastAsia="Arial" w:hAnsi="Arial"/>
                <w:sz w:val="16"/>
                <w:szCs w:val="16"/>
                <w:b w:val="1"/>
                <w:bCs w:val="1"/>
                <w:color w:val="auto"/>
              </w:rPr>
              <w:t>Treasury</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18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7"/>
              </w:rPr>
              <w:t>common shares</w:t>
            </w:r>
          </w:p>
        </w:tc>
        <w:tc>
          <w:tcPr>
            <w:tcW w:w="15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treasury shares</w:t>
            </w:r>
          </w:p>
        </w:tc>
        <w:tc>
          <w:tcPr>
            <w:tcW w:w="172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5"/>
              </w:rPr>
              <w:t>preference shares</w:t>
            </w: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Share capital</w:t>
            </w: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5"/>
              </w:rPr>
              <w:t>shares</w:t>
            </w:r>
          </w:p>
        </w:tc>
        <w:tc>
          <w:tcPr>
            <w:tcW w:w="11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surplus</w:t>
            </w:r>
          </w:p>
        </w:tc>
        <w:tc>
          <w:tcPr>
            <w:tcW w:w="102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rPr>
              <w:t>shares</w:t>
            </w:r>
          </w:p>
        </w:tc>
        <w:tc>
          <w:tcPr>
            <w:tcW w:w="0" w:type="dxa"/>
            <w:vAlign w:val="bottom"/>
          </w:tcPr>
          <w:p>
            <w:pPr>
              <w:spacing w:after="0"/>
              <w:rPr>
                <w:sz w:val="1"/>
                <w:szCs w:val="1"/>
                <w:color w:val="auto"/>
              </w:rPr>
            </w:pPr>
          </w:p>
        </w:tc>
      </w:tr>
      <w:tr>
        <w:trPr>
          <w:trHeight w:val="175"/>
        </w:trPr>
        <w:tc>
          <w:tcPr>
            <w:tcW w:w="2180" w:type="dxa"/>
            <w:vAlign w:val="bottom"/>
            <w:tcBorders>
              <w:top w:val="single" w:sz="8" w:color="E5FFFF"/>
            </w:tcBorders>
            <w:shd w:val="clear" w:color="auto" w:fill="E5FFFF"/>
          </w:tcPr>
          <w:p>
            <w:pPr>
              <w:spacing w:after="0" w:line="175" w:lineRule="exact"/>
              <w:rPr>
                <w:sz w:val="20"/>
                <w:szCs w:val="20"/>
                <w:color w:val="auto"/>
              </w:rPr>
            </w:pPr>
            <w:r>
              <w:rPr>
                <w:rFonts w:ascii="Arial" w:cs="Arial" w:eastAsia="Arial" w:hAnsi="Arial"/>
                <w:sz w:val="16"/>
                <w:szCs w:val="16"/>
                <w:b w:val="1"/>
                <w:bCs w:val="1"/>
                <w:color w:val="auto"/>
              </w:rPr>
              <w:t>Outstanding as of</w:t>
            </w:r>
          </w:p>
        </w:tc>
        <w:tc>
          <w:tcPr>
            <w:tcW w:w="1380" w:type="dxa"/>
            <w:vAlign w:val="bottom"/>
            <w:tcBorders>
              <w:top w:val="single" w:sz="8" w:color="auto"/>
            </w:tcBorders>
            <w:shd w:val="clear" w:color="auto" w:fill="E5FFFF"/>
          </w:tcPr>
          <w:p>
            <w:pPr>
              <w:spacing w:after="0"/>
              <w:rPr>
                <w:sz w:val="15"/>
                <w:szCs w:val="15"/>
                <w:color w:val="auto"/>
              </w:rPr>
            </w:pPr>
          </w:p>
        </w:tc>
        <w:tc>
          <w:tcPr>
            <w:tcW w:w="120" w:type="dxa"/>
            <w:vAlign w:val="bottom"/>
            <w:tcBorders>
              <w:top w:val="single" w:sz="8" w:color="E5FFFF"/>
            </w:tcBorders>
            <w:shd w:val="clear" w:color="auto" w:fill="E5FFFF"/>
          </w:tcPr>
          <w:p>
            <w:pPr>
              <w:spacing w:after="0"/>
              <w:rPr>
                <w:sz w:val="15"/>
                <w:szCs w:val="15"/>
                <w:color w:val="auto"/>
              </w:rPr>
            </w:pPr>
          </w:p>
        </w:tc>
        <w:tc>
          <w:tcPr>
            <w:tcW w:w="1380" w:type="dxa"/>
            <w:vAlign w:val="bottom"/>
            <w:tcBorders>
              <w:top w:val="single" w:sz="8" w:color="auto"/>
            </w:tcBorders>
            <w:shd w:val="clear" w:color="auto" w:fill="E5FFFF"/>
          </w:tcPr>
          <w:p>
            <w:pPr>
              <w:spacing w:after="0"/>
              <w:rPr>
                <w:sz w:val="15"/>
                <w:szCs w:val="15"/>
                <w:color w:val="auto"/>
              </w:rPr>
            </w:pPr>
          </w:p>
        </w:tc>
        <w:tc>
          <w:tcPr>
            <w:tcW w:w="120" w:type="dxa"/>
            <w:vAlign w:val="bottom"/>
            <w:tcBorders>
              <w:top w:val="single" w:sz="8" w:color="E5FFFF"/>
            </w:tcBorders>
            <w:shd w:val="clear" w:color="auto" w:fill="E5FFFF"/>
          </w:tcPr>
          <w:p>
            <w:pPr>
              <w:spacing w:after="0"/>
              <w:rPr>
                <w:sz w:val="15"/>
                <w:szCs w:val="15"/>
                <w:color w:val="auto"/>
              </w:rPr>
            </w:pPr>
          </w:p>
        </w:tc>
        <w:tc>
          <w:tcPr>
            <w:tcW w:w="1480" w:type="dxa"/>
            <w:vAlign w:val="bottom"/>
            <w:tcBorders>
              <w:top w:val="single" w:sz="8" w:color="auto"/>
            </w:tcBorders>
            <w:shd w:val="clear" w:color="auto" w:fill="E5FFFF"/>
          </w:tcPr>
          <w:p>
            <w:pPr>
              <w:spacing w:after="0"/>
              <w:rPr>
                <w:sz w:val="15"/>
                <w:szCs w:val="15"/>
                <w:color w:val="auto"/>
              </w:rPr>
            </w:pPr>
          </w:p>
        </w:tc>
        <w:tc>
          <w:tcPr>
            <w:tcW w:w="240" w:type="dxa"/>
            <w:vAlign w:val="bottom"/>
            <w:tcBorders>
              <w:top w:val="single" w:sz="8" w:color="E5FFFF"/>
            </w:tcBorders>
            <w:shd w:val="clear" w:color="auto" w:fill="E5FFFF"/>
          </w:tcPr>
          <w:p>
            <w:pPr>
              <w:spacing w:after="0"/>
              <w:rPr>
                <w:sz w:val="15"/>
                <w:szCs w:val="15"/>
                <w:color w:val="auto"/>
              </w:rPr>
            </w:pPr>
          </w:p>
        </w:tc>
        <w:tc>
          <w:tcPr>
            <w:tcW w:w="114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1020" w:type="dxa"/>
            <w:vAlign w:val="bottom"/>
            <w:tcBorders>
              <w:top w:val="single" w:sz="8" w:color="auto"/>
            </w:tcBorders>
            <w:shd w:val="clear" w:color="auto" w:fill="E5FFFF"/>
          </w:tcPr>
          <w:p>
            <w:pPr>
              <w:spacing w:after="0"/>
              <w:rPr>
                <w:sz w:val="15"/>
                <w:szCs w:val="15"/>
                <w:color w:val="auto"/>
              </w:rPr>
            </w:pPr>
          </w:p>
        </w:tc>
        <w:tc>
          <w:tcPr>
            <w:tcW w:w="120" w:type="dxa"/>
            <w:vAlign w:val="bottom"/>
            <w:tcBorders>
              <w:top w:val="single" w:sz="8" w:color="E5FFFF"/>
            </w:tcBorders>
            <w:shd w:val="clear" w:color="auto" w:fill="E5FFFF"/>
          </w:tcPr>
          <w:p>
            <w:pPr>
              <w:spacing w:after="0"/>
              <w:rPr>
                <w:sz w:val="15"/>
                <w:szCs w:val="15"/>
                <w:color w:val="auto"/>
              </w:rPr>
            </w:pPr>
          </w:p>
        </w:tc>
        <w:tc>
          <w:tcPr>
            <w:tcW w:w="102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920" w:type="dxa"/>
            <w:vAlign w:val="bottom"/>
            <w:tcBorders>
              <w:top w:val="single" w:sz="8" w:color="auto"/>
            </w:tcBorders>
            <w:shd w:val="clear" w:color="auto" w:fill="E5FFFF"/>
          </w:tcPr>
          <w:p>
            <w:pPr>
              <w:spacing w:after="0"/>
              <w:rPr>
                <w:sz w:val="15"/>
                <w:szCs w:val="15"/>
                <w:color w:val="auto"/>
              </w:rPr>
            </w:pPr>
          </w:p>
        </w:tc>
        <w:tc>
          <w:tcPr>
            <w:tcW w:w="20" w:type="dxa"/>
            <w:vAlign w:val="bottom"/>
            <w:tcBorders>
              <w:top w:val="single" w:sz="8" w:color="E5FFFF"/>
            </w:tcBorders>
            <w:shd w:val="clear" w:color="auto" w:fill="E5FFFF"/>
          </w:tcPr>
          <w:p>
            <w:pPr>
              <w:spacing w:after="0"/>
              <w:rPr>
                <w:sz w:val="15"/>
                <w:szCs w:val="15"/>
                <w:color w:val="auto"/>
              </w:rPr>
            </w:pPr>
          </w:p>
        </w:tc>
        <w:tc>
          <w:tcPr>
            <w:tcW w:w="80" w:type="dxa"/>
            <w:vAlign w:val="bottom"/>
            <w:tcBorders>
              <w:top w:val="single" w:sz="8" w:color="E5FFFF"/>
            </w:tcBorders>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E5FFFF"/>
          </w:tcPr>
          <w:p>
            <w:pPr>
              <w:ind w:left="180"/>
              <w:spacing w:after="0"/>
              <w:rPr>
                <w:sz w:val="20"/>
                <w:szCs w:val="20"/>
                <w:color w:val="auto"/>
              </w:rPr>
            </w:pPr>
            <w:r>
              <w:rPr>
                <w:rFonts w:ascii="Arial" w:cs="Arial" w:eastAsia="Arial" w:hAnsi="Arial"/>
                <w:sz w:val="16"/>
                <w:szCs w:val="16"/>
                <w:b w:val="1"/>
                <w:bCs w:val="1"/>
                <w:color w:val="auto"/>
              </w:rPr>
              <w:t>January 1, 2019</w:t>
            </w:r>
          </w:p>
        </w:tc>
        <w:tc>
          <w:tcPr>
            <w:tcW w:w="150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b w:val="1"/>
                <w:bCs w:val="1"/>
                <w:color w:val="auto"/>
              </w:rPr>
              <w:t>80,861,246</w:t>
            </w:r>
          </w:p>
        </w:tc>
        <w:tc>
          <w:tcPr>
            <w:tcW w:w="150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b w:val="1"/>
                <w:bCs w:val="1"/>
                <w:color w:val="auto"/>
              </w:rPr>
              <w:t>131,880</w:t>
            </w:r>
          </w:p>
        </w:tc>
        <w:tc>
          <w:tcPr>
            <w:tcW w:w="172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b w:val="1"/>
                <w:bCs w:val="1"/>
                <w:color w:val="auto"/>
              </w:rPr>
              <w:t>4,600,000</w:t>
            </w:r>
          </w:p>
        </w:tc>
        <w:tc>
          <w:tcPr>
            <w:tcW w:w="12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b w:val="1"/>
                <w:bCs w:val="1"/>
                <w:color w:val="auto"/>
              </w:rPr>
              <w:t>810</w:t>
            </w:r>
          </w:p>
        </w:tc>
        <w:tc>
          <w:tcPr>
            <w:tcW w:w="1140" w:type="dxa"/>
            <w:vAlign w:val="bottom"/>
            <w:gridSpan w:val="2"/>
            <w:shd w:val="clear" w:color="auto" w:fill="E5FFFF"/>
          </w:tcPr>
          <w:p>
            <w:pPr>
              <w:jc w:val="center"/>
              <w:ind w:left="659"/>
              <w:spacing w:after="0"/>
              <w:rPr>
                <w:sz w:val="20"/>
                <w:szCs w:val="20"/>
                <w:color w:val="auto"/>
              </w:rPr>
            </w:pPr>
            <w:r>
              <w:rPr>
                <w:rFonts w:ascii="Arial" w:cs="Arial" w:eastAsia="Arial" w:hAnsi="Arial"/>
                <w:sz w:val="16"/>
                <w:szCs w:val="16"/>
                <w:b w:val="1"/>
                <w:bCs w:val="1"/>
                <w:color w:val="auto"/>
                <w:w w:val="89"/>
              </w:rPr>
              <w:t>46</w:t>
            </w:r>
          </w:p>
        </w:tc>
        <w:tc>
          <w:tcPr>
            <w:tcW w:w="102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850,576</w:t>
            </w:r>
          </w:p>
        </w:tc>
        <w:tc>
          <w:tcPr>
            <w:tcW w:w="100" w:type="dxa"/>
            <w:vAlign w:val="bottom"/>
            <w:shd w:val="clear" w:color="auto" w:fill="E5FFFF"/>
          </w:tcPr>
          <w:p>
            <w:pPr>
              <w:spacing w:after="0"/>
              <w:rPr>
                <w:sz w:val="18"/>
                <w:szCs w:val="18"/>
                <w:color w:val="auto"/>
              </w:rPr>
            </w:pPr>
          </w:p>
        </w:tc>
        <w:tc>
          <w:tcPr>
            <w:tcW w:w="1020" w:type="dxa"/>
            <w:vAlign w:val="bottom"/>
            <w:gridSpan w:val="3"/>
            <w:shd w:val="clear" w:color="auto" w:fill="E5FFFF"/>
          </w:tcPr>
          <w:p>
            <w:pPr>
              <w:jc w:val="right"/>
              <w:ind w:right="60"/>
              <w:spacing w:after="0"/>
              <w:rPr>
                <w:sz w:val="20"/>
                <w:szCs w:val="20"/>
                <w:color w:val="auto"/>
              </w:rPr>
            </w:pPr>
            <w:r>
              <w:rPr>
                <w:rFonts w:ascii="Arial" w:cs="Arial" w:eastAsia="Arial" w:hAnsi="Arial"/>
                <w:sz w:val="16"/>
                <w:szCs w:val="16"/>
                <w:b w:val="1"/>
                <w:bCs w:val="1"/>
                <w:color w:val="auto"/>
              </w:rPr>
              <w:t>(3,266)</w:t>
            </w:r>
          </w:p>
        </w:tc>
        <w:tc>
          <w:tcPr>
            <w:tcW w:w="0" w:type="dxa"/>
            <w:vAlign w:val="bottom"/>
          </w:tcPr>
          <w:p>
            <w:pPr>
              <w:spacing w:after="0"/>
              <w:rPr>
                <w:sz w:val="1"/>
                <w:szCs w:val="1"/>
                <w:color w:val="auto"/>
              </w:rPr>
            </w:pPr>
          </w:p>
        </w:tc>
      </w:tr>
      <w:tr>
        <w:trPr>
          <w:trHeight w:val="196"/>
        </w:trPr>
        <w:tc>
          <w:tcPr>
            <w:tcW w:w="2180" w:type="dxa"/>
            <w:vAlign w:val="bottom"/>
          </w:tcPr>
          <w:p>
            <w:pPr>
              <w:spacing w:after="0"/>
              <w:rPr>
                <w:sz w:val="20"/>
                <w:szCs w:val="20"/>
                <w:color w:val="auto"/>
              </w:rPr>
            </w:pPr>
            <w:r>
              <w:rPr>
                <w:rFonts w:ascii="Arial" w:cs="Arial" w:eastAsia="Arial" w:hAnsi="Arial"/>
                <w:sz w:val="16"/>
                <w:szCs w:val="16"/>
                <w:color w:val="auto"/>
              </w:rPr>
              <w:t>Purchase of treasury shares</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(212,111)</w:t>
            </w:r>
          </w:p>
        </w:tc>
        <w:tc>
          <w:tcPr>
            <w:tcW w:w="120" w:type="dxa"/>
            <w:vAlign w:val="bottom"/>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212,111</w:t>
            </w:r>
          </w:p>
        </w:tc>
        <w:tc>
          <w:tcPr>
            <w:tcW w:w="12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20" w:type="dxa"/>
            <w:vAlign w:val="bottom"/>
            <w:tcBorders>
              <w:top w:val="single" w:sz="8" w:color="auto"/>
            </w:tcBorders>
          </w:tcPr>
          <w:p>
            <w:pPr>
              <w:jc w:val="center"/>
              <w:ind w:left="77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(3,752)</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180" w:type="dxa"/>
            <w:vAlign w:val="bottom"/>
            <w:shd w:val="clear" w:color="auto" w:fill="E5FFFF"/>
          </w:tcPr>
          <w:p>
            <w:pPr>
              <w:spacing w:after="0"/>
              <w:rPr>
                <w:sz w:val="20"/>
                <w:szCs w:val="20"/>
                <w:color w:val="auto"/>
              </w:rPr>
            </w:pPr>
            <w:r>
              <w:rPr>
                <w:rFonts w:ascii="Arial" w:cs="Arial" w:eastAsia="Arial" w:hAnsi="Arial"/>
                <w:sz w:val="16"/>
                <w:szCs w:val="16"/>
                <w:color w:val="auto"/>
              </w:rPr>
              <w:t>Treasury shares distributed</w:t>
            </w:r>
          </w:p>
        </w:tc>
        <w:tc>
          <w:tcPr>
            <w:tcW w:w="138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138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1480" w:type="dxa"/>
            <w:vAlign w:val="bottom"/>
            <w:shd w:val="clear" w:color="auto" w:fill="E5FFFF"/>
          </w:tcPr>
          <w:p>
            <w:pPr>
              <w:spacing w:after="0"/>
              <w:rPr>
                <w:sz w:val="16"/>
                <w:szCs w:val="16"/>
                <w:color w:val="auto"/>
              </w:rPr>
            </w:pPr>
          </w:p>
        </w:tc>
        <w:tc>
          <w:tcPr>
            <w:tcW w:w="240" w:type="dxa"/>
            <w:vAlign w:val="bottom"/>
            <w:shd w:val="clear" w:color="auto" w:fill="E5FFFF"/>
          </w:tcPr>
          <w:p>
            <w:pPr>
              <w:spacing w:after="0"/>
              <w:rPr>
                <w:sz w:val="16"/>
                <w:szCs w:val="16"/>
                <w:color w:val="auto"/>
              </w:rPr>
            </w:pPr>
          </w:p>
        </w:tc>
        <w:tc>
          <w:tcPr>
            <w:tcW w:w="114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102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102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92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80" w:type="dxa"/>
            <w:vAlign w:val="bottom"/>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80" w:type="dxa"/>
            <w:vAlign w:val="bottom"/>
            <w:shd w:val="clear" w:color="auto" w:fill="E5FFFF"/>
          </w:tcPr>
          <w:p>
            <w:pPr>
              <w:ind w:left="180"/>
              <w:spacing w:after="0"/>
              <w:rPr>
                <w:sz w:val="20"/>
                <w:szCs w:val="20"/>
                <w:color w:val="auto"/>
              </w:rPr>
            </w:pPr>
            <w:r>
              <w:rPr>
                <w:rFonts w:ascii="Arial" w:cs="Arial" w:eastAsia="Arial" w:hAnsi="Arial"/>
                <w:sz w:val="16"/>
                <w:szCs w:val="16"/>
                <w:color w:val="auto"/>
              </w:rPr>
              <w:t>for awards vested or</w:t>
            </w:r>
          </w:p>
        </w:tc>
        <w:tc>
          <w:tcPr>
            <w:tcW w:w="13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3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4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180" w:type="dxa"/>
            <w:vAlign w:val="bottom"/>
            <w:shd w:val="clear" w:color="auto" w:fill="E5FFFF"/>
          </w:tcPr>
          <w:p>
            <w:pPr>
              <w:ind w:left="180"/>
              <w:spacing w:after="0"/>
              <w:rPr>
                <w:sz w:val="20"/>
                <w:szCs w:val="20"/>
                <w:color w:val="auto"/>
              </w:rPr>
            </w:pPr>
            <w:r>
              <w:rPr>
                <w:rFonts w:ascii="Arial" w:cs="Arial" w:eastAsia="Arial" w:hAnsi="Arial"/>
                <w:sz w:val="16"/>
                <w:szCs w:val="16"/>
                <w:color w:val="auto"/>
              </w:rPr>
              <w:t>exercised in the period</w:t>
            </w:r>
          </w:p>
        </w:tc>
        <w:tc>
          <w:tcPr>
            <w:tcW w:w="150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212,215</w:t>
            </w:r>
          </w:p>
        </w:tc>
        <w:tc>
          <w:tcPr>
            <w:tcW w:w="150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(212,215)</w:t>
            </w:r>
          </w:p>
        </w:tc>
        <w:tc>
          <w:tcPr>
            <w:tcW w:w="172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E5FFFF"/>
          </w:tcPr>
          <w:p>
            <w:pPr>
              <w:jc w:val="center"/>
              <w:ind w:left="659"/>
              <w:spacing w:after="0"/>
              <w:rPr>
                <w:sz w:val="20"/>
                <w:szCs w:val="20"/>
                <w:color w:val="auto"/>
              </w:rPr>
            </w:pPr>
            <w:r>
              <w:rPr>
                <w:rFonts w:ascii="Arial" w:cs="Arial" w:eastAsia="Arial" w:hAnsi="Arial"/>
                <w:sz w:val="16"/>
                <w:szCs w:val="16"/>
                <w:color w:val="auto"/>
                <w:w w:val="99"/>
              </w:rPr>
              <w:t>—</w:t>
            </w:r>
          </w:p>
        </w:tc>
        <w:tc>
          <w:tcPr>
            <w:tcW w:w="112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4,676</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180" w:type="dxa"/>
            <w:vAlign w:val="bottom"/>
          </w:tcPr>
          <w:p>
            <w:pPr>
              <w:spacing w:after="0"/>
              <w:rPr>
                <w:sz w:val="20"/>
                <w:szCs w:val="20"/>
                <w:color w:val="auto"/>
              </w:rPr>
            </w:pPr>
            <w:r>
              <w:rPr>
                <w:rFonts w:ascii="Arial" w:cs="Arial" w:eastAsia="Arial" w:hAnsi="Arial"/>
                <w:sz w:val="16"/>
                <w:szCs w:val="16"/>
                <w:color w:val="auto"/>
              </w:rPr>
              <w:t>Equity raising fees</w:t>
            </w: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center"/>
              <w:ind w:left="659"/>
              <w:spacing w:after="0"/>
              <w:rPr>
                <w:sz w:val="20"/>
                <w:szCs w:val="20"/>
                <w:color w:val="auto"/>
              </w:rPr>
            </w:pPr>
            <w:r>
              <w:rPr>
                <w:rFonts w:ascii="Arial" w:cs="Arial" w:eastAsia="Arial" w:hAnsi="Arial"/>
                <w:sz w:val="16"/>
                <w:szCs w:val="16"/>
                <w:color w:val="auto"/>
                <w:w w:val="99"/>
              </w:rPr>
              <w:t>—</w:t>
            </w: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(584)</w:t>
            </w:r>
          </w:p>
        </w:tc>
        <w:tc>
          <w:tcPr>
            <w:tcW w:w="10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180" w:type="dxa"/>
            <w:vAlign w:val="bottom"/>
            <w:shd w:val="clear" w:color="auto" w:fill="E5FFFF"/>
          </w:tcPr>
          <w:p>
            <w:pPr>
              <w:spacing w:after="0"/>
              <w:rPr>
                <w:sz w:val="20"/>
                <w:szCs w:val="20"/>
                <w:color w:val="auto"/>
              </w:rPr>
            </w:pPr>
            <w:r>
              <w:rPr>
                <w:rFonts w:ascii="Arial" w:cs="Arial" w:eastAsia="Arial" w:hAnsi="Arial"/>
                <w:sz w:val="16"/>
                <w:szCs w:val="16"/>
                <w:color w:val="auto"/>
              </w:rPr>
              <w:t>Dividends declared deducted</w:t>
            </w:r>
          </w:p>
        </w:tc>
        <w:tc>
          <w:tcPr>
            <w:tcW w:w="138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138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1480" w:type="dxa"/>
            <w:vAlign w:val="bottom"/>
            <w:shd w:val="clear" w:color="auto" w:fill="E5FFFF"/>
          </w:tcPr>
          <w:p>
            <w:pPr>
              <w:spacing w:after="0"/>
              <w:rPr>
                <w:sz w:val="16"/>
                <w:szCs w:val="16"/>
                <w:color w:val="auto"/>
              </w:rPr>
            </w:pPr>
          </w:p>
        </w:tc>
        <w:tc>
          <w:tcPr>
            <w:tcW w:w="240" w:type="dxa"/>
            <w:vAlign w:val="bottom"/>
            <w:shd w:val="clear" w:color="auto" w:fill="E5FFFF"/>
          </w:tcPr>
          <w:p>
            <w:pPr>
              <w:spacing w:after="0"/>
              <w:rPr>
                <w:sz w:val="16"/>
                <w:szCs w:val="16"/>
                <w:color w:val="auto"/>
              </w:rPr>
            </w:pPr>
          </w:p>
        </w:tc>
        <w:tc>
          <w:tcPr>
            <w:tcW w:w="114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102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102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92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80" w:type="dxa"/>
            <w:vAlign w:val="bottom"/>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80" w:type="dxa"/>
            <w:vAlign w:val="bottom"/>
            <w:shd w:val="clear" w:color="auto" w:fill="E5FFFF"/>
          </w:tcPr>
          <w:p>
            <w:pPr>
              <w:ind w:left="180"/>
              <w:spacing w:after="0"/>
              <w:rPr>
                <w:sz w:val="20"/>
                <w:szCs w:val="20"/>
                <w:color w:val="auto"/>
              </w:rPr>
            </w:pPr>
            <w:r>
              <w:rPr>
                <w:rFonts w:ascii="Arial" w:cs="Arial" w:eastAsia="Arial" w:hAnsi="Arial"/>
                <w:sz w:val="16"/>
                <w:szCs w:val="16"/>
                <w:color w:val="auto"/>
              </w:rPr>
              <w:t>from Contributed surplus</w:t>
            </w:r>
          </w:p>
        </w:tc>
        <w:tc>
          <w:tcPr>
            <w:tcW w:w="13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3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4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180" w:type="dxa"/>
            <w:vAlign w:val="bottom"/>
            <w:shd w:val="clear" w:color="auto" w:fill="E5FFFF"/>
          </w:tcPr>
          <w:p>
            <w:pPr>
              <w:ind w:left="180"/>
              <w:spacing w:after="0"/>
              <w:rPr>
                <w:sz w:val="20"/>
                <w:szCs w:val="20"/>
                <w:color w:val="auto"/>
              </w:rPr>
            </w:pPr>
            <w:r>
              <w:rPr>
                <w:rFonts w:ascii="Arial" w:cs="Arial" w:eastAsia="Arial" w:hAnsi="Arial"/>
                <w:sz w:val="16"/>
                <w:szCs w:val="16"/>
                <w:color w:val="auto"/>
              </w:rPr>
              <w:t>due to accumulated deficit</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E5FFFF"/>
          </w:tcPr>
          <w:p>
            <w:pPr>
              <w:spacing w:after="0"/>
              <w:rPr>
                <w:sz w:val="18"/>
                <w:szCs w:val="18"/>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E5FFFF"/>
          </w:tcPr>
          <w:p>
            <w:pPr>
              <w:spacing w:after="0"/>
              <w:rPr>
                <w:sz w:val="18"/>
                <w:szCs w:val="18"/>
                <w:color w:val="auto"/>
              </w:rPr>
            </w:pPr>
          </w:p>
        </w:tc>
        <w:tc>
          <w:tcPr>
            <w:tcW w:w="172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E5FFFF"/>
          </w:tcPr>
          <w:p>
            <w:pPr>
              <w:jc w:val="center"/>
              <w:ind w:left="659"/>
              <w:spacing w:after="0"/>
              <w:rPr>
                <w:sz w:val="20"/>
                <w:szCs w:val="20"/>
                <w:color w:val="auto"/>
              </w:rPr>
            </w:pPr>
            <w:r>
              <w:rPr>
                <w:rFonts w:ascii="Arial" w:cs="Arial" w:eastAsia="Arial" w:hAnsi="Arial"/>
                <w:sz w:val="16"/>
                <w:szCs w:val="16"/>
                <w:color w:val="auto"/>
                <w:w w:val="99"/>
              </w:rPr>
              <w:t>—</w:t>
            </w:r>
          </w:p>
        </w:tc>
        <w:tc>
          <w:tcPr>
            <w:tcW w:w="112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(43,934)</w:t>
            </w:r>
          </w:p>
        </w:tc>
        <w:tc>
          <w:tcPr>
            <w:tcW w:w="1020" w:type="dxa"/>
            <w:vAlign w:val="bottom"/>
            <w:gridSpan w:val="3"/>
            <w:shd w:val="clear" w:color="auto" w:fill="E5FF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180" w:type="dxa"/>
            <w:vAlign w:val="bottom"/>
            <w:vMerge w:val="restart"/>
          </w:tcPr>
          <w:p>
            <w:pPr>
              <w:spacing w:after="0"/>
              <w:rPr>
                <w:sz w:val="20"/>
                <w:szCs w:val="20"/>
                <w:color w:val="auto"/>
              </w:rPr>
            </w:pPr>
            <w:r>
              <w:rPr>
                <w:rFonts w:ascii="Arial" w:cs="Arial" w:eastAsia="Arial" w:hAnsi="Arial"/>
                <w:sz w:val="16"/>
                <w:szCs w:val="16"/>
                <w:b w:val="1"/>
                <w:bCs w:val="1"/>
                <w:color w:val="auto"/>
              </w:rPr>
              <w:t>Outstanding as of</w:t>
            </w: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180" w:type="dxa"/>
            <w:vAlign w:val="bottom"/>
            <w:vMerge w:val="continue"/>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80,861,350</w:t>
            </w:r>
          </w:p>
        </w:tc>
        <w:tc>
          <w:tcPr>
            <w:tcW w:w="120" w:type="dxa"/>
            <w:vAlign w:val="bottom"/>
            <w:vMerge w:val="restart"/>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131,776</w:t>
            </w:r>
          </w:p>
        </w:tc>
        <w:tc>
          <w:tcPr>
            <w:tcW w:w="120" w:type="dxa"/>
            <w:vAlign w:val="bottom"/>
            <w:vMerge w:val="restart"/>
          </w:tcPr>
          <w:p>
            <w:pPr>
              <w:spacing w:after="0"/>
              <w:rPr>
                <w:sz w:val="14"/>
                <w:szCs w:val="14"/>
                <w:color w:val="auto"/>
              </w:rPr>
            </w:pPr>
          </w:p>
        </w:tc>
        <w:tc>
          <w:tcPr>
            <w:tcW w:w="1720" w:type="dxa"/>
            <w:vAlign w:val="bottom"/>
            <w:gridSpan w:val="2"/>
            <w:vMerge w:val="restart"/>
          </w:tcPr>
          <w:p>
            <w:pPr>
              <w:jc w:val="right"/>
              <w:ind w:right="240"/>
              <w:spacing w:after="0"/>
              <w:rPr>
                <w:sz w:val="20"/>
                <w:szCs w:val="20"/>
                <w:color w:val="auto"/>
              </w:rPr>
            </w:pPr>
            <w:r>
              <w:rPr>
                <w:rFonts w:ascii="Arial" w:cs="Arial" w:eastAsia="Arial" w:hAnsi="Arial"/>
                <w:sz w:val="16"/>
                <w:szCs w:val="16"/>
                <w:b w:val="1"/>
                <w:bCs w:val="1"/>
                <w:color w:val="auto"/>
              </w:rPr>
              <w:t>4,600,000</w:t>
            </w: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6"/>
                <w:szCs w:val="16"/>
                <w:b w:val="1"/>
                <w:bCs w:val="1"/>
                <w:color w:val="auto"/>
              </w:rPr>
              <w:t>810</w:t>
            </w:r>
          </w:p>
        </w:tc>
        <w:tc>
          <w:tcPr>
            <w:tcW w:w="1140" w:type="dxa"/>
            <w:vAlign w:val="bottom"/>
            <w:gridSpan w:val="2"/>
            <w:vMerge w:val="restart"/>
          </w:tcPr>
          <w:p>
            <w:pPr>
              <w:jc w:val="center"/>
              <w:ind w:left="659"/>
              <w:spacing w:after="0"/>
              <w:rPr>
                <w:sz w:val="20"/>
                <w:szCs w:val="20"/>
                <w:color w:val="auto"/>
              </w:rPr>
            </w:pPr>
            <w:r>
              <w:rPr>
                <w:rFonts w:ascii="Arial" w:cs="Arial" w:eastAsia="Arial" w:hAnsi="Arial"/>
                <w:sz w:val="16"/>
                <w:szCs w:val="16"/>
                <w:b w:val="1"/>
                <w:bCs w:val="1"/>
                <w:color w:val="auto"/>
                <w:w w:val="89"/>
              </w:rPr>
              <w:t>46</w:t>
            </w: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806,058</w:t>
            </w:r>
          </w:p>
        </w:tc>
        <w:tc>
          <w:tcPr>
            <w:tcW w:w="100" w:type="dxa"/>
            <w:vAlign w:val="bottom"/>
          </w:tcPr>
          <w:p>
            <w:pPr>
              <w:spacing w:after="0"/>
              <w:rPr>
                <w:sz w:val="14"/>
                <w:szCs w:val="14"/>
                <w:color w:val="auto"/>
              </w:rPr>
            </w:pPr>
          </w:p>
        </w:tc>
        <w:tc>
          <w:tcPr>
            <w:tcW w:w="1020" w:type="dxa"/>
            <w:vAlign w:val="bottom"/>
            <w:gridSpan w:val="3"/>
            <w:vMerge w:val="restart"/>
          </w:tcPr>
          <w:p>
            <w:pPr>
              <w:jc w:val="right"/>
              <w:ind w:right="60"/>
              <w:spacing w:after="0"/>
              <w:rPr>
                <w:sz w:val="20"/>
                <w:szCs w:val="20"/>
                <w:color w:val="auto"/>
              </w:rPr>
            </w:pPr>
            <w:r>
              <w:rPr>
                <w:rFonts w:ascii="Arial" w:cs="Arial" w:eastAsia="Arial" w:hAnsi="Arial"/>
                <w:sz w:val="16"/>
                <w:szCs w:val="16"/>
                <w:b w:val="1"/>
                <w:bCs w:val="1"/>
                <w:color w:val="auto"/>
              </w:rPr>
              <w:t>(2,342)</w:t>
            </w:r>
          </w:p>
        </w:tc>
        <w:tc>
          <w:tcPr>
            <w:tcW w:w="0" w:type="dxa"/>
            <w:vAlign w:val="bottom"/>
          </w:tcPr>
          <w:p>
            <w:pPr>
              <w:spacing w:after="0"/>
              <w:rPr>
                <w:sz w:val="1"/>
                <w:szCs w:val="1"/>
                <w:color w:val="auto"/>
              </w:rPr>
            </w:pPr>
          </w:p>
        </w:tc>
      </w:tr>
      <w:tr>
        <w:trPr>
          <w:trHeight w:val="203"/>
        </w:trPr>
        <w:tc>
          <w:tcPr>
            <w:tcW w:w="2180" w:type="dxa"/>
            <w:vAlign w:val="bottom"/>
          </w:tcPr>
          <w:p>
            <w:pPr>
              <w:ind w:left="180"/>
              <w:spacing w:after="0"/>
              <w:rPr>
                <w:sz w:val="20"/>
                <w:szCs w:val="20"/>
                <w:color w:val="auto"/>
              </w:rPr>
            </w:pPr>
            <w:r>
              <w:rPr>
                <w:rFonts w:ascii="Arial" w:cs="Arial" w:eastAsia="Arial" w:hAnsi="Arial"/>
                <w:sz w:val="16"/>
                <w:szCs w:val="16"/>
                <w:b w:val="1"/>
                <w:bCs w:val="1"/>
                <w:color w:val="auto"/>
              </w:rPr>
              <w:t>September 30, 2019</w:t>
            </w:r>
          </w:p>
        </w:tc>
        <w:tc>
          <w:tcPr>
            <w:tcW w:w="138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720" w:type="dxa"/>
            <w:vAlign w:val="bottom"/>
            <w:gridSpan w:val="2"/>
            <w:vMerge w:val="continue"/>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treasury shares were acquired by GasLog in relation to the share-based compensation (Note 18).</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Dividend distribution</w:t>
      </w:r>
    </w:p>
    <w:p>
      <w:pPr>
        <w:spacing w:after="0" w:line="221" w:lineRule="exact"/>
        <w:rPr>
          <w:sz w:val="20"/>
          <w:szCs w:val="20"/>
          <w:color w:val="auto"/>
        </w:rPr>
      </w:pPr>
    </w:p>
    <w:p>
      <w:pPr>
        <w:jc w:val="both"/>
        <w:ind w:right="20" w:firstLine="383"/>
        <w:spacing w:after="0" w:line="293" w:lineRule="auto"/>
        <w:rPr>
          <w:sz w:val="20"/>
          <w:szCs w:val="20"/>
          <w:color w:val="auto"/>
        </w:rPr>
      </w:pPr>
      <w:r>
        <w:rPr>
          <w:rFonts w:ascii="Arial" w:cs="Arial" w:eastAsia="Arial" w:hAnsi="Arial"/>
          <w:sz w:val="16"/>
          <w:szCs w:val="16"/>
          <w:color w:val="auto"/>
        </w:rPr>
        <w:t>On February 13, 2019, the board of directors declared a quarterly cash dividend of $0.15 per common share, which was paid on March 14, 2019 to shareholders of record as of March 4, 2019 for a total amount of $12,129.</w:t>
      </w:r>
    </w:p>
    <w:p>
      <w:pPr>
        <w:spacing w:after="0" w:line="159" w:lineRule="exact"/>
        <w:rPr>
          <w:sz w:val="20"/>
          <w:szCs w:val="20"/>
          <w:color w:val="auto"/>
        </w:rPr>
      </w:pPr>
    </w:p>
    <w:p>
      <w:pPr>
        <w:ind w:right="180" w:firstLine="383"/>
        <w:spacing w:after="0" w:line="293" w:lineRule="auto"/>
        <w:rPr>
          <w:sz w:val="20"/>
          <w:szCs w:val="20"/>
          <w:color w:val="auto"/>
        </w:rPr>
      </w:pPr>
      <w:r>
        <w:rPr>
          <w:rFonts w:ascii="Arial" w:cs="Arial" w:eastAsia="Arial" w:hAnsi="Arial"/>
          <w:sz w:val="16"/>
          <w:szCs w:val="16"/>
          <w:color w:val="auto"/>
        </w:rPr>
        <w:t>On March 7, 2019, the board of directors declared a dividend on the Series A Preference Shares of $0.546875 per share, or $2,516 in the aggregate, payable on April 1, 2019 to holders of record as of March 29, 2019. GasLog paid the declared dividend to the transfer agent on March 29, 2019.</w:t>
      </w:r>
    </w:p>
    <w:p>
      <w:pPr>
        <w:spacing w:after="0" w:line="159" w:lineRule="exact"/>
        <w:rPr>
          <w:sz w:val="20"/>
          <w:szCs w:val="20"/>
          <w:color w:val="auto"/>
        </w:rPr>
      </w:pPr>
    </w:p>
    <w:p>
      <w:pPr>
        <w:ind w:right="160" w:firstLine="383"/>
        <w:spacing w:after="0" w:line="293" w:lineRule="auto"/>
        <w:rPr>
          <w:sz w:val="20"/>
          <w:szCs w:val="20"/>
          <w:color w:val="auto"/>
        </w:rPr>
      </w:pPr>
      <w:r>
        <w:rPr>
          <w:rFonts w:ascii="Arial" w:cs="Arial" w:eastAsia="Arial" w:hAnsi="Arial"/>
          <w:sz w:val="16"/>
          <w:szCs w:val="16"/>
          <w:color w:val="auto"/>
        </w:rPr>
        <w:t>On May 2, 2019, the board of directors declared a quarterly cash dividend of $0.15 per common share, which was paid on May 23, 2019 to shareholders of record as of May 14, 2019 for a total amount of $12,129.</w:t>
      </w:r>
    </w:p>
    <w:p>
      <w:pPr>
        <w:spacing w:after="0" w:line="159" w:lineRule="exact"/>
        <w:rPr>
          <w:sz w:val="20"/>
          <w:szCs w:val="20"/>
          <w:color w:val="auto"/>
        </w:rPr>
      </w:pPr>
    </w:p>
    <w:p>
      <w:pPr>
        <w:ind w:right="300" w:firstLine="383"/>
        <w:spacing w:after="0" w:line="293" w:lineRule="auto"/>
        <w:rPr>
          <w:sz w:val="20"/>
          <w:szCs w:val="20"/>
          <w:color w:val="auto"/>
        </w:rPr>
      </w:pPr>
      <w:r>
        <w:rPr>
          <w:rFonts w:ascii="Arial" w:cs="Arial" w:eastAsia="Arial" w:hAnsi="Arial"/>
          <w:sz w:val="16"/>
          <w:szCs w:val="16"/>
          <w:color w:val="auto"/>
        </w:rPr>
        <w:t>On May 10, 2019, the board of directors declared a dividend on the Series A Preference Shares of $0.546875 per share, or $2,515 in the aggregate, payable on July 1, 2019 to holders of record as of June 28, 2019. GasLog paid the declared dividend to the transfer agent on June 28, 2019.</w:t>
      </w:r>
    </w:p>
    <w:p>
      <w:pPr>
        <w:spacing w:after="0" w:line="159" w:lineRule="exact"/>
        <w:rPr>
          <w:sz w:val="20"/>
          <w:szCs w:val="20"/>
          <w:color w:val="auto"/>
        </w:rPr>
      </w:pPr>
    </w:p>
    <w:p>
      <w:pPr>
        <w:ind w:right="120" w:firstLine="383"/>
        <w:spacing w:after="0" w:line="293" w:lineRule="auto"/>
        <w:rPr>
          <w:sz w:val="20"/>
          <w:szCs w:val="20"/>
          <w:color w:val="auto"/>
        </w:rPr>
      </w:pPr>
      <w:r>
        <w:rPr>
          <w:rFonts w:ascii="Arial" w:cs="Arial" w:eastAsia="Arial" w:hAnsi="Arial"/>
          <w:sz w:val="16"/>
          <w:szCs w:val="16"/>
          <w:color w:val="auto"/>
        </w:rPr>
        <w:t>On July 31, 2019, the board of directors declared a quarterly cash dividend of $0.15 per common share, which was paid on August 22, 2019 to shareholders of record as of August 12, 2019 for a total amount of $12,129.</w:t>
      </w:r>
    </w:p>
    <w:p>
      <w:pPr>
        <w:spacing w:after="0" w:line="159" w:lineRule="exact"/>
        <w:rPr>
          <w:sz w:val="20"/>
          <w:szCs w:val="20"/>
          <w:color w:val="auto"/>
        </w:rPr>
      </w:pPr>
    </w:p>
    <w:p>
      <w:pPr>
        <w:ind w:right="380" w:firstLine="383"/>
        <w:spacing w:after="0" w:line="329" w:lineRule="auto"/>
        <w:rPr>
          <w:sz w:val="20"/>
          <w:szCs w:val="20"/>
          <w:color w:val="auto"/>
        </w:rPr>
      </w:pPr>
      <w:r>
        <w:rPr>
          <w:rFonts w:ascii="Arial" w:cs="Arial" w:eastAsia="Arial" w:hAnsi="Arial"/>
          <w:sz w:val="15"/>
          <w:szCs w:val="15"/>
          <w:color w:val="auto"/>
        </w:rPr>
        <w:t>On September 17, 2019, the board of directors declared a dividend on the Series A Preference Shares of $0.546875 per share, or $2,516 in the aggregate, payable on October 1, 2019 to holders of record as of September 30, 2019. GasLog paid the declared dividend to the transfer agent on October 1, 2019.</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color w:val="auto"/>
        </w:rPr>
        <w:t>14. Commitments and Contingencies</w:t>
      </w:r>
    </w:p>
    <w:p>
      <w:pPr>
        <w:spacing w:after="0" w:line="238"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6"/>
          <w:szCs w:val="16"/>
          <w:color w:val="auto"/>
        </w:rPr>
        <w:t>Commitments relating to the vessels under construction (Note 5) as of September 30, 2019 payable to Samsung were as follows: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480" w:type="dxa"/>
            <w:vAlign w:val="bottom"/>
            <w:tcBorders>
              <w:bottom w:val="single" w:sz="8" w:color="E5FFFF"/>
            </w:tcBorders>
          </w:tcPr>
          <w:p>
            <w:pPr>
              <w:spacing w:after="0"/>
              <w:rPr>
                <w:sz w:val="18"/>
                <w:szCs w:val="18"/>
                <w:color w:val="auto"/>
              </w:rPr>
            </w:pPr>
          </w:p>
        </w:tc>
        <w:tc>
          <w:tcPr>
            <w:tcW w:w="18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September 30, 2019</w:t>
            </w:r>
          </w:p>
        </w:tc>
      </w:tr>
      <w:tr>
        <w:trPr>
          <w:trHeight w:val="189"/>
        </w:trPr>
        <w:tc>
          <w:tcPr>
            <w:tcW w:w="9480" w:type="dxa"/>
            <w:vAlign w:val="bottom"/>
            <w:shd w:val="clear" w:color="auto" w:fill="E5FFFF"/>
          </w:tcPr>
          <w:p>
            <w:pPr>
              <w:spacing w:after="0"/>
              <w:rPr>
                <w:sz w:val="20"/>
                <w:szCs w:val="20"/>
                <w:color w:val="auto"/>
              </w:rPr>
            </w:pPr>
            <w:r>
              <w:rPr>
                <w:rFonts w:ascii="Arial" w:cs="Arial" w:eastAsia="Arial" w:hAnsi="Arial"/>
                <w:sz w:val="16"/>
                <w:szCs w:val="16"/>
                <w:b w:val="1"/>
                <w:bCs w:val="1"/>
                <w:i w:val="1"/>
                <w:iCs w:val="1"/>
                <w:color w:val="auto"/>
              </w:rPr>
              <w:t>Period</w:t>
            </w:r>
          </w:p>
        </w:tc>
        <w:tc>
          <w:tcPr>
            <w:tcW w:w="1840" w:type="dxa"/>
            <w:vAlign w:val="bottom"/>
            <w:shd w:val="clear" w:color="auto" w:fill="E5FFFF"/>
          </w:tcPr>
          <w:p>
            <w:pPr>
              <w:spacing w:after="0"/>
              <w:rPr>
                <w:sz w:val="16"/>
                <w:szCs w:val="16"/>
                <w:color w:val="auto"/>
              </w:rPr>
            </w:pPr>
          </w:p>
        </w:tc>
      </w:tr>
      <w:tr>
        <w:trPr>
          <w:trHeight w:val="203"/>
        </w:trPr>
        <w:tc>
          <w:tcPr>
            <w:tcW w:w="9480" w:type="dxa"/>
            <w:vAlign w:val="bottom"/>
          </w:tcPr>
          <w:p>
            <w:pPr>
              <w:spacing w:after="0"/>
              <w:rPr>
                <w:sz w:val="20"/>
                <w:szCs w:val="20"/>
                <w:color w:val="auto"/>
              </w:rPr>
            </w:pPr>
            <w:r>
              <w:rPr>
                <w:rFonts w:ascii="Arial" w:cs="Arial" w:eastAsia="Arial" w:hAnsi="Arial"/>
                <w:sz w:val="16"/>
                <w:szCs w:val="16"/>
                <w:color w:val="auto"/>
              </w:rPr>
              <w:t>Not later than one year</w:t>
            </w:r>
          </w:p>
        </w:tc>
        <w:tc>
          <w:tcPr>
            <w:tcW w:w="1840" w:type="dxa"/>
            <w:vAlign w:val="bottom"/>
          </w:tcPr>
          <w:p>
            <w:pPr>
              <w:jc w:val="right"/>
              <w:spacing w:after="0"/>
              <w:rPr>
                <w:sz w:val="20"/>
                <w:szCs w:val="20"/>
                <w:color w:val="auto"/>
              </w:rPr>
            </w:pPr>
            <w:r>
              <w:rPr>
                <w:rFonts w:ascii="Arial" w:cs="Arial" w:eastAsia="Arial" w:hAnsi="Arial"/>
                <w:sz w:val="16"/>
                <w:szCs w:val="16"/>
                <w:color w:val="auto"/>
              </w:rPr>
              <w:t>528,710</w:t>
            </w:r>
          </w:p>
        </w:tc>
      </w:tr>
      <w:tr>
        <w:trPr>
          <w:trHeight w:val="203"/>
        </w:trPr>
        <w:tc>
          <w:tcPr>
            <w:tcW w:w="9480" w:type="dxa"/>
            <w:vAlign w:val="bottom"/>
            <w:shd w:val="clear" w:color="auto" w:fill="E5FFFF"/>
          </w:tcPr>
          <w:p>
            <w:pPr>
              <w:spacing w:after="0"/>
              <w:rPr>
                <w:sz w:val="20"/>
                <w:szCs w:val="20"/>
                <w:color w:val="auto"/>
              </w:rPr>
            </w:pPr>
            <w:r>
              <w:rPr>
                <w:rFonts w:ascii="Arial" w:cs="Arial" w:eastAsia="Arial" w:hAnsi="Arial"/>
                <w:sz w:val="16"/>
                <w:szCs w:val="16"/>
                <w:color w:val="auto"/>
              </w:rPr>
              <w:t>Later than one year and not later than three years</w:t>
            </w:r>
          </w:p>
        </w:tc>
        <w:tc>
          <w:tcPr>
            <w:tcW w:w="18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602,870</w:t>
            </w:r>
          </w:p>
        </w:tc>
      </w:tr>
      <w:tr>
        <w:trPr>
          <w:trHeight w:val="196"/>
        </w:trPr>
        <w:tc>
          <w:tcPr>
            <w:tcW w:w="948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1,131,580</w:t>
            </w:r>
          </w:p>
        </w:tc>
      </w:tr>
      <w:tr>
        <w:trPr>
          <w:trHeight w:val="20"/>
        </w:trPr>
        <w:tc>
          <w:tcPr>
            <w:tcW w:w="94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both"/>
        <w:ind w:left="340" w:hanging="332"/>
        <w:spacing w:after="0" w:line="262" w:lineRule="auto"/>
        <w:tabs>
          <w:tab w:leader="none" w:pos="361" w:val="left"/>
        </w:tabs>
        <w:numPr>
          <w:ilvl w:val="0"/>
          <w:numId w:val="22"/>
        </w:numPr>
        <w:rPr>
          <w:rFonts w:ascii="Arial" w:cs="Arial" w:eastAsia="Arial" w:hAnsi="Arial"/>
          <w:sz w:val="18"/>
          <w:szCs w:val="18"/>
          <w:color w:val="auto"/>
        </w:rPr>
      </w:pPr>
      <w:r>
        <w:rPr>
          <w:rFonts w:ascii="Arial" w:cs="Arial" w:eastAsia="Arial" w:hAnsi="Arial"/>
          <w:sz w:val="16"/>
          <w:szCs w:val="16"/>
          <w:color w:val="auto"/>
        </w:rPr>
        <w:t>Future gross minimum revenues receivable in relation to non-cancellable time charter agreements for vessels in operation, including a vessel under a lease (Note 6), as of September 30, 2019 are as follows (30 off-hire days are assumed when each vessel will undergo scheduled dry-docking; in addition, early delivery of the vessels by the charterers or any exercise of the charterers’ options to extend the terms of the charters are not accounted for):</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600" w:type="dxa"/>
            <w:vAlign w:val="bottom"/>
            <w:tcBorders>
              <w:bottom w:val="single" w:sz="8" w:color="E5FFFF"/>
            </w:tcBorders>
          </w:tcPr>
          <w:p>
            <w:pPr>
              <w:spacing w:after="0"/>
              <w:rPr>
                <w:sz w:val="18"/>
                <w:szCs w:val="18"/>
                <w:color w:val="auto"/>
              </w:rPr>
            </w:pPr>
          </w:p>
        </w:tc>
        <w:tc>
          <w:tcPr>
            <w:tcW w:w="18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September 30, 2019</w:t>
            </w:r>
          </w:p>
        </w:tc>
      </w:tr>
      <w:tr>
        <w:trPr>
          <w:trHeight w:val="189"/>
        </w:trPr>
        <w:tc>
          <w:tcPr>
            <w:tcW w:w="9600" w:type="dxa"/>
            <w:vAlign w:val="bottom"/>
            <w:shd w:val="clear" w:color="auto" w:fill="E5FFFF"/>
          </w:tcPr>
          <w:p>
            <w:pPr>
              <w:spacing w:after="0"/>
              <w:rPr>
                <w:sz w:val="20"/>
                <w:szCs w:val="20"/>
                <w:color w:val="auto"/>
              </w:rPr>
            </w:pPr>
            <w:r>
              <w:rPr>
                <w:rFonts w:ascii="Arial" w:cs="Arial" w:eastAsia="Arial" w:hAnsi="Arial"/>
                <w:sz w:val="16"/>
                <w:szCs w:val="16"/>
                <w:b w:val="1"/>
                <w:bCs w:val="1"/>
                <w:i w:val="1"/>
                <w:iCs w:val="1"/>
                <w:color w:val="auto"/>
              </w:rPr>
              <w:t>Period</w:t>
            </w:r>
          </w:p>
        </w:tc>
        <w:tc>
          <w:tcPr>
            <w:tcW w:w="1820" w:type="dxa"/>
            <w:vAlign w:val="bottom"/>
            <w:shd w:val="clear" w:color="auto" w:fill="E5FFFF"/>
          </w:tcPr>
          <w:p>
            <w:pPr>
              <w:spacing w:after="0"/>
              <w:rPr>
                <w:sz w:val="16"/>
                <w:szCs w:val="16"/>
                <w:color w:val="auto"/>
              </w:rPr>
            </w:pPr>
          </w:p>
        </w:tc>
      </w:tr>
      <w:tr>
        <w:trPr>
          <w:trHeight w:val="203"/>
        </w:trPr>
        <w:tc>
          <w:tcPr>
            <w:tcW w:w="9600" w:type="dxa"/>
            <w:vAlign w:val="bottom"/>
          </w:tcPr>
          <w:p>
            <w:pPr>
              <w:spacing w:after="0"/>
              <w:rPr>
                <w:sz w:val="20"/>
                <w:szCs w:val="20"/>
                <w:color w:val="auto"/>
              </w:rPr>
            </w:pPr>
            <w:r>
              <w:rPr>
                <w:rFonts w:ascii="Arial" w:cs="Arial" w:eastAsia="Arial" w:hAnsi="Arial"/>
                <w:sz w:val="16"/>
                <w:szCs w:val="16"/>
                <w:color w:val="auto"/>
              </w:rPr>
              <w:t>Not later than one year</w:t>
            </w:r>
          </w:p>
        </w:tc>
        <w:tc>
          <w:tcPr>
            <w:tcW w:w="1820" w:type="dxa"/>
            <w:vAlign w:val="bottom"/>
          </w:tcPr>
          <w:p>
            <w:pPr>
              <w:jc w:val="right"/>
              <w:spacing w:after="0"/>
              <w:rPr>
                <w:sz w:val="20"/>
                <w:szCs w:val="20"/>
                <w:color w:val="auto"/>
              </w:rPr>
            </w:pPr>
            <w:r>
              <w:rPr>
                <w:rFonts w:ascii="Arial" w:cs="Arial" w:eastAsia="Arial" w:hAnsi="Arial"/>
                <w:sz w:val="16"/>
                <w:szCs w:val="16"/>
                <w:color w:val="auto"/>
              </w:rPr>
              <w:t>427,567</w:t>
            </w:r>
          </w:p>
        </w:tc>
      </w:tr>
      <w:tr>
        <w:trPr>
          <w:trHeight w:val="203"/>
        </w:trPr>
        <w:tc>
          <w:tcPr>
            <w:tcW w:w="9600" w:type="dxa"/>
            <w:vAlign w:val="bottom"/>
            <w:shd w:val="clear" w:color="auto" w:fill="E5FFFF"/>
          </w:tcPr>
          <w:p>
            <w:pPr>
              <w:spacing w:after="0"/>
              <w:rPr>
                <w:sz w:val="20"/>
                <w:szCs w:val="20"/>
                <w:color w:val="auto"/>
              </w:rPr>
            </w:pPr>
            <w:r>
              <w:rPr>
                <w:rFonts w:ascii="Arial" w:cs="Arial" w:eastAsia="Arial" w:hAnsi="Arial"/>
                <w:sz w:val="16"/>
                <w:szCs w:val="16"/>
                <w:color w:val="auto"/>
              </w:rPr>
              <w:t>Later than one year and not later than two years</w:t>
            </w:r>
          </w:p>
        </w:tc>
        <w:tc>
          <w:tcPr>
            <w:tcW w:w="18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329,660</w:t>
            </w:r>
          </w:p>
        </w:tc>
      </w:tr>
      <w:tr>
        <w:trPr>
          <w:trHeight w:val="203"/>
        </w:trPr>
        <w:tc>
          <w:tcPr>
            <w:tcW w:w="9600" w:type="dxa"/>
            <w:vAlign w:val="bottom"/>
          </w:tcPr>
          <w:p>
            <w:pPr>
              <w:spacing w:after="0"/>
              <w:rPr>
                <w:sz w:val="20"/>
                <w:szCs w:val="20"/>
                <w:color w:val="auto"/>
              </w:rPr>
            </w:pPr>
            <w:r>
              <w:rPr>
                <w:rFonts w:ascii="Arial" w:cs="Arial" w:eastAsia="Arial" w:hAnsi="Arial"/>
                <w:sz w:val="16"/>
                <w:szCs w:val="16"/>
                <w:color w:val="auto"/>
              </w:rPr>
              <w:t>Later than two years and not later than three years</w:t>
            </w:r>
          </w:p>
        </w:tc>
        <w:tc>
          <w:tcPr>
            <w:tcW w:w="1820" w:type="dxa"/>
            <w:vAlign w:val="bottom"/>
          </w:tcPr>
          <w:p>
            <w:pPr>
              <w:jc w:val="right"/>
              <w:spacing w:after="0"/>
              <w:rPr>
                <w:sz w:val="20"/>
                <w:szCs w:val="20"/>
                <w:color w:val="auto"/>
              </w:rPr>
            </w:pPr>
            <w:r>
              <w:rPr>
                <w:rFonts w:ascii="Arial" w:cs="Arial" w:eastAsia="Arial" w:hAnsi="Arial"/>
                <w:sz w:val="16"/>
                <w:szCs w:val="16"/>
                <w:color w:val="auto"/>
              </w:rPr>
              <w:t>284,513</w:t>
            </w:r>
          </w:p>
        </w:tc>
      </w:tr>
      <w:tr>
        <w:trPr>
          <w:trHeight w:val="203"/>
        </w:trPr>
        <w:tc>
          <w:tcPr>
            <w:tcW w:w="9600" w:type="dxa"/>
            <w:vAlign w:val="bottom"/>
            <w:shd w:val="clear" w:color="auto" w:fill="E5FFFF"/>
          </w:tcPr>
          <w:p>
            <w:pPr>
              <w:spacing w:after="0"/>
              <w:rPr>
                <w:sz w:val="20"/>
                <w:szCs w:val="20"/>
                <w:color w:val="auto"/>
              </w:rPr>
            </w:pPr>
            <w:r>
              <w:rPr>
                <w:rFonts w:ascii="Arial" w:cs="Arial" w:eastAsia="Arial" w:hAnsi="Arial"/>
                <w:sz w:val="16"/>
                <w:szCs w:val="16"/>
                <w:color w:val="auto"/>
              </w:rPr>
              <w:t>Later than three years and not later than four years</w:t>
            </w:r>
          </w:p>
        </w:tc>
        <w:tc>
          <w:tcPr>
            <w:tcW w:w="18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273,174</w:t>
            </w:r>
          </w:p>
        </w:tc>
      </w:tr>
      <w:tr>
        <w:trPr>
          <w:trHeight w:val="203"/>
        </w:trPr>
        <w:tc>
          <w:tcPr>
            <w:tcW w:w="9600" w:type="dxa"/>
            <w:vAlign w:val="bottom"/>
          </w:tcPr>
          <w:p>
            <w:pPr>
              <w:spacing w:after="0"/>
              <w:rPr>
                <w:sz w:val="20"/>
                <w:szCs w:val="20"/>
                <w:color w:val="auto"/>
              </w:rPr>
            </w:pPr>
            <w:r>
              <w:rPr>
                <w:rFonts w:ascii="Arial" w:cs="Arial" w:eastAsia="Arial" w:hAnsi="Arial"/>
                <w:sz w:val="16"/>
                <w:szCs w:val="16"/>
                <w:color w:val="auto"/>
              </w:rPr>
              <w:t>Later than four years and not later than five years</w:t>
            </w:r>
          </w:p>
        </w:tc>
        <w:tc>
          <w:tcPr>
            <w:tcW w:w="1820" w:type="dxa"/>
            <w:vAlign w:val="bottom"/>
          </w:tcPr>
          <w:p>
            <w:pPr>
              <w:jc w:val="right"/>
              <w:spacing w:after="0"/>
              <w:rPr>
                <w:sz w:val="20"/>
                <w:szCs w:val="20"/>
                <w:color w:val="auto"/>
              </w:rPr>
            </w:pPr>
            <w:r>
              <w:rPr>
                <w:rFonts w:ascii="Arial" w:cs="Arial" w:eastAsia="Arial" w:hAnsi="Arial"/>
                <w:sz w:val="16"/>
                <w:szCs w:val="16"/>
                <w:color w:val="auto"/>
              </w:rPr>
              <w:t>218,299</w:t>
            </w:r>
          </w:p>
        </w:tc>
      </w:tr>
      <w:tr>
        <w:trPr>
          <w:trHeight w:val="203"/>
        </w:trPr>
        <w:tc>
          <w:tcPr>
            <w:tcW w:w="9600" w:type="dxa"/>
            <w:vAlign w:val="bottom"/>
            <w:shd w:val="clear" w:color="auto" w:fill="E5FFFF"/>
          </w:tcPr>
          <w:p>
            <w:pPr>
              <w:spacing w:after="0"/>
              <w:rPr>
                <w:sz w:val="20"/>
                <w:szCs w:val="20"/>
                <w:color w:val="auto"/>
              </w:rPr>
            </w:pPr>
            <w:r>
              <w:rPr>
                <w:rFonts w:ascii="Arial" w:cs="Arial" w:eastAsia="Arial" w:hAnsi="Arial"/>
                <w:sz w:val="16"/>
                <w:szCs w:val="16"/>
                <w:color w:val="auto"/>
              </w:rPr>
              <w:t>More than five years</w:t>
            </w:r>
          </w:p>
        </w:tc>
        <w:tc>
          <w:tcPr>
            <w:tcW w:w="18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600,857</w:t>
            </w:r>
          </w:p>
        </w:tc>
      </w:tr>
      <w:tr>
        <w:trPr>
          <w:trHeight w:val="196"/>
        </w:trPr>
        <w:tc>
          <w:tcPr>
            <w:tcW w:w="960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2,134,070</w:t>
            </w:r>
          </w:p>
        </w:tc>
      </w:tr>
      <w:tr>
        <w:trPr>
          <w:trHeight w:val="20"/>
        </w:trPr>
        <w:tc>
          <w:tcPr>
            <w:tcW w:w="96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Future gross minimum lease payments disclosed in the above table excludes the lease payments of the vessels that are under construction.</w:t>
      </w:r>
    </w:p>
    <w:p>
      <w:pPr>
        <w:spacing w:after="0" w:line="235" w:lineRule="exact"/>
        <w:rPr>
          <w:sz w:val="20"/>
          <w:szCs w:val="20"/>
          <w:color w:val="auto"/>
        </w:rPr>
      </w:pPr>
    </w:p>
    <w:p>
      <w:pPr>
        <w:jc w:val="both"/>
        <w:ind w:left="340" w:hanging="332"/>
        <w:spacing w:after="0" w:line="262" w:lineRule="auto"/>
        <w:tabs>
          <w:tab w:leader="none" w:pos="432" w:val="left"/>
        </w:tabs>
        <w:numPr>
          <w:ilvl w:val="0"/>
          <w:numId w:val="23"/>
        </w:numPr>
        <w:rPr>
          <w:rFonts w:ascii="Arial" w:cs="Arial" w:eastAsia="Arial" w:hAnsi="Arial"/>
          <w:sz w:val="18"/>
          <w:szCs w:val="18"/>
          <w:color w:val="auto"/>
        </w:rPr>
      </w:pPr>
      <w:r>
        <w:rPr>
          <w:rFonts w:ascii="Arial" w:cs="Arial" w:eastAsia="Arial" w:hAnsi="Arial"/>
          <w:sz w:val="16"/>
          <w:szCs w:val="16"/>
          <w:color w:val="auto"/>
        </w:rPr>
        <w:t>Related to the acquisition of six vessels from a subsidiary of BG Group plc in 2014 and another two vessels in 2015, the Group is committed to purchase depot spares from MSL with an aggregate value of $8,000 of which depot spares with value of $660 have been purchased and paid as of September 30, 2019 and are included in Tangible fixed assets (Note 5). The remaining spares are expected to be acquired before March 31, 2020.</w:t>
      </w:r>
    </w:p>
    <w:p>
      <w:pPr>
        <w:spacing w:after="0" w:line="196" w:lineRule="exact"/>
        <w:rPr>
          <w:rFonts w:ascii="Arial" w:cs="Arial" w:eastAsia="Arial" w:hAnsi="Arial"/>
          <w:sz w:val="18"/>
          <w:szCs w:val="18"/>
          <w:color w:val="auto"/>
        </w:rPr>
      </w:pPr>
    </w:p>
    <w:p>
      <w:pPr>
        <w:jc w:val="both"/>
        <w:ind w:left="340" w:hanging="332"/>
        <w:spacing w:after="0" w:line="284" w:lineRule="auto"/>
        <w:tabs>
          <w:tab w:leader="none" w:pos="428" w:val="left"/>
        </w:tabs>
        <w:numPr>
          <w:ilvl w:val="0"/>
          <w:numId w:val="23"/>
        </w:numPr>
        <w:rPr>
          <w:rFonts w:ascii="Arial" w:cs="Arial" w:eastAsia="Arial" w:hAnsi="Arial"/>
          <w:sz w:val="17"/>
          <w:szCs w:val="17"/>
          <w:color w:val="auto"/>
        </w:rPr>
      </w:pPr>
      <w:r>
        <w:rPr>
          <w:rFonts w:ascii="Arial" w:cs="Arial" w:eastAsia="Arial" w:hAnsi="Arial"/>
          <w:sz w:val="15"/>
          <w:szCs w:val="15"/>
          <w:color w:val="auto"/>
        </w:rPr>
        <w:t>On October 11, 2016, GasLog LNG Services Ltd. entered into an arrangement whereby it has access to all long lead items (“LLIs”) necessary for the conversion of a GasLog LNG carrier vessel into a Floating Storage and Regasification Unit (“FSRU”) whereby such conversion work would be undertaken by Keppel Shipyard Limited. GasLog is only obligated to pay for such LLIs if utilized for a GasLog vessel conversion or, if the LLIs have not been utilized in a GasLog vessel conversion within three years from November 2016, the items may be put to GasLog at 85% of the original cost, or GasLog may call for the purchase of such LLIs at 115% of the original cost.</w:t>
      </w:r>
    </w:p>
    <w:p>
      <w:pPr>
        <w:spacing w:after="0" w:line="182" w:lineRule="exact"/>
        <w:rPr>
          <w:rFonts w:ascii="Arial" w:cs="Arial" w:eastAsia="Arial" w:hAnsi="Arial"/>
          <w:sz w:val="17"/>
          <w:szCs w:val="17"/>
          <w:color w:val="auto"/>
        </w:rPr>
      </w:pPr>
    </w:p>
    <w:p>
      <w:pPr>
        <w:jc w:val="both"/>
        <w:ind w:left="340" w:hanging="332"/>
        <w:spacing w:after="0" w:line="263" w:lineRule="auto"/>
        <w:tabs>
          <w:tab w:leader="none" w:pos="378" w:val="left"/>
        </w:tabs>
        <w:numPr>
          <w:ilvl w:val="0"/>
          <w:numId w:val="23"/>
        </w:numPr>
        <w:rPr>
          <w:rFonts w:ascii="Arial" w:cs="Arial" w:eastAsia="Arial" w:hAnsi="Arial"/>
          <w:sz w:val="18"/>
          <w:szCs w:val="18"/>
          <w:color w:val="auto"/>
        </w:rPr>
      </w:pPr>
      <w:r>
        <w:rPr>
          <w:rFonts w:ascii="Arial" w:cs="Arial" w:eastAsia="Arial" w:hAnsi="Arial"/>
          <w:sz w:val="16"/>
          <w:szCs w:val="16"/>
          <w:color w:val="auto"/>
        </w:rPr>
        <w:t>In September 2017 (and in addition to the seven existing maintenance agreements signed in 2015 in relation to GasLog vessels), GasLog LNG Services Ltd. entered into further maintenance agreements with Wartsila Greece S.A. in respect of eight additional GasLog LNG carriers. In July 2018, GasLog LNG Services Ltd. renewed the maintenance agreements signed in 2015 with Wartsila. The agreements ensure dynamic maintenance planning, technical support, security of spare parts supply, specialist technical personnel and performance monitoring.</w:t>
      </w:r>
    </w:p>
    <w:p>
      <w:pPr>
        <w:spacing w:after="0" w:line="194" w:lineRule="exact"/>
        <w:rPr>
          <w:rFonts w:ascii="Arial" w:cs="Arial" w:eastAsia="Arial" w:hAnsi="Arial"/>
          <w:sz w:val="18"/>
          <w:szCs w:val="18"/>
          <w:color w:val="auto"/>
        </w:rPr>
      </w:pPr>
    </w:p>
    <w:p>
      <w:pPr>
        <w:ind w:left="340" w:hanging="332"/>
        <w:spacing w:after="0" w:line="297" w:lineRule="auto"/>
        <w:tabs>
          <w:tab w:leader="none" w:pos="452" w:val="left"/>
        </w:tabs>
        <w:numPr>
          <w:ilvl w:val="0"/>
          <w:numId w:val="23"/>
        </w:numPr>
        <w:rPr>
          <w:rFonts w:ascii="Arial" w:cs="Arial" w:eastAsia="Arial" w:hAnsi="Arial"/>
          <w:sz w:val="17"/>
          <w:szCs w:val="17"/>
          <w:color w:val="auto"/>
        </w:rPr>
      </w:pPr>
      <w:r>
        <w:rPr>
          <w:rFonts w:ascii="Arial" w:cs="Arial" w:eastAsia="Arial" w:hAnsi="Arial"/>
          <w:sz w:val="15"/>
          <w:szCs w:val="15"/>
          <w:color w:val="auto"/>
        </w:rPr>
        <w:t>In March 2019, GasLog LNG Services entered into an agreement with Samsung in respect of twenty of GasLog’s vessels. The agreement covers the supply of ballast water management systems on board the vessels by Samsung and associated field, commissioning and engineering services for a firm period of six years.</w:t>
      </w:r>
    </w:p>
    <w:p>
      <w:pPr>
        <w:spacing w:after="0" w:line="152" w:lineRule="exact"/>
        <w:rPr>
          <w:sz w:val="20"/>
          <w:szCs w:val="20"/>
          <w:color w:val="auto"/>
        </w:rPr>
      </w:pPr>
    </w:p>
    <w:p>
      <w:pPr>
        <w:ind w:right="280" w:firstLine="436"/>
        <w:spacing w:after="0" w:line="305" w:lineRule="auto"/>
        <w:rPr>
          <w:sz w:val="20"/>
          <w:szCs w:val="20"/>
          <w:color w:val="auto"/>
        </w:rPr>
      </w:pPr>
      <w:r>
        <w:rPr>
          <w:rFonts w:ascii="Arial" w:cs="Arial" w:eastAsia="Arial" w:hAnsi="Arial"/>
          <w:sz w:val="15"/>
          <w:szCs w:val="15"/>
          <w:color w:val="auto"/>
        </w:rPr>
        <w:t>Various claims, suits and complaints, including those involving government regulations, arise in the ordinary course of the shipping business. In addition, losses may arise from disputes with charterers, environmental claims, agents and insurers and from claims with suppliers relating to the operations of the Group’s vessels. Currently, management is not aware of any such claims or contingent liabilities requiring disclosure in the unaudited condensed consolidated financial statements.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15. Derivative Financial Instruments</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405"/>
        </w:trPr>
        <w:tc>
          <w:tcPr>
            <w:tcW w:w="340" w:type="dxa"/>
            <w:vAlign w:val="bottom"/>
          </w:tcPr>
          <w:p>
            <w:pPr>
              <w:spacing w:after="0"/>
              <w:rPr>
                <w:sz w:val="24"/>
                <w:szCs w:val="24"/>
                <w:color w:val="auto"/>
              </w:rPr>
            </w:pPr>
          </w:p>
        </w:tc>
        <w:tc>
          <w:tcPr>
            <w:tcW w:w="7780" w:type="dxa"/>
            <w:vAlign w:val="bottom"/>
          </w:tcPr>
          <w:p>
            <w:pPr>
              <w:ind w:left="40"/>
              <w:spacing w:after="0"/>
              <w:rPr>
                <w:sz w:val="20"/>
                <w:szCs w:val="20"/>
                <w:color w:val="auto"/>
              </w:rPr>
            </w:pPr>
            <w:r>
              <w:rPr>
                <w:rFonts w:ascii="Arial" w:cs="Arial" w:eastAsia="Arial" w:hAnsi="Arial"/>
                <w:sz w:val="16"/>
                <w:szCs w:val="16"/>
                <w:color w:val="auto"/>
              </w:rPr>
              <w:t>The fair value of the derivative assets is as follows:</w:t>
            </w: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97"/>
        </w:trPr>
        <w:tc>
          <w:tcPr>
            <w:tcW w:w="34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170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December 31,</w:t>
            </w:r>
          </w:p>
        </w:tc>
        <w:tc>
          <w:tcPr>
            <w:tcW w:w="1460" w:type="dxa"/>
            <w:vAlign w:val="bottom"/>
          </w:tcPr>
          <w:p>
            <w:pPr>
              <w:jc w:val="right"/>
              <w:ind w:right="159"/>
              <w:spacing w:after="0"/>
              <w:rPr>
                <w:sz w:val="20"/>
                <w:szCs w:val="20"/>
                <w:color w:val="auto"/>
              </w:rPr>
            </w:pPr>
            <w:r>
              <w:rPr>
                <w:rFonts w:ascii="Arial" w:cs="Arial" w:eastAsia="Arial" w:hAnsi="Arial"/>
                <w:sz w:val="16"/>
                <w:szCs w:val="16"/>
                <w:b w:val="1"/>
                <w:bCs w:val="1"/>
                <w:color w:val="auto"/>
              </w:rPr>
              <w:t>September 30,</w:t>
            </w:r>
          </w:p>
        </w:tc>
      </w:tr>
      <w:tr>
        <w:trPr>
          <w:trHeight w:val="213"/>
        </w:trPr>
        <w:tc>
          <w:tcPr>
            <w:tcW w:w="340" w:type="dxa"/>
            <w:vAlign w:val="bottom"/>
          </w:tcPr>
          <w:p>
            <w:pPr>
              <w:spacing w:after="0"/>
              <w:rPr>
                <w:sz w:val="18"/>
                <w:szCs w:val="18"/>
                <w:color w:val="auto"/>
              </w:rPr>
            </w:pPr>
          </w:p>
        </w:tc>
        <w:tc>
          <w:tcPr>
            <w:tcW w:w="778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340" w:type="dxa"/>
            <w:vAlign w:val="bottom"/>
            <w:tcBorders>
              <w:bottom w:val="single" w:sz="8" w:color="E5FFFF"/>
            </w:tcBorders>
          </w:tcPr>
          <w:p>
            <w:pPr>
              <w:spacing w:after="0"/>
              <w:rPr>
                <w:sz w:val="18"/>
                <w:szCs w:val="18"/>
                <w:color w:val="auto"/>
              </w:rPr>
            </w:pPr>
          </w:p>
        </w:tc>
        <w:tc>
          <w:tcPr>
            <w:tcW w:w="14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186"/>
        </w:trPr>
        <w:tc>
          <w:tcPr>
            <w:tcW w:w="340" w:type="dxa"/>
            <w:vAlign w:val="bottom"/>
          </w:tcPr>
          <w:p>
            <w:pPr>
              <w:spacing w:after="0"/>
              <w:rPr>
                <w:sz w:val="16"/>
                <w:szCs w:val="16"/>
                <w:color w:val="auto"/>
              </w:rPr>
            </w:pPr>
          </w:p>
        </w:tc>
        <w:tc>
          <w:tcPr>
            <w:tcW w:w="778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Derivative assets carried at fair value through profit or loss (FVTPL)</w:t>
            </w:r>
          </w:p>
        </w:tc>
        <w:tc>
          <w:tcPr>
            <w:tcW w:w="1360" w:type="dxa"/>
            <w:vAlign w:val="bottom"/>
            <w:shd w:val="clear" w:color="auto" w:fill="E5FFFF"/>
          </w:tcPr>
          <w:p>
            <w:pPr>
              <w:spacing w:after="0"/>
              <w:rPr>
                <w:sz w:val="16"/>
                <w:szCs w:val="16"/>
                <w:color w:val="auto"/>
              </w:rPr>
            </w:pPr>
          </w:p>
        </w:tc>
        <w:tc>
          <w:tcPr>
            <w:tcW w:w="340" w:type="dxa"/>
            <w:vAlign w:val="bottom"/>
            <w:shd w:val="clear" w:color="auto" w:fill="E5FFFF"/>
          </w:tcPr>
          <w:p>
            <w:pPr>
              <w:spacing w:after="0"/>
              <w:rPr>
                <w:sz w:val="16"/>
                <w:szCs w:val="16"/>
                <w:color w:val="auto"/>
              </w:rPr>
            </w:pPr>
          </w:p>
        </w:tc>
        <w:tc>
          <w:tcPr>
            <w:tcW w:w="1460" w:type="dxa"/>
            <w:vAlign w:val="bottom"/>
            <w:shd w:val="clear" w:color="auto" w:fill="E5FFFF"/>
          </w:tcPr>
          <w:p>
            <w:pPr>
              <w:spacing w:after="0"/>
              <w:rPr>
                <w:sz w:val="16"/>
                <w:szCs w:val="16"/>
                <w:color w:val="auto"/>
              </w:rPr>
            </w:pPr>
          </w:p>
        </w:tc>
      </w:tr>
      <w:tr>
        <w:trPr>
          <w:trHeight w:val="203"/>
        </w:trPr>
        <w:tc>
          <w:tcPr>
            <w:tcW w:w="340" w:type="dxa"/>
            <w:vAlign w:val="bottom"/>
          </w:tcPr>
          <w:p>
            <w:pPr>
              <w:spacing w:after="0"/>
              <w:rPr>
                <w:sz w:val="17"/>
                <w:szCs w:val="17"/>
                <w:color w:val="auto"/>
              </w:rPr>
            </w:pPr>
          </w:p>
        </w:tc>
        <w:tc>
          <w:tcPr>
            <w:tcW w:w="7780" w:type="dxa"/>
            <w:vAlign w:val="bottom"/>
          </w:tcPr>
          <w:p>
            <w:pPr>
              <w:spacing w:after="0"/>
              <w:rPr>
                <w:sz w:val="20"/>
                <w:szCs w:val="20"/>
                <w:color w:val="auto"/>
              </w:rPr>
            </w:pPr>
            <w:r>
              <w:rPr>
                <w:rFonts w:ascii="Arial" w:cs="Arial" w:eastAsia="Arial" w:hAnsi="Arial"/>
                <w:sz w:val="16"/>
                <w:szCs w:val="16"/>
                <w:color w:val="auto"/>
              </w:rPr>
              <w:t>Interest rate swaps</w:t>
            </w:r>
          </w:p>
        </w:tc>
        <w:tc>
          <w:tcPr>
            <w:tcW w:w="1700" w:type="dxa"/>
            <w:vAlign w:val="bottom"/>
            <w:gridSpan w:val="2"/>
          </w:tcPr>
          <w:p>
            <w:pPr>
              <w:jc w:val="right"/>
              <w:ind w:right="340"/>
              <w:spacing w:after="0"/>
              <w:rPr>
                <w:sz w:val="20"/>
                <w:szCs w:val="20"/>
                <w:color w:val="auto"/>
              </w:rPr>
            </w:pPr>
            <w:r>
              <w:rPr>
                <w:rFonts w:ascii="Arial" w:cs="Arial" w:eastAsia="Arial" w:hAnsi="Arial"/>
                <w:sz w:val="16"/>
                <w:szCs w:val="16"/>
                <w:color w:val="auto"/>
              </w:rPr>
              <w:t>15,188</w:t>
            </w:r>
          </w:p>
        </w:tc>
        <w:tc>
          <w:tcPr>
            <w:tcW w:w="146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03"/>
        </w:trPr>
        <w:tc>
          <w:tcPr>
            <w:tcW w:w="340" w:type="dxa"/>
            <w:vAlign w:val="bottom"/>
          </w:tcPr>
          <w:p>
            <w:pPr>
              <w:spacing w:after="0"/>
              <w:rPr>
                <w:sz w:val="17"/>
                <w:szCs w:val="17"/>
                <w:color w:val="auto"/>
              </w:rPr>
            </w:pPr>
          </w:p>
        </w:tc>
        <w:tc>
          <w:tcPr>
            <w:tcW w:w="7780" w:type="dxa"/>
            <w:vAlign w:val="bottom"/>
            <w:shd w:val="clear" w:color="auto" w:fill="E5FFFF"/>
          </w:tcPr>
          <w:p>
            <w:pPr>
              <w:spacing w:after="0"/>
              <w:rPr>
                <w:sz w:val="20"/>
                <w:szCs w:val="20"/>
                <w:color w:val="auto"/>
              </w:rPr>
            </w:pPr>
            <w:r>
              <w:rPr>
                <w:rFonts w:ascii="Arial" w:cs="Arial" w:eastAsia="Arial" w:hAnsi="Arial"/>
                <w:sz w:val="16"/>
                <w:szCs w:val="16"/>
                <w:color w:val="auto"/>
              </w:rPr>
              <w:t>Forward foreign exchange contracts</w:t>
            </w:r>
          </w:p>
        </w:tc>
        <w:tc>
          <w:tcPr>
            <w:tcW w:w="1700" w:type="dxa"/>
            <w:vAlign w:val="bottom"/>
            <w:gridSpan w:val="2"/>
            <w:shd w:val="clear" w:color="auto" w:fill="E5FFFF"/>
          </w:tcPr>
          <w:p>
            <w:pPr>
              <w:jc w:val="right"/>
              <w:ind w:right="340"/>
              <w:spacing w:after="0"/>
              <w:rPr>
                <w:sz w:val="20"/>
                <w:szCs w:val="20"/>
                <w:color w:val="auto"/>
              </w:rPr>
            </w:pPr>
            <w:r>
              <w:rPr>
                <w:rFonts w:ascii="Arial" w:cs="Arial" w:eastAsia="Arial" w:hAnsi="Arial"/>
                <w:sz w:val="16"/>
                <w:szCs w:val="16"/>
                <w:color w:val="auto"/>
              </w:rPr>
              <w:t>—</w:t>
            </w:r>
          </w:p>
        </w:tc>
        <w:tc>
          <w:tcPr>
            <w:tcW w:w="14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40</w:t>
            </w:r>
          </w:p>
        </w:tc>
      </w:tr>
      <w:tr>
        <w:trPr>
          <w:trHeight w:val="236"/>
        </w:trPr>
        <w:tc>
          <w:tcPr>
            <w:tcW w:w="340" w:type="dxa"/>
            <w:vAlign w:val="bottom"/>
          </w:tcPr>
          <w:p>
            <w:pPr>
              <w:spacing w:after="0"/>
              <w:rPr>
                <w:sz w:val="20"/>
                <w:szCs w:val="20"/>
                <w:color w:val="auto"/>
              </w:rPr>
            </w:pPr>
          </w:p>
        </w:tc>
        <w:tc>
          <w:tcPr>
            <w:tcW w:w="778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15,188</w:t>
            </w:r>
          </w:p>
        </w:tc>
        <w:tc>
          <w:tcPr>
            <w:tcW w:w="340" w:type="dxa"/>
            <w:vAlign w:val="bottom"/>
            <w:tcBorders>
              <w:bottom w:val="single" w:sz="8" w:color="E5FFFF"/>
            </w:tcBorders>
          </w:tcPr>
          <w:p>
            <w:pPr>
              <w:spacing w:after="0"/>
              <w:rPr>
                <w:sz w:val="20"/>
                <w:szCs w:val="20"/>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108</w:t>
            </w:r>
          </w:p>
        </w:tc>
      </w:tr>
      <w:tr>
        <w:trPr>
          <w:trHeight w:val="183"/>
        </w:trPr>
        <w:tc>
          <w:tcPr>
            <w:tcW w:w="340" w:type="dxa"/>
            <w:vAlign w:val="bottom"/>
          </w:tcPr>
          <w:p>
            <w:pPr>
              <w:spacing w:after="0"/>
              <w:rPr>
                <w:sz w:val="15"/>
                <w:szCs w:val="15"/>
                <w:color w:val="auto"/>
              </w:rPr>
            </w:pPr>
          </w:p>
        </w:tc>
        <w:tc>
          <w:tcPr>
            <w:tcW w:w="7780" w:type="dxa"/>
            <w:vAlign w:val="bottom"/>
            <w:shd w:val="clear" w:color="auto" w:fill="E5FFFF"/>
          </w:tcPr>
          <w:p>
            <w:pPr>
              <w:spacing w:after="0" w:line="167" w:lineRule="exact"/>
              <w:rPr>
                <w:sz w:val="20"/>
                <w:szCs w:val="20"/>
                <w:color w:val="auto"/>
              </w:rPr>
            </w:pPr>
            <w:r>
              <w:rPr>
                <w:rFonts w:ascii="Arial" w:cs="Arial" w:eastAsia="Arial" w:hAnsi="Arial"/>
                <w:sz w:val="16"/>
                <w:szCs w:val="16"/>
                <w:color w:val="auto"/>
              </w:rPr>
              <w:t>Derivative financial instruments, current assets</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6,222</w:t>
            </w:r>
          </w:p>
        </w:tc>
        <w:tc>
          <w:tcPr>
            <w:tcW w:w="340" w:type="dxa"/>
            <w:vAlign w:val="bottom"/>
            <w:shd w:val="clear" w:color="auto" w:fill="E5FFFF"/>
          </w:tcPr>
          <w:p>
            <w:pPr>
              <w:spacing w:after="0"/>
              <w:rPr>
                <w:sz w:val="15"/>
                <w:szCs w:val="15"/>
                <w:color w:val="auto"/>
              </w:rPr>
            </w:pPr>
          </w:p>
        </w:tc>
        <w:tc>
          <w:tcPr>
            <w:tcW w:w="14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108</w:t>
            </w:r>
          </w:p>
        </w:tc>
      </w:tr>
      <w:tr>
        <w:trPr>
          <w:trHeight w:val="203"/>
        </w:trPr>
        <w:tc>
          <w:tcPr>
            <w:tcW w:w="340" w:type="dxa"/>
            <w:vAlign w:val="bottom"/>
          </w:tcPr>
          <w:p>
            <w:pPr>
              <w:spacing w:after="0"/>
              <w:rPr>
                <w:sz w:val="17"/>
                <w:szCs w:val="17"/>
                <w:color w:val="auto"/>
              </w:rPr>
            </w:pPr>
          </w:p>
        </w:tc>
        <w:tc>
          <w:tcPr>
            <w:tcW w:w="7780" w:type="dxa"/>
            <w:vAlign w:val="bottom"/>
          </w:tcPr>
          <w:p>
            <w:pPr>
              <w:spacing w:after="0"/>
              <w:rPr>
                <w:sz w:val="20"/>
                <w:szCs w:val="20"/>
                <w:color w:val="auto"/>
              </w:rPr>
            </w:pPr>
            <w:r>
              <w:rPr>
                <w:rFonts w:ascii="Arial" w:cs="Arial" w:eastAsia="Arial" w:hAnsi="Arial"/>
                <w:sz w:val="16"/>
                <w:szCs w:val="16"/>
                <w:color w:val="auto"/>
              </w:rPr>
              <w:t>Derivative financial instruments, non-current assets</w:t>
            </w:r>
          </w:p>
        </w:tc>
        <w:tc>
          <w:tcPr>
            <w:tcW w:w="1700" w:type="dxa"/>
            <w:vAlign w:val="bottom"/>
            <w:gridSpan w:val="2"/>
          </w:tcPr>
          <w:p>
            <w:pPr>
              <w:jc w:val="right"/>
              <w:ind w:right="340"/>
              <w:spacing w:after="0"/>
              <w:rPr>
                <w:sz w:val="20"/>
                <w:szCs w:val="20"/>
                <w:color w:val="auto"/>
              </w:rPr>
            </w:pPr>
            <w:r>
              <w:rPr>
                <w:rFonts w:ascii="Arial" w:cs="Arial" w:eastAsia="Arial" w:hAnsi="Arial"/>
                <w:sz w:val="16"/>
                <w:szCs w:val="16"/>
                <w:color w:val="auto"/>
              </w:rPr>
              <w:t>8,966</w:t>
            </w: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340" w:type="dxa"/>
            <w:vAlign w:val="bottom"/>
          </w:tcPr>
          <w:p>
            <w:pPr>
              <w:spacing w:after="0"/>
              <w:rPr>
                <w:sz w:val="17"/>
                <w:szCs w:val="17"/>
                <w:color w:val="auto"/>
              </w:rPr>
            </w:pPr>
          </w:p>
        </w:tc>
        <w:tc>
          <w:tcPr>
            <w:tcW w:w="778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15,188</w:t>
            </w:r>
          </w:p>
        </w:tc>
        <w:tc>
          <w:tcPr>
            <w:tcW w:w="340" w:type="dxa"/>
            <w:vAlign w:val="bottom"/>
            <w:tcBorders>
              <w:top w:val="single" w:sz="8" w:color="E5FFFF"/>
              <w:bottom w:val="single" w:sz="8" w:color="E5FFFF"/>
            </w:tcBorders>
            <w:shd w:val="clear" w:color="auto" w:fill="E5FFFF"/>
          </w:tcPr>
          <w:p>
            <w:pPr>
              <w:spacing w:after="0"/>
              <w:rPr>
                <w:sz w:val="17"/>
                <w:szCs w:val="17"/>
                <w:color w:val="auto"/>
              </w:rPr>
            </w:pP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108</w:t>
            </w:r>
          </w:p>
        </w:tc>
      </w:tr>
      <w:tr>
        <w:trPr>
          <w:trHeight w:val="20"/>
        </w:trPr>
        <w:tc>
          <w:tcPr>
            <w:tcW w:w="34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41" w:name="page42"/>
    <w:bookmarkEnd w:id="41"/>
    <w:tbl>
      <w:tblPr>
        <w:tblLayout w:type="fixed"/>
        <w:tblInd w:w="400" w:type="dxa"/>
        <w:tblCellMar>
          <w:top w:w="0" w:type="dxa"/>
          <w:left w:w="0" w:type="dxa"/>
          <w:bottom w:w="0" w:type="dxa"/>
          <w:right w:w="0" w:type="dxa"/>
        </w:tblCellMar>
      </w:tblPr>
      <w:tr>
        <w:trPr>
          <w:trHeight w:val="206"/>
        </w:trPr>
        <w:tc>
          <w:tcPr>
            <w:tcW w:w="7840" w:type="dxa"/>
            <w:vAlign w:val="bottom"/>
          </w:tcPr>
          <w:p>
            <w:pPr>
              <w:spacing w:after="0"/>
              <w:rPr>
                <w:sz w:val="20"/>
                <w:szCs w:val="20"/>
                <w:color w:val="auto"/>
              </w:rPr>
            </w:pPr>
            <w:r>
              <w:rPr>
                <w:rFonts w:ascii="Arial" w:cs="Arial" w:eastAsia="Arial" w:hAnsi="Arial"/>
                <w:sz w:val="16"/>
                <w:szCs w:val="16"/>
                <w:color w:val="auto"/>
              </w:rPr>
              <w:t>The fair value of the derivative liabilities is as follows:</w:t>
            </w: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411"/>
        </w:trPr>
        <w:tc>
          <w:tcPr>
            <w:tcW w:w="7840" w:type="dxa"/>
            <w:vAlign w:val="bottom"/>
          </w:tcPr>
          <w:p>
            <w:pPr>
              <w:spacing w:after="0"/>
              <w:rPr>
                <w:sz w:val="24"/>
                <w:szCs w:val="24"/>
                <w:color w:val="auto"/>
              </w:rPr>
            </w:pPr>
          </w:p>
        </w:tc>
        <w:tc>
          <w:tcPr>
            <w:tcW w:w="1640" w:type="dxa"/>
            <w:vAlign w:val="bottom"/>
            <w:gridSpan w:val="2"/>
          </w:tcPr>
          <w:p>
            <w:pPr>
              <w:ind w:left="200"/>
              <w:spacing w:after="0"/>
              <w:rPr>
                <w:sz w:val="20"/>
                <w:szCs w:val="20"/>
                <w:color w:val="auto"/>
              </w:rPr>
            </w:pPr>
            <w:r>
              <w:rPr>
                <w:rFonts w:ascii="Arial" w:cs="Arial" w:eastAsia="Arial" w:hAnsi="Arial"/>
                <w:sz w:val="16"/>
                <w:szCs w:val="16"/>
                <w:b w:val="1"/>
                <w:bCs w:val="1"/>
                <w:color w:val="auto"/>
              </w:rPr>
              <w:t>December 31,</w:t>
            </w:r>
          </w:p>
        </w:tc>
        <w:tc>
          <w:tcPr>
            <w:tcW w:w="1480" w:type="dxa"/>
            <w:vAlign w:val="bottom"/>
            <w:gridSpan w:val="2"/>
          </w:tcPr>
          <w:p>
            <w:pPr>
              <w:ind w:left="180"/>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784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28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E5FFFF"/>
            </w:tcBorders>
          </w:tcPr>
          <w:p>
            <w:pPr>
              <w:spacing w:after="0"/>
              <w:rPr>
                <w:sz w:val="18"/>
                <w:szCs w:val="18"/>
                <w:color w:val="auto"/>
              </w:rPr>
            </w:pPr>
          </w:p>
        </w:tc>
      </w:tr>
      <w:tr>
        <w:trPr>
          <w:trHeight w:val="189"/>
        </w:trPr>
        <w:tc>
          <w:tcPr>
            <w:tcW w:w="784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Derivative liabilities carried at fair value through profit or loss (FVTPL)</w:t>
            </w:r>
          </w:p>
        </w:tc>
        <w:tc>
          <w:tcPr>
            <w:tcW w:w="136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136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r>
      <w:tr>
        <w:trPr>
          <w:trHeight w:val="203"/>
        </w:trPr>
        <w:tc>
          <w:tcPr>
            <w:tcW w:w="7840" w:type="dxa"/>
            <w:vAlign w:val="bottom"/>
          </w:tcPr>
          <w:p>
            <w:pPr>
              <w:spacing w:after="0"/>
              <w:rPr>
                <w:sz w:val="20"/>
                <w:szCs w:val="20"/>
                <w:color w:val="auto"/>
              </w:rPr>
            </w:pPr>
            <w:r>
              <w:rPr>
                <w:rFonts w:ascii="Arial" w:cs="Arial" w:eastAsia="Arial" w:hAnsi="Arial"/>
                <w:sz w:val="16"/>
                <w:szCs w:val="16"/>
                <w:color w:val="auto"/>
              </w:rPr>
              <w:t>Interest rate swaps</w:t>
            </w:r>
          </w:p>
        </w:tc>
        <w:tc>
          <w:tcPr>
            <w:tcW w:w="1360" w:type="dxa"/>
            <w:vAlign w:val="bottom"/>
          </w:tcPr>
          <w:p>
            <w:pPr>
              <w:jc w:val="right"/>
              <w:spacing w:after="0"/>
              <w:rPr>
                <w:sz w:val="20"/>
                <w:szCs w:val="20"/>
                <w:color w:val="auto"/>
              </w:rPr>
            </w:pPr>
            <w:r>
              <w:rPr>
                <w:rFonts w:ascii="Arial" w:cs="Arial" w:eastAsia="Arial" w:hAnsi="Arial"/>
                <w:sz w:val="16"/>
                <w:szCs w:val="16"/>
                <w:color w:val="auto"/>
              </w:rPr>
              <w:t>9,196</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62,520</w:t>
            </w:r>
          </w:p>
        </w:tc>
        <w:tc>
          <w:tcPr>
            <w:tcW w:w="120" w:type="dxa"/>
            <w:vAlign w:val="bottom"/>
          </w:tcPr>
          <w:p>
            <w:pPr>
              <w:spacing w:after="0"/>
              <w:rPr>
                <w:sz w:val="17"/>
                <w:szCs w:val="17"/>
                <w:color w:val="auto"/>
              </w:rPr>
            </w:pPr>
          </w:p>
        </w:tc>
      </w:tr>
      <w:tr>
        <w:trPr>
          <w:trHeight w:val="203"/>
        </w:trPr>
        <w:tc>
          <w:tcPr>
            <w:tcW w:w="7840" w:type="dxa"/>
            <w:vAlign w:val="bottom"/>
            <w:shd w:val="clear" w:color="auto" w:fill="E5FFFF"/>
          </w:tcPr>
          <w:p>
            <w:pPr>
              <w:spacing w:after="0"/>
              <w:rPr>
                <w:sz w:val="20"/>
                <w:szCs w:val="20"/>
                <w:color w:val="auto"/>
              </w:rPr>
            </w:pPr>
            <w:r>
              <w:rPr>
                <w:rFonts w:ascii="Arial" w:cs="Arial" w:eastAsia="Arial" w:hAnsi="Arial"/>
                <w:sz w:val="16"/>
                <w:szCs w:val="16"/>
                <w:color w:val="auto"/>
              </w:rPr>
              <w:t>Forward foreign exchange contracts</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1,467</w:t>
            </w:r>
          </w:p>
        </w:tc>
        <w:tc>
          <w:tcPr>
            <w:tcW w:w="28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891</w:t>
            </w:r>
          </w:p>
        </w:tc>
        <w:tc>
          <w:tcPr>
            <w:tcW w:w="120" w:type="dxa"/>
            <w:vAlign w:val="bottom"/>
            <w:shd w:val="clear" w:color="auto" w:fill="E5FFFF"/>
          </w:tcPr>
          <w:p>
            <w:pPr>
              <w:spacing w:after="0"/>
              <w:rPr>
                <w:sz w:val="17"/>
                <w:szCs w:val="17"/>
                <w:color w:val="auto"/>
              </w:rPr>
            </w:pPr>
          </w:p>
        </w:tc>
      </w:tr>
      <w:tr>
        <w:trPr>
          <w:trHeight w:val="203"/>
        </w:trPr>
        <w:tc>
          <w:tcPr>
            <w:tcW w:w="7840" w:type="dxa"/>
            <w:vAlign w:val="bottom"/>
          </w:tcPr>
          <w:p>
            <w:pPr>
              <w:spacing w:after="0"/>
              <w:rPr>
                <w:sz w:val="20"/>
                <w:szCs w:val="20"/>
                <w:color w:val="auto"/>
              </w:rPr>
            </w:pPr>
            <w:r>
              <w:rPr>
                <w:rFonts w:ascii="Arial" w:cs="Arial" w:eastAsia="Arial" w:hAnsi="Arial"/>
                <w:sz w:val="16"/>
                <w:szCs w:val="16"/>
                <w:b w:val="1"/>
                <w:bCs w:val="1"/>
                <w:color w:val="auto"/>
              </w:rPr>
              <w:t>Derivative liabilities designated and effective as hedging instruments carried at fair value</w:t>
            </w: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840" w:type="dxa"/>
            <w:vAlign w:val="bottom"/>
            <w:shd w:val="clear" w:color="auto" w:fill="E5FFFF"/>
          </w:tcPr>
          <w:p>
            <w:pPr>
              <w:spacing w:after="0"/>
              <w:rPr>
                <w:sz w:val="20"/>
                <w:szCs w:val="20"/>
                <w:color w:val="auto"/>
              </w:rPr>
            </w:pPr>
            <w:r>
              <w:rPr>
                <w:rFonts w:ascii="Arial" w:cs="Arial" w:eastAsia="Arial" w:hAnsi="Arial"/>
                <w:sz w:val="16"/>
                <w:szCs w:val="16"/>
                <w:color w:val="auto"/>
              </w:rPr>
              <w:t>Cross currency swaps</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1,429</w:t>
            </w:r>
          </w:p>
        </w:tc>
        <w:tc>
          <w:tcPr>
            <w:tcW w:w="280" w:type="dxa"/>
            <w:vAlign w:val="bottom"/>
            <w:shd w:val="clear" w:color="auto" w:fill="E5FFFF"/>
          </w:tcPr>
          <w:p>
            <w:pPr>
              <w:spacing w:after="0"/>
              <w:rPr>
                <w:sz w:val="17"/>
                <w:szCs w:val="17"/>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8,157</w:t>
            </w:r>
          </w:p>
        </w:tc>
        <w:tc>
          <w:tcPr>
            <w:tcW w:w="120" w:type="dxa"/>
            <w:vAlign w:val="bottom"/>
            <w:shd w:val="clear" w:color="auto" w:fill="E5FFFF"/>
          </w:tcPr>
          <w:p>
            <w:pPr>
              <w:spacing w:after="0"/>
              <w:rPr>
                <w:sz w:val="17"/>
                <w:szCs w:val="17"/>
                <w:color w:val="auto"/>
              </w:rPr>
            </w:pPr>
          </w:p>
        </w:tc>
      </w:tr>
      <w:tr>
        <w:trPr>
          <w:trHeight w:val="236"/>
        </w:trPr>
        <w:tc>
          <w:tcPr>
            <w:tcW w:w="784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12,092</w:t>
            </w:r>
          </w:p>
        </w:tc>
        <w:tc>
          <w:tcPr>
            <w:tcW w:w="280" w:type="dxa"/>
            <w:vAlign w:val="bottom"/>
            <w:tcBorders>
              <w:bottom w:val="single" w:sz="8" w:color="E5FFFF"/>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71,568</w:t>
            </w:r>
          </w:p>
        </w:tc>
        <w:tc>
          <w:tcPr>
            <w:tcW w:w="120" w:type="dxa"/>
            <w:vAlign w:val="bottom"/>
            <w:tcBorders>
              <w:bottom w:val="single" w:sz="8" w:color="E5FFFF"/>
            </w:tcBorders>
          </w:tcPr>
          <w:p>
            <w:pPr>
              <w:spacing w:after="0"/>
              <w:rPr>
                <w:sz w:val="20"/>
                <w:szCs w:val="20"/>
                <w:color w:val="auto"/>
              </w:rPr>
            </w:pPr>
          </w:p>
        </w:tc>
      </w:tr>
      <w:tr>
        <w:trPr>
          <w:trHeight w:val="183"/>
        </w:trPr>
        <w:tc>
          <w:tcPr>
            <w:tcW w:w="7840" w:type="dxa"/>
            <w:vAlign w:val="bottom"/>
            <w:shd w:val="clear" w:color="auto" w:fill="E5FFFF"/>
          </w:tcPr>
          <w:p>
            <w:pPr>
              <w:spacing w:after="0" w:line="167" w:lineRule="exact"/>
              <w:rPr>
                <w:sz w:val="20"/>
                <w:szCs w:val="20"/>
                <w:color w:val="auto"/>
              </w:rPr>
            </w:pPr>
            <w:r>
              <w:rPr>
                <w:rFonts w:ascii="Arial" w:cs="Arial" w:eastAsia="Arial" w:hAnsi="Arial"/>
                <w:sz w:val="16"/>
                <w:szCs w:val="16"/>
                <w:color w:val="auto"/>
              </w:rPr>
              <w:t>Derivative financial instruments, current liability</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2,091</w:t>
            </w:r>
          </w:p>
        </w:tc>
        <w:tc>
          <w:tcPr>
            <w:tcW w:w="280" w:type="dxa"/>
            <w:vAlign w:val="bottom"/>
            <w:shd w:val="clear" w:color="auto" w:fill="E5FFFF"/>
          </w:tcPr>
          <w:p>
            <w:pPr>
              <w:spacing w:after="0"/>
              <w:rPr>
                <w:sz w:val="15"/>
                <w:szCs w:val="15"/>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7,535</w:t>
            </w:r>
          </w:p>
        </w:tc>
        <w:tc>
          <w:tcPr>
            <w:tcW w:w="120" w:type="dxa"/>
            <w:vAlign w:val="bottom"/>
            <w:shd w:val="clear" w:color="auto" w:fill="E5FFFF"/>
          </w:tcPr>
          <w:p>
            <w:pPr>
              <w:spacing w:after="0"/>
              <w:rPr>
                <w:sz w:val="15"/>
                <w:szCs w:val="15"/>
                <w:color w:val="auto"/>
              </w:rPr>
            </w:pPr>
          </w:p>
        </w:tc>
      </w:tr>
      <w:tr>
        <w:trPr>
          <w:trHeight w:val="203"/>
        </w:trPr>
        <w:tc>
          <w:tcPr>
            <w:tcW w:w="784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Derivative financial instruments, non-current liability</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10,001</w:t>
            </w:r>
          </w:p>
        </w:tc>
        <w:tc>
          <w:tcPr>
            <w:tcW w:w="280" w:type="dxa"/>
            <w:vAlign w:val="bottom"/>
            <w:tcBorders>
              <w:bottom w:val="single" w:sz="8" w:color="E5FFFF"/>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64,033</w:t>
            </w:r>
          </w:p>
        </w:tc>
        <w:tc>
          <w:tcPr>
            <w:tcW w:w="120" w:type="dxa"/>
            <w:vAlign w:val="bottom"/>
            <w:tcBorders>
              <w:bottom w:val="single" w:sz="8" w:color="E5FFFF"/>
            </w:tcBorders>
          </w:tcPr>
          <w:p>
            <w:pPr>
              <w:spacing w:after="0"/>
              <w:rPr>
                <w:sz w:val="17"/>
                <w:szCs w:val="17"/>
                <w:color w:val="auto"/>
              </w:rPr>
            </w:pPr>
          </w:p>
        </w:tc>
      </w:tr>
      <w:tr>
        <w:trPr>
          <w:trHeight w:val="196"/>
        </w:trPr>
        <w:tc>
          <w:tcPr>
            <w:tcW w:w="784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12,092</w:t>
            </w:r>
          </w:p>
        </w:tc>
        <w:tc>
          <w:tcPr>
            <w:tcW w:w="280" w:type="dxa"/>
            <w:vAlign w:val="bottom"/>
            <w:tcBorders>
              <w:bottom w:val="single" w:sz="8" w:color="E5FFFF"/>
            </w:tcBorders>
            <w:shd w:val="clear" w:color="auto" w:fill="E5FFFF"/>
          </w:tcPr>
          <w:p>
            <w:pPr>
              <w:spacing w:after="0"/>
              <w:rPr>
                <w:sz w:val="17"/>
                <w:szCs w:val="17"/>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71,568</w:t>
            </w:r>
          </w:p>
        </w:tc>
        <w:tc>
          <w:tcPr>
            <w:tcW w:w="120" w:type="dxa"/>
            <w:vAlign w:val="bottom"/>
            <w:tcBorders>
              <w:bottom w:val="single" w:sz="8" w:color="E5FFFF"/>
            </w:tcBorders>
            <w:shd w:val="clear" w:color="auto" w:fill="E5FFFF"/>
          </w:tcPr>
          <w:p>
            <w:pPr>
              <w:spacing w:after="0"/>
              <w:rPr>
                <w:sz w:val="17"/>
                <w:szCs w:val="17"/>
                <w:color w:val="auto"/>
              </w:rPr>
            </w:pPr>
          </w:p>
        </w:tc>
      </w:tr>
      <w:tr>
        <w:trPr>
          <w:trHeight w:val="20"/>
        </w:trPr>
        <w:tc>
          <w:tcPr>
            <w:tcW w:w="78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swap agreements</w:t>
      </w:r>
    </w:p>
    <w:p>
      <w:pPr>
        <w:spacing w:after="0" w:line="239" w:lineRule="exact"/>
        <w:rPr>
          <w:sz w:val="20"/>
          <w:szCs w:val="20"/>
          <w:color w:val="auto"/>
        </w:rPr>
      </w:pPr>
    </w:p>
    <w:p>
      <w:pPr>
        <w:ind w:right="160" w:firstLine="356"/>
        <w:spacing w:after="0" w:line="335" w:lineRule="auto"/>
        <w:rPr>
          <w:sz w:val="20"/>
          <w:szCs w:val="20"/>
          <w:color w:val="auto"/>
        </w:rPr>
      </w:pPr>
      <w:r>
        <w:rPr>
          <w:rFonts w:ascii="Arial" w:cs="Arial" w:eastAsia="Arial" w:hAnsi="Arial"/>
          <w:sz w:val="14"/>
          <w:szCs w:val="14"/>
          <w:color w:val="auto"/>
        </w:rPr>
        <w:t>The Group has entered into interest rate swap agreements which convert the floating interest rate exposure into a fixed interest rate in order to hedge a portion of the Group’s exposure to fluctuations in prevailing market interest rates. Under the interest rate swaps, the bank counterparty effects quarterly floating-rate payments to the Group for the notional amount based on the U.S. dollar LIBOR, and the Group effects quarterly payments to the bank on the notional amounts at the respective fixed rates.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rate swaps held for trading</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principal terms of the interest rate swaps held for trading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00" w:type="dxa"/>
            <w:vAlign w:val="bottom"/>
            <w:gridSpan w:val="4"/>
          </w:tcPr>
          <w:p>
            <w:pPr>
              <w:ind w:left="640"/>
              <w:spacing w:after="0"/>
              <w:rPr>
                <w:sz w:val="20"/>
                <w:szCs w:val="20"/>
                <w:color w:val="auto"/>
              </w:rPr>
            </w:pPr>
            <w:r>
              <w:rPr>
                <w:rFonts w:ascii="Arial" w:cs="Arial" w:eastAsia="Arial" w:hAnsi="Arial"/>
                <w:sz w:val="16"/>
                <w:szCs w:val="16"/>
                <w:b w:val="1"/>
                <w:bCs w:val="1"/>
                <w:color w:val="auto"/>
              </w:rPr>
              <w:t>Notional Amount</w:t>
            </w:r>
          </w:p>
        </w:tc>
      </w:tr>
      <w:tr>
        <w:trPr>
          <w:trHeight w:val="188"/>
        </w:trPr>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Trade</w:t>
            </w:r>
          </w:p>
        </w:tc>
        <w:tc>
          <w:tcPr>
            <w:tcW w:w="14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Effective</w:t>
            </w:r>
          </w:p>
        </w:tc>
        <w:tc>
          <w:tcPr>
            <w:tcW w:w="14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Termination</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2"/>
              </w:rPr>
              <w:t>Fixed Interest</w:t>
            </w:r>
          </w:p>
        </w:tc>
        <w:tc>
          <w:tcPr>
            <w:tcW w:w="2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December 31,</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September 30,</w:t>
            </w:r>
          </w:p>
        </w:tc>
        <w:tc>
          <w:tcPr>
            <w:tcW w:w="20" w:type="dxa"/>
            <w:vAlign w:val="bottom"/>
          </w:tcPr>
          <w:p>
            <w:pPr>
              <w:spacing w:after="0"/>
              <w:rPr>
                <w:sz w:val="16"/>
                <w:szCs w:val="16"/>
                <w:color w:val="auto"/>
              </w:rPr>
            </w:pPr>
          </w:p>
        </w:tc>
      </w:tr>
      <w:tr>
        <w:trPr>
          <w:trHeight w:val="213"/>
        </w:trPr>
        <w:tc>
          <w:tcPr>
            <w:tcW w:w="1420" w:type="dxa"/>
            <w:vAlign w:val="bottom"/>
          </w:tcPr>
          <w:p>
            <w:pPr>
              <w:spacing w:after="0"/>
              <w:rPr>
                <w:sz w:val="20"/>
                <w:szCs w:val="20"/>
                <w:color w:val="auto"/>
              </w:rPr>
            </w:pPr>
            <w:r>
              <w:rPr>
                <w:rFonts w:ascii="Arial" w:cs="Arial" w:eastAsia="Arial" w:hAnsi="Arial"/>
                <w:sz w:val="16"/>
                <w:szCs w:val="16"/>
                <w:b w:val="1"/>
                <w:bCs w:val="1"/>
                <w:color w:val="auto"/>
              </w:rPr>
              <w:t>Company</w:t>
            </w:r>
          </w:p>
        </w:tc>
        <w:tc>
          <w:tcPr>
            <w:tcW w:w="240" w:type="dxa"/>
            <w:vAlign w:val="bottom"/>
          </w:tcPr>
          <w:p>
            <w:pPr>
              <w:spacing w:after="0"/>
              <w:rPr>
                <w:sz w:val="18"/>
                <w:szCs w:val="18"/>
                <w:color w:val="auto"/>
              </w:rPr>
            </w:pPr>
          </w:p>
        </w:tc>
        <w:tc>
          <w:tcPr>
            <w:tcW w:w="1680" w:type="dxa"/>
            <w:vAlign w:val="bottom"/>
            <w:gridSpan w:val="2"/>
          </w:tcPr>
          <w:p>
            <w:pPr>
              <w:ind w:left="280"/>
              <w:spacing w:after="0"/>
              <w:rPr>
                <w:sz w:val="20"/>
                <w:szCs w:val="20"/>
                <w:color w:val="auto"/>
              </w:rPr>
            </w:pPr>
            <w:r>
              <w:rPr>
                <w:rFonts w:ascii="Arial" w:cs="Arial" w:eastAsia="Arial" w:hAnsi="Arial"/>
                <w:sz w:val="16"/>
                <w:szCs w:val="16"/>
                <w:b w:val="1"/>
                <w:bCs w:val="1"/>
                <w:color w:val="auto"/>
              </w:rPr>
              <w:t>Counterparty</w:t>
            </w: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Date</w:t>
            </w:r>
          </w:p>
        </w:tc>
        <w:tc>
          <w:tcPr>
            <w:tcW w:w="14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7"/>
              </w:rPr>
              <w:t>Date</w:t>
            </w:r>
          </w:p>
        </w:tc>
        <w:tc>
          <w:tcPr>
            <w:tcW w:w="14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Date</w:t>
            </w: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Rate</w:t>
            </w:r>
          </w:p>
        </w:tc>
        <w:tc>
          <w:tcPr>
            <w:tcW w:w="1120" w:type="dxa"/>
            <w:vAlign w:val="bottom"/>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240" w:type="dxa"/>
            <w:vAlign w:val="bottom"/>
          </w:tcPr>
          <w:p>
            <w:pPr>
              <w:spacing w:after="0"/>
              <w:rPr>
                <w:sz w:val="18"/>
                <w:szCs w:val="18"/>
                <w:color w:val="auto"/>
              </w:rPr>
            </w:pPr>
          </w:p>
        </w:tc>
        <w:tc>
          <w:tcPr>
            <w:tcW w:w="1120" w:type="dxa"/>
            <w:vAlign w:val="bottom"/>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r>
      <w:tr>
        <w:trPr>
          <w:trHeight w:val="199"/>
        </w:trPr>
        <w:tc>
          <w:tcPr>
            <w:tcW w:w="142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color w:val="auto"/>
              </w:rPr>
              <w:t>GasLog</w:t>
            </w:r>
          </w:p>
        </w:tc>
        <w:tc>
          <w:tcPr>
            <w:tcW w:w="240" w:type="dxa"/>
            <w:vAlign w:val="bottom"/>
            <w:tcBorders>
              <w:top w:val="single" w:sz="8" w:color="E5FFFF"/>
            </w:tcBorders>
            <w:shd w:val="clear" w:color="auto" w:fill="E5FFFF"/>
          </w:tcPr>
          <w:p>
            <w:pPr>
              <w:spacing w:after="0"/>
              <w:rPr>
                <w:sz w:val="17"/>
                <w:szCs w:val="17"/>
                <w:color w:val="auto"/>
              </w:rPr>
            </w:pPr>
          </w:p>
        </w:tc>
        <w:tc>
          <w:tcPr>
            <w:tcW w:w="150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color w:val="auto"/>
              </w:rPr>
              <w:t>Deutsche Bank AG</w:t>
            </w:r>
          </w:p>
        </w:tc>
        <w:tc>
          <w:tcPr>
            <w:tcW w:w="180" w:type="dxa"/>
            <w:vAlign w:val="bottom"/>
            <w:tcBorders>
              <w:top w:val="single" w:sz="8" w:color="E5FFFF"/>
            </w:tcBorders>
            <w:shd w:val="clear" w:color="auto" w:fill="E5FFFF"/>
          </w:tcPr>
          <w:p>
            <w:pPr>
              <w:spacing w:after="0"/>
              <w:rPr>
                <w:sz w:val="17"/>
                <w:szCs w:val="17"/>
                <w:color w:val="auto"/>
              </w:rPr>
            </w:pPr>
          </w:p>
        </w:tc>
        <w:tc>
          <w:tcPr>
            <w:tcW w:w="10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3"/>
              </w:rPr>
              <w:t>July 2016</w:t>
            </w:r>
          </w:p>
        </w:tc>
        <w:tc>
          <w:tcPr>
            <w:tcW w:w="240" w:type="dxa"/>
            <w:vAlign w:val="bottom"/>
            <w:tcBorders>
              <w:top w:val="single" w:sz="8" w:color="E5FFFF"/>
            </w:tcBorders>
            <w:shd w:val="clear" w:color="auto" w:fill="E5FFFF"/>
          </w:tcPr>
          <w:p>
            <w:pPr>
              <w:spacing w:after="0"/>
              <w:rPr>
                <w:sz w:val="17"/>
                <w:szCs w:val="17"/>
                <w:color w:val="auto"/>
              </w:rPr>
            </w:pPr>
          </w:p>
        </w:tc>
        <w:tc>
          <w:tcPr>
            <w:tcW w:w="12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0"/>
              </w:rPr>
              <w:t>July 2016</w:t>
            </w:r>
          </w:p>
        </w:tc>
        <w:tc>
          <w:tcPr>
            <w:tcW w:w="180" w:type="dxa"/>
            <w:vAlign w:val="bottom"/>
            <w:tcBorders>
              <w:top w:val="single" w:sz="8" w:color="E5FFFF"/>
            </w:tcBorders>
            <w:shd w:val="clear" w:color="auto" w:fill="E5FFFF"/>
          </w:tcPr>
          <w:p>
            <w:pPr>
              <w:spacing w:after="0"/>
              <w:rPr>
                <w:sz w:val="17"/>
                <w:szCs w:val="17"/>
                <w:color w:val="auto"/>
              </w:rPr>
            </w:pPr>
          </w:p>
        </w:tc>
        <w:tc>
          <w:tcPr>
            <w:tcW w:w="12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3"/>
              </w:rPr>
              <w:t>July 2020</w:t>
            </w:r>
          </w:p>
        </w:tc>
        <w:tc>
          <w:tcPr>
            <w:tcW w:w="200" w:type="dxa"/>
            <w:vAlign w:val="bottom"/>
            <w:tcBorders>
              <w:top w:val="single" w:sz="8" w:color="E5FFFF"/>
            </w:tcBorders>
            <w:shd w:val="clear" w:color="auto" w:fill="E5FFFF"/>
          </w:tcPr>
          <w:p>
            <w:pPr>
              <w:spacing w:after="0"/>
              <w:rPr>
                <w:sz w:val="17"/>
                <w:szCs w:val="17"/>
                <w:color w:val="auto"/>
              </w:rPr>
            </w:pPr>
          </w:p>
        </w:tc>
        <w:tc>
          <w:tcPr>
            <w:tcW w:w="12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2"/>
              </w:rPr>
              <w:t>1.98%</w:t>
            </w:r>
          </w:p>
        </w:tc>
        <w:tc>
          <w:tcPr>
            <w:tcW w:w="200" w:type="dxa"/>
            <w:vAlign w:val="bottom"/>
            <w:tcBorders>
              <w:top w:val="single" w:sz="8" w:color="E5FFFF"/>
            </w:tcBorders>
            <w:shd w:val="clear" w:color="auto" w:fill="E5FFFF"/>
          </w:tcPr>
          <w:p>
            <w:pPr>
              <w:spacing w:after="0"/>
              <w:rPr>
                <w:sz w:val="17"/>
                <w:szCs w:val="17"/>
                <w:color w:val="auto"/>
              </w:rPr>
            </w:pPr>
          </w:p>
        </w:tc>
        <w:tc>
          <w:tcPr>
            <w:tcW w:w="11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66,667</w:t>
            </w:r>
          </w:p>
        </w:tc>
        <w:tc>
          <w:tcPr>
            <w:tcW w:w="240" w:type="dxa"/>
            <w:vAlign w:val="bottom"/>
            <w:tcBorders>
              <w:top w:val="single" w:sz="8" w:color="E5FFFF"/>
            </w:tcBorders>
            <w:shd w:val="clear" w:color="auto" w:fill="E5FFFF"/>
          </w:tcPr>
          <w:p>
            <w:pPr>
              <w:spacing w:after="0"/>
              <w:rPr>
                <w:sz w:val="17"/>
                <w:szCs w:val="17"/>
                <w:color w:val="auto"/>
              </w:rPr>
            </w:pPr>
          </w:p>
        </w:tc>
        <w:tc>
          <w:tcPr>
            <w:tcW w:w="11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66,667</w:t>
            </w:r>
          </w:p>
        </w:tc>
        <w:tc>
          <w:tcPr>
            <w:tcW w:w="20" w:type="dxa"/>
            <w:vAlign w:val="bottom"/>
          </w:tcPr>
          <w:p>
            <w:pPr>
              <w:spacing w:after="0"/>
              <w:rPr>
                <w:sz w:val="17"/>
                <w:szCs w:val="17"/>
                <w:color w:val="auto"/>
              </w:rPr>
            </w:pPr>
          </w:p>
        </w:tc>
      </w:tr>
      <w:tr>
        <w:trPr>
          <w:trHeight w:val="203"/>
        </w:trPr>
        <w:tc>
          <w:tcPr>
            <w:tcW w:w="1420" w:type="dxa"/>
            <w:vAlign w:val="bottom"/>
          </w:tcPr>
          <w:p>
            <w:pPr>
              <w:spacing w:after="0"/>
              <w:rPr>
                <w:sz w:val="20"/>
                <w:szCs w:val="20"/>
                <w:color w:val="auto"/>
              </w:rPr>
            </w:pPr>
            <w:r>
              <w:rPr>
                <w:rFonts w:ascii="Arial" w:cs="Arial" w:eastAsia="Arial" w:hAnsi="Arial"/>
                <w:sz w:val="16"/>
                <w:szCs w:val="16"/>
                <w:color w:val="auto"/>
              </w:rPr>
              <w:t>GasLog</w:t>
            </w:r>
          </w:p>
        </w:tc>
        <w:tc>
          <w:tcPr>
            <w:tcW w:w="1920" w:type="dxa"/>
            <w:vAlign w:val="bottom"/>
            <w:gridSpan w:val="3"/>
          </w:tcPr>
          <w:p>
            <w:pPr>
              <w:ind w:left="240"/>
              <w:spacing w:after="0"/>
              <w:rPr>
                <w:sz w:val="20"/>
                <w:szCs w:val="20"/>
                <w:color w:val="auto"/>
              </w:rPr>
            </w:pPr>
            <w:r>
              <w:rPr>
                <w:rFonts w:ascii="Arial" w:cs="Arial" w:eastAsia="Arial" w:hAnsi="Arial"/>
                <w:sz w:val="16"/>
                <w:szCs w:val="16"/>
                <w:color w:val="auto"/>
              </w:rPr>
              <w:t>Deutsche Bank AG</w:t>
            </w: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color w:val="auto"/>
                <w:w w:val="93"/>
              </w:rPr>
              <w:t>July 2016</w:t>
            </w:r>
          </w:p>
        </w:tc>
        <w:tc>
          <w:tcPr>
            <w:tcW w:w="140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July 2016</w:t>
            </w:r>
          </w:p>
        </w:tc>
        <w:tc>
          <w:tcPr>
            <w:tcW w:w="1420" w:type="dxa"/>
            <w:vAlign w:val="bottom"/>
            <w:gridSpan w:val="2"/>
          </w:tcPr>
          <w:p>
            <w:pPr>
              <w:jc w:val="center"/>
              <w:ind w:right="180"/>
              <w:spacing w:after="0"/>
              <w:rPr>
                <w:sz w:val="20"/>
                <w:szCs w:val="20"/>
                <w:color w:val="auto"/>
              </w:rPr>
            </w:pPr>
            <w:r>
              <w:rPr>
                <w:rFonts w:ascii="Arial" w:cs="Arial" w:eastAsia="Arial" w:hAnsi="Arial"/>
                <w:sz w:val="16"/>
                <w:szCs w:val="16"/>
                <w:color w:val="auto"/>
                <w:w w:val="93"/>
              </w:rPr>
              <w:t>July 2021</w:t>
            </w:r>
          </w:p>
        </w:tc>
        <w:tc>
          <w:tcPr>
            <w:tcW w:w="1260" w:type="dxa"/>
            <w:vAlign w:val="bottom"/>
          </w:tcPr>
          <w:p>
            <w:pPr>
              <w:jc w:val="center"/>
              <w:spacing w:after="0"/>
              <w:rPr>
                <w:sz w:val="20"/>
                <w:szCs w:val="20"/>
                <w:color w:val="auto"/>
              </w:rPr>
            </w:pPr>
            <w:r>
              <w:rPr>
                <w:rFonts w:ascii="Arial" w:cs="Arial" w:eastAsia="Arial" w:hAnsi="Arial"/>
                <w:sz w:val="16"/>
                <w:szCs w:val="16"/>
                <w:color w:val="auto"/>
                <w:w w:val="92"/>
              </w:rPr>
              <w:t>1.98%</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66,667</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66,667</w:t>
            </w:r>
          </w:p>
        </w:tc>
        <w:tc>
          <w:tcPr>
            <w:tcW w:w="20" w:type="dxa"/>
            <w:vAlign w:val="bottom"/>
          </w:tcPr>
          <w:p>
            <w:pPr>
              <w:spacing w:after="0"/>
              <w:rPr>
                <w:sz w:val="17"/>
                <w:szCs w:val="17"/>
                <w:color w:val="auto"/>
              </w:rPr>
            </w:pPr>
          </w:p>
        </w:tc>
      </w:tr>
      <w:tr>
        <w:trPr>
          <w:trHeight w:val="203"/>
        </w:trPr>
        <w:tc>
          <w:tcPr>
            <w:tcW w:w="1420" w:type="dxa"/>
            <w:vAlign w:val="bottom"/>
            <w:shd w:val="clear" w:color="auto" w:fill="E5FFFF"/>
          </w:tcPr>
          <w:p>
            <w:pPr>
              <w:spacing w:after="0"/>
              <w:rPr>
                <w:sz w:val="20"/>
                <w:szCs w:val="20"/>
                <w:color w:val="auto"/>
              </w:rPr>
            </w:pPr>
            <w:r>
              <w:rPr>
                <w:rFonts w:ascii="Arial" w:cs="Arial" w:eastAsia="Arial" w:hAnsi="Arial"/>
                <w:sz w:val="16"/>
                <w:szCs w:val="16"/>
                <w:color w:val="auto"/>
              </w:rPr>
              <w:t>GasLog</w:t>
            </w:r>
          </w:p>
        </w:tc>
        <w:tc>
          <w:tcPr>
            <w:tcW w:w="1920" w:type="dxa"/>
            <w:vAlign w:val="bottom"/>
            <w:gridSpan w:val="3"/>
            <w:shd w:val="clear" w:color="auto" w:fill="E5FFFF"/>
          </w:tcPr>
          <w:p>
            <w:pPr>
              <w:ind w:left="240"/>
              <w:spacing w:after="0"/>
              <w:rPr>
                <w:sz w:val="20"/>
                <w:szCs w:val="20"/>
                <w:color w:val="auto"/>
              </w:rPr>
            </w:pPr>
            <w:r>
              <w:rPr>
                <w:rFonts w:ascii="Arial" w:cs="Arial" w:eastAsia="Arial" w:hAnsi="Arial"/>
                <w:sz w:val="16"/>
                <w:szCs w:val="16"/>
                <w:color w:val="auto"/>
              </w:rPr>
              <w:t>Deutsche Bank AG</w:t>
            </w:r>
          </w:p>
        </w:tc>
        <w:tc>
          <w:tcPr>
            <w:tcW w:w="1320" w:type="dxa"/>
            <w:vAlign w:val="bottom"/>
            <w:gridSpan w:val="2"/>
            <w:shd w:val="clear" w:color="auto" w:fill="E5FFFF"/>
          </w:tcPr>
          <w:p>
            <w:pPr>
              <w:jc w:val="center"/>
              <w:ind w:right="240"/>
              <w:spacing w:after="0"/>
              <w:rPr>
                <w:sz w:val="20"/>
                <w:szCs w:val="20"/>
                <w:color w:val="auto"/>
              </w:rPr>
            </w:pPr>
            <w:r>
              <w:rPr>
                <w:rFonts w:ascii="Arial" w:cs="Arial" w:eastAsia="Arial" w:hAnsi="Arial"/>
                <w:sz w:val="16"/>
                <w:szCs w:val="16"/>
                <w:color w:val="auto"/>
                <w:w w:val="93"/>
              </w:rPr>
              <w:t>July 2016</w:t>
            </w:r>
          </w:p>
        </w:tc>
        <w:tc>
          <w:tcPr>
            <w:tcW w:w="140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0"/>
              </w:rPr>
              <w:t>July 2016</w:t>
            </w:r>
          </w:p>
        </w:tc>
        <w:tc>
          <w:tcPr>
            <w:tcW w:w="142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3"/>
              </w:rPr>
              <w:t>July 2022</w:t>
            </w:r>
          </w:p>
        </w:tc>
        <w:tc>
          <w:tcPr>
            <w:tcW w:w="12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1.98%</w:t>
            </w:r>
          </w:p>
        </w:tc>
        <w:tc>
          <w:tcPr>
            <w:tcW w:w="200" w:type="dxa"/>
            <w:vAlign w:val="bottom"/>
            <w:shd w:val="clear" w:color="auto" w:fill="E5FFFF"/>
          </w:tcPr>
          <w:p>
            <w:pPr>
              <w:spacing w:after="0"/>
              <w:rPr>
                <w:sz w:val="17"/>
                <w:szCs w:val="17"/>
                <w:color w:val="auto"/>
              </w:rPr>
            </w:pPr>
          </w:p>
        </w:tc>
        <w:tc>
          <w:tcPr>
            <w:tcW w:w="11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66,667</w:t>
            </w:r>
          </w:p>
        </w:tc>
        <w:tc>
          <w:tcPr>
            <w:tcW w:w="240" w:type="dxa"/>
            <w:vAlign w:val="bottom"/>
            <w:shd w:val="clear" w:color="auto" w:fill="E5FFFF"/>
          </w:tcPr>
          <w:p>
            <w:pPr>
              <w:spacing w:after="0"/>
              <w:rPr>
                <w:sz w:val="17"/>
                <w:szCs w:val="17"/>
                <w:color w:val="auto"/>
              </w:rPr>
            </w:pPr>
          </w:p>
        </w:tc>
        <w:tc>
          <w:tcPr>
            <w:tcW w:w="11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66,667</w:t>
            </w:r>
          </w:p>
        </w:tc>
        <w:tc>
          <w:tcPr>
            <w:tcW w:w="20" w:type="dxa"/>
            <w:vAlign w:val="bottom"/>
          </w:tcPr>
          <w:p>
            <w:pPr>
              <w:spacing w:after="0"/>
              <w:rPr>
                <w:sz w:val="17"/>
                <w:szCs w:val="17"/>
                <w:color w:val="auto"/>
              </w:rPr>
            </w:pPr>
          </w:p>
        </w:tc>
      </w:tr>
      <w:tr>
        <w:trPr>
          <w:trHeight w:val="193"/>
        </w:trPr>
        <w:tc>
          <w:tcPr>
            <w:tcW w:w="1420" w:type="dxa"/>
            <w:vAlign w:val="bottom"/>
          </w:tcPr>
          <w:p>
            <w:pPr>
              <w:spacing w:after="0"/>
              <w:rPr>
                <w:sz w:val="16"/>
                <w:szCs w:val="16"/>
                <w:color w:val="auto"/>
              </w:rPr>
            </w:pPr>
          </w:p>
        </w:tc>
        <w:tc>
          <w:tcPr>
            <w:tcW w:w="1920" w:type="dxa"/>
            <w:vAlign w:val="bottom"/>
            <w:gridSpan w:val="3"/>
          </w:tcPr>
          <w:p>
            <w:pPr>
              <w:ind w:left="240"/>
              <w:spacing w:after="0"/>
              <w:rPr>
                <w:sz w:val="20"/>
                <w:szCs w:val="20"/>
                <w:color w:val="auto"/>
              </w:rPr>
            </w:pPr>
            <w:r>
              <w:rPr>
                <w:rFonts w:ascii="Arial" w:cs="Arial" w:eastAsia="Arial" w:hAnsi="Arial"/>
                <w:sz w:val="16"/>
                <w:szCs w:val="16"/>
                <w:color w:val="auto"/>
              </w:rPr>
              <w:t>DNB Bank ASA</w:t>
            </w: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6"/>
        </w:trPr>
        <w:tc>
          <w:tcPr>
            <w:tcW w:w="1420" w:type="dxa"/>
            <w:vAlign w:val="bottom"/>
          </w:tcPr>
          <w:p>
            <w:pPr>
              <w:spacing w:after="0"/>
              <w:rPr>
                <w:sz w:val="20"/>
                <w:szCs w:val="20"/>
                <w:color w:val="auto"/>
              </w:rPr>
            </w:pPr>
            <w:r>
              <w:rPr>
                <w:rFonts w:ascii="Arial" w:cs="Arial" w:eastAsia="Arial" w:hAnsi="Arial"/>
                <w:sz w:val="16"/>
                <w:szCs w:val="16"/>
                <w:color w:val="auto"/>
              </w:rPr>
              <w:t>GasLog</w:t>
            </w:r>
          </w:p>
        </w:tc>
        <w:tc>
          <w:tcPr>
            <w:tcW w:w="1920" w:type="dxa"/>
            <w:vAlign w:val="bottom"/>
            <w:gridSpan w:val="3"/>
          </w:tcPr>
          <w:p>
            <w:pPr>
              <w:ind w:left="240"/>
              <w:spacing w:after="0"/>
              <w:rPr>
                <w:sz w:val="20"/>
                <w:szCs w:val="20"/>
                <w:color w:val="auto"/>
              </w:rPr>
            </w:pPr>
            <w:r>
              <w:rPr>
                <w:rFonts w:ascii="Arial" w:cs="Arial" w:eastAsia="Arial" w:hAnsi="Arial"/>
                <w:sz w:val="16"/>
                <w:szCs w:val="16"/>
                <w:color w:val="auto"/>
              </w:rPr>
              <w:t>(“DNB”)</w:t>
            </w: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color w:val="auto"/>
                <w:w w:val="93"/>
              </w:rPr>
              <w:t>July 2016</w:t>
            </w:r>
          </w:p>
        </w:tc>
        <w:tc>
          <w:tcPr>
            <w:tcW w:w="140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July 2016</w:t>
            </w:r>
          </w:p>
        </w:tc>
        <w:tc>
          <w:tcPr>
            <w:tcW w:w="1420" w:type="dxa"/>
            <w:vAlign w:val="bottom"/>
            <w:gridSpan w:val="2"/>
          </w:tcPr>
          <w:p>
            <w:pPr>
              <w:jc w:val="center"/>
              <w:ind w:right="200"/>
              <w:spacing w:after="0"/>
              <w:rPr>
                <w:sz w:val="20"/>
                <w:szCs w:val="20"/>
                <w:color w:val="auto"/>
              </w:rPr>
            </w:pPr>
            <w:r>
              <w:rPr>
                <w:rFonts w:ascii="Arial" w:cs="Arial" w:eastAsia="Arial" w:hAnsi="Arial"/>
                <w:sz w:val="16"/>
                <w:szCs w:val="16"/>
                <w:color w:val="auto"/>
                <w:w w:val="88"/>
              </w:rPr>
              <w:t>Jan 2019</w:t>
            </w:r>
          </w:p>
        </w:tc>
        <w:tc>
          <w:tcPr>
            <w:tcW w:w="1260" w:type="dxa"/>
            <w:vAlign w:val="bottom"/>
          </w:tcPr>
          <w:p>
            <w:pPr>
              <w:jc w:val="center"/>
              <w:spacing w:after="0"/>
              <w:rPr>
                <w:sz w:val="20"/>
                <w:szCs w:val="20"/>
                <w:color w:val="auto"/>
              </w:rPr>
            </w:pPr>
            <w:r>
              <w:rPr>
                <w:rFonts w:ascii="Arial" w:cs="Arial" w:eastAsia="Arial" w:hAnsi="Arial"/>
                <w:sz w:val="16"/>
                <w:szCs w:val="16"/>
                <w:color w:val="auto"/>
                <w:w w:val="92"/>
              </w:rPr>
              <w:t>1.784%</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73,333</w:t>
            </w:r>
          </w:p>
        </w:tc>
        <w:tc>
          <w:tcPr>
            <w:tcW w:w="240" w:type="dxa"/>
            <w:vAlign w:val="bottom"/>
          </w:tcPr>
          <w:p>
            <w:pPr>
              <w:spacing w:after="0"/>
              <w:rPr>
                <w:sz w:val="17"/>
                <w:szCs w:val="17"/>
                <w:color w:val="auto"/>
              </w:rPr>
            </w:pPr>
          </w:p>
        </w:tc>
        <w:tc>
          <w:tcPr>
            <w:tcW w:w="1140" w:type="dxa"/>
            <w:vAlign w:val="bottom"/>
            <w:gridSpan w:val="2"/>
          </w:tcPr>
          <w:p>
            <w:pPr>
              <w:ind w:left="840"/>
              <w:spacing w:after="0"/>
              <w:rPr>
                <w:sz w:val="20"/>
                <w:szCs w:val="20"/>
                <w:color w:val="auto"/>
              </w:rPr>
            </w:pPr>
            <w:r>
              <w:rPr>
                <w:rFonts w:ascii="Arial" w:cs="Arial" w:eastAsia="Arial" w:hAnsi="Arial"/>
                <w:sz w:val="16"/>
                <w:szCs w:val="16"/>
                <w:color w:val="auto"/>
              </w:rPr>
              <w:t>N/A</w:t>
            </w:r>
          </w:p>
        </w:tc>
      </w:tr>
      <w:tr>
        <w:trPr>
          <w:trHeight w:val="209"/>
        </w:trPr>
        <w:tc>
          <w:tcPr>
            <w:tcW w:w="1420" w:type="dxa"/>
            <w:vAlign w:val="bottom"/>
            <w:shd w:val="clear" w:color="auto" w:fill="E5FFFF"/>
          </w:tcPr>
          <w:p>
            <w:pPr>
              <w:spacing w:after="0"/>
              <w:rPr>
                <w:sz w:val="20"/>
                <w:szCs w:val="20"/>
                <w:color w:val="auto"/>
              </w:rPr>
            </w:pPr>
            <w:r>
              <w:rPr>
                <w:rFonts w:ascii="Arial" w:cs="Arial" w:eastAsia="Arial" w:hAnsi="Arial"/>
                <w:sz w:val="16"/>
                <w:szCs w:val="16"/>
                <w:color w:val="auto"/>
              </w:rPr>
              <w:t>GasLog</w:t>
            </w:r>
          </w:p>
        </w:tc>
        <w:tc>
          <w:tcPr>
            <w:tcW w:w="1920" w:type="dxa"/>
            <w:vAlign w:val="bottom"/>
            <w:gridSpan w:val="3"/>
            <w:shd w:val="clear" w:color="auto" w:fill="E5FFFF"/>
          </w:tcPr>
          <w:p>
            <w:pPr>
              <w:ind w:left="240"/>
              <w:spacing w:after="0"/>
              <w:rPr>
                <w:sz w:val="20"/>
                <w:szCs w:val="20"/>
                <w:color w:val="auto"/>
              </w:rPr>
            </w:pPr>
            <w:r>
              <w:rPr>
                <w:rFonts w:ascii="Arial" w:cs="Arial" w:eastAsia="Arial" w:hAnsi="Arial"/>
                <w:sz w:val="16"/>
                <w:szCs w:val="16"/>
                <w:color w:val="auto"/>
              </w:rPr>
              <w:t>DNB</w:t>
            </w:r>
          </w:p>
        </w:tc>
        <w:tc>
          <w:tcPr>
            <w:tcW w:w="1320" w:type="dxa"/>
            <w:vAlign w:val="bottom"/>
            <w:gridSpan w:val="2"/>
            <w:shd w:val="clear" w:color="auto" w:fill="E5FFFF"/>
          </w:tcPr>
          <w:p>
            <w:pPr>
              <w:jc w:val="center"/>
              <w:ind w:right="240"/>
              <w:spacing w:after="0"/>
              <w:rPr>
                <w:sz w:val="20"/>
                <w:szCs w:val="20"/>
                <w:color w:val="auto"/>
              </w:rPr>
            </w:pPr>
            <w:r>
              <w:rPr>
                <w:rFonts w:ascii="Arial" w:cs="Arial" w:eastAsia="Arial" w:hAnsi="Arial"/>
                <w:sz w:val="16"/>
                <w:szCs w:val="16"/>
                <w:color w:val="auto"/>
                <w:w w:val="93"/>
              </w:rPr>
              <w:t>July 2016</w:t>
            </w:r>
          </w:p>
        </w:tc>
        <w:tc>
          <w:tcPr>
            <w:tcW w:w="140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0"/>
              </w:rPr>
              <w:t>July 2016</w:t>
            </w:r>
          </w:p>
        </w:tc>
        <w:tc>
          <w:tcPr>
            <w:tcW w:w="142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3"/>
              </w:rPr>
              <w:t>July 2022</w:t>
            </w:r>
          </w:p>
        </w:tc>
        <w:tc>
          <w:tcPr>
            <w:tcW w:w="12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1.719%</w:t>
            </w:r>
          </w:p>
        </w:tc>
        <w:tc>
          <w:tcPr>
            <w:tcW w:w="200" w:type="dxa"/>
            <w:vAlign w:val="bottom"/>
            <w:shd w:val="clear" w:color="auto" w:fill="E5FFFF"/>
          </w:tcPr>
          <w:p>
            <w:pPr>
              <w:spacing w:after="0"/>
              <w:rPr>
                <w:sz w:val="18"/>
                <w:szCs w:val="18"/>
                <w:color w:val="auto"/>
              </w:rPr>
            </w:pPr>
          </w:p>
        </w:tc>
        <w:tc>
          <w:tcPr>
            <w:tcW w:w="11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73,333</w:t>
            </w:r>
          </w:p>
        </w:tc>
        <w:tc>
          <w:tcPr>
            <w:tcW w:w="240" w:type="dxa"/>
            <w:vAlign w:val="bottom"/>
            <w:shd w:val="clear" w:color="auto" w:fill="E5FFFF"/>
          </w:tcPr>
          <w:p>
            <w:pPr>
              <w:spacing w:after="0"/>
              <w:rPr>
                <w:sz w:val="18"/>
                <w:szCs w:val="18"/>
                <w:color w:val="auto"/>
              </w:rPr>
            </w:pPr>
          </w:p>
        </w:tc>
        <w:tc>
          <w:tcPr>
            <w:tcW w:w="11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73,333</w:t>
            </w:r>
          </w:p>
        </w:tc>
        <w:tc>
          <w:tcPr>
            <w:tcW w:w="20" w:type="dxa"/>
            <w:vAlign w:val="bottom"/>
          </w:tcPr>
          <w:p>
            <w:pPr>
              <w:spacing w:after="0"/>
              <w:rPr>
                <w:sz w:val="18"/>
                <w:szCs w:val="18"/>
                <w:color w:val="auto"/>
              </w:rPr>
            </w:pPr>
          </w:p>
        </w:tc>
      </w:tr>
      <w:tr>
        <w:trPr>
          <w:trHeight w:val="193"/>
        </w:trPr>
        <w:tc>
          <w:tcPr>
            <w:tcW w:w="1420" w:type="dxa"/>
            <w:vAlign w:val="bottom"/>
          </w:tcPr>
          <w:p>
            <w:pPr>
              <w:spacing w:after="0"/>
              <w:rPr>
                <w:sz w:val="16"/>
                <w:szCs w:val="16"/>
                <w:color w:val="auto"/>
              </w:rPr>
            </w:pPr>
          </w:p>
        </w:tc>
        <w:tc>
          <w:tcPr>
            <w:tcW w:w="1920" w:type="dxa"/>
            <w:vAlign w:val="bottom"/>
            <w:gridSpan w:val="3"/>
          </w:tcPr>
          <w:p>
            <w:pPr>
              <w:ind w:left="240"/>
              <w:spacing w:after="0"/>
              <w:rPr>
                <w:sz w:val="20"/>
                <w:szCs w:val="20"/>
                <w:color w:val="auto"/>
              </w:rPr>
            </w:pPr>
            <w:r>
              <w:rPr>
                <w:rFonts w:ascii="Arial" w:cs="Arial" w:eastAsia="Arial" w:hAnsi="Arial"/>
                <w:sz w:val="16"/>
                <w:szCs w:val="16"/>
                <w:color w:val="auto"/>
              </w:rPr>
              <w:t>HSBC Bank plc</w:t>
            </w: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color w:val="auto"/>
                <w:w w:val="93"/>
              </w:rPr>
              <w:t>July 2016</w:t>
            </w:r>
          </w:p>
        </w:tc>
        <w:tc>
          <w:tcPr>
            <w:tcW w:w="140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July 2016</w:t>
            </w:r>
          </w:p>
        </w:tc>
        <w:tc>
          <w:tcPr>
            <w:tcW w:w="1420" w:type="dxa"/>
            <w:vAlign w:val="bottom"/>
            <w:gridSpan w:val="2"/>
          </w:tcPr>
          <w:p>
            <w:pPr>
              <w:jc w:val="center"/>
              <w:ind w:right="180"/>
              <w:spacing w:after="0"/>
              <w:rPr>
                <w:sz w:val="20"/>
                <w:szCs w:val="20"/>
                <w:color w:val="auto"/>
              </w:rPr>
            </w:pPr>
            <w:r>
              <w:rPr>
                <w:rFonts w:ascii="Arial" w:cs="Arial" w:eastAsia="Arial" w:hAnsi="Arial"/>
                <w:sz w:val="16"/>
                <w:szCs w:val="16"/>
                <w:color w:val="auto"/>
                <w:w w:val="93"/>
              </w:rPr>
              <w:t>July 2022</w:t>
            </w:r>
          </w:p>
        </w:tc>
        <w:tc>
          <w:tcPr>
            <w:tcW w:w="1260" w:type="dxa"/>
            <w:vAlign w:val="bottom"/>
          </w:tcPr>
          <w:p>
            <w:pPr>
              <w:jc w:val="center"/>
              <w:spacing w:after="0"/>
              <w:rPr>
                <w:sz w:val="20"/>
                <w:szCs w:val="20"/>
                <w:color w:val="auto"/>
              </w:rPr>
            </w:pPr>
            <w:r>
              <w:rPr>
                <w:rFonts w:ascii="Arial" w:cs="Arial" w:eastAsia="Arial" w:hAnsi="Arial"/>
                <w:sz w:val="16"/>
                <w:szCs w:val="16"/>
                <w:color w:val="auto"/>
                <w:w w:val="92"/>
              </w:rPr>
              <w:t>1.79%</w:t>
            </w: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33,333</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33,333</w:t>
            </w:r>
          </w:p>
        </w:tc>
        <w:tc>
          <w:tcPr>
            <w:tcW w:w="20" w:type="dxa"/>
            <w:vAlign w:val="bottom"/>
          </w:tcPr>
          <w:p>
            <w:pPr>
              <w:spacing w:after="0"/>
              <w:rPr>
                <w:sz w:val="16"/>
                <w:szCs w:val="16"/>
                <w:color w:val="auto"/>
              </w:rPr>
            </w:pPr>
          </w:p>
        </w:tc>
      </w:tr>
      <w:tr>
        <w:trPr>
          <w:trHeight w:val="206"/>
        </w:trPr>
        <w:tc>
          <w:tcPr>
            <w:tcW w:w="1420" w:type="dxa"/>
            <w:vAlign w:val="bottom"/>
          </w:tcPr>
          <w:p>
            <w:pPr>
              <w:spacing w:after="0"/>
              <w:rPr>
                <w:sz w:val="20"/>
                <w:szCs w:val="20"/>
                <w:color w:val="auto"/>
              </w:rPr>
            </w:pPr>
            <w:r>
              <w:rPr>
                <w:rFonts w:ascii="Arial" w:cs="Arial" w:eastAsia="Arial" w:hAnsi="Arial"/>
                <w:sz w:val="16"/>
                <w:szCs w:val="16"/>
                <w:color w:val="auto"/>
              </w:rPr>
              <w:t>GasLog</w:t>
            </w:r>
          </w:p>
        </w:tc>
        <w:tc>
          <w:tcPr>
            <w:tcW w:w="1920" w:type="dxa"/>
            <w:vAlign w:val="bottom"/>
            <w:gridSpan w:val="3"/>
          </w:tcPr>
          <w:p>
            <w:pPr>
              <w:ind w:left="240"/>
              <w:spacing w:after="0"/>
              <w:rPr>
                <w:sz w:val="20"/>
                <w:szCs w:val="20"/>
                <w:color w:val="auto"/>
              </w:rPr>
            </w:pPr>
            <w:r>
              <w:rPr>
                <w:rFonts w:ascii="Arial" w:cs="Arial" w:eastAsia="Arial" w:hAnsi="Arial"/>
                <w:sz w:val="16"/>
                <w:szCs w:val="16"/>
                <w:color w:val="auto"/>
              </w:rPr>
              <w:t>(“HSBC”)</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9"/>
        </w:trPr>
        <w:tc>
          <w:tcPr>
            <w:tcW w:w="1420" w:type="dxa"/>
            <w:vAlign w:val="bottom"/>
            <w:shd w:val="clear" w:color="auto" w:fill="E5FFFF"/>
          </w:tcPr>
          <w:p>
            <w:pPr>
              <w:spacing w:after="0"/>
              <w:rPr>
                <w:sz w:val="20"/>
                <w:szCs w:val="20"/>
                <w:color w:val="auto"/>
              </w:rPr>
            </w:pPr>
            <w:r>
              <w:rPr>
                <w:rFonts w:ascii="Arial" w:cs="Arial" w:eastAsia="Arial" w:hAnsi="Arial"/>
                <w:sz w:val="16"/>
                <w:szCs w:val="16"/>
                <w:color w:val="auto"/>
              </w:rPr>
              <w:t>GasLog</w:t>
            </w:r>
          </w:p>
        </w:tc>
        <w:tc>
          <w:tcPr>
            <w:tcW w:w="1920" w:type="dxa"/>
            <w:vAlign w:val="bottom"/>
            <w:gridSpan w:val="3"/>
            <w:shd w:val="clear" w:color="auto" w:fill="E5FFFF"/>
          </w:tcPr>
          <w:p>
            <w:pPr>
              <w:ind w:left="240"/>
              <w:spacing w:after="0"/>
              <w:rPr>
                <w:sz w:val="20"/>
                <w:szCs w:val="20"/>
                <w:color w:val="auto"/>
              </w:rPr>
            </w:pPr>
            <w:r>
              <w:rPr>
                <w:rFonts w:ascii="Arial" w:cs="Arial" w:eastAsia="Arial" w:hAnsi="Arial"/>
                <w:sz w:val="16"/>
                <w:szCs w:val="16"/>
                <w:color w:val="auto"/>
              </w:rPr>
              <w:t>Nordea Bank Finland</w:t>
            </w:r>
          </w:p>
        </w:tc>
        <w:tc>
          <w:tcPr>
            <w:tcW w:w="1320" w:type="dxa"/>
            <w:vAlign w:val="bottom"/>
            <w:gridSpan w:val="2"/>
            <w:shd w:val="clear" w:color="auto" w:fill="E5FFFF"/>
          </w:tcPr>
          <w:p>
            <w:pPr>
              <w:jc w:val="center"/>
              <w:ind w:right="240"/>
              <w:spacing w:after="0"/>
              <w:rPr>
                <w:sz w:val="20"/>
                <w:szCs w:val="20"/>
                <w:color w:val="auto"/>
              </w:rPr>
            </w:pPr>
            <w:r>
              <w:rPr>
                <w:rFonts w:ascii="Arial" w:cs="Arial" w:eastAsia="Arial" w:hAnsi="Arial"/>
                <w:sz w:val="16"/>
                <w:szCs w:val="16"/>
                <w:color w:val="auto"/>
                <w:w w:val="93"/>
              </w:rPr>
              <w:t>July 2016</w:t>
            </w:r>
          </w:p>
        </w:tc>
        <w:tc>
          <w:tcPr>
            <w:tcW w:w="140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0"/>
              </w:rPr>
              <w:t>July 2016</w:t>
            </w:r>
          </w:p>
        </w:tc>
        <w:tc>
          <w:tcPr>
            <w:tcW w:w="142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3"/>
              </w:rPr>
              <w:t>July 2022</w:t>
            </w:r>
          </w:p>
        </w:tc>
        <w:tc>
          <w:tcPr>
            <w:tcW w:w="12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1.815%</w:t>
            </w:r>
          </w:p>
        </w:tc>
        <w:tc>
          <w:tcPr>
            <w:tcW w:w="200" w:type="dxa"/>
            <w:vAlign w:val="bottom"/>
            <w:shd w:val="clear" w:color="auto" w:fill="E5FFFF"/>
          </w:tcPr>
          <w:p>
            <w:pPr>
              <w:spacing w:after="0"/>
              <w:rPr>
                <w:sz w:val="18"/>
                <w:szCs w:val="18"/>
                <w:color w:val="auto"/>
              </w:rPr>
            </w:pPr>
          </w:p>
        </w:tc>
        <w:tc>
          <w:tcPr>
            <w:tcW w:w="11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66,667</w:t>
            </w:r>
          </w:p>
        </w:tc>
        <w:tc>
          <w:tcPr>
            <w:tcW w:w="240" w:type="dxa"/>
            <w:vAlign w:val="bottom"/>
            <w:shd w:val="clear" w:color="auto" w:fill="E5FFFF"/>
          </w:tcPr>
          <w:p>
            <w:pPr>
              <w:spacing w:after="0"/>
              <w:rPr>
                <w:sz w:val="18"/>
                <w:szCs w:val="18"/>
                <w:color w:val="auto"/>
              </w:rPr>
            </w:pPr>
          </w:p>
        </w:tc>
        <w:tc>
          <w:tcPr>
            <w:tcW w:w="11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66,667</w:t>
            </w:r>
          </w:p>
        </w:tc>
        <w:tc>
          <w:tcPr>
            <w:tcW w:w="20" w:type="dxa"/>
            <w:vAlign w:val="bottom"/>
          </w:tcPr>
          <w:p>
            <w:pPr>
              <w:spacing w:after="0"/>
              <w:rPr>
                <w:sz w:val="18"/>
                <w:szCs w:val="18"/>
                <w:color w:val="auto"/>
              </w:rPr>
            </w:pPr>
          </w:p>
        </w:tc>
      </w:tr>
      <w:tr>
        <w:trPr>
          <w:trHeight w:val="193"/>
        </w:trPr>
        <w:tc>
          <w:tcPr>
            <w:tcW w:w="1420" w:type="dxa"/>
            <w:vAlign w:val="bottom"/>
          </w:tcPr>
          <w:p>
            <w:pPr>
              <w:spacing w:after="0"/>
              <w:rPr>
                <w:sz w:val="16"/>
                <w:szCs w:val="16"/>
                <w:color w:val="auto"/>
              </w:rPr>
            </w:pPr>
          </w:p>
        </w:tc>
        <w:tc>
          <w:tcPr>
            <w:tcW w:w="1920" w:type="dxa"/>
            <w:vAlign w:val="bottom"/>
            <w:gridSpan w:val="3"/>
          </w:tcPr>
          <w:p>
            <w:pPr>
              <w:ind w:left="240"/>
              <w:spacing w:after="0"/>
              <w:rPr>
                <w:sz w:val="20"/>
                <w:szCs w:val="20"/>
                <w:color w:val="auto"/>
              </w:rPr>
            </w:pPr>
            <w:r>
              <w:rPr>
                <w:rFonts w:ascii="Arial" w:cs="Arial" w:eastAsia="Arial" w:hAnsi="Arial"/>
                <w:sz w:val="16"/>
                <w:szCs w:val="16"/>
                <w:color w:val="auto"/>
              </w:rPr>
              <w:t>Skandinavinska</w:t>
            </w: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color w:val="auto"/>
                <w:w w:val="93"/>
              </w:rPr>
              <w:t>July 2016</w:t>
            </w:r>
          </w:p>
        </w:tc>
        <w:tc>
          <w:tcPr>
            <w:tcW w:w="140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July 2016</w:t>
            </w:r>
          </w:p>
        </w:tc>
        <w:tc>
          <w:tcPr>
            <w:tcW w:w="1420" w:type="dxa"/>
            <w:vAlign w:val="bottom"/>
            <w:gridSpan w:val="2"/>
          </w:tcPr>
          <w:p>
            <w:pPr>
              <w:jc w:val="center"/>
              <w:ind w:right="180"/>
              <w:spacing w:after="0"/>
              <w:rPr>
                <w:sz w:val="20"/>
                <w:szCs w:val="20"/>
                <w:color w:val="auto"/>
              </w:rPr>
            </w:pPr>
            <w:r>
              <w:rPr>
                <w:rFonts w:ascii="Arial" w:cs="Arial" w:eastAsia="Arial" w:hAnsi="Arial"/>
                <w:sz w:val="16"/>
                <w:szCs w:val="16"/>
                <w:color w:val="auto"/>
                <w:w w:val="93"/>
              </w:rPr>
              <w:t>July 2021</w:t>
            </w:r>
          </w:p>
        </w:tc>
        <w:tc>
          <w:tcPr>
            <w:tcW w:w="1260" w:type="dxa"/>
            <w:vAlign w:val="bottom"/>
          </w:tcPr>
          <w:p>
            <w:pPr>
              <w:jc w:val="center"/>
              <w:spacing w:after="0"/>
              <w:rPr>
                <w:sz w:val="20"/>
                <w:szCs w:val="20"/>
                <w:color w:val="auto"/>
              </w:rPr>
            </w:pPr>
            <w:r>
              <w:rPr>
                <w:rFonts w:ascii="Arial" w:cs="Arial" w:eastAsia="Arial" w:hAnsi="Arial"/>
                <w:sz w:val="16"/>
                <w:szCs w:val="16"/>
                <w:color w:val="auto"/>
                <w:w w:val="91"/>
              </w:rPr>
              <w:t>1.8405%</w:t>
            </w: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50,000</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50,000</w:t>
            </w:r>
          </w:p>
        </w:tc>
        <w:tc>
          <w:tcPr>
            <w:tcW w:w="20" w:type="dxa"/>
            <w:vAlign w:val="bottom"/>
          </w:tcPr>
          <w:p>
            <w:pPr>
              <w:spacing w:after="0"/>
              <w:rPr>
                <w:sz w:val="16"/>
                <w:szCs w:val="16"/>
                <w:color w:val="auto"/>
              </w:rPr>
            </w:pPr>
          </w:p>
        </w:tc>
      </w:tr>
      <w:tr>
        <w:trPr>
          <w:trHeight w:val="203"/>
        </w:trPr>
        <w:tc>
          <w:tcPr>
            <w:tcW w:w="1420" w:type="dxa"/>
            <w:vAlign w:val="bottom"/>
          </w:tcPr>
          <w:p>
            <w:pPr>
              <w:spacing w:after="0"/>
              <w:rPr>
                <w:sz w:val="17"/>
                <w:szCs w:val="17"/>
                <w:color w:val="auto"/>
              </w:rPr>
            </w:pPr>
          </w:p>
        </w:tc>
        <w:tc>
          <w:tcPr>
            <w:tcW w:w="1920" w:type="dxa"/>
            <w:vAlign w:val="bottom"/>
            <w:gridSpan w:val="3"/>
          </w:tcPr>
          <w:p>
            <w:pPr>
              <w:ind w:left="240"/>
              <w:spacing w:after="0"/>
              <w:rPr>
                <w:sz w:val="20"/>
                <w:szCs w:val="20"/>
                <w:color w:val="auto"/>
              </w:rPr>
            </w:pPr>
            <w:r>
              <w:rPr>
                <w:rFonts w:ascii="Arial" w:cs="Arial" w:eastAsia="Arial" w:hAnsi="Arial"/>
                <w:sz w:val="16"/>
                <w:szCs w:val="16"/>
                <w:color w:val="auto"/>
              </w:rPr>
              <w:t>Enskilda Banken AB</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6"/>
        </w:trPr>
        <w:tc>
          <w:tcPr>
            <w:tcW w:w="1420" w:type="dxa"/>
            <w:vAlign w:val="bottom"/>
          </w:tcPr>
          <w:p>
            <w:pPr>
              <w:spacing w:after="0"/>
              <w:rPr>
                <w:sz w:val="20"/>
                <w:szCs w:val="20"/>
                <w:color w:val="auto"/>
              </w:rPr>
            </w:pPr>
            <w:r>
              <w:rPr>
                <w:rFonts w:ascii="Arial" w:cs="Arial" w:eastAsia="Arial" w:hAnsi="Arial"/>
                <w:sz w:val="16"/>
                <w:szCs w:val="16"/>
                <w:color w:val="auto"/>
              </w:rPr>
              <w:t>GasLog</w:t>
            </w:r>
          </w:p>
        </w:tc>
        <w:tc>
          <w:tcPr>
            <w:tcW w:w="1920" w:type="dxa"/>
            <w:vAlign w:val="bottom"/>
            <w:gridSpan w:val="3"/>
          </w:tcPr>
          <w:p>
            <w:pPr>
              <w:ind w:left="240"/>
              <w:spacing w:after="0"/>
              <w:rPr>
                <w:sz w:val="20"/>
                <w:szCs w:val="20"/>
                <w:color w:val="auto"/>
              </w:rPr>
            </w:pPr>
            <w:r>
              <w:rPr>
                <w:rFonts w:ascii="Arial" w:cs="Arial" w:eastAsia="Arial" w:hAnsi="Arial"/>
                <w:sz w:val="16"/>
                <w:szCs w:val="16"/>
                <w:color w:val="auto"/>
              </w:rPr>
              <w:t>(“SEB”)</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9"/>
        </w:trPr>
        <w:tc>
          <w:tcPr>
            <w:tcW w:w="1420" w:type="dxa"/>
            <w:vAlign w:val="bottom"/>
            <w:shd w:val="clear" w:color="auto" w:fill="E5FFFF"/>
          </w:tcPr>
          <w:p>
            <w:pPr>
              <w:spacing w:after="0"/>
              <w:rPr>
                <w:sz w:val="20"/>
                <w:szCs w:val="20"/>
                <w:color w:val="auto"/>
              </w:rPr>
            </w:pPr>
            <w:r>
              <w:rPr>
                <w:rFonts w:ascii="Arial" w:cs="Arial" w:eastAsia="Arial" w:hAnsi="Arial"/>
                <w:sz w:val="16"/>
                <w:szCs w:val="16"/>
                <w:color w:val="auto"/>
              </w:rPr>
              <w:t>GasLog</w:t>
            </w:r>
          </w:p>
        </w:tc>
        <w:tc>
          <w:tcPr>
            <w:tcW w:w="1920" w:type="dxa"/>
            <w:vAlign w:val="bottom"/>
            <w:gridSpan w:val="3"/>
            <w:shd w:val="clear" w:color="auto" w:fill="E5FFFF"/>
          </w:tcPr>
          <w:p>
            <w:pPr>
              <w:ind w:left="240"/>
              <w:spacing w:after="0"/>
              <w:rPr>
                <w:sz w:val="20"/>
                <w:szCs w:val="20"/>
                <w:color w:val="auto"/>
              </w:rPr>
            </w:pPr>
            <w:r>
              <w:rPr>
                <w:rFonts w:ascii="Arial" w:cs="Arial" w:eastAsia="Arial" w:hAnsi="Arial"/>
                <w:sz w:val="16"/>
                <w:szCs w:val="16"/>
                <w:color w:val="auto"/>
              </w:rPr>
              <w:t>HSBC</w:t>
            </w:r>
          </w:p>
        </w:tc>
        <w:tc>
          <w:tcPr>
            <w:tcW w:w="1320" w:type="dxa"/>
            <w:vAlign w:val="bottom"/>
            <w:gridSpan w:val="2"/>
            <w:shd w:val="clear" w:color="auto" w:fill="E5FFFF"/>
          </w:tcPr>
          <w:p>
            <w:pPr>
              <w:jc w:val="center"/>
              <w:ind w:right="240"/>
              <w:spacing w:after="0"/>
              <w:rPr>
                <w:sz w:val="20"/>
                <w:szCs w:val="20"/>
                <w:color w:val="auto"/>
              </w:rPr>
            </w:pPr>
            <w:r>
              <w:rPr>
                <w:rFonts w:ascii="Arial" w:cs="Arial" w:eastAsia="Arial" w:hAnsi="Arial"/>
                <w:sz w:val="16"/>
                <w:szCs w:val="16"/>
                <w:color w:val="auto"/>
                <w:w w:val="88"/>
              </w:rPr>
              <w:t>Feb 2017</w:t>
            </w:r>
          </w:p>
        </w:tc>
        <w:tc>
          <w:tcPr>
            <w:tcW w:w="140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1"/>
              </w:rPr>
              <w:t>Feb 2017</w:t>
            </w:r>
          </w:p>
        </w:tc>
        <w:tc>
          <w:tcPr>
            <w:tcW w:w="1420" w:type="dxa"/>
            <w:vAlign w:val="bottom"/>
            <w:gridSpan w:val="2"/>
            <w:shd w:val="clear" w:color="auto" w:fill="E5FFFF"/>
          </w:tcPr>
          <w:p>
            <w:pPr>
              <w:jc w:val="center"/>
              <w:ind w:right="200"/>
              <w:spacing w:after="0"/>
              <w:rPr>
                <w:sz w:val="20"/>
                <w:szCs w:val="20"/>
                <w:color w:val="auto"/>
              </w:rPr>
            </w:pPr>
            <w:r>
              <w:rPr>
                <w:rFonts w:ascii="Arial" w:cs="Arial" w:eastAsia="Arial" w:hAnsi="Arial"/>
                <w:sz w:val="16"/>
                <w:szCs w:val="16"/>
                <w:color w:val="auto"/>
                <w:w w:val="91"/>
              </w:rPr>
              <w:t>Feb 2022</w:t>
            </w:r>
          </w:p>
        </w:tc>
        <w:tc>
          <w:tcPr>
            <w:tcW w:w="12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2.005%</w:t>
            </w:r>
          </w:p>
        </w:tc>
        <w:tc>
          <w:tcPr>
            <w:tcW w:w="200" w:type="dxa"/>
            <w:vAlign w:val="bottom"/>
            <w:shd w:val="clear" w:color="auto" w:fill="E5FFFF"/>
          </w:tcPr>
          <w:p>
            <w:pPr>
              <w:spacing w:after="0"/>
              <w:rPr>
                <w:sz w:val="18"/>
                <w:szCs w:val="18"/>
                <w:color w:val="auto"/>
              </w:rPr>
            </w:pPr>
          </w:p>
        </w:tc>
        <w:tc>
          <w:tcPr>
            <w:tcW w:w="11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100,000</w:t>
            </w:r>
          </w:p>
        </w:tc>
        <w:tc>
          <w:tcPr>
            <w:tcW w:w="240" w:type="dxa"/>
            <w:vAlign w:val="bottom"/>
            <w:shd w:val="clear" w:color="auto" w:fill="E5FFFF"/>
          </w:tcPr>
          <w:p>
            <w:pPr>
              <w:spacing w:after="0"/>
              <w:rPr>
                <w:sz w:val="18"/>
                <w:szCs w:val="18"/>
                <w:color w:val="auto"/>
              </w:rPr>
            </w:pPr>
          </w:p>
        </w:tc>
        <w:tc>
          <w:tcPr>
            <w:tcW w:w="11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100,000</w:t>
            </w:r>
          </w:p>
        </w:tc>
        <w:tc>
          <w:tcPr>
            <w:tcW w:w="20" w:type="dxa"/>
            <w:vAlign w:val="bottom"/>
          </w:tcPr>
          <w:p>
            <w:pPr>
              <w:spacing w:after="0"/>
              <w:rPr>
                <w:sz w:val="18"/>
                <w:szCs w:val="18"/>
                <w:color w:val="auto"/>
              </w:rPr>
            </w:pPr>
          </w:p>
        </w:tc>
      </w:tr>
      <w:tr>
        <w:trPr>
          <w:trHeight w:val="203"/>
        </w:trPr>
        <w:tc>
          <w:tcPr>
            <w:tcW w:w="1420" w:type="dxa"/>
            <w:vAlign w:val="bottom"/>
          </w:tcPr>
          <w:p>
            <w:pPr>
              <w:spacing w:after="0"/>
              <w:rPr>
                <w:sz w:val="20"/>
                <w:szCs w:val="20"/>
                <w:color w:val="auto"/>
              </w:rPr>
            </w:pPr>
            <w:r>
              <w:rPr>
                <w:rFonts w:ascii="Arial" w:cs="Arial" w:eastAsia="Arial" w:hAnsi="Arial"/>
                <w:sz w:val="16"/>
                <w:szCs w:val="16"/>
                <w:color w:val="auto"/>
              </w:rPr>
              <w:t>GasLog</w:t>
            </w:r>
          </w:p>
        </w:tc>
        <w:tc>
          <w:tcPr>
            <w:tcW w:w="1920" w:type="dxa"/>
            <w:vAlign w:val="bottom"/>
            <w:gridSpan w:val="3"/>
          </w:tcPr>
          <w:p>
            <w:pPr>
              <w:ind w:left="240"/>
              <w:spacing w:after="0"/>
              <w:rPr>
                <w:sz w:val="20"/>
                <w:szCs w:val="20"/>
                <w:color w:val="auto"/>
              </w:rPr>
            </w:pPr>
            <w:r>
              <w:rPr>
                <w:rFonts w:ascii="Arial" w:cs="Arial" w:eastAsia="Arial" w:hAnsi="Arial"/>
                <w:sz w:val="16"/>
                <w:szCs w:val="16"/>
                <w:color w:val="auto"/>
              </w:rPr>
              <w:t>Nordea Bank Finland</w:t>
            </w: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color w:val="auto"/>
                <w:w w:val="88"/>
              </w:rPr>
              <w:t>Feb 2017</w:t>
            </w:r>
          </w:p>
        </w:tc>
        <w:tc>
          <w:tcPr>
            <w:tcW w:w="1400" w:type="dxa"/>
            <w:vAlign w:val="bottom"/>
            <w:gridSpan w:val="2"/>
          </w:tcPr>
          <w:p>
            <w:pPr>
              <w:jc w:val="center"/>
              <w:ind w:right="180"/>
              <w:spacing w:after="0"/>
              <w:rPr>
                <w:sz w:val="20"/>
                <w:szCs w:val="20"/>
                <w:color w:val="auto"/>
              </w:rPr>
            </w:pPr>
            <w:r>
              <w:rPr>
                <w:rFonts w:ascii="Arial" w:cs="Arial" w:eastAsia="Arial" w:hAnsi="Arial"/>
                <w:sz w:val="16"/>
                <w:szCs w:val="16"/>
                <w:color w:val="auto"/>
                <w:w w:val="91"/>
              </w:rPr>
              <w:t>Feb 2017</w:t>
            </w:r>
          </w:p>
        </w:tc>
        <w:tc>
          <w:tcPr>
            <w:tcW w:w="1420" w:type="dxa"/>
            <w:vAlign w:val="bottom"/>
            <w:gridSpan w:val="2"/>
          </w:tcPr>
          <w:p>
            <w:pPr>
              <w:jc w:val="center"/>
              <w:ind w:right="180"/>
              <w:spacing w:after="0"/>
              <w:rPr>
                <w:sz w:val="20"/>
                <w:szCs w:val="20"/>
                <w:color w:val="auto"/>
              </w:rPr>
            </w:pPr>
            <w:r>
              <w:rPr>
                <w:rFonts w:ascii="Arial" w:cs="Arial" w:eastAsia="Arial" w:hAnsi="Arial"/>
                <w:sz w:val="16"/>
                <w:szCs w:val="16"/>
                <w:color w:val="auto"/>
                <w:w w:val="94"/>
              </w:rPr>
              <w:t>Mar 2022</w:t>
            </w:r>
          </w:p>
        </w:tc>
        <w:tc>
          <w:tcPr>
            <w:tcW w:w="1260" w:type="dxa"/>
            <w:vAlign w:val="bottom"/>
          </w:tcPr>
          <w:p>
            <w:pPr>
              <w:jc w:val="center"/>
              <w:spacing w:after="0"/>
              <w:rPr>
                <w:sz w:val="20"/>
                <w:szCs w:val="20"/>
                <w:color w:val="auto"/>
              </w:rPr>
            </w:pPr>
            <w:r>
              <w:rPr>
                <w:rFonts w:ascii="Arial" w:cs="Arial" w:eastAsia="Arial" w:hAnsi="Arial"/>
                <w:sz w:val="16"/>
                <w:szCs w:val="16"/>
                <w:color w:val="auto"/>
                <w:w w:val="91"/>
              </w:rPr>
              <w:t>2.0145%</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100,000</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100,000</w:t>
            </w:r>
          </w:p>
        </w:tc>
        <w:tc>
          <w:tcPr>
            <w:tcW w:w="20" w:type="dxa"/>
            <w:vAlign w:val="bottom"/>
          </w:tcPr>
          <w:p>
            <w:pPr>
              <w:spacing w:after="0"/>
              <w:rPr>
                <w:sz w:val="17"/>
                <w:szCs w:val="17"/>
                <w:color w:val="auto"/>
              </w:rPr>
            </w:pPr>
          </w:p>
        </w:tc>
      </w:tr>
      <w:tr>
        <w:trPr>
          <w:trHeight w:val="193"/>
        </w:trPr>
        <w:tc>
          <w:tcPr>
            <w:tcW w:w="1420" w:type="dxa"/>
            <w:vAlign w:val="bottom"/>
            <w:shd w:val="clear" w:color="auto" w:fill="E5FFFF"/>
          </w:tcPr>
          <w:p>
            <w:pPr>
              <w:spacing w:after="0"/>
              <w:rPr>
                <w:sz w:val="16"/>
                <w:szCs w:val="16"/>
                <w:color w:val="auto"/>
              </w:rPr>
            </w:pPr>
          </w:p>
        </w:tc>
        <w:tc>
          <w:tcPr>
            <w:tcW w:w="1920" w:type="dxa"/>
            <w:vAlign w:val="bottom"/>
            <w:gridSpan w:val="3"/>
            <w:shd w:val="clear" w:color="auto" w:fill="E5FFFF"/>
          </w:tcPr>
          <w:p>
            <w:pPr>
              <w:ind w:left="240"/>
              <w:spacing w:after="0"/>
              <w:rPr>
                <w:sz w:val="20"/>
                <w:szCs w:val="20"/>
                <w:color w:val="auto"/>
              </w:rPr>
            </w:pPr>
            <w:r>
              <w:rPr>
                <w:rFonts w:ascii="Arial" w:cs="Arial" w:eastAsia="Arial" w:hAnsi="Arial"/>
                <w:sz w:val="16"/>
                <w:szCs w:val="16"/>
                <w:color w:val="auto"/>
              </w:rPr>
              <w:t>ABN Amro Bank NV</w:t>
            </w:r>
          </w:p>
        </w:tc>
        <w:tc>
          <w:tcPr>
            <w:tcW w:w="1320" w:type="dxa"/>
            <w:vAlign w:val="bottom"/>
            <w:gridSpan w:val="2"/>
            <w:shd w:val="clear" w:color="auto" w:fill="E5FFFF"/>
          </w:tcPr>
          <w:p>
            <w:pPr>
              <w:jc w:val="center"/>
              <w:ind w:right="240"/>
              <w:spacing w:after="0"/>
              <w:rPr>
                <w:sz w:val="20"/>
                <w:szCs w:val="20"/>
                <w:color w:val="auto"/>
              </w:rPr>
            </w:pPr>
            <w:r>
              <w:rPr>
                <w:rFonts w:ascii="Arial" w:cs="Arial" w:eastAsia="Arial" w:hAnsi="Arial"/>
                <w:sz w:val="16"/>
                <w:szCs w:val="16"/>
                <w:color w:val="auto"/>
                <w:w w:val="88"/>
              </w:rPr>
              <w:t>Feb 2017</w:t>
            </w:r>
          </w:p>
        </w:tc>
        <w:tc>
          <w:tcPr>
            <w:tcW w:w="140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1"/>
              </w:rPr>
              <w:t>Feb 2017</w:t>
            </w:r>
          </w:p>
        </w:tc>
        <w:tc>
          <w:tcPr>
            <w:tcW w:w="142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4"/>
              </w:rPr>
              <w:t>Mar 2022</w:t>
            </w:r>
          </w:p>
        </w:tc>
        <w:tc>
          <w:tcPr>
            <w:tcW w:w="12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2.003%</w:t>
            </w:r>
          </w:p>
        </w:tc>
        <w:tc>
          <w:tcPr>
            <w:tcW w:w="200" w:type="dxa"/>
            <w:vAlign w:val="bottom"/>
            <w:shd w:val="clear" w:color="auto" w:fill="E5FFFF"/>
          </w:tcPr>
          <w:p>
            <w:pPr>
              <w:spacing w:after="0"/>
              <w:rPr>
                <w:sz w:val="16"/>
                <w:szCs w:val="16"/>
                <w:color w:val="auto"/>
              </w:rPr>
            </w:pPr>
          </w:p>
        </w:tc>
        <w:tc>
          <w:tcPr>
            <w:tcW w:w="1120" w:type="dxa"/>
            <w:vAlign w:val="bottom"/>
            <w:shd w:val="clear" w:color="auto" w:fill="E5FFFF"/>
          </w:tcPr>
          <w:p>
            <w:pPr>
              <w:spacing w:after="0"/>
              <w:rPr>
                <w:sz w:val="16"/>
                <w:szCs w:val="16"/>
                <w:color w:val="auto"/>
              </w:rPr>
            </w:pPr>
          </w:p>
        </w:tc>
        <w:tc>
          <w:tcPr>
            <w:tcW w:w="240" w:type="dxa"/>
            <w:vAlign w:val="bottom"/>
            <w:shd w:val="clear" w:color="auto" w:fill="E5FFFF"/>
          </w:tcPr>
          <w:p>
            <w:pPr>
              <w:spacing w:after="0"/>
              <w:rPr>
                <w:sz w:val="16"/>
                <w:szCs w:val="16"/>
                <w:color w:val="auto"/>
              </w:rPr>
            </w:pPr>
          </w:p>
        </w:tc>
        <w:tc>
          <w:tcPr>
            <w:tcW w:w="1120" w:type="dxa"/>
            <w:vAlign w:val="bottom"/>
            <w:shd w:val="clear" w:color="auto" w:fill="E5FFFF"/>
          </w:tcPr>
          <w:p>
            <w:pPr>
              <w:spacing w:after="0"/>
              <w:rPr>
                <w:sz w:val="16"/>
                <w:szCs w:val="16"/>
                <w:color w:val="auto"/>
              </w:rPr>
            </w:pPr>
          </w:p>
        </w:tc>
        <w:tc>
          <w:tcPr>
            <w:tcW w:w="20" w:type="dxa"/>
            <w:vAlign w:val="bottom"/>
          </w:tcPr>
          <w:p>
            <w:pPr>
              <w:spacing w:after="0"/>
              <w:rPr>
                <w:sz w:val="16"/>
                <w:szCs w:val="16"/>
                <w:color w:val="auto"/>
              </w:rPr>
            </w:pPr>
          </w:p>
        </w:tc>
      </w:tr>
      <w:tr>
        <w:trPr>
          <w:trHeight w:val="212"/>
        </w:trPr>
        <w:tc>
          <w:tcPr>
            <w:tcW w:w="1420" w:type="dxa"/>
            <w:vAlign w:val="bottom"/>
            <w:shd w:val="clear" w:color="auto" w:fill="E5FFFF"/>
          </w:tcPr>
          <w:p>
            <w:pPr>
              <w:spacing w:after="0"/>
              <w:rPr>
                <w:sz w:val="20"/>
                <w:szCs w:val="20"/>
                <w:color w:val="auto"/>
              </w:rPr>
            </w:pPr>
            <w:r>
              <w:rPr>
                <w:rFonts w:ascii="Arial" w:cs="Arial" w:eastAsia="Arial" w:hAnsi="Arial"/>
                <w:sz w:val="16"/>
                <w:szCs w:val="16"/>
                <w:color w:val="auto"/>
              </w:rPr>
              <w:t>GasLog</w:t>
            </w:r>
          </w:p>
        </w:tc>
        <w:tc>
          <w:tcPr>
            <w:tcW w:w="1920" w:type="dxa"/>
            <w:vAlign w:val="bottom"/>
            <w:gridSpan w:val="3"/>
            <w:shd w:val="clear" w:color="auto" w:fill="E5FFFF"/>
          </w:tcPr>
          <w:p>
            <w:pPr>
              <w:ind w:left="240"/>
              <w:spacing w:after="0"/>
              <w:rPr>
                <w:sz w:val="20"/>
                <w:szCs w:val="20"/>
                <w:color w:val="auto"/>
              </w:rPr>
            </w:pPr>
            <w:r>
              <w:rPr>
                <w:rFonts w:ascii="Arial" w:cs="Arial" w:eastAsia="Arial" w:hAnsi="Arial"/>
                <w:sz w:val="16"/>
                <w:szCs w:val="16"/>
                <w:color w:val="auto"/>
              </w:rPr>
              <w:t>(“ABN”)</w:t>
            </w:r>
          </w:p>
        </w:tc>
        <w:tc>
          <w:tcPr>
            <w:tcW w:w="10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2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1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100,000</w:t>
            </w:r>
          </w:p>
        </w:tc>
        <w:tc>
          <w:tcPr>
            <w:tcW w:w="240" w:type="dxa"/>
            <w:vAlign w:val="bottom"/>
            <w:shd w:val="clear" w:color="auto" w:fill="E5FFFF"/>
          </w:tcPr>
          <w:p>
            <w:pPr>
              <w:spacing w:after="0"/>
              <w:rPr>
                <w:sz w:val="18"/>
                <w:szCs w:val="18"/>
                <w:color w:val="auto"/>
              </w:rPr>
            </w:pPr>
          </w:p>
        </w:tc>
        <w:tc>
          <w:tcPr>
            <w:tcW w:w="11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100,000</w:t>
            </w:r>
          </w:p>
        </w:tc>
        <w:tc>
          <w:tcPr>
            <w:tcW w:w="20" w:type="dxa"/>
            <w:vAlign w:val="bottom"/>
          </w:tcPr>
          <w:p>
            <w:pPr>
              <w:spacing w:after="0"/>
              <w:rPr>
                <w:sz w:val="18"/>
                <w:szCs w:val="18"/>
                <w:color w:val="auto"/>
              </w:rPr>
            </w:pPr>
          </w:p>
        </w:tc>
      </w:tr>
      <w:tr>
        <w:trPr>
          <w:trHeight w:val="203"/>
        </w:trPr>
        <w:tc>
          <w:tcPr>
            <w:tcW w:w="1420" w:type="dxa"/>
            <w:vAlign w:val="bottom"/>
          </w:tcPr>
          <w:p>
            <w:pPr>
              <w:spacing w:after="0" w:line="203" w:lineRule="exact"/>
              <w:rPr>
                <w:sz w:val="20"/>
                <w:szCs w:val="20"/>
                <w:color w:val="auto"/>
              </w:rPr>
            </w:pPr>
            <w:r>
              <w:rPr>
                <w:rFonts w:ascii="Arial" w:cs="Arial" w:eastAsia="Arial" w:hAnsi="Arial"/>
                <w:sz w:val="16"/>
                <w:szCs w:val="16"/>
                <w:color w:val="auto"/>
              </w:rPr>
              <w:t>GasLog</w:t>
            </w:r>
            <w:r>
              <w:rPr>
                <w:rFonts w:ascii="Arial" w:cs="Arial" w:eastAsia="Arial" w:hAnsi="Arial"/>
                <w:sz w:val="21"/>
                <w:szCs w:val="21"/>
                <w:color w:val="auto"/>
                <w:vertAlign w:val="superscript"/>
              </w:rPr>
              <w:t>(1)</w:t>
            </w:r>
          </w:p>
        </w:tc>
        <w:tc>
          <w:tcPr>
            <w:tcW w:w="1920" w:type="dxa"/>
            <w:vAlign w:val="bottom"/>
            <w:gridSpan w:val="3"/>
          </w:tcPr>
          <w:p>
            <w:pPr>
              <w:ind w:left="240"/>
              <w:spacing w:after="0"/>
              <w:rPr>
                <w:sz w:val="20"/>
                <w:szCs w:val="20"/>
                <w:color w:val="auto"/>
              </w:rPr>
            </w:pPr>
            <w:r>
              <w:rPr>
                <w:rFonts w:ascii="Arial" w:cs="Arial" w:eastAsia="Arial" w:hAnsi="Arial"/>
                <w:sz w:val="16"/>
                <w:szCs w:val="16"/>
                <w:color w:val="auto"/>
              </w:rPr>
              <w:t>Nordea Bank Finland</w:t>
            </w: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color w:val="auto"/>
                <w:w w:val="93"/>
              </w:rPr>
              <w:t>May 2018</w:t>
            </w:r>
          </w:p>
        </w:tc>
        <w:tc>
          <w:tcPr>
            <w:tcW w:w="140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July 2020</w:t>
            </w:r>
          </w:p>
        </w:tc>
        <w:tc>
          <w:tcPr>
            <w:tcW w:w="1420" w:type="dxa"/>
            <w:vAlign w:val="bottom"/>
            <w:gridSpan w:val="2"/>
          </w:tcPr>
          <w:p>
            <w:pPr>
              <w:jc w:val="center"/>
              <w:ind w:right="180"/>
              <w:spacing w:after="0"/>
              <w:rPr>
                <w:sz w:val="20"/>
                <w:szCs w:val="20"/>
                <w:color w:val="auto"/>
              </w:rPr>
            </w:pPr>
            <w:r>
              <w:rPr>
                <w:rFonts w:ascii="Arial" w:cs="Arial" w:eastAsia="Arial" w:hAnsi="Arial"/>
                <w:sz w:val="16"/>
                <w:szCs w:val="16"/>
                <w:color w:val="auto"/>
                <w:w w:val="93"/>
              </w:rPr>
              <w:t>July 2026</w:t>
            </w:r>
          </w:p>
        </w:tc>
        <w:tc>
          <w:tcPr>
            <w:tcW w:w="1260" w:type="dxa"/>
            <w:vAlign w:val="bottom"/>
          </w:tcPr>
          <w:p>
            <w:pPr>
              <w:jc w:val="center"/>
              <w:spacing w:after="0"/>
              <w:rPr>
                <w:sz w:val="20"/>
                <w:szCs w:val="20"/>
                <w:color w:val="auto"/>
              </w:rPr>
            </w:pPr>
            <w:r>
              <w:rPr>
                <w:rFonts w:ascii="Arial" w:cs="Arial" w:eastAsia="Arial" w:hAnsi="Arial"/>
                <w:sz w:val="16"/>
                <w:szCs w:val="16"/>
                <w:color w:val="auto"/>
                <w:w w:val="92"/>
              </w:rPr>
              <w:t>3.070%</w:t>
            </w:r>
          </w:p>
        </w:tc>
        <w:tc>
          <w:tcPr>
            <w:tcW w:w="200" w:type="dxa"/>
            <w:vAlign w:val="bottom"/>
          </w:tcPr>
          <w:p>
            <w:pPr>
              <w:spacing w:after="0"/>
              <w:rPr>
                <w:sz w:val="17"/>
                <w:szCs w:val="17"/>
                <w:color w:val="auto"/>
              </w:rPr>
            </w:pPr>
          </w:p>
        </w:tc>
        <w:tc>
          <w:tcPr>
            <w:tcW w:w="1360" w:type="dxa"/>
            <w:vAlign w:val="bottom"/>
            <w:gridSpan w:val="2"/>
          </w:tcPr>
          <w:p>
            <w:pPr>
              <w:ind w:left="860"/>
              <w:spacing w:after="0"/>
              <w:rPr>
                <w:sz w:val="20"/>
                <w:szCs w:val="20"/>
                <w:color w:val="auto"/>
              </w:rPr>
            </w:pPr>
            <w:r>
              <w:rPr>
                <w:rFonts w:ascii="Arial" w:cs="Arial" w:eastAsia="Arial" w:hAnsi="Arial"/>
                <w:sz w:val="16"/>
                <w:szCs w:val="16"/>
                <w:color w:val="auto"/>
              </w:rPr>
              <w:t>N/A</w:t>
            </w:r>
          </w:p>
        </w:tc>
        <w:tc>
          <w:tcPr>
            <w:tcW w:w="1120" w:type="dxa"/>
            <w:vAlign w:val="bottom"/>
          </w:tcPr>
          <w:p>
            <w:pPr>
              <w:ind w:left="84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7"/>
                <w:szCs w:val="17"/>
                <w:color w:val="auto"/>
              </w:rPr>
            </w:pPr>
          </w:p>
        </w:tc>
      </w:tr>
      <w:tr>
        <w:trPr>
          <w:trHeight w:val="203"/>
        </w:trPr>
        <w:tc>
          <w:tcPr>
            <w:tcW w:w="1420" w:type="dxa"/>
            <w:vAlign w:val="bottom"/>
            <w:shd w:val="clear" w:color="auto" w:fill="E5FFFF"/>
          </w:tcPr>
          <w:p>
            <w:pPr>
              <w:spacing w:after="0"/>
              <w:rPr>
                <w:sz w:val="20"/>
                <w:szCs w:val="20"/>
                <w:color w:val="auto"/>
              </w:rPr>
            </w:pPr>
            <w:r>
              <w:rPr>
                <w:rFonts w:ascii="Arial" w:cs="Arial" w:eastAsia="Arial" w:hAnsi="Arial"/>
                <w:sz w:val="16"/>
                <w:szCs w:val="16"/>
                <w:color w:val="auto"/>
              </w:rPr>
              <w:t>GasLog</w:t>
            </w:r>
          </w:p>
        </w:tc>
        <w:tc>
          <w:tcPr>
            <w:tcW w:w="1920" w:type="dxa"/>
            <w:vAlign w:val="bottom"/>
            <w:gridSpan w:val="3"/>
            <w:shd w:val="clear" w:color="auto" w:fill="E5FFFF"/>
          </w:tcPr>
          <w:p>
            <w:pPr>
              <w:ind w:left="240"/>
              <w:spacing w:after="0"/>
              <w:rPr>
                <w:sz w:val="20"/>
                <w:szCs w:val="20"/>
                <w:color w:val="auto"/>
              </w:rPr>
            </w:pPr>
            <w:r>
              <w:rPr>
                <w:rFonts w:ascii="Arial" w:cs="Arial" w:eastAsia="Arial" w:hAnsi="Arial"/>
                <w:sz w:val="16"/>
                <w:szCs w:val="16"/>
                <w:color w:val="auto"/>
              </w:rPr>
              <w:t>Nordea Bank Finland</w:t>
            </w:r>
          </w:p>
        </w:tc>
        <w:tc>
          <w:tcPr>
            <w:tcW w:w="1320" w:type="dxa"/>
            <w:vAlign w:val="bottom"/>
            <w:gridSpan w:val="2"/>
            <w:shd w:val="clear" w:color="auto" w:fill="E5FFFF"/>
          </w:tcPr>
          <w:p>
            <w:pPr>
              <w:jc w:val="center"/>
              <w:ind w:right="260"/>
              <w:spacing w:after="0"/>
              <w:rPr>
                <w:sz w:val="20"/>
                <w:szCs w:val="20"/>
                <w:color w:val="auto"/>
              </w:rPr>
            </w:pPr>
            <w:r>
              <w:rPr>
                <w:rFonts w:ascii="Arial" w:cs="Arial" w:eastAsia="Arial" w:hAnsi="Arial"/>
                <w:sz w:val="16"/>
                <w:szCs w:val="16"/>
                <w:color w:val="auto"/>
                <w:w w:val="93"/>
              </w:rPr>
              <w:t>May 2018</w:t>
            </w:r>
          </w:p>
        </w:tc>
        <w:tc>
          <w:tcPr>
            <w:tcW w:w="140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3"/>
              </w:rPr>
              <w:t>May 2018</w:t>
            </w:r>
          </w:p>
        </w:tc>
        <w:tc>
          <w:tcPr>
            <w:tcW w:w="142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3"/>
              </w:rPr>
              <w:t>July 2026</w:t>
            </w:r>
          </w:p>
        </w:tc>
        <w:tc>
          <w:tcPr>
            <w:tcW w:w="12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2.562%</w:t>
            </w:r>
          </w:p>
        </w:tc>
        <w:tc>
          <w:tcPr>
            <w:tcW w:w="200" w:type="dxa"/>
            <w:vAlign w:val="bottom"/>
            <w:shd w:val="clear" w:color="auto" w:fill="E5FFFF"/>
          </w:tcPr>
          <w:p>
            <w:pPr>
              <w:spacing w:after="0"/>
              <w:rPr>
                <w:sz w:val="17"/>
                <w:szCs w:val="17"/>
                <w:color w:val="auto"/>
              </w:rPr>
            </w:pPr>
          </w:p>
        </w:tc>
        <w:tc>
          <w:tcPr>
            <w:tcW w:w="11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66,667</w:t>
            </w:r>
          </w:p>
        </w:tc>
        <w:tc>
          <w:tcPr>
            <w:tcW w:w="240" w:type="dxa"/>
            <w:vAlign w:val="bottom"/>
            <w:shd w:val="clear" w:color="auto" w:fill="E5FFFF"/>
          </w:tcPr>
          <w:p>
            <w:pPr>
              <w:spacing w:after="0"/>
              <w:rPr>
                <w:sz w:val="17"/>
                <w:szCs w:val="17"/>
                <w:color w:val="auto"/>
              </w:rPr>
            </w:pPr>
          </w:p>
        </w:tc>
        <w:tc>
          <w:tcPr>
            <w:tcW w:w="11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66,667</w:t>
            </w:r>
          </w:p>
        </w:tc>
        <w:tc>
          <w:tcPr>
            <w:tcW w:w="20" w:type="dxa"/>
            <w:vAlign w:val="bottom"/>
          </w:tcPr>
          <w:p>
            <w:pPr>
              <w:spacing w:after="0"/>
              <w:rPr>
                <w:sz w:val="17"/>
                <w:szCs w:val="17"/>
                <w:color w:val="auto"/>
              </w:rPr>
            </w:pPr>
          </w:p>
        </w:tc>
      </w:tr>
      <w:tr>
        <w:trPr>
          <w:trHeight w:val="203"/>
        </w:trPr>
        <w:tc>
          <w:tcPr>
            <w:tcW w:w="1420" w:type="dxa"/>
            <w:vAlign w:val="bottom"/>
          </w:tcPr>
          <w:p>
            <w:pPr>
              <w:spacing w:after="0" w:line="203" w:lineRule="exact"/>
              <w:rPr>
                <w:sz w:val="20"/>
                <w:szCs w:val="20"/>
                <w:color w:val="auto"/>
              </w:rPr>
            </w:pPr>
            <w:r>
              <w:rPr>
                <w:rFonts w:ascii="Arial" w:cs="Arial" w:eastAsia="Arial" w:hAnsi="Arial"/>
                <w:sz w:val="16"/>
                <w:szCs w:val="16"/>
                <w:color w:val="auto"/>
              </w:rPr>
              <w:t>GasLog</w:t>
            </w:r>
            <w:r>
              <w:rPr>
                <w:rFonts w:ascii="Arial" w:cs="Arial" w:eastAsia="Arial" w:hAnsi="Arial"/>
                <w:sz w:val="21"/>
                <w:szCs w:val="21"/>
                <w:color w:val="auto"/>
                <w:vertAlign w:val="superscript"/>
              </w:rPr>
              <w:t>(1)</w:t>
            </w:r>
          </w:p>
        </w:tc>
        <w:tc>
          <w:tcPr>
            <w:tcW w:w="1920" w:type="dxa"/>
            <w:vAlign w:val="bottom"/>
            <w:gridSpan w:val="3"/>
          </w:tcPr>
          <w:p>
            <w:pPr>
              <w:ind w:left="240"/>
              <w:spacing w:after="0"/>
              <w:rPr>
                <w:sz w:val="20"/>
                <w:szCs w:val="20"/>
                <w:color w:val="auto"/>
              </w:rPr>
            </w:pPr>
            <w:r>
              <w:rPr>
                <w:rFonts w:ascii="Arial" w:cs="Arial" w:eastAsia="Arial" w:hAnsi="Arial"/>
                <w:sz w:val="16"/>
                <w:szCs w:val="16"/>
                <w:color w:val="auto"/>
              </w:rPr>
              <w:t>SEB</w:t>
            </w: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color w:val="auto"/>
                <w:w w:val="93"/>
              </w:rPr>
              <w:t>May 2018</w:t>
            </w:r>
          </w:p>
        </w:tc>
        <w:tc>
          <w:tcPr>
            <w:tcW w:w="140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July 2020</w:t>
            </w:r>
          </w:p>
        </w:tc>
        <w:tc>
          <w:tcPr>
            <w:tcW w:w="1420" w:type="dxa"/>
            <w:vAlign w:val="bottom"/>
            <w:gridSpan w:val="2"/>
          </w:tcPr>
          <w:p>
            <w:pPr>
              <w:jc w:val="center"/>
              <w:ind w:right="180"/>
              <w:spacing w:after="0"/>
              <w:rPr>
                <w:sz w:val="20"/>
                <w:szCs w:val="20"/>
                <w:color w:val="auto"/>
              </w:rPr>
            </w:pPr>
            <w:r>
              <w:rPr>
                <w:rFonts w:ascii="Arial" w:cs="Arial" w:eastAsia="Arial" w:hAnsi="Arial"/>
                <w:sz w:val="16"/>
                <w:szCs w:val="16"/>
                <w:color w:val="auto"/>
                <w:w w:val="93"/>
              </w:rPr>
              <w:t>July 2024</w:t>
            </w:r>
          </w:p>
        </w:tc>
        <w:tc>
          <w:tcPr>
            <w:tcW w:w="1260" w:type="dxa"/>
            <w:vAlign w:val="bottom"/>
          </w:tcPr>
          <w:p>
            <w:pPr>
              <w:jc w:val="center"/>
              <w:spacing w:after="0"/>
              <w:rPr>
                <w:sz w:val="20"/>
                <w:szCs w:val="20"/>
                <w:color w:val="auto"/>
              </w:rPr>
            </w:pPr>
            <w:r>
              <w:rPr>
                <w:rFonts w:ascii="Arial" w:cs="Arial" w:eastAsia="Arial" w:hAnsi="Arial"/>
                <w:sz w:val="16"/>
                <w:szCs w:val="16"/>
                <w:color w:val="auto"/>
                <w:w w:val="92"/>
              </w:rPr>
              <w:t>3.025%</w:t>
            </w:r>
          </w:p>
        </w:tc>
        <w:tc>
          <w:tcPr>
            <w:tcW w:w="200" w:type="dxa"/>
            <w:vAlign w:val="bottom"/>
          </w:tcPr>
          <w:p>
            <w:pPr>
              <w:spacing w:after="0"/>
              <w:rPr>
                <w:sz w:val="17"/>
                <w:szCs w:val="17"/>
                <w:color w:val="auto"/>
              </w:rPr>
            </w:pPr>
          </w:p>
        </w:tc>
        <w:tc>
          <w:tcPr>
            <w:tcW w:w="1360" w:type="dxa"/>
            <w:vAlign w:val="bottom"/>
            <w:gridSpan w:val="2"/>
          </w:tcPr>
          <w:p>
            <w:pPr>
              <w:ind w:left="860"/>
              <w:spacing w:after="0"/>
              <w:rPr>
                <w:sz w:val="20"/>
                <w:szCs w:val="20"/>
                <w:color w:val="auto"/>
              </w:rPr>
            </w:pPr>
            <w:r>
              <w:rPr>
                <w:rFonts w:ascii="Arial" w:cs="Arial" w:eastAsia="Arial" w:hAnsi="Arial"/>
                <w:sz w:val="16"/>
                <w:szCs w:val="16"/>
                <w:color w:val="auto"/>
              </w:rPr>
              <w:t>N/A</w:t>
            </w:r>
          </w:p>
        </w:tc>
        <w:tc>
          <w:tcPr>
            <w:tcW w:w="1120" w:type="dxa"/>
            <w:vAlign w:val="bottom"/>
          </w:tcPr>
          <w:p>
            <w:pPr>
              <w:ind w:left="84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7"/>
                <w:szCs w:val="17"/>
                <w:color w:val="auto"/>
              </w:rPr>
            </w:pPr>
          </w:p>
        </w:tc>
      </w:tr>
      <w:tr>
        <w:trPr>
          <w:trHeight w:val="203"/>
        </w:trPr>
        <w:tc>
          <w:tcPr>
            <w:tcW w:w="1420" w:type="dxa"/>
            <w:vAlign w:val="bottom"/>
            <w:shd w:val="clear" w:color="auto" w:fill="E5FFFF"/>
          </w:tcPr>
          <w:p>
            <w:pPr>
              <w:spacing w:after="0"/>
              <w:rPr>
                <w:sz w:val="20"/>
                <w:szCs w:val="20"/>
                <w:color w:val="auto"/>
              </w:rPr>
            </w:pPr>
            <w:r>
              <w:rPr>
                <w:rFonts w:ascii="Arial" w:cs="Arial" w:eastAsia="Arial" w:hAnsi="Arial"/>
                <w:sz w:val="16"/>
                <w:szCs w:val="16"/>
                <w:color w:val="auto"/>
              </w:rPr>
              <w:t>GasLog</w:t>
            </w:r>
          </w:p>
        </w:tc>
        <w:tc>
          <w:tcPr>
            <w:tcW w:w="1920" w:type="dxa"/>
            <w:vAlign w:val="bottom"/>
            <w:gridSpan w:val="3"/>
            <w:shd w:val="clear" w:color="auto" w:fill="E5FFFF"/>
          </w:tcPr>
          <w:p>
            <w:pPr>
              <w:ind w:left="240"/>
              <w:spacing w:after="0"/>
              <w:rPr>
                <w:sz w:val="20"/>
                <w:szCs w:val="20"/>
                <w:color w:val="auto"/>
              </w:rPr>
            </w:pPr>
            <w:r>
              <w:rPr>
                <w:rFonts w:ascii="Arial" w:cs="Arial" w:eastAsia="Arial" w:hAnsi="Arial"/>
                <w:sz w:val="16"/>
                <w:szCs w:val="16"/>
                <w:color w:val="auto"/>
              </w:rPr>
              <w:t>SEB</w:t>
            </w:r>
          </w:p>
        </w:tc>
        <w:tc>
          <w:tcPr>
            <w:tcW w:w="1320" w:type="dxa"/>
            <w:vAlign w:val="bottom"/>
            <w:gridSpan w:val="2"/>
            <w:shd w:val="clear" w:color="auto" w:fill="E5FFFF"/>
          </w:tcPr>
          <w:p>
            <w:pPr>
              <w:jc w:val="center"/>
              <w:ind w:right="260"/>
              <w:spacing w:after="0"/>
              <w:rPr>
                <w:sz w:val="20"/>
                <w:szCs w:val="20"/>
                <w:color w:val="auto"/>
              </w:rPr>
            </w:pPr>
            <w:r>
              <w:rPr>
                <w:rFonts w:ascii="Arial" w:cs="Arial" w:eastAsia="Arial" w:hAnsi="Arial"/>
                <w:sz w:val="16"/>
                <w:szCs w:val="16"/>
                <w:color w:val="auto"/>
                <w:w w:val="93"/>
              </w:rPr>
              <w:t>May 2018</w:t>
            </w:r>
          </w:p>
        </w:tc>
        <w:tc>
          <w:tcPr>
            <w:tcW w:w="140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7"/>
              </w:rPr>
              <w:t>April 2018</w:t>
            </w:r>
          </w:p>
        </w:tc>
        <w:tc>
          <w:tcPr>
            <w:tcW w:w="142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3"/>
              </w:rPr>
              <w:t>July 2025</w:t>
            </w:r>
          </w:p>
        </w:tc>
        <w:tc>
          <w:tcPr>
            <w:tcW w:w="12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2.300%</w:t>
            </w:r>
          </w:p>
        </w:tc>
        <w:tc>
          <w:tcPr>
            <w:tcW w:w="200" w:type="dxa"/>
            <w:vAlign w:val="bottom"/>
            <w:shd w:val="clear" w:color="auto" w:fill="E5FFFF"/>
          </w:tcPr>
          <w:p>
            <w:pPr>
              <w:spacing w:after="0"/>
              <w:rPr>
                <w:sz w:val="17"/>
                <w:szCs w:val="17"/>
                <w:color w:val="auto"/>
              </w:rPr>
            </w:pPr>
          </w:p>
        </w:tc>
        <w:tc>
          <w:tcPr>
            <w:tcW w:w="11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50,000</w:t>
            </w:r>
          </w:p>
        </w:tc>
        <w:tc>
          <w:tcPr>
            <w:tcW w:w="240" w:type="dxa"/>
            <w:vAlign w:val="bottom"/>
            <w:shd w:val="clear" w:color="auto" w:fill="E5FFFF"/>
          </w:tcPr>
          <w:p>
            <w:pPr>
              <w:spacing w:after="0"/>
              <w:rPr>
                <w:sz w:val="17"/>
                <w:szCs w:val="17"/>
                <w:color w:val="auto"/>
              </w:rPr>
            </w:pPr>
          </w:p>
        </w:tc>
        <w:tc>
          <w:tcPr>
            <w:tcW w:w="11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50,000</w:t>
            </w:r>
          </w:p>
        </w:tc>
        <w:tc>
          <w:tcPr>
            <w:tcW w:w="20" w:type="dxa"/>
            <w:vAlign w:val="bottom"/>
          </w:tcPr>
          <w:p>
            <w:pPr>
              <w:spacing w:after="0"/>
              <w:rPr>
                <w:sz w:val="17"/>
                <w:szCs w:val="17"/>
                <w:color w:val="auto"/>
              </w:rPr>
            </w:pPr>
          </w:p>
        </w:tc>
      </w:tr>
      <w:tr>
        <w:trPr>
          <w:trHeight w:val="203"/>
        </w:trPr>
        <w:tc>
          <w:tcPr>
            <w:tcW w:w="1420" w:type="dxa"/>
            <w:vAlign w:val="bottom"/>
          </w:tcPr>
          <w:p>
            <w:pPr>
              <w:spacing w:after="0" w:line="203" w:lineRule="exact"/>
              <w:rPr>
                <w:sz w:val="20"/>
                <w:szCs w:val="20"/>
                <w:color w:val="auto"/>
              </w:rPr>
            </w:pPr>
            <w:r>
              <w:rPr>
                <w:rFonts w:ascii="Arial" w:cs="Arial" w:eastAsia="Arial" w:hAnsi="Arial"/>
                <w:sz w:val="16"/>
                <w:szCs w:val="16"/>
                <w:color w:val="auto"/>
              </w:rPr>
              <w:t>GasLog</w:t>
            </w:r>
            <w:r>
              <w:rPr>
                <w:rFonts w:ascii="Arial" w:cs="Arial" w:eastAsia="Arial" w:hAnsi="Arial"/>
                <w:sz w:val="21"/>
                <w:szCs w:val="21"/>
                <w:color w:val="auto"/>
                <w:vertAlign w:val="superscript"/>
              </w:rPr>
              <w:t>(1)</w:t>
            </w:r>
          </w:p>
        </w:tc>
        <w:tc>
          <w:tcPr>
            <w:tcW w:w="1920" w:type="dxa"/>
            <w:vAlign w:val="bottom"/>
            <w:gridSpan w:val="3"/>
          </w:tcPr>
          <w:p>
            <w:pPr>
              <w:ind w:left="240"/>
              <w:spacing w:after="0"/>
              <w:rPr>
                <w:sz w:val="20"/>
                <w:szCs w:val="20"/>
                <w:color w:val="auto"/>
              </w:rPr>
            </w:pPr>
            <w:r>
              <w:rPr>
                <w:rFonts w:ascii="Arial" w:cs="Arial" w:eastAsia="Arial" w:hAnsi="Arial"/>
                <w:sz w:val="16"/>
                <w:szCs w:val="16"/>
                <w:color w:val="auto"/>
              </w:rPr>
              <w:t>DNB</w:t>
            </w: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color w:val="auto"/>
                <w:w w:val="93"/>
              </w:rPr>
              <w:t>May 2018</w:t>
            </w:r>
          </w:p>
        </w:tc>
        <w:tc>
          <w:tcPr>
            <w:tcW w:w="140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July 2020</w:t>
            </w:r>
          </w:p>
        </w:tc>
        <w:tc>
          <w:tcPr>
            <w:tcW w:w="1420" w:type="dxa"/>
            <w:vAlign w:val="bottom"/>
            <w:gridSpan w:val="2"/>
          </w:tcPr>
          <w:p>
            <w:pPr>
              <w:jc w:val="center"/>
              <w:ind w:right="180"/>
              <w:spacing w:after="0"/>
              <w:rPr>
                <w:sz w:val="20"/>
                <w:szCs w:val="20"/>
                <w:color w:val="auto"/>
              </w:rPr>
            </w:pPr>
            <w:r>
              <w:rPr>
                <w:rFonts w:ascii="Arial" w:cs="Arial" w:eastAsia="Arial" w:hAnsi="Arial"/>
                <w:sz w:val="16"/>
                <w:szCs w:val="16"/>
                <w:color w:val="auto"/>
                <w:w w:val="93"/>
              </w:rPr>
              <w:t>July 2024</w:t>
            </w:r>
          </w:p>
        </w:tc>
        <w:tc>
          <w:tcPr>
            <w:tcW w:w="1260" w:type="dxa"/>
            <w:vAlign w:val="bottom"/>
          </w:tcPr>
          <w:p>
            <w:pPr>
              <w:jc w:val="center"/>
              <w:spacing w:after="0"/>
              <w:rPr>
                <w:sz w:val="20"/>
                <w:szCs w:val="20"/>
                <w:color w:val="auto"/>
              </w:rPr>
            </w:pPr>
            <w:r>
              <w:rPr>
                <w:rFonts w:ascii="Arial" w:cs="Arial" w:eastAsia="Arial" w:hAnsi="Arial"/>
                <w:sz w:val="16"/>
                <w:szCs w:val="16"/>
                <w:color w:val="auto"/>
                <w:w w:val="92"/>
              </w:rPr>
              <w:t>3.056%</w:t>
            </w:r>
          </w:p>
        </w:tc>
        <w:tc>
          <w:tcPr>
            <w:tcW w:w="200" w:type="dxa"/>
            <w:vAlign w:val="bottom"/>
          </w:tcPr>
          <w:p>
            <w:pPr>
              <w:spacing w:after="0"/>
              <w:rPr>
                <w:sz w:val="17"/>
                <w:szCs w:val="17"/>
                <w:color w:val="auto"/>
              </w:rPr>
            </w:pPr>
          </w:p>
        </w:tc>
        <w:tc>
          <w:tcPr>
            <w:tcW w:w="1360" w:type="dxa"/>
            <w:vAlign w:val="bottom"/>
            <w:gridSpan w:val="2"/>
          </w:tcPr>
          <w:p>
            <w:pPr>
              <w:ind w:left="860"/>
              <w:spacing w:after="0"/>
              <w:rPr>
                <w:sz w:val="20"/>
                <w:szCs w:val="20"/>
                <w:color w:val="auto"/>
              </w:rPr>
            </w:pPr>
            <w:r>
              <w:rPr>
                <w:rFonts w:ascii="Arial" w:cs="Arial" w:eastAsia="Arial" w:hAnsi="Arial"/>
                <w:sz w:val="16"/>
                <w:szCs w:val="16"/>
                <w:color w:val="auto"/>
              </w:rPr>
              <w:t>N/A</w:t>
            </w:r>
          </w:p>
        </w:tc>
        <w:tc>
          <w:tcPr>
            <w:tcW w:w="1120" w:type="dxa"/>
            <w:vAlign w:val="bottom"/>
          </w:tcPr>
          <w:p>
            <w:pPr>
              <w:ind w:left="84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7"/>
                <w:szCs w:val="17"/>
                <w:color w:val="auto"/>
              </w:rPr>
            </w:pPr>
          </w:p>
        </w:tc>
      </w:tr>
      <w:tr>
        <w:trPr>
          <w:trHeight w:val="203"/>
        </w:trPr>
        <w:tc>
          <w:tcPr>
            <w:tcW w:w="1420" w:type="dxa"/>
            <w:vAlign w:val="bottom"/>
            <w:shd w:val="clear" w:color="auto" w:fill="E5FFFF"/>
          </w:tcPr>
          <w:p>
            <w:pPr>
              <w:spacing w:after="0"/>
              <w:rPr>
                <w:sz w:val="20"/>
                <w:szCs w:val="20"/>
                <w:color w:val="auto"/>
              </w:rPr>
            </w:pPr>
            <w:r>
              <w:rPr>
                <w:rFonts w:ascii="Arial" w:cs="Arial" w:eastAsia="Arial" w:hAnsi="Arial"/>
                <w:sz w:val="16"/>
                <w:szCs w:val="16"/>
                <w:color w:val="auto"/>
              </w:rPr>
              <w:t>GasLog</w:t>
            </w:r>
          </w:p>
        </w:tc>
        <w:tc>
          <w:tcPr>
            <w:tcW w:w="1920" w:type="dxa"/>
            <w:vAlign w:val="bottom"/>
            <w:gridSpan w:val="3"/>
            <w:shd w:val="clear" w:color="auto" w:fill="E5FFFF"/>
          </w:tcPr>
          <w:p>
            <w:pPr>
              <w:ind w:left="240"/>
              <w:spacing w:after="0"/>
              <w:rPr>
                <w:sz w:val="20"/>
                <w:szCs w:val="20"/>
                <w:color w:val="auto"/>
              </w:rPr>
            </w:pPr>
            <w:r>
              <w:rPr>
                <w:rFonts w:ascii="Arial" w:cs="Arial" w:eastAsia="Arial" w:hAnsi="Arial"/>
                <w:sz w:val="16"/>
                <w:szCs w:val="16"/>
                <w:color w:val="auto"/>
              </w:rPr>
              <w:t>DNB</w:t>
            </w:r>
          </w:p>
        </w:tc>
        <w:tc>
          <w:tcPr>
            <w:tcW w:w="1320" w:type="dxa"/>
            <w:vAlign w:val="bottom"/>
            <w:gridSpan w:val="2"/>
            <w:shd w:val="clear" w:color="auto" w:fill="E5FFFF"/>
          </w:tcPr>
          <w:p>
            <w:pPr>
              <w:jc w:val="center"/>
              <w:ind w:right="260"/>
              <w:spacing w:after="0"/>
              <w:rPr>
                <w:sz w:val="20"/>
                <w:szCs w:val="20"/>
                <w:color w:val="auto"/>
              </w:rPr>
            </w:pPr>
            <w:r>
              <w:rPr>
                <w:rFonts w:ascii="Arial" w:cs="Arial" w:eastAsia="Arial" w:hAnsi="Arial"/>
                <w:sz w:val="16"/>
                <w:szCs w:val="16"/>
                <w:color w:val="auto"/>
                <w:w w:val="93"/>
              </w:rPr>
              <w:t>May 2018</w:t>
            </w:r>
          </w:p>
        </w:tc>
        <w:tc>
          <w:tcPr>
            <w:tcW w:w="140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0"/>
              </w:rPr>
              <w:t>July 2018</w:t>
            </w:r>
          </w:p>
        </w:tc>
        <w:tc>
          <w:tcPr>
            <w:tcW w:w="142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3"/>
              </w:rPr>
              <w:t>July 2025</w:t>
            </w:r>
          </w:p>
        </w:tc>
        <w:tc>
          <w:tcPr>
            <w:tcW w:w="12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2.472%</w:t>
            </w:r>
          </w:p>
        </w:tc>
        <w:tc>
          <w:tcPr>
            <w:tcW w:w="200" w:type="dxa"/>
            <w:vAlign w:val="bottom"/>
            <w:shd w:val="clear" w:color="auto" w:fill="E5FFFF"/>
          </w:tcPr>
          <w:p>
            <w:pPr>
              <w:spacing w:after="0"/>
              <w:rPr>
                <w:sz w:val="17"/>
                <w:szCs w:val="17"/>
                <w:color w:val="auto"/>
              </w:rPr>
            </w:pPr>
          </w:p>
        </w:tc>
        <w:tc>
          <w:tcPr>
            <w:tcW w:w="11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73,333</w:t>
            </w:r>
          </w:p>
        </w:tc>
        <w:tc>
          <w:tcPr>
            <w:tcW w:w="240" w:type="dxa"/>
            <w:vAlign w:val="bottom"/>
            <w:shd w:val="clear" w:color="auto" w:fill="E5FFFF"/>
          </w:tcPr>
          <w:p>
            <w:pPr>
              <w:spacing w:after="0"/>
              <w:rPr>
                <w:sz w:val="17"/>
                <w:szCs w:val="17"/>
                <w:color w:val="auto"/>
              </w:rPr>
            </w:pPr>
          </w:p>
        </w:tc>
        <w:tc>
          <w:tcPr>
            <w:tcW w:w="11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73,333</w:t>
            </w:r>
          </w:p>
        </w:tc>
        <w:tc>
          <w:tcPr>
            <w:tcW w:w="20" w:type="dxa"/>
            <w:vAlign w:val="bottom"/>
          </w:tcPr>
          <w:p>
            <w:pPr>
              <w:spacing w:after="0"/>
              <w:rPr>
                <w:sz w:val="17"/>
                <w:szCs w:val="17"/>
                <w:color w:val="auto"/>
              </w:rPr>
            </w:pPr>
          </w:p>
        </w:tc>
      </w:tr>
      <w:tr>
        <w:trPr>
          <w:trHeight w:val="203"/>
        </w:trPr>
        <w:tc>
          <w:tcPr>
            <w:tcW w:w="1420" w:type="dxa"/>
            <w:vAlign w:val="bottom"/>
          </w:tcPr>
          <w:p>
            <w:pPr>
              <w:spacing w:after="0"/>
              <w:rPr>
                <w:sz w:val="20"/>
                <w:szCs w:val="20"/>
                <w:color w:val="auto"/>
              </w:rPr>
            </w:pPr>
            <w:r>
              <w:rPr>
                <w:rFonts w:ascii="Arial" w:cs="Arial" w:eastAsia="Arial" w:hAnsi="Arial"/>
                <w:sz w:val="16"/>
                <w:szCs w:val="16"/>
                <w:color w:val="auto"/>
              </w:rPr>
              <w:t>GasLog</w:t>
            </w:r>
          </w:p>
        </w:tc>
        <w:tc>
          <w:tcPr>
            <w:tcW w:w="1920" w:type="dxa"/>
            <w:vAlign w:val="bottom"/>
            <w:gridSpan w:val="3"/>
          </w:tcPr>
          <w:p>
            <w:pPr>
              <w:ind w:left="240"/>
              <w:spacing w:after="0"/>
              <w:rPr>
                <w:sz w:val="20"/>
                <w:szCs w:val="20"/>
                <w:color w:val="auto"/>
              </w:rPr>
            </w:pPr>
            <w:r>
              <w:rPr>
                <w:rFonts w:ascii="Arial" w:cs="Arial" w:eastAsia="Arial" w:hAnsi="Arial"/>
                <w:sz w:val="16"/>
                <w:szCs w:val="16"/>
                <w:color w:val="auto"/>
              </w:rPr>
              <w:t>HSBC</w:t>
            </w: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color w:val="auto"/>
                <w:w w:val="93"/>
              </w:rPr>
              <w:t>May 2018</w:t>
            </w:r>
          </w:p>
        </w:tc>
        <w:tc>
          <w:tcPr>
            <w:tcW w:w="1400" w:type="dxa"/>
            <w:vAlign w:val="bottom"/>
            <w:gridSpan w:val="2"/>
          </w:tcPr>
          <w:p>
            <w:pPr>
              <w:jc w:val="center"/>
              <w:ind w:right="180"/>
              <w:spacing w:after="0"/>
              <w:rPr>
                <w:sz w:val="20"/>
                <w:szCs w:val="20"/>
                <w:color w:val="auto"/>
              </w:rPr>
            </w:pPr>
            <w:r>
              <w:rPr>
                <w:rFonts w:ascii="Arial" w:cs="Arial" w:eastAsia="Arial" w:hAnsi="Arial"/>
                <w:sz w:val="16"/>
                <w:szCs w:val="16"/>
                <w:color w:val="auto"/>
                <w:w w:val="97"/>
              </w:rPr>
              <w:t>April 2018</w:t>
            </w:r>
          </w:p>
        </w:tc>
        <w:tc>
          <w:tcPr>
            <w:tcW w:w="1420" w:type="dxa"/>
            <w:vAlign w:val="bottom"/>
            <w:gridSpan w:val="2"/>
          </w:tcPr>
          <w:p>
            <w:pPr>
              <w:jc w:val="center"/>
              <w:ind w:right="180"/>
              <w:spacing w:after="0"/>
              <w:rPr>
                <w:sz w:val="20"/>
                <w:szCs w:val="20"/>
                <w:color w:val="auto"/>
              </w:rPr>
            </w:pPr>
            <w:r>
              <w:rPr>
                <w:rFonts w:ascii="Arial" w:cs="Arial" w:eastAsia="Arial" w:hAnsi="Arial"/>
                <w:sz w:val="16"/>
                <w:szCs w:val="16"/>
                <w:color w:val="auto"/>
                <w:w w:val="93"/>
              </w:rPr>
              <w:t>July 2024</w:t>
            </w:r>
          </w:p>
        </w:tc>
        <w:tc>
          <w:tcPr>
            <w:tcW w:w="1260" w:type="dxa"/>
            <w:vAlign w:val="bottom"/>
          </w:tcPr>
          <w:p>
            <w:pPr>
              <w:jc w:val="center"/>
              <w:spacing w:after="0"/>
              <w:rPr>
                <w:sz w:val="20"/>
                <w:szCs w:val="20"/>
                <w:color w:val="auto"/>
              </w:rPr>
            </w:pPr>
            <w:r>
              <w:rPr>
                <w:rFonts w:ascii="Arial" w:cs="Arial" w:eastAsia="Arial" w:hAnsi="Arial"/>
                <w:sz w:val="16"/>
                <w:szCs w:val="16"/>
                <w:color w:val="auto"/>
                <w:w w:val="92"/>
              </w:rPr>
              <w:t>2.475%</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33,333</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33,333</w:t>
            </w:r>
          </w:p>
        </w:tc>
        <w:tc>
          <w:tcPr>
            <w:tcW w:w="20" w:type="dxa"/>
            <w:vAlign w:val="bottom"/>
          </w:tcPr>
          <w:p>
            <w:pPr>
              <w:spacing w:after="0"/>
              <w:rPr>
                <w:sz w:val="17"/>
                <w:szCs w:val="17"/>
                <w:color w:val="auto"/>
              </w:rPr>
            </w:pPr>
          </w:p>
        </w:tc>
      </w:tr>
      <w:tr>
        <w:trPr>
          <w:trHeight w:val="203"/>
        </w:trPr>
        <w:tc>
          <w:tcPr>
            <w:tcW w:w="1420" w:type="dxa"/>
            <w:vAlign w:val="bottom"/>
            <w:shd w:val="clear" w:color="auto" w:fill="E5FFFF"/>
          </w:tcPr>
          <w:p>
            <w:pPr>
              <w:spacing w:after="0"/>
              <w:rPr>
                <w:sz w:val="20"/>
                <w:szCs w:val="20"/>
                <w:color w:val="auto"/>
              </w:rPr>
            </w:pPr>
            <w:r>
              <w:rPr>
                <w:rFonts w:ascii="Arial" w:cs="Arial" w:eastAsia="Arial" w:hAnsi="Arial"/>
                <w:sz w:val="16"/>
                <w:szCs w:val="16"/>
                <w:color w:val="auto"/>
              </w:rPr>
              <w:t>GasLog</w:t>
            </w:r>
          </w:p>
        </w:tc>
        <w:tc>
          <w:tcPr>
            <w:tcW w:w="1920" w:type="dxa"/>
            <w:vAlign w:val="bottom"/>
            <w:gridSpan w:val="3"/>
            <w:shd w:val="clear" w:color="auto" w:fill="E5FFFF"/>
          </w:tcPr>
          <w:p>
            <w:pPr>
              <w:ind w:left="240"/>
              <w:spacing w:after="0"/>
              <w:rPr>
                <w:sz w:val="20"/>
                <w:szCs w:val="20"/>
                <w:color w:val="auto"/>
              </w:rPr>
            </w:pPr>
            <w:r>
              <w:rPr>
                <w:rFonts w:ascii="Arial" w:cs="Arial" w:eastAsia="Arial" w:hAnsi="Arial"/>
                <w:sz w:val="16"/>
                <w:szCs w:val="16"/>
                <w:color w:val="auto"/>
              </w:rPr>
              <w:t>HSBC</w:t>
            </w:r>
          </w:p>
        </w:tc>
        <w:tc>
          <w:tcPr>
            <w:tcW w:w="1320" w:type="dxa"/>
            <w:vAlign w:val="bottom"/>
            <w:gridSpan w:val="2"/>
            <w:shd w:val="clear" w:color="auto" w:fill="E5FFFF"/>
          </w:tcPr>
          <w:p>
            <w:pPr>
              <w:jc w:val="center"/>
              <w:ind w:right="260"/>
              <w:spacing w:after="0"/>
              <w:rPr>
                <w:sz w:val="20"/>
                <w:szCs w:val="20"/>
                <w:color w:val="auto"/>
              </w:rPr>
            </w:pPr>
            <w:r>
              <w:rPr>
                <w:rFonts w:ascii="Arial" w:cs="Arial" w:eastAsia="Arial" w:hAnsi="Arial"/>
                <w:sz w:val="16"/>
                <w:szCs w:val="16"/>
                <w:color w:val="auto"/>
                <w:w w:val="93"/>
              </w:rPr>
              <w:t>May 2018</w:t>
            </w:r>
          </w:p>
        </w:tc>
        <w:tc>
          <w:tcPr>
            <w:tcW w:w="140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7"/>
              </w:rPr>
              <w:t>April 2018</w:t>
            </w:r>
          </w:p>
        </w:tc>
        <w:tc>
          <w:tcPr>
            <w:tcW w:w="142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3"/>
              </w:rPr>
              <w:t>July 2025</w:t>
            </w:r>
          </w:p>
        </w:tc>
        <w:tc>
          <w:tcPr>
            <w:tcW w:w="12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2.550%</w:t>
            </w:r>
          </w:p>
        </w:tc>
        <w:tc>
          <w:tcPr>
            <w:tcW w:w="200" w:type="dxa"/>
            <w:vAlign w:val="bottom"/>
            <w:shd w:val="clear" w:color="auto" w:fill="E5FFFF"/>
          </w:tcPr>
          <w:p>
            <w:pPr>
              <w:spacing w:after="0"/>
              <w:rPr>
                <w:sz w:val="17"/>
                <w:szCs w:val="17"/>
                <w:color w:val="auto"/>
              </w:rPr>
            </w:pPr>
          </w:p>
        </w:tc>
        <w:tc>
          <w:tcPr>
            <w:tcW w:w="11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33,333</w:t>
            </w:r>
          </w:p>
        </w:tc>
        <w:tc>
          <w:tcPr>
            <w:tcW w:w="240" w:type="dxa"/>
            <w:vAlign w:val="bottom"/>
            <w:shd w:val="clear" w:color="auto" w:fill="E5FFFF"/>
          </w:tcPr>
          <w:p>
            <w:pPr>
              <w:spacing w:after="0"/>
              <w:rPr>
                <w:sz w:val="17"/>
                <w:szCs w:val="17"/>
                <w:color w:val="auto"/>
              </w:rPr>
            </w:pPr>
          </w:p>
        </w:tc>
        <w:tc>
          <w:tcPr>
            <w:tcW w:w="11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33,333</w:t>
            </w:r>
          </w:p>
        </w:tc>
        <w:tc>
          <w:tcPr>
            <w:tcW w:w="20" w:type="dxa"/>
            <w:vAlign w:val="bottom"/>
          </w:tcPr>
          <w:p>
            <w:pPr>
              <w:spacing w:after="0"/>
              <w:rPr>
                <w:sz w:val="17"/>
                <w:szCs w:val="17"/>
                <w:color w:val="auto"/>
              </w:rPr>
            </w:pPr>
          </w:p>
        </w:tc>
      </w:tr>
      <w:tr>
        <w:trPr>
          <w:trHeight w:val="193"/>
        </w:trPr>
        <w:tc>
          <w:tcPr>
            <w:tcW w:w="1420" w:type="dxa"/>
            <w:vAlign w:val="bottom"/>
          </w:tcPr>
          <w:p>
            <w:pPr>
              <w:spacing w:after="0"/>
              <w:rPr>
                <w:sz w:val="16"/>
                <w:szCs w:val="16"/>
                <w:color w:val="auto"/>
              </w:rPr>
            </w:pPr>
          </w:p>
        </w:tc>
        <w:tc>
          <w:tcPr>
            <w:tcW w:w="1920" w:type="dxa"/>
            <w:vAlign w:val="bottom"/>
            <w:gridSpan w:val="3"/>
          </w:tcPr>
          <w:p>
            <w:pPr>
              <w:ind w:left="240"/>
              <w:spacing w:after="0"/>
              <w:rPr>
                <w:sz w:val="20"/>
                <w:szCs w:val="20"/>
                <w:color w:val="auto"/>
              </w:rPr>
            </w:pPr>
            <w:r>
              <w:rPr>
                <w:rFonts w:ascii="Arial" w:cs="Arial" w:eastAsia="Arial" w:hAnsi="Arial"/>
                <w:sz w:val="16"/>
                <w:szCs w:val="16"/>
                <w:color w:val="auto"/>
              </w:rPr>
              <w:t>Citibank Europe Plc.</w:t>
            </w: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color w:val="auto"/>
                <w:w w:val="93"/>
              </w:rPr>
              <w:t>May 2018</w:t>
            </w:r>
          </w:p>
        </w:tc>
        <w:tc>
          <w:tcPr>
            <w:tcW w:w="140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July 2020</w:t>
            </w:r>
          </w:p>
        </w:tc>
        <w:tc>
          <w:tcPr>
            <w:tcW w:w="1420" w:type="dxa"/>
            <w:vAlign w:val="bottom"/>
            <w:gridSpan w:val="2"/>
          </w:tcPr>
          <w:p>
            <w:pPr>
              <w:jc w:val="center"/>
              <w:ind w:right="180"/>
              <w:spacing w:after="0"/>
              <w:rPr>
                <w:sz w:val="20"/>
                <w:szCs w:val="20"/>
                <w:color w:val="auto"/>
              </w:rPr>
            </w:pPr>
            <w:r>
              <w:rPr>
                <w:rFonts w:ascii="Arial" w:cs="Arial" w:eastAsia="Arial" w:hAnsi="Arial"/>
                <w:sz w:val="16"/>
                <w:szCs w:val="16"/>
                <w:color w:val="auto"/>
                <w:w w:val="93"/>
              </w:rPr>
              <w:t>July 2024</w:t>
            </w:r>
          </w:p>
        </w:tc>
        <w:tc>
          <w:tcPr>
            <w:tcW w:w="1260" w:type="dxa"/>
            <w:vAlign w:val="bottom"/>
          </w:tcPr>
          <w:p>
            <w:pPr>
              <w:jc w:val="center"/>
              <w:spacing w:after="0"/>
              <w:rPr>
                <w:sz w:val="20"/>
                <w:szCs w:val="20"/>
                <w:color w:val="auto"/>
              </w:rPr>
            </w:pPr>
            <w:r>
              <w:rPr>
                <w:rFonts w:ascii="Arial" w:cs="Arial" w:eastAsia="Arial" w:hAnsi="Arial"/>
                <w:sz w:val="16"/>
                <w:szCs w:val="16"/>
                <w:color w:val="auto"/>
                <w:w w:val="92"/>
              </w:rPr>
              <w:t>3.082%</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2"/>
        </w:trPr>
        <w:tc>
          <w:tcPr>
            <w:tcW w:w="1420" w:type="dxa"/>
            <w:vAlign w:val="bottom"/>
          </w:tcPr>
          <w:p>
            <w:pPr>
              <w:spacing w:after="0" w:line="213" w:lineRule="exact"/>
              <w:rPr>
                <w:sz w:val="20"/>
                <w:szCs w:val="20"/>
                <w:color w:val="auto"/>
              </w:rPr>
            </w:pPr>
            <w:r>
              <w:rPr>
                <w:rFonts w:ascii="Arial" w:cs="Arial" w:eastAsia="Arial" w:hAnsi="Arial"/>
                <w:sz w:val="16"/>
                <w:szCs w:val="16"/>
                <w:color w:val="auto"/>
              </w:rPr>
              <w:t>GasLog</w:t>
            </w:r>
            <w:r>
              <w:rPr>
                <w:rFonts w:ascii="Arial" w:cs="Arial" w:eastAsia="Arial" w:hAnsi="Arial"/>
                <w:sz w:val="21"/>
                <w:szCs w:val="21"/>
                <w:color w:val="auto"/>
                <w:vertAlign w:val="superscript"/>
              </w:rPr>
              <w:t>(1)</w:t>
            </w:r>
          </w:p>
        </w:tc>
        <w:tc>
          <w:tcPr>
            <w:tcW w:w="1920" w:type="dxa"/>
            <w:vAlign w:val="bottom"/>
            <w:gridSpan w:val="3"/>
          </w:tcPr>
          <w:p>
            <w:pPr>
              <w:ind w:left="240"/>
              <w:spacing w:after="0"/>
              <w:rPr>
                <w:sz w:val="20"/>
                <w:szCs w:val="20"/>
                <w:color w:val="auto"/>
              </w:rPr>
            </w:pPr>
            <w:r>
              <w:rPr>
                <w:rFonts w:ascii="Arial" w:cs="Arial" w:eastAsia="Arial" w:hAnsi="Arial"/>
                <w:sz w:val="16"/>
                <w:szCs w:val="16"/>
                <w:color w:val="auto"/>
              </w:rPr>
              <w:t>(“Citibank”)</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86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ind w:left="840"/>
              <w:spacing w:after="0"/>
              <w:rPr>
                <w:sz w:val="20"/>
                <w:szCs w:val="20"/>
                <w:color w:val="auto"/>
              </w:rPr>
            </w:pPr>
            <w:r>
              <w:rPr>
                <w:rFonts w:ascii="Arial" w:cs="Arial" w:eastAsia="Arial" w:hAnsi="Arial"/>
                <w:sz w:val="16"/>
                <w:szCs w:val="16"/>
                <w:color w:val="auto"/>
              </w:rPr>
              <w:t>N/A</w:t>
            </w:r>
          </w:p>
        </w:tc>
      </w:tr>
      <w:tr>
        <w:trPr>
          <w:trHeight w:val="203"/>
        </w:trPr>
        <w:tc>
          <w:tcPr>
            <w:tcW w:w="1420" w:type="dxa"/>
            <w:vAlign w:val="bottom"/>
            <w:shd w:val="clear" w:color="auto" w:fill="E5FFFF"/>
          </w:tcPr>
          <w:p>
            <w:pPr>
              <w:spacing w:after="0" w:line="203" w:lineRule="exact"/>
              <w:rPr>
                <w:sz w:val="20"/>
                <w:szCs w:val="20"/>
                <w:color w:val="auto"/>
              </w:rPr>
            </w:pPr>
            <w:r>
              <w:rPr>
                <w:rFonts w:ascii="Arial" w:cs="Arial" w:eastAsia="Arial" w:hAnsi="Arial"/>
                <w:sz w:val="16"/>
                <w:szCs w:val="16"/>
                <w:color w:val="auto"/>
              </w:rPr>
              <w:t>GasLog</w:t>
            </w:r>
            <w:r>
              <w:rPr>
                <w:rFonts w:ascii="Arial" w:cs="Arial" w:eastAsia="Arial" w:hAnsi="Arial"/>
                <w:sz w:val="21"/>
                <w:szCs w:val="21"/>
                <w:color w:val="auto"/>
                <w:vertAlign w:val="superscript"/>
              </w:rPr>
              <w:t>(1)</w:t>
            </w:r>
          </w:p>
        </w:tc>
        <w:tc>
          <w:tcPr>
            <w:tcW w:w="1920" w:type="dxa"/>
            <w:vAlign w:val="bottom"/>
            <w:gridSpan w:val="3"/>
            <w:shd w:val="clear" w:color="auto" w:fill="E5FFFF"/>
          </w:tcPr>
          <w:p>
            <w:pPr>
              <w:ind w:left="240"/>
              <w:spacing w:after="0"/>
              <w:rPr>
                <w:sz w:val="20"/>
                <w:szCs w:val="20"/>
                <w:color w:val="auto"/>
              </w:rPr>
            </w:pPr>
            <w:r>
              <w:rPr>
                <w:rFonts w:ascii="Arial" w:cs="Arial" w:eastAsia="Arial" w:hAnsi="Arial"/>
                <w:sz w:val="16"/>
                <w:szCs w:val="16"/>
                <w:color w:val="auto"/>
              </w:rPr>
              <w:t>Citibank</w:t>
            </w:r>
          </w:p>
        </w:tc>
        <w:tc>
          <w:tcPr>
            <w:tcW w:w="1320" w:type="dxa"/>
            <w:vAlign w:val="bottom"/>
            <w:gridSpan w:val="2"/>
            <w:shd w:val="clear" w:color="auto" w:fill="E5FFFF"/>
          </w:tcPr>
          <w:p>
            <w:pPr>
              <w:jc w:val="center"/>
              <w:ind w:right="260"/>
              <w:spacing w:after="0"/>
              <w:rPr>
                <w:sz w:val="20"/>
                <w:szCs w:val="20"/>
                <w:color w:val="auto"/>
              </w:rPr>
            </w:pPr>
            <w:r>
              <w:rPr>
                <w:rFonts w:ascii="Arial" w:cs="Arial" w:eastAsia="Arial" w:hAnsi="Arial"/>
                <w:sz w:val="16"/>
                <w:szCs w:val="16"/>
                <w:color w:val="auto"/>
                <w:w w:val="93"/>
              </w:rPr>
              <w:t>May 2018</w:t>
            </w:r>
          </w:p>
        </w:tc>
        <w:tc>
          <w:tcPr>
            <w:tcW w:w="140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0"/>
              </w:rPr>
              <w:t>July 2021</w:t>
            </w:r>
          </w:p>
        </w:tc>
        <w:tc>
          <w:tcPr>
            <w:tcW w:w="142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3"/>
              </w:rPr>
              <w:t>July 2025</w:t>
            </w:r>
          </w:p>
        </w:tc>
        <w:tc>
          <w:tcPr>
            <w:tcW w:w="12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3.095%</w:t>
            </w:r>
          </w:p>
        </w:tc>
        <w:tc>
          <w:tcPr>
            <w:tcW w:w="200" w:type="dxa"/>
            <w:vAlign w:val="bottom"/>
            <w:shd w:val="clear" w:color="auto" w:fill="E5FFFF"/>
          </w:tcPr>
          <w:p>
            <w:pPr>
              <w:spacing w:after="0"/>
              <w:rPr>
                <w:sz w:val="17"/>
                <w:szCs w:val="17"/>
                <w:color w:val="auto"/>
              </w:rPr>
            </w:pPr>
          </w:p>
        </w:tc>
        <w:tc>
          <w:tcPr>
            <w:tcW w:w="1360" w:type="dxa"/>
            <w:vAlign w:val="bottom"/>
            <w:gridSpan w:val="2"/>
            <w:shd w:val="clear" w:color="auto" w:fill="E5FFFF"/>
          </w:tcPr>
          <w:p>
            <w:pPr>
              <w:ind w:left="860"/>
              <w:spacing w:after="0"/>
              <w:rPr>
                <w:sz w:val="20"/>
                <w:szCs w:val="20"/>
                <w:color w:val="auto"/>
              </w:rPr>
            </w:pPr>
            <w:r>
              <w:rPr>
                <w:rFonts w:ascii="Arial" w:cs="Arial" w:eastAsia="Arial" w:hAnsi="Arial"/>
                <w:sz w:val="16"/>
                <w:szCs w:val="16"/>
                <w:color w:val="auto"/>
              </w:rPr>
              <w:t>N/A</w:t>
            </w:r>
          </w:p>
        </w:tc>
        <w:tc>
          <w:tcPr>
            <w:tcW w:w="1120" w:type="dxa"/>
            <w:vAlign w:val="bottom"/>
            <w:shd w:val="clear" w:color="auto" w:fill="E5FFFF"/>
          </w:tcPr>
          <w:p>
            <w:pPr>
              <w:ind w:left="84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7"/>
                <w:szCs w:val="17"/>
                <w:color w:val="auto"/>
              </w:rPr>
            </w:pPr>
          </w:p>
        </w:tc>
      </w:tr>
      <w:tr>
        <w:trPr>
          <w:trHeight w:val="203"/>
        </w:trPr>
        <w:tc>
          <w:tcPr>
            <w:tcW w:w="1420" w:type="dxa"/>
            <w:vAlign w:val="bottom"/>
          </w:tcPr>
          <w:p>
            <w:pPr>
              <w:spacing w:after="0"/>
              <w:rPr>
                <w:sz w:val="20"/>
                <w:szCs w:val="20"/>
                <w:color w:val="auto"/>
              </w:rPr>
            </w:pPr>
            <w:r>
              <w:rPr>
                <w:rFonts w:ascii="Arial" w:cs="Arial" w:eastAsia="Arial" w:hAnsi="Arial"/>
                <w:sz w:val="16"/>
                <w:szCs w:val="16"/>
                <w:color w:val="auto"/>
              </w:rPr>
              <w:t>GasLog</w:t>
            </w:r>
          </w:p>
        </w:tc>
        <w:tc>
          <w:tcPr>
            <w:tcW w:w="1920" w:type="dxa"/>
            <w:vAlign w:val="bottom"/>
            <w:gridSpan w:val="3"/>
          </w:tcPr>
          <w:p>
            <w:pPr>
              <w:ind w:left="240"/>
              <w:spacing w:after="0"/>
              <w:rPr>
                <w:sz w:val="20"/>
                <w:szCs w:val="20"/>
                <w:color w:val="auto"/>
              </w:rPr>
            </w:pPr>
            <w:r>
              <w:rPr>
                <w:rFonts w:ascii="Arial" w:cs="Arial" w:eastAsia="Arial" w:hAnsi="Arial"/>
                <w:sz w:val="16"/>
                <w:szCs w:val="16"/>
                <w:color w:val="auto"/>
              </w:rPr>
              <w:t>SEB</w:t>
            </w: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color w:val="auto"/>
                <w:w w:val="93"/>
              </w:rPr>
              <w:t>Dec 2018</w:t>
            </w:r>
          </w:p>
        </w:tc>
        <w:tc>
          <w:tcPr>
            <w:tcW w:w="1400" w:type="dxa"/>
            <w:vAlign w:val="bottom"/>
            <w:gridSpan w:val="2"/>
          </w:tcPr>
          <w:p>
            <w:pPr>
              <w:jc w:val="center"/>
              <w:ind w:right="200"/>
              <w:spacing w:after="0"/>
              <w:rPr>
                <w:sz w:val="20"/>
                <w:szCs w:val="20"/>
                <w:color w:val="auto"/>
              </w:rPr>
            </w:pPr>
            <w:r>
              <w:rPr>
                <w:rFonts w:ascii="Arial" w:cs="Arial" w:eastAsia="Arial" w:hAnsi="Arial"/>
                <w:sz w:val="16"/>
                <w:szCs w:val="16"/>
                <w:color w:val="auto"/>
                <w:w w:val="92"/>
              </w:rPr>
              <w:t>Oct 2018</w:t>
            </w:r>
          </w:p>
        </w:tc>
        <w:tc>
          <w:tcPr>
            <w:tcW w:w="1420" w:type="dxa"/>
            <w:vAlign w:val="bottom"/>
            <w:gridSpan w:val="2"/>
          </w:tcPr>
          <w:p>
            <w:pPr>
              <w:jc w:val="center"/>
              <w:ind w:right="180"/>
              <w:spacing w:after="0"/>
              <w:rPr>
                <w:sz w:val="20"/>
                <w:szCs w:val="20"/>
                <w:color w:val="auto"/>
              </w:rPr>
            </w:pPr>
            <w:r>
              <w:rPr>
                <w:rFonts w:ascii="Arial" w:cs="Arial" w:eastAsia="Arial" w:hAnsi="Arial"/>
                <w:sz w:val="16"/>
                <w:szCs w:val="16"/>
                <w:color w:val="auto"/>
                <w:w w:val="93"/>
              </w:rPr>
              <w:t>July 2026</w:t>
            </w:r>
          </w:p>
        </w:tc>
        <w:tc>
          <w:tcPr>
            <w:tcW w:w="1260" w:type="dxa"/>
            <w:vAlign w:val="bottom"/>
          </w:tcPr>
          <w:p>
            <w:pPr>
              <w:jc w:val="center"/>
              <w:spacing w:after="0"/>
              <w:rPr>
                <w:sz w:val="20"/>
                <w:szCs w:val="20"/>
                <w:color w:val="auto"/>
              </w:rPr>
            </w:pPr>
            <w:r>
              <w:rPr>
                <w:rFonts w:ascii="Arial" w:cs="Arial" w:eastAsia="Arial" w:hAnsi="Arial"/>
                <w:sz w:val="16"/>
                <w:szCs w:val="16"/>
                <w:color w:val="auto"/>
                <w:w w:val="92"/>
              </w:rPr>
              <w:t>2.745%</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50,000</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50,000</w:t>
            </w:r>
          </w:p>
        </w:tc>
        <w:tc>
          <w:tcPr>
            <w:tcW w:w="20" w:type="dxa"/>
            <w:vAlign w:val="bottom"/>
          </w:tcPr>
          <w:p>
            <w:pPr>
              <w:spacing w:after="0"/>
              <w:rPr>
                <w:sz w:val="17"/>
                <w:szCs w:val="17"/>
                <w:color w:val="auto"/>
              </w:rPr>
            </w:pPr>
          </w:p>
        </w:tc>
      </w:tr>
      <w:tr>
        <w:trPr>
          <w:trHeight w:val="203"/>
        </w:trPr>
        <w:tc>
          <w:tcPr>
            <w:tcW w:w="1420" w:type="dxa"/>
            <w:vAlign w:val="bottom"/>
            <w:shd w:val="clear" w:color="auto" w:fill="E5FFFF"/>
          </w:tcPr>
          <w:p>
            <w:pPr>
              <w:spacing w:after="0"/>
              <w:rPr>
                <w:sz w:val="20"/>
                <w:szCs w:val="20"/>
                <w:color w:val="auto"/>
              </w:rPr>
            </w:pPr>
            <w:r>
              <w:rPr>
                <w:rFonts w:ascii="Arial" w:cs="Arial" w:eastAsia="Arial" w:hAnsi="Arial"/>
                <w:sz w:val="16"/>
                <w:szCs w:val="16"/>
                <w:color w:val="auto"/>
              </w:rPr>
              <w:t>GasLog</w:t>
            </w:r>
          </w:p>
        </w:tc>
        <w:tc>
          <w:tcPr>
            <w:tcW w:w="1920" w:type="dxa"/>
            <w:vAlign w:val="bottom"/>
            <w:gridSpan w:val="3"/>
            <w:shd w:val="clear" w:color="auto" w:fill="E5FFFF"/>
          </w:tcPr>
          <w:p>
            <w:pPr>
              <w:ind w:left="240"/>
              <w:spacing w:after="0"/>
              <w:rPr>
                <w:sz w:val="20"/>
                <w:szCs w:val="20"/>
                <w:color w:val="auto"/>
              </w:rPr>
            </w:pPr>
            <w:r>
              <w:rPr>
                <w:rFonts w:ascii="Arial" w:cs="Arial" w:eastAsia="Arial" w:hAnsi="Arial"/>
                <w:sz w:val="16"/>
                <w:szCs w:val="16"/>
                <w:color w:val="auto"/>
              </w:rPr>
              <w:t>Nordea</w:t>
            </w:r>
          </w:p>
        </w:tc>
        <w:tc>
          <w:tcPr>
            <w:tcW w:w="1320" w:type="dxa"/>
            <w:vAlign w:val="bottom"/>
            <w:gridSpan w:val="2"/>
            <w:shd w:val="clear" w:color="auto" w:fill="E5FFFF"/>
          </w:tcPr>
          <w:p>
            <w:pPr>
              <w:jc w:val="center"/>
              <w:ind w:right="240"/>
              <w:spacing w:after="0"/>
              <w:rPr>
                <w:sz w:val="20"/>
                <w:szCs w:val="20"/>
                <w:color w:val="auto"/>
              </w:rPr>
            </w:pPr>
            <w:r>
              <w:rPr>
                <w:rFonts w:ascii="Arial" w:cs="Arial" w:eastAsia="Arial" w:hAnsi="Arial"/>
                <w:sz w:val="16"/>
                <w:szCs w:val="16"/>
                <w:color w:val="auto"/>
                <w:w w:val="93"/>
              </w:rPr>
              <w:t>Dec 2018</w:t>
            </w:r>
          </w:p>
        </w:tc>
        <w:tc>
          <w:tcPr>
            <w:tcW w:w="1400" w:type="dxa"/>
            <w:vAlign w:val="bottom"/>
            <w:gridSpan w:val="2"/>
            <w:shd w:val="clear" w:color="auto" w:fill="E5FFFF"/>
          </w:tcPr>
          <w:p>
            <w:pPr>
              <w:jc w:val="center"/>
              <w:ind w:right="200"/>
              <w:spacing w:after="0"/>
              <w:rPr>
                <w:sz w:val="20"/>
                <w:szCs w:val="20"/>
                <w:color w:val="auto"/>
              </w:rPr>
            </w:pPr>
            <w:r>
              <w:rPr>
                <w:rFonts w:ascii="Arial" w:cs="Arial" w:eastAsia="Arial" w:hAnsi="Arial"/>
                <w:sz w:val="16"/>
                <w:szCs w:val="16"/>
                <w:color w:val="auto"/>
                <w:w w:val="92"/>
              </w:rPr>
              <w:t>Oct 2018</w:t>
            </w:r>
          </w:p>
        </w:tc>
        <w:tc>
          <w:tcPr>
            <w:tcW w:w="142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3"/>
              </w:rPr>
              <w:t>July 2028</w:t>
            </w:r>
          </w:p>
        </w:tc>
        <w:tc>
          <w:tcPr>
            <w:tcW w:w="12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2.793%</w:t>
            </w:r>
          </w:p>
        </w:tc>
        <w:tc>
          <w:tcPr>
            <w:tcW w:w="200" w:type="dxa"/>
            <w:vAlign w:val="bottom"/>
            <w:shd w:val="clear" w:color="auto" w:fill="E5FFFF"/>
          </w:tcPr>
          <w:p>
            <w:pPr>
              <w:spacing w:after="0"/>
              <w:rPr>
                <w:sz w:val="17"/>
                <w:szCs w:val="17"/>
                <w:color w:val="auto"/>
              </w:rPr>
            </w:pPr>
          </w:p>
        </w:tc>
        <w:tc>
          <w:tcPr>
            <w:tcW w:w="11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66,667</w:t>
            </w:r>
          </w:p>
        </w:tc>
        <w:tc>
          <w:tcPr>
            <w:tcW w:w="240" w:type="dxa"/>
            <w:vAlign w:val="bottom"/>
            <w:shd w:val="clear" w:color="auto" w:fill="E5FFFF"/>
          </w:tcPr>
          <w:p>
            <w:pPr>
              <w:spacing w:after="0"/>
              <w:rPr>
                <w:sz w:val="17"/>
                <w:szCs w:val="17"/>
                <w:color w:val="auto"/>
              </w:rPr>
            </w:pPr>
          </w:p>
        </w:tc>
        <w:tc>
          <w:tcPr>
            <w:tcW w:w="11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66,667</w:t>
            </w:r>
          </w:p>
        </w:tc>
        <w:tc>
          <w:tcPr>
            <w:tcW w:w="20" w:type="dxa"/>
            <w:vAlign w:val="bottom"/>
          </w:tcPr>
          <w:p>
            <w:pPr>
              <w:spacing w:after="0"/>
              <w:rPr>
                <w:sz w:val="17"/>
                <w:szCs w:val="17"/>
                <w:color w:val="auto"/>
              </w:rPr>
            </w:pPr>
          </w:p>
        </w:tc>
      </w:tr>
      <w:tr>
        <w:trPr>
          <w:trHeight w:val="203"/>
        </w:trPr>
        <w:tc>
          <w:tcPr>
            <w:tcW w:w="1420" w:type="dxa"/>
            <w:vAlign w:val="bottom"/>
          </w:tcPr>
          <w:p>
            <w:pPr>
              <w:spacing w:after="0"/>
              <w:rPr>
                <w:sz w:val="20"/>
                <w:szCs w:val="20"/>
                <w:color w:val="auto"/>
              </w:rPr>
            </w:pPr>
            <w:r>
              <w:rPr>
                <w:rFonts w:ascii="Arial" w:cs="Arial" w:eastAsia="Arial" w:hAnsi="Arial"/>
                <w:sz w:val="16"/>
                <w:szCs w:val="16"/>
                <w:color w:val="auto"/>
              </w:rPr>
              <w:t>GasLog</w:t>
            </w:r>
          </w:p>
        </w:tc>
        <w:tc>
          <w:tcPr>
            <w:tcW w:w="1920" w:type="dxa"/>
            <w:vAlign w:val="bottom"/>
            <w:gridSpan w:val="3"/>
          </w:tcPr>
          <w:p>
            <w:pPr>
              <w:ind w:left="240"/>
              <w:spacing w:after="0"/>
              <w:rPr>
                <w:sz w:val="20"/>
                <w:szCs w:val="20"/>
                <w:color w:val="auto"/>
              </w:rPr>
            </w:pPr>
            <w:r>
              <w:rPr>
                <w:rFonts w:ascii="Arial" w:cs="Arial" w:eastAsia="Arial" w:hAnsi="Arial"/>
                <w:sz w:val="16"/>
                <w:szCs w:val="16"/>
                <w:color w:val="auto"/>
              </w:rPr>
              <w:t>DNB</w:t>
            </w: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color w:val="auto"/>
                <w:w w:val="93"/>
              </w:rPr>
              <w:t>Dec 2018</w:t>
            </w:r>
          </w:p>
        </w:tc>
        <w:tc>
          <w:tcPr>
            <w:tcW w:w="1400" w:type="dxa"/>
            <w:vAlign w:val="bottom"/>
            <w:gridSpan w:val="2"/>
          </w:tcPr>
          <w:p>
            <w:pPr>
              <w:jc w:val="center"/>
              <w:ind w:right="180"/>
              <w:spacing w:after="0"/>
              <w:rPr>
                <w:sz w:val="20"/>
                <w:szCs w:val="20"/>
                <w:color w:val="auto"/>
              </w:rPr>
            </w:pPr>
            <w:r>
              <w:rPr>
                <w:rFonts w:ascii="Arial" w:cs="Arial" w:eastAsia="Arial" w:hAnsi="Arial"/>
                <w:sz w:val="16"/>
                <w:szCs w:val="16"/>
                <w:color w:val="auto"/>
                <w:w w:val="88"/>
              </w:rPr>
              <w:t>Jan 2019</w:t>
            </w:r>
          </w:p>
        </w:tc>
        <w:tc>
          <w:tcPr>
            <w:tcW w:w="1420" w:type="dxa"/>
            <w:vAlign w:val="bottom"/>
            <w:gridSpan w:val="2"/>
          </w:tcPr>
          <w:p>
            <w:pPr>
              <w:jc w:val="center"/>
              <w:ind w:right="180"/>
              <w:spacing w:after="0"/>
              <w:rPr>
                <w:sz w:val="20"/>
                <w:szCs w:val="20"/>
                <w:color w:val="auto"/>
              </w:rPr>
            </w:pPr>
            <w:r>
              <w:rPr>
                <w:rFonts w:ascii="Arial" w:cs="Arial" w:eastAsia="Arial" w:hAnsi="Arial"/>
                <w:sz w:val="16"/>
                <w:szCs w:val="16"/>
                <w:color w:val="auto"/>
                <w:w w:val="93"/>
              </w:rPr>
              <w:t>July 2025</w:t>
            </w:r>
          </w:p>
        </w:tc>
        <w:tc>
          <w:tcPr>
            <w:tcW w:w="1260" w:type="dxa"/>
            <w:vAlign w:val="bottom"/>
          </w:tcPr>
          <w:p>
            <w:pPr>
              <w:jc w:val="center"/>
              <w:spacing w:after="0"/>
              <w:rPr>
                <w:sz w:val="20"/>
                <w:szCs w:val="20"/>
                <w:color w:val="auto"/>
              </w:rPr>
            </w:pPr>
            <w:r>
              <w:rPr>
                <w:rFonts w:ascii="Arial" w:cs="Arial" w:eastAsia="Arial" w:hAnsi="Arial"/>
                <w:sz w:val="16"/>
                <w:szCs w:val="16"/>
                <w:color w:val="auto"/>
                <w:w w:val="92"/>
              </w:rPr>
              <w:t>2.685%</w:t>
            </w:r>
          </w:p>
        </w:tc>
        <w:tc>
          <w:tcPr>
            <w:tcW w:w="200" w:type="dxa"/>
            <w:vAlign w:val="bottom"/>
          </w:tcPr>
          <w:p>
            <w:pPr>
              <w:spacing w:after="0"/>
              <w:rPr>
                <w:sz w:val="17"/>
                <w:szCs w:val="17"/>
                <w:color w:val="auto"/>
              </w:rPr>
            </w:pPr>
          </w:p>
        </w:tc>
        <w:tc>
          <w:tcPr>
            <w:tcW w:w="1360" w:type="dxa"/>
            <w:vAlign w:val="bottom"/>
            <w:gridSpan w:val="2"/>
          </w:tcPr>
          <w:p>
            <w:pPr>
              <w:ind w:left="860"/>
              <w:spacing w:after="0"/>
              <w:rPr>
                <w:sz w:val="20"/>
                <w:szCs w:val="20"/>
                <w:color w:val="auto"/>
              </w:rPr>
            </w:pPr>
            <w:r>
              <w:rPr>
                <w:rFonts w:ascii="Arial" w:cs="Arial" w:eastAsia="Arial" w:hAnsi="Arial"/>
                <w:sz w:val="16"/>
                <w:szCs w:val="16"/>
                <w:color w:val="auto"/>
              </w:rPr>
              <w:t>N/A</w:t>
            </w:r>
          </w:p>
        </w:tc>
        <w:tc>
          <w:tcPr>
            <w:tcW w:w="1120" w:type="dxa"/>
            <w:vAlign w:val="bottom"/>
          </w:tcPr>
          <w:p>
            <w:pPr>
              <w:jc w:val="right"/>
              <w:spacing w:after="0"/>
              <w:rPr>
                <w:sz w:val="20"/>
                <w:szCs w:val="20"/>
                <w:color w:val="auto"/>
              </w:rPr>
            </w:pPr>
            <w:r>
              <w:rPr>
                <w:rFonts w:ascii="Arial" w:cs="Arial" w:eastAsia="Arial" w:hAnsi="Arial"/>
                <w:sz w:val="16"/>
                <w:szCs w:val="16"/>
                <w:color w:val="auto"/>
              </w:rPr>
              <w:t>73,333</w:t>
            </w:r>
          </w:p>
        </w:tc>
        <w:tc>
          <w:tcPr>
            <w:tcW w:w="20" w:type="dxa"/>
            <w:vAlign w:val="bottom"/>
          </w:tcPr>
          <w:p>
            <w:pPr>
              <w:spacing w:after="0"/>
              <w:rPr>
                <w:sz w:val="17"/>
                <w:szCs w:val="17"/>
                <w:color w:val="auto"/>
              </w:rPr>
            </w:pPr>
          </w:p>
        </w:tc>
      </w:tr>
      <w:tr>
        <w:trPr>
          <w:trHeight w:val="203"/>
        </w:trPr>
        <w:tc>
          <w:tcPr>
            <w:tcW w:w="1420" w:type="dxa"/>
            <w:vAlign w:val="bottom"/>
            <w:shd w:val="clear" w:color="auto" w:fill="E5FFFF"/>
          </w:tcPr>
          <w:p>
            <w:pPr>
              <w:spacing w:after="0" w:line="203" w:lineRule="exact"/>
              <w:rPr>
                <w:sz w:val="20"/>
                <w:szCs w:val="20"/>
                <w:color w:val="auto"/>
              </w:rPr>
            </w:pPr>
            <w:r>
              <w:rPr>
                <w:rFonts w:ascii="Arial" w:cs="Arial" w:eastAsia="Arial" w:hAnsi="Arial"/>
                <w:sz w:val="16"/>
                <w:szCs w:val="16"/>
                <w:color w:val="auto"/>
              </w:rPr>
              <w:t>GasLog</w:t>
            </w:r>
            <w:r>
              <w:rPr>
                <w:rFonts w:ascii="Arial" w:cs="Arial" w:eastAsia="Arial" w:hAnsi="Arial"/>
                <w:sz w:val="21"/>
                <w:szCs w:val="21"/>
                <w:color w:val="auto"/>
                <w:vertAlign w:val="superscript"/>
              </w:rPr>
              <w:t>(2)</w:t>
            </w:r>
          </w:p>
        </w:tc>
        <w:tc>
          <w:tcPr>
            <w:tcW w:w="1920" w:type="dxa"/>
            <w:vAlign w:val="bottom"/>
            <w:gridSpan w:val="3"/>
            <w:shd w:val="clear" w:color="auto" w:fill="E5FFFF"/>
          </w:tcPr>
          <w:p>
            <w:pPr>
              <w:ind w:left="240"/>
              <w:spacing w:after="0"/>
              <w:rPr>
                <w:sz w:val="20"/>
                <w:szCs w:val="20"/>
                <w:color w:val="auto"/>
              </w:rPr>
            </w:pPr>
            <w:r>
              <w:rPr>
                <w:rFonts w:ascii="Arial" w:cs="Arial" w:eastAsia="Arial" w:hAnsi="Arial"/>
                <w:sz w:val="16"/>
                <w:szCs w:val="16"/>
                <w:color w:val="auto"/>
              </w:rPr>
              <w:t>SEB</w:t>
            </w:r>
          </w:p>
        </w:tc>
        <w:tc>
          <w:tcPr>
            <w:tcW w:w="1320" w:type="dxa"/>
            <w:vAlign w:val="bottom"/>
            <w:gridSpan w:val="2"/>
            <w:shd w:val="clear" w:color="auto" w:fill="E5FFFF"/>
          </w:tcPr>
          <w:p>
            <w:pPr>
              <w:jc w:val="center"/>
              <w:ind w:right="240"/>
              <w:spacing w:after="0"/>
              <w:rPr>
                <w:sz w:val="20"/>
                <w:szCs w:val="20"/>
                <w:color w:val="auto"/>
              </w:rPr>
            </w:pPr>
            <w:r>
              <w:rPr>
                <w:rFonts w:ascii="Arial" w:cs="Arial" w:eastAsia="Arial" w:hAnsi="Arial"/>
                <w:sz w:val="16"/>
                <w:szCs w:val="16"/>
                <w:color w:val="auto"/>
                <w:w w:val="93"/>
              </w:rPr>
              <w:t>Dec 2018</w:t>
            </w:r>
          </w:p>
        </w:tc>
        <w:tc>
          <w:tcPr>
            <w:tcW w:w="140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0"/>
              </w:rPr>
              <w:t>July 2020</w:t>
            </w:r>
          </w:p>
        </w:tc>
        <w:tc>
          <w:tcPr>
            <w:tcW w:w="142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3"/>
              </w:rPr>
              <w:t>July 2024</w:t>
            </w:r>
          </w:p>
        </w:tc>
        <w:tc>
          <w:tcPr>
            <w:tcW w:w="12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2.958%</w:t>
            </w:r>
          </w:p>
        </w:tc>
        <w:tc>
          <w:tcPr>
            <w:tcW w:w="200" w:type="dxa"/>
            <w:vAlign w:val="bottom"/>
            <w:shd w:val="clear" w:color="auto" w:fill="E5FFFF"/>
          </w:tcPr>
          <w:p>
            <w:pPr>
              <w:spacing w:after="0"/>
              <w:rPr>
                <w:sz w:val="17"/>
                <w:szCs w:val="17"/>
                <w:color w:val="auto"/>
              </w:rPr>
            </w:pPr>
          </w:p>
        </w:tc>
        <w:tc>
          <w:tcPr>
            <w:tcW w:w="1360" w:type="dxa"/>
            <w:vAlign w:val="bottom"/>
            <w:gridSpan w:val="2"/>
            <w:shd w:val="clear" w:color="auto" w:fill="E5FFFF"/>
          </w:tcPr>
          <w:p>
            <w:pPr>
              <w:ind w:left="860"/>
              <w:spacing w:after="0"/>
              <w:rPr>
                <w:sz w:val="20"/>
                <w:szCs w:val="20"/>
                <w:color w:val="auto"/>
              </w:rPr>
            </w:pPr>
            <w:r>
              <w:rPr>
                <w:rFonts w:ascii="Arial" w:cs="Arial" w:eastAsia="Arial" w:hAnsi="Arial"/>
                <w:sz w:val="16"/>
                <w:szCs w:val="16"/>
                <w:color w:val="auto"/>
              </w:rPr>
              <w:t>N/A</w:t>
            </w:r>
          </w:p>
        </w:tc>
        <w:tc>
          <w:tcPr>
            <w:tcW w:w="1120" w:type="dxa"/>
            <w:vAlign w:val="bottom"/>
            <w:shd w:val="clear" w:color="auto" w:fill="E5FFFF"/>
          </w:tcPr>
          <w:p>
            <w:pPr>
              <w:ind w:left="84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7"/>
                <w:szCs w:val="17"/>
                <w:color w:val="auto"/>
              </w:rPr>
            </w:pPr>
          </w:p>
        </w:tc>
      </w:tr>
      <w:tr>
        <w:trPr>
          <w:trHeight w:val="203"/>
        </w:trPr>
        <w:tc>
          <w:tcPr>
            <w:tcW w:w="1420" w:type="dxa"/>
            <w:vAlign w:val="bottom"/>
          </w:tcPr>
          <w:p>
            <w:pPr>
              <w:spacing w:after="0" w:line="203" w:lineRule="exact"/>
              <w:rPr>
                <w:sz w:val="20"/>
                <w:szCs w:val="20"/>
                <w:color w:val="auto"/>
              </w:rPr>
            </w:pPr>
            <w:r>
              <w:rPr>
                <w:rFonts w:ascii="Arial" w:cs="Arial" w:eastAsia="Arial" w:hAnsi="Arial"/>
                <w:sz w:val="16"/>
                <w:szCs w:val="16"/>
                <w:color w:val="auto"/>
              </w:rPr>
              <w:t>GasLog</w:t>
            </w:r>
            <w:r>
              <w:rPr>
                <w:rFonts w:ascii="Arial" w:cs="Arial" w:eastAsia="Arial" w:hAnsi="Arial"/>
                <w:sz w:val="21"/>
                <w:szCs w:val="21"/>
                <w:color w:val="auto"/>
                <w:vertAlign w:val="superscript"/>
              </w:rPr>
              <w:t>(2)</w:t>
            </w:r>
          </w:p>
        </w:tc>
        <w:tc>
          <w:tcPr>
            <w:tcW w:w="1920" w:type="dxa"/>
            <w:vAlign w:val="bottom"/>
            <w:gridSpan w:val="3"/>
          </w:tcPr>
          <w:p>
            <w:pPr>
              <w:ind w:left="240"/>
              <w:spacing w:after="0"/>
              <w:rPr>
                <w:sz w:val="20"/>
                <w:szCs w:val="20"/>
                <w:color w:val="auto"/>
              </w:rPr>
            </w:pPr>
            <w:r>
              <w:rPr>
                <w:rFonts w:ascii="Arial" w:cs="Arial" w:eastAsia="Arial" w:hAnsi="Arial"/>
                <w:sz w:val="16"/>
                <w:szCs w:val="16"/>
                <w:color w:val="auto"/>
              </w:rPr>
              <w:t>Nordea</w:t>
            </w: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color w:val="auto"/>
                <w:w w:val="93"/>
              </w:rPr>
              <w:t>Dec 2018</w:t>
            </w:r>
          </w:p>
        </w:tc>
        <w:tc>
          <w:tcPr>
            <w:tcW w:w="140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July 2020</w:t>
            </w:r>
          </w:p>
        </w:tc>
        <w:tc>
          <w:tcPr>
            <w:tcW w:w="1420" w:type="dxa"/>
            <w:vAlign w:val="bottom"/>
            <w:gridSpan w:val="2"/>
          </w:tcPr>
          <w:p>
            <w:pPr>
              <w:jc w:val="center"/>
              <w:ind w:right="180"/>
              <w:spacing w:after="0"/>
              <w:rPr>
                <w:sz w:val="20"/>
                <w:szCs w:val="20"/>
                <w:color w:val="auto"/>
              </w:rPr>
            </w:pPr>
            <w:r>
              <w:rPr>
                <w:rFonts w:ascii="Arial" w:cs="Arial" w:eastAsia="Arial" w:hAnsi="Arial"/>
                <w:sz w:val="16"/>
                <w:szCs w:val="16"/>
                <w:color w:val="auto"/>
                <w:w w:val="93"/>
              </w:rPr>
              <w:t>July 2024</w:t>
            </w:r>
          </w:p>
        </w:tc>
        <w:tc>
          <w:tcPr>
            <w:tcW w:w="1260" w:type="dxa"/>
            <w:vAlign w:val="bottom"/>
          </w:tcPr>
          <w:p>
            <w:pPr>
              <w:jc w:val="center"/>
              <w:spacing w:after="0"/>
              <w:rPr>
                <w:sz w:val="20"/>
                <w:szCs w:val="20"/>
                <w:color w:val="auto"/>
              </w:rPr>
            </w:pPr>
            <w:r>
              <w:rPr>
                <w:rFonts w:ascii="Arial" w:cs="Arial" w:eastAsia="Arial" w:hAnsi="Arial"/>
                <w:sz w:val="16"/>
                <w:szCs w:val="16"/>
                <w:color w:val="auto"/>
                <w:w w:val="92"/>
              </w:rPr>
              <w:t>2.937%</w:t>
            </w:r>
          </w:p>
        </w:tc>
        <w:tc>
          <w:tcPr>
            <w:tcW w:w="200" w:type="dxa"/>
            <w:vAlign w:val="bottom"/>
          </w:tcPr>
          <w:p>
            <w:pPr>
              <w:spacing w:after="0"/>
              <w:rPr>
                <w:sz w:val="17"/>
                <w:szCs w:val="17"/>
                <w:color w:val="auto"/>
              </w:rPr>
            </w:pPr>
          </w:p>
        </w:tc>
        <w:tc>
          <w:tcPr>
            <w:tcW w:w="1360" w:type="dxa"/>
            <w:vAlign w:val="bottom"/>
            <w:gridSpan w:val="2"/>
          </w:tcPr>
          <w:p>
            <w:pPr>
              <w:ind w:left="860"/>
              <w:spacing w:after="0"/>
              <w:rPr>
                <w:sz w:val="20"/>
                <w:szCs w:val="20"/>
                <w:color w:val="auto"/>
              </w:rPr>
            </w:pPr>
            <w:r>
              <w:rPr>
                <w:rFonts w:ascii="Arial" w:cs="Arial" w:eastAsia="Arial" w:hAnsi="Arial"/>
                <w:sz w:val="16"/>
                <w:szCs w:val="16"/>
                <w:color w:val="auto"/>
              </w:rPr>
              <w:t>N/A</w:t>
            </w:r>
          </w:p>
        </w:tc>
        <w:tc>
          <w:tcPr>
            <w:tcW w:w="1120" w:type="dxa"/>
            <w:vAlign w:val="bottom"/>
          </w:tcPr>
          <w:p>
            <w:pPr>
              <w:ind w:left="84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7"/>
                <w:szCs w:val="17"/>
                <w:color w:val="auto"/>
              </w:rPr>
            </w:pPr>
          </w:p>
        </w:tc>
      </w:tr>
      <w:tr>
        <w:trPr>
          <w:trHeight w:val="203"/>
        </w:trPr>
        <w:tc>
          <w:tcPr>
            <w:tcW w:w="1420" w:type="dxa"/>
            <w:vAlign w:val="bottom"/>
            <w:shd w:val="clear" w:color="auto" w:fill="E5FFFF"/>
          </w:tcPr>
          <w:p>
            <w:pPr>
              <w:spacing w:after="0" w:line="203" w:lineRule="exact"/>
              <w:rPr>
                <w:sz w:val="20"/>
                <w:szCs w:val="20"/>
                <w:color w:val="auto"/>
              </w:rPr>
            </w:pPr>
            <w:r>
              <w:rPr>
                <w:rFonts w:ascii="Arial" w:cs="Arial" w:eastAsia="Arial" w:hAnsi="Arial"/>
                <w:sz w:val="16"/>
                <w:szCs w:val="16"/>
                <w:color w:val="auto"/>
              </w:rPr>
              <w:t>GasLog</w:t>
            </w:r>
            <w:r>
              <w:rPr>
                <w:rFonts w:ascii="Arial" w:cs="Arial" w:eastAsia="Arial" w:hAnsi="Arial"/>
                <w:sz w:val="21"/>
                <w:szCs w:val="21"/>
                <w:color w:val="auto"/>
                <w:vertAlign w:val="superscript"/>
              </w:rPr>
              <w:t>(2)</w:t>
            </w:r>
          </w:p>
        </w:tc>
        <w:tc>
          <w:tcPr>
            <w:tcW w:w="1920" w:type="dxa"/>
            <w:vAlign w:val="bottom"/>
            <w:gridSpan w:val="3"/>
            <w:shd w:val="clear" w:color="auto" w:fill="E5FFFF"/>
          </w:tcPr>
          <w:p>
            <w:pPr>
              <w:ind w:left="240"/>
              <w:spacing w:after="0"/>
              <w:rPr>
                <w:sz w:val="20"/>
                <w:szCs w:val="20"/>
                <w:color w:val="auto"/>
              </w:rPr>
            </w:pPr>
            <w:r>
              <w:rPr>
                <w:rFonts w:ascii="Arial" w:cs="Arial" w:eastAsia="Arial" w:hAnsi="Arial"/>
                <w:sz w:val="16"/>
                <w:szCs w:val="16"/>
                <w:color w:val="auto"/>
              </w:rPr>
              <w:t>DNB</w:t>
            </w:r>
          </w:p>
        </w:tc>
        <w:tc>
          <w:tcPr>
            <w:tcW w:w="1320" w:type="dxa"/>
            <w:vAlign w:val="bottom"/>
            <w:gridSpan w:val="2"/>
            <w:shd w:val="clear" w:color="auto" w:fill="E5FFFF"/>
          </w:tcPr>
          <w:p>
            <w:pPr>
              <w:jc w:val="center"/>
              <w:ind w:right="240"/>
              <w:spacing w:after="0"/>
              <w:rPr>
                <w:sz w:val="20"/>
                <w:szCs w:val="20"/>
                <w:color w:val="auto"/>
              </w:rPr>
            </w:pPr>
            <w:r>
              <w:rPr>
                <w:rFonts w:ascii="Arial" w:cs="Arial" w:eastAsia="Arial" w:hAnsi="Arial"/>
                <w:sz w:val="16"/>
                <w:szCs w:val="16"/>
                <w:color w:val="auto"/>
                <w:w w:val="93"/>
              </w:rPr>
              <w:t>Dec 2018</w:t>
            </w:r>
          </w:p>
        </w:tc>
        <w:tc>
          <w:tcPr>
            <w:tcW w:w="140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7"/>
              </w:rPr>
              <w:t>April 2020</w:t>
            </w:r>
          </w:p>
        </w:tc>
        <w:tc>
          <w:tcPr>
            <w:tcW w:w="1420" w:type="dxa"/>
            <w:vAlign w:val="bottom"/>
            <w:gridSpan w:val="2"/>
            <w:shd w:val="clear" w:color="auto" w:fill="E5FFFF"/>
          </w:tcPr>
          <w:p>
            <w:pPr>
              <w:jc w:val="center"/>
              <w:ind w:right="200"/>
              <w:spacing w:after="0"/>
              <w:rPr>
                <w:sz w:val="20"/>
                <w:szCs w:val="20"/>
                <w:color w:val="auto"/>
              </w:rPr>
            </w:pPr>
            <w:r>
              <w:rPr>
                <w:rFonts w:ascii="Arial" w:cs="Arial" w:eastAsia="Arial" w:hAnsi="Arial"/>
                <w:sz w:val="16"/>
                <w:szCs w:val="16"/>
                <w:color w:val="auto"/>
                <w:w w:val="97"/>
              </w:rPr>
              <w:t>April 2025</w:t>
            </w:r>
          </w:p>
        </w:tc>
        <w:tc>
          <w:tcPr>
            <w:tcW w:w="12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2.979%</w:t>
            </w:r>
          </w:p>
        </w:tc>
        <w:tc>
          <w:tcPr>
            <w:tcW w:w="200" w:type="dxa"/>
            <w:vAlign w:val="bottom"/>
            <w:shd w:val="clear" w:color="auto" w:fill="E5FFFF"/>
          </w:tcPr>
          <w:p>
            <w:pPr>
              <w:spacing w:after="0"/>
              <w:rPr>
                <w:sz w:val="17"/>
                <w:szCs w:val="17"/>
                <w:color w:val="auto"/>
              </w:rPr>
            </w:pPr>
          </w:p>
        </w:tc>
        <w:tc>
          <w:tcPr>
            <w:tcW w:w="1360" w:type="dxa"/>
            <w:vAlign w:val="bottom"/>
            <w:gridSpan w:val="2"/>
            <w:shd w:val="clear" w:color="auto" w:fill="E5FFFF"/>
          </w:tcPr>
          <w:p>
            <w:pPr>
              <w:ind w:left="860"/>
              <w:spacing w:after="0"/>
              <w:rPr>
                <w:sz w:val="20"/>
                <w:szCs w:val="20"/>
                <w:color w:val="auto"/>
              </w:rPr>
            </w:pPr>
            <w:r>
              <w:rPr>
                <w:rFonts w:ascii="Arial" w:cs="Arial" w:eastAsia="Arial" w:hAnsi="Arial"/>
                <w:sz w:val="16"/>
                <w:szCs w:val="16"/>
                <w:color w:val="auto"/>
              </w:rPr>
              <w:t>N/A</w:t>
            </w:r>
          </w:p>
        </w:tc>
        <w:tc>
          <w:tcPr>
            <w:tcW w:w="1120" w:type="dxa"/>
            <w:vAlign w:val="bottom"/>
            <w:shd w:val="clear" w:color="auto" w:fill="E5FFFF"/>
          </w:tcPr>
          <w:p>
            <w:pPr>
              <w:ind w:left="84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Total</w:t>
            </w:r>
          </w:p>
        </w:tc>
        <w:tc>
          <w:tcPr>
            <w:tcW w:w="20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1,170,000</w:t>
            </w:r>
          </w:p>
        </w:tc>
        <w:tc>
          <w:tcPr>
            <w:tcW w:w="24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1,170,000</w:t>
            </w:r>
          </w:p>
        </w:tc>
        <w:tc>
          <w:tcPr>
            <w:tcW w:w="20" w:type="dxa"/>
            <w:vAlign w:val="bottom"/>
            <w:tcBorders>
              <w:bottom w:val="single" w:sz="8" w:color="auto"/>
            </w:tcBorders>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7" w:lineRule="exact"/>
        <w:rPr>
          <w:sz w:val="20"/>
          <w:szCs w:val="20"/>
          <w:color w:val="auto"/>
        </w:rPr>
      </w:pPr>
    </w:p>
    <w:p>
      <w:pPr>
        <w:ind w:left="260" w:right="600" w:hanging="124"/>
        <w:spacing w:after="0" w:line="238" w:lineRule="auto"/>
        <w:tabs>
          <w:tab w:leader="none" w:pos="260" w:val="left"/>
        </w:tabs>
        <w:numPr>
          <w:ilvl w:val="0"/>
          <w:numId w:val="24"/>
        </w:numPr>
        <w:rPr>
          <w:rFonts w:ascii="Arial" w:cs="Arial" w:eastAsia="Arial" w:hAnsi="Arial"/>
          <w:sz w:val="15"/>
          <w:szCs w:val="15"/>
          <w:color w:val="auto"/>
          <w:vertAlign w:val="superscript"/>
        </w:rPr>
      </w:pPr>
      <w:r>
        <w:rPr>
          <w:rFonts w:ascii="Arial" w:cs="Arial" w:eastAsia="Arial" w:hAnsi="Arial"/>
          <w:sz w:val="12"/>
          <w:szCs w:val="12"/>
          <w:color w:val="auto"/>
        </w:rPr>
        <w:t>In May 2018, the Group entered into new interest rate swap agreements with various counterparties with an aggregate notional value of $250,000, with effective dates in July 2020 and July 2021, maturing between 2024 and 2026.</w:t>
      </w:r>
    </w:p>
    <w:p>
      <w:pPr>
        <w:spacing w:after="0" w:line="1" w:lineRule="exact"/>
        <w:rPr>
          <w:rFonts w:ascii="Arial" w:cs="Arial" w:eastAsia="Arial" w:hAnsi="Arial"/>
          <w:sz w:val="15"/>
          <w:szCs w:val="15"/>
          <w:color w:val="auto"/>
          <w:vertAlign w:val="superscript"/>
        </w:rPr>
      </w:pPr>
    </w:p>
    <w:p>
      <w:pPr>
        <w:ind w:left="260" w:right="500" w:hanging="124"/>
        <w:spacing w:after="0" w:line="214" w:lineRule="auto"/>
        <w:tabs>
          <w:tab w:leader="none" w:pos="282" w:val="left"/>
        </w:tabs>
        <w:numPr>
          <w:ilvl w:val="0"/>
          <w:numId w:val="24"/>
        </w:numPr>
        <w:rPr>
          <w:rFonts w:ascii="Arial" w:cs="Arial" w:eastAsia="Arial" w:hAnsi="Arial"/>
          <w:sz w:val="17"/>
          <w:szCs w:val="17"/>
          <w:color w:val="auto"/>
          <w:vertAlign w:val="superscript"/>
        </w:rPr>
      </w:pPr>
      <w:r>
        <w:rPr>
          <w:rFonts w:ascii="Arial" w:cs="Arial" w:eastAsia="Arial" w:hAnsi="Arial"/>
          <w:sz w:val="14"/>
          <w:szCs w:val="14"/>
          <w:color w:val="auto"/>
        </w:rPr>
        <w:t>In December 2018, the Group entered into new interest rate swap agreements with various counterparties with an aggregate notional value of $210,000, with effective dates in April and July 2020, maturing between 2024 and 2025.</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42" w:name="page43"/>
    <w:bookmarkEnd w:id="42"/>
    <w:p>
      <w:pPr>
        <w:ind w:right="140" w:firstLine="383"/>
        <w:spacing w:after="0" w:line="293" w:lineRule="auto"/>
        <w:rPr>
          <w:sz w:val="20"/>
          <w:szCs w:val="20"/>
          <w:color w:val="auto"/>
        </w:rPr>
      </w:pPr>
      <w:r>
        <w:rPr>
          <w:rFonts w:ascii="Arial" w:cs="Arial" w:eastAsia="Arial" w:hAnsi="Arial"/>
          <w:sz w:val="15"/>
          <w:szCs w:val="15"/>
          <w:color w:val="auto"/>
        </w:rPr>
        <w:t>The derivative instruments listed above were not designated as cash flow hedging instruments. The change in the fair value of these contracts for the three and nine months ended September 30, 2019 amounted to a net loss of $15,739 and a net loss of $68,444, respectively (for the three and nine months ended September 30, 2018: a net gain of $7,037 and a net gain of $27,188, respectively), which was recognized against profit or loss in the period incurred and is included in Gain/(loss) on derivatives. During the three and nine months ended September 30, 2019, the net loss of $15,739 and $68,444, respectively derived from changes in the LIBOR curve as well as modifications of the Group’s interest swap portfolio that includes interest rate swap agreements with maturities out to 2028.</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Cross currency swap agreements</w:t>
      </w:r>
    </w:p>
    <w:p>
      <w:pPr>
        <w:spacing w:after="0" w:line="239" w:lineRule="exact"/>
        <w:rPr>
          <w:sz w:val="20"/>
          <w:szCs w:val="20"/>
          <w:color w:val="auto"/>
        </w:rPr>
      </w:pPr>
    </w:p>
    <w:p>
      <w:pPr>
        <w:ind w:right="60" w:firstLine="356"/>
        <w:spacing w:after="0" w:line="329" w:lineRule="auto"/>
        <w:rPr>
          <w:sz w:val="20"/>
          <w:szCs w:val="20"/>
          <w:color w:val="auto"/>
        </w:rPr>
      </w:pPr>
      <w:r>
        <w:rPr>
          <w:rFonts w:ascii="Arial" w:cs="Arial" w:eastAsia="Arial" w:hAnsi="Arial"/>
          <w:sz w:val="15"/>
          <w:szCs w:val="15"/>
          <w:color w:val="auto"/>
        </w:rPr>
        <w:t>The Group has entered into cross currency swaps (“CCSs”) which convert the floating interest rate exposure and the variability of the USD functional currency equivalent cash flows into a fixed interest rate and principal on maturity, in order to hedge the Group’s exposure to fluctuations deriving from its NOK 2021 Bonds.</w:t>
      </w:r>
    </w:p>
    <w:p>
      <w:pPr>
        <w:spacing w:after="0" w:line="14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CCSs qualified as cash flow hedging instruments for accounting purposes.</w:t>
      </w:r>
    </w:p>
    <w:p>
      <w:pPr>
        <w:spacing w:after="0" w:line="23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principal terms of the CCSs designated as cash flow hedging instruments are as follows: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gridSpan w:val="4"/>
          </w:tcPr>
          <w:p>
            <w:pPr>
              <w:ind w:left="620"/>
              <w:spacing w:after="0"/>
              <w:rPr>
                <w:sz w:val="20"/>
                <w:szCs w:val="20"/>
                <w:color w:val="auto"/>
              </w:rPr>
            </w:pPr>
            <w:r>
              <w:rPr>
                <w:rFonts w:ascii="Arial" w:cs="Arial" w:eastAsia="Arial" w:hAnsi="Arial"/>
                <w:sz w:val="16"/>
                <w:szCs w:val="16"/>
                <w:b w:val="1"/>
                <w:bCs w:val="1"/>
                <w:color w:val="auto"/>
              </w:rPr>
              <w:t>Notional Amount</w:t>
            </w:r>
          </w:p>
        </w:tc>
      </w:tr>
      <w:tr>
        <w:trPr>
          <w:trHeight w:val="188"/>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Effective</w:t>
            </w:r>
          </w:p>
        </w:tc>
        <w:tc>
          <w:tcPr>
            <w:tcW w:w="15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3"/>
              </w:rPr>
              <w:t>Termination</w:t>
            </w: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Fixed Interest</w:t>
            </w:r>
          </w:p>
        </w:tc>
        <w:tc>
          <w:tcPr>
            <w:tcW w:w="142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6"/>
                <w:szCs w:val="16"/>
                <w:b w:val="1"/>
                <w:bCs w:val="1"/>
                <w:color w:val="auto"/>
              </w:rPr>
              <w:t>December 31,</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September 30,</w:t>
            </w:r>
          </w:p>
        </w:tc>
        <w:tc>
          <w:tcPr>
            <w:tcW w:w="20" w:type="dxa"/>
            <w:vAlign w:val="bottom"/>
          </w:tcPr>
          <w:p>
            <w:pPr>
              <w:spacing w:after="0"/>
              <w:rPr>
                <w:sz w:val="16"/>
                <w:szCs w:val="16"/>
                <w:color w:val="auto"/>
              </w:rPr>
            </w:pPr>
          </w:p>
        </w:tc>
      </w:tr>
      <w:tr>
        <w:trPr>
          <w:trHeight w:val="176"/>
        </w:trPr>
        <w:tc>
          <w:tcPr>
            <w:tcW w:w="1060" w:type="dxa"/>
            <w:vAlign w:val="bottom"/>
            <w:gridSpan w:val="3"/>
          </w:tcPr>
          <w:p>
            <w:pPr>
              <w:spacing w:after="0" w:line="176" w:lineRule="exact"/>
              <w:rPr>
                <w:sz w:val="20"/>
                <w:szCs w:val="20"/>
                <w:color w:val="auto"/>
              </w:rPr>
            </w:pPr>
            <w:r>
              <w:rPr>
                <w:rFonts w:ascii="Arial" w:cs="Arial" w:eastAsia="Arial" w:hAnsi="Arial"/>
                <w:sz w:val="16"/>
                <w:szCs w:val="16"/>
                <w:b w:val="1"/>
                <w:bCs w:val="1"/>
                <w:color w:val="auto"/>
              </w:rPr>
              <w:t>Company</w:t>
            </w:r>
          </w:p>
        </w:tc>
        <w:tc>
          <w:tcPr>
            <w:tcW w:w="360" w:type="dxa"/>
            <w:vAlign w:val="bottom"/>
          </w:tcPr>
          <w:p>
            <w:pPr>
              <w:spacing w:after="0"/>
              <w:rPr>
                <w:sz w:val="15"/>
                <w:szCs w:val="15"/>
                <w:color w:val="auto"/>
              </w:rPr>
            </w:pPr>
          </w:p>
        </w:tc>
        <w:tc>
          <w:tcPr>
            <w:tcW w:w="1880" w:type="dxa"/>
            <w:vAlign w:val="bottom"/>
            <w:gridSpan w:val="2"/>
          </w:tcPr>
          <w:p>
            <w:pPr>
              <w:ind w:left="360"/>
              <w:spacing w:after="0" w:line="176" w:lineRule="exact"/>
              <w:rPr>
                <w:sz w:val="20"/>
                <w:szCs w:val="20"/>
                <w:color w:val="auto"/>
              </w:rPr>
            </w:pPr>
            <w:r>
              <w:rPr>
                <w:rFonts w:ascii="Arial" w:cs="Arial" w:eastAsia="Arial" w:hAnsi="Arial"/>
                <w:sz w:val="16"/>
                <w:szCs w:val="16"/>
                <w:b w:val="1"/>
                <w:bCs w:val="1"/>
                <w:color w:val="auto"/>
              </w:rPr>
              <w:t>Counterparty</w:t>
            </w:r>
          </w:p>
        </w:tc>
        <w:tc>
          <w:tcPr>
            <w:tcW w:w="1400" w:type="dxa"/>
            <w:vAlign w:val="bottom"/>
            <w:gridSpan w:val="2"/>
          </w:tcPr>
          <w:p>
            <w:pPr>
              <w:jc w:val="center"/>
              <w:ind w:right="180"/>
              <w:spacing w:after="0" w:line="176" w:lineRule="exact"/>
              <w:rPr>
                <w:sz w:val="20"/>
                <w:szCs w:val="20"/>
                <w:color w:val="auto"/>
              </w:rPr>
            </w:pPr>
            <w:r>
              <w:rPr>
                <w:rFonts w:ascii="Arial" w:cs="Arial" w:eastAsia="Arial" w:hAnsi="Arial"/>
                <w:sz w:val="16"/>
                <w:szCs w:val="16"/>
                <w:b w:val="1"/>
                <w:bCs w:val="1"/>
                <w:color w:val="auto"/>
                <w:w w:val="94"/>
              </w:rPr>
              <w:t>Trade Date</w:t>
            </w:r>
          </w:p>
        </w:tc>
        <w:tc>
          <w:tcPr>
            <w:tcW w:w="1420" w:type="dxa"/>
            <w:vAlign w:val="bottom"/>
            <w:gridSpan w:val="2"/>
          </w:tcPr>
          <w:p>
            <w:pPr>
              <w:jc w:val="center"/>
              <w:ind w:right="220"/>
              <w:spacing w:after="0" w:line="176" w:lineRule="exact"/>
              <w:rPr>
                <w:sz w:val="20"/>
                <w:szCs w:val="20"/>
                <w:color w:val="auto"/>
              </w:rPr>
            </w:pPr>
            <w:r>
              <w:rPr>
                <w:rFonts w:ascii="Arial" w:cs="Arial" w:eastAsia="Arial" w:hAnsi="Arial"/>
                <w:sz w:val="16"/>
                <w:szCs w:val="16"/>
                <w:b w:val="1"/>
                <w:bCs w:val="1"/>
                <w:color w:val="auto"/>
                <w:w w:val="92"/>
              </w:rPr>
              <w:t>Date</w:t>
            </w:r>
          </w:p>
        </w:tc>
        <w:tc>
          <w:tcPr>
            <w:tcW w:w="1500" w:type="dxa"/>
            <w:vAlign w:val="bottom"/>
            <w:gridSpan w:val="2"/>
          </w:tcPr>
          <w:p>
            <w:pPr>
              <w:jc w:val="center"/>
              <w:ind w:right="180"/>
              <w:spacing w:after="0" w:line="176" w:lineRule="exact"/>
              <w:rPr>
                <w:sz w:val="20"/>
                <w:szCs w:val="20"/>
                <w:color w:val="auto"/>
              </w:rPr>
            </w:pPr>
            <w:r>
              <w:rPr>
                <w:rFonts w:ascii="Arial" w:cs="Arial" w:eastAsia="Arial" w:hAnsi="Arial"/>
                <w:sz w:val="16"/>
                <w:szCs w:val="16"/>
                <w:b w:val="1"/>
                <w:bCs w:val="1"/>
                <w:color w:val="auto"/>
                <w:w w:val="92"/>
              </w:rPr>
              <w:t>Date</w:t>
            </w:r>
          </w:p>
        </w:tc>
        <w:tc>
          <w:tcPr>
            <w:tcW w:w="1380" w:type="dxa"/>
            <w:vAlign w:val="bottom"/>
            <w:gridSpan w:val="2"/>
          </w:tcPr>
          <w:p>
            <w:pPr>
              <w:jc w:val="center"/>
              <w:ind w:right="140"/>
              <w:spacing w:after="0" w:line="176" w:lineRule="exact"/>
              <w:rPr>
                <w:sz w:val="20"/>
                <w:szCs w:val="20"/>
                <w:color w:val="auto"/>
              </w:rPr>
            </w:pPr>
            <w:r>
              <w:rPr>
                <w:rFonts w:ascii="Arial" w:cs="Arial" w:eastAsia="Arial" w:hAnsi="Arial"/>
                <w:sz w:val="16"/>
                <w:szCs w:val="16"/>
                <w:b w:val="1"/>
                <w:bCs w:val="1"/>
                <w:color w:val="auto"/>
                <w:w w:val="92"/>
              </w:rPr>
              <w:t>Rate</w:t>
            </w:r>
          </w:p>
        </w:tc>
        <w:tc>
          <w:tcPr>
            <w:tcW w:w="1280" w:type="dxa"/>
            <w:vAlign w:val="bottom"/>
          </w:tcPr>
          <w:p>
            <w:pPr>
              <w:jc w:val="right"/>
              <w:ind w:right="399"/>
              <w:spacing w:after="0" w:line="176" w:lineRule="exact"/>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5"/>
                <w:szCs w:val="15"/>
                <w:color w:val="auto"/>
              </w:rPr>
            </w:pPr>
          </w:p>
        </w:tc>
        <w:tc>
          <w:tcPr>
            <w:tcW w:w="1000" w:type="dxa"/>
            <w:vAlign w:val="bottom"/>
          </w:tcPr>
          <w:p>
            <w:pPr>
              <w:jc w:val="right"/>
              <w:ind w:right="259"/>
              <w:spacing w:after="0" w:line="176" w:lineRule="exact"/>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E5FFFF"/>
            </w:tcBorders>
          </w:tcPr>
          <w:p>
            <w:pPr>
              <w:spacing w:after="0" w:line="20" w:lineRule="exact"/>
              <w:rPr>
                <w:sz w:val="1"/>
                <w:szCs w:val="1"/>
                <w:color w:val="auto"/>
              </w:rPr>
            </w:pPr>
          </w:p>
        </w:tc>
        <w:tc>
          <w:tcPr>
            <w:tcW w:w="380" w:type="dxa"/>
            <w:vAlign w:val="bottom"/>
            <w:tcBorders>
              <w:bottom w:val="single" w:sz="8" w:color="E5FFFF"/>
            </w:tcBorders>
          </w:tcPr>
          <w:p>
            <w:pPr>
              <w:spacing w:after="0" w:line="20" w:lineRule="exact"/>
              <w:rPr>
                <w:sz w:val="1"/>
                <w:szCs w:val="1"/>
                <w:color w:val="auto"/>
              </w:rPr>
            </w:pPr>
          </w:p>
        </w:tc>
        <w:tc>
          <w:tcPr>
            <w:tcW w:w="360" w:type="dxa"/>
            <w:vAlign w:val="bottom"/>
            <w:tcBorders>
              <w:bottom w:val="single" w:sz="8" w:color="E5FF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E5FF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E5FF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E5FF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E5FF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E5FF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E5FF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4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w:t>
            </w:r>
          </w:p>
        </w:tc>
        <w:tc>
          <w:tcPr>
            <w:tcW w:w="360" w:type="dxa"/>
            <w:vAlign w:val="bottom"/>
            <w:shd w:val="clear" w:color="auto" w:fill="E5FFFF"/>
          </w:tcPr>
          <w:p>
            <w:pPr>
              <w:spacing w:after="0"/>
              <w:rPr>
                <w:sz w:val="17"/>
                <w:szCs w:val="17"/>
                <w:color w:val="auto"/>
              </w:rPr>
            </w:pPr>
          </w:p>
        </w:tc>
        <w:tc>
          <w:tcPr>
            <w:tcW w:w="1680" w:type="dxa"/>
            <w:vAlign w:val="bottom"/>
            <w:shd w:val="clear" w:color="auto" w:fill="E5FFFF"/>
          </w:tcPr>
          <w:p>
            <w:pPr>
              <w:spacing w:after="0"/>
              <w:rPr>
                <w:sz w:val="20"/>
                <w:szCs w:val="20"/>
                <w:color w:val="auto"/>
              </w:rPr>
            </w:pPr>
            <w:r>
              <w:rPr>
                <w:rFonts w:ascii="Arial" w:cs="Arial" w:eastAsia="Arial" w:hAnsi="Arial"/>
                <w:sz w:val="16"/>
                <w:szCs w:val="16"/>
                <w:color w:val="auto"/>
              </w:rPr>
              <w:t>DNB</w:t>
            </w:r>
          </w:p>
        </w:tc>
        <w:tc>
          <w:tcPr>
            <w:tcW w:w="200" w:type="dxa"/>
            <w:vAlign w:val="bottom"/>
            <w:shd w:val="clear" w:color="auto" w:fill="E5FFFF"/>
          </w:tcPr>
          <w:p>
            <w:pPr>
              <w:spacing w:after="0"/>
              <w:rPr>
                <w:sz w:val="17"/>
                <w:szCs w:val="17"/>
                <w:color w:val="auto"/>
              </w:rPr>
            </w:pPr>
          </w:p>
        </w:tc>
        <w:tc>
          <w:tcPr>
            <w:tcW w:w="12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8"/>
              </w:rPr>
              <w:t>June 2016</w:t>
            </w:r>
          </w:p>
        </w:tc>
        <w:tc>
          <w:tcPr>
            <w:tcW w:w="200" w:type="dxa"/>
            <w:vAlign w:val="bottom"/>
            <w:shd w:val="clear" w:color="auto" w:fill="E5FFFF"/>
          </w:tcPr>
          <w:p>
            <w:pPr>
              <w:spacing w:after="0"/>
              <w:rPr>
                <w:sz w:val="17"/>
                <w:szCs w:val="17"/>
                <w:color w:val="auto"/>
              </w:rPr>
            </w:pPr>
          </w:p>
        </w:tc>
        <w:tc>
          <w:tcPr>
            <w:tcW w:w="12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8"/>
              </w:rPr>
              <w:t>June 2016</w:t>
            </w:r>
          </w:p>
        </w:tc>
        <w:tc>
          <w:tcPr>
            <w:tcW w:w="220" w:type="dxa"/>
            <w:vAlign w:val="bottom"/>
            <w:shd w:val="clear" w:color="auto" w:fill="E5FFFF"/>
          </w:tcPr>
          <w:p>
            <w:pPr>
              <w:spacing w:after="0"/>
              <w:rPr>
                <w:sz w:val="17"/>
                <w:szCs w:val="17"/>
                <w:color w:val="auto"/>
              </w:rPr>
            </w:pPr>
          </w:p>
        </w:tc>
        <w:tc>
          <w:tcPr>
            <w:tcW w:w="13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3"/>
              </w:rPr>
              <w:t>May 2021</w:t>
            </w:r>
          </w:p>
        </w:tc>
        <w:tc>
          <w:tcPr>
            <w:tcW w:w="160" w:type="dxa"/>
            <w:vAlign w:val="bottom"/>
            <w:shd w:val="clear" w:color="auto" w:fill="E5FFFF"/>
          </w:tcPr>
          <w:p>
            <w:pPr>
              <w:spacing w:after="0"/>
              <w:rPr>
                <w:sz w:val="17"/>
                <w:szCs w:val="17"/>
                <w:color w:val="auto"/>
              </w:rPr>
            </w:pPr>
          </w:p>
        </w:tc>
        <w:tc>
          <w:tcPr>
            <w:tcW w:w="12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8"/>
              </w:rPr>
              <w:t>8.59%</w:t>
            </w:r>
          </w:p>
        </w:tc>
        <w:tc>
          <w:tcPr>
            <w:tcW w:w="140" w:type="dxa"/>
            <w:vAlign w:val="bottom"/>
            <w:shd w:val="clear" w:color="auto" w:fill="E5FFFF"/>
          </w:tcPr>
          <w:p>
            <w:pPr>
              <w:spacing w:after="0"/>
              <w:rPr>
                <w:sz w:val="17"/>
                <w:szCs w:val="17"/>
                <w:color w:val="auto"/>
              </w:rPr>
            </w:pPr>
          </w:p>
        </w:tc>
        <w:tc>
          <w:tcPr>
            <w:tcW w:w="12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30,050</w:t>
            </w:r>
          </w:p>
        </w:tc>
        <w:tc>
          <w:tcPr>
            <w:tcW w:w="140" w:type="dxa"/>
            <w:vAlign w:val="bottom"/>
            <w:shd w:val="clear" w:color="auto" w:fill="E5FFFF"/>
          </w:tcPr>
          <w:p>
            <w:pPr>
              <w:spacing w:after="0"/>
              <w:rPr>
                <w:sz w:val="17"/>
                <w:szCs w:val="17"/>
                <w:color w:val="auto"/>
              </w:rPr>
            </w:pPr>
          </w:p>
        </w:tc>
        <w:tc>
          <w:tcPr>
            <w:tcW w:w="10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30,050</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Arial" w:cs="Arial" w:eastAsia="Arial" w:hAnsi="Arial"/>
                <w:sz w:val="16"/>
                <w:szCs w:val="16"/>
                <w:color w:val="auto"/>
              </w:rPr>
              <w:t>GasLog</w:t>
            </w:r>
          </w:p>
        </w:tc>
        <w:tc>
          <w:tcPr>
            <w:tcW w:w="2240" w:type="dxa"/>
            <w:vAlign w:val="bottom"/>
            <w:gridSpan w:val="3"/>
          </w:tcPr>
          <w:p>
            <w:pPr>
              <w:ind w:left="360"/>
              <w:spacing w:after="0"/>
              <w:rPr>
                <w:sz w:val="20"/>
                <w:szCs w:val="20"/>
                <w:color w:val="auto"/>
              </w:rPr>
            </w:pPr>
            <w:r>
              <w:rPr>
                <w:rFonts w:ascii="Arial" w:cs="Arial" w:eastAsia="Arial" w:hAnsi="Arial"/>
                <w:sz w:val="16"/>
                <w:szCs w:val="16"/>
                <w:color w:val="auto"/>
              </w:rPr>
              <w:t>SEB</w:t>
            </w:r>
          </w:p>
        </w:tc>
        <w:tc>
          <w:tcPr>
            <w:tcW w:w="1400" w:type="dxa"/>
            <w:vAlign w:val="bottom"/>
            <w:gridSpan w:val="2"/>
          </w:tcPr>
          <w:p>
            <w:pPr>
              <w:jc w:val="center"/>
              <w:ind w:right="180"/>
              <w:spacing w:after="0"/>
              <w:rPr>
                <w:sz w:val="20"/>
                <w:szCs w:val="20"/>
                <w:color w:val="auto"/>
              </w:rPr>
            </w:pPr>
            <w:r>
              <w:rPr>
                <w:rFonts w:ascii="Arial" w:cs="Arial" w:eastAsia="Arial" w:hAnsi="Arial"/>
                <w:sz w:val="16"/>
                <w:szCs w:val="16"/>
                <w:color w:val="auto"/>
                <w:w w:val="88"/>
              </w:rPr>
              <w:t>June 2016</w:t>
            </w: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color w:val="auto"/>
                <w:w w:val="88"/>
              </w:rPr>
              <w:t>June 2016</w:t>
            </w:r>
          </w:p>
        </w:tc>
        <w:tc>
          <w:tcPr>
            <w:tcW w:w="1500" w:type="dxa"/>
            <w:vAlign w:val="bottom"/>
            <w:gridSpan w:val="2"/>
          </w:tcPr>
          <w:p>
            <w:pPr>
              <w:jc w:val="center"/>
              <w:ind w:right="160"/>
              <w:spacing w:after="0"/>
              <w:rPr>
                <w:sz w:val="20"/>
                <w:szCs w:val="20"/>
                <w:color w:val="auto"/>
              </w:rPr>
            </w:pPr>
            <w:r>
              <w:rPr>
                <w:rFonts w:ascii="Arial" w:cs="Arial" w:eastAsia="Arial" w:hAnsi="Arial"/>
                <w:sz w:val="16"/>
                <w:szCs w:val="16"/>
                <w:color w:val="auto"/>
                <w:w w:val="93"/>
              </w:rPr>
              <w:t>May 2021</w:t>
            </w:r>
          </w:p>
        </w:tc>
        <w:tc>
          <w:tcPr>
            <w:tcW w:w="1240" w:type="dxa"/>
            <w:vAlign w:val="bottom"/>
          </w:tcPr>
          <w:p>
            <w:pPr>
              <w:jc w:val="center"/>
              <w:spacing w:after="0"/>
              <w:rPr>
                <w:sz w:val="20"/>
                <w:szCs w:val="20"/>
                <w:color w:val="auto"/>
              </w:rPr>
            </w:pPr>
            <w:r>
              <w:rPr>
                <w:rFonts w:ascii="Arial" w:cs="Arial" w:eastAsia="Arial" w:hAnsi="Arial"/>
                <w:sz w:val="16"/>
                <w:szCs w:val="16"/>
                <w:color w:val="auto"/>
                <w:w w:val="88"/>
              </w:rPr>
              <w:t>8.59%</w:t>
            </w:r>
          </w:p>
        </w:tc>
        <w:tc>
          <w:tcPr>
            <w:tcW w:w="140" w:type="dxa"/>
            <w:vAlign w:val="bottom"/>
          </w:tcPr>
          <w:p>
            <w:pPr>
              <w:spacing w:after="0"/>
              <w:rPr>
                <w:sz w:val="17"/>
                <w:szCs w:val="17"/>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6"/>
                <w:szCs w:val="16"/>
                <w:color w:val="auto"/>
              </w:rPr>
              <w:t>30,050</w:t>
            </w:r>
          </w:p>
        </w:tc>
        <w:tc>
          <w:tcPr>
            <w:tcW w:w="1000" w:type="dxa"/>
            <w:vAlign w:val="bottom"/>
          </w:tcPr>
          <w:p>
            <w:pPr>
              <w:jc w:val="right"/>
              <w:spacing w:after="0"/>
              <w:rPr>
                <w:sz w:val="20"/>
                <w:szCs w:val="20"/>
                <w:color w:val="auto"/>
              </w:rPr>
            </w:pPr>
            <w:r>
              <w:rPr>
                <w:rFonts w:ascii="Arial" w:cs="Arial" w:eastAsia="Arial" w:hAnsi="Arial"/>
                <w:sz w:val="16"/>
                <w:szCs w:val="16"/>
                <w:color w:val="auto"/>
              </w:rPr>
              <w:t>30,050</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04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w:t>
            </w:r>
          </w:p>
        </w:tc>
        <w:tc>
          <w:tcPr>
            <w:tcW w:w="2240" w:type="dxa"/>
            <w:vAlign w:val="bottom"/>
            <w:gridSpan w:val="3"/>
            <w:shd w:val="clear" w:color="auto" w:fill="E5FFFF"/>
          </w:tcPr>
          <w:p>
            <w:pPr>
              <w:ind w:left="360"/>
              <w:spacing w:after="0"/>
              <w:rPr>
                <w:sz w:val="20"/>
                <w:szCs w:val="20"/>
                <w:color w:val="auto"/>
              </w:rPr>
            </w:pPr>
            <w:r>
              <w:rPr>
                <w:rFonts w:ascii="Arial" w:cs="Arial" w:eastAsia="Arial" w:hAnsi="Arial"/>
                <w:sz w:val="16"/>
                <w:szCs w:val="16"/>
                <w:color w:val="auto"/>
              </w:rPr>
              <w:t>Nordea Bank Finland</w:t>
            </w:r>
          </w:p>
        </w:tc>
        <w:tc>
          <w:tcPr>
            <w:tcW w:w="140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88"/>
              </w:rPr>
              <w:t>June 2016</w:t>
            </w:r>
          </w:p>
        </w:tc>
        <w:tc>
          <w:tcPr>
            <w:tcW w:w="1420" w:type="dxa"/>
            <w:vAlign w:val="bottom"/>
            <w:gridSpan w:val="2"/>
            <w:shd w:val="clear" w:color="auto" w:fill="E5FFFF"/>
          </w:tcPr>
          <w:p>
            <w:pPr>
              <w:jc w:val="center"/>
              <w:ind w:right="240"/>
              <w:spacing w:after="0"/>
              <w:rPr>
                <w:sz w:val="20"/>
                <w:szCs w:val="20"/>
                <w:color w:val="auto"/>
              </w:rPr>
            </w:pPr>
            <w:r>
              <w:rPr>
                <w:rFonts w:ascii="Arial" w:cs="Arial" w:eastAsia="Arial" w:hAnsi="Arial"/>
                <w:sz w:val="16"/>
                <w:szCs w:val="16"/>
                <w:color w:val="auto"/>
                <w:w w:val="88"/>
              </w:rPr>
              <w:t>June 2016</w:t>
            </w:r>
          </w:p>
        </w:tc>
        <w:tc>
          <w:tcPr>
            <w:tcW w:w="150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3"/>
              </w:rPr>
              <w:t>May 2021</w:t>
            </w:r>
          </w:p>
        </w:tc>
        <w:tc>
          <w:tcPr>
            <w:tcW w:w="12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8"/>
              </w:rPr>
              <w:t>8.59%</w:t>
            </w:r>
          </w:p>
        </w:tc>
        <w:tc>
          <w:tcPr>
            <w:tcW w:w="140" w:type="dxa"/>
            <w:vAlign w:val="bottom"/>
            <w:shd w:val="clear" w:color="auto" w:fill="E5FFFF"/>
          </w:tcPr>
          <w:p>
            <w:pPr>
              <w:spacing w:after="0"/>
              <w:rPr>
                <w:sz w:val="17"/>
                <w:szCs w:val="17"/>
                <w:color w:val="auto"/>
              </w:rPr>
            </w:pPr>
          </w:p>
        </w:tc>
        <w:tc>
          <w:tcPr>
            <w:tcW w:w="142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30,050</w:t>
            </w:r>
          </w:p>
        </w:tc>
        <w:tc>
          <w:tcPr>
            <w:tcW w:w="10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30,050</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Total</w:t>
            </w:r>
          </w:p>
        </w:tc>
        <w:tc>
          <w:tcPr>
            <w:tcW w:w="140" w:type="dxa"/>
            <w:vAlign w:val="bottom"/>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90,150</w:t>
            </w:r>
          </w:p>
        </w:tc>
        <w:tc>
          <w:tcPr>
            <w:tcW w:w="14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90,150</w:t>
            </w:r>
          </w:p>
        </w:tc>
        <w:tc>
          <w:tcPr>
            <w:tcW w:w="20" w:type="dxa"/>
            <w:vAlign w:val="bottom"/>
            <w:tcBorders>
              <w:bottom w:val="single" w:sz="8" w:color="auto"/>
            </w:tcBorders>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6" w:lineRule="exact"/>
        <w:rPr>
          <w:sz w:val="20"/>
          <w:szCs w:val="20"/>
          <w:color w:val="auto"/>
        </w:rPr>
      </w:pPr>
    </w:p>
    <w:p>
      <w:pPr>
        <w:ind w:right="60" w:firstLine="356"/>
        <w:spacing w:after="0" w:line="315" w:lineRule="auto"/>
        <w:rPr>
          <w:sz w:val="20"/>
          <w:szCs w:val="20"/>
          <w:color w:val="auto"/>
        </w:rPr>
      </w:pPr>
      <w:r>
        <w:rPr>
          <w:rFonts w:ascii="Arial" w:cs="Arial" w:eastAsia="Arial" w:hAnsi="Arial"/>
          <w:sz w:val="14"/>
          <w:szCs w:val="14"/>
          <w:color w:val="auto"/>
        </w:rPr>
        <w:t>For the three and nine months ended September 30, 2019, the effective portion of changes in the fair value of CCSs amounting to a loss of $6,460 and a loss of $7,376, respectively, has been recognized in Other comprehensive income (for the three and nine months ended September 30, 2018: a loss of $130 and a gain of $1,998, respectively). For the three and nine months ended September 30, 2019, a loss of $154 and $463, respectively, was recycled to profit or loss representing the realized loss on CCSs in relation to the interest expenses component of the hedge (for the three and nine months ended September 30, 2018: a loss of $136 and $295, respectively). Additionally, for the three and nine months ended September 30, 2019, a gain of $5,473 and $3,616, respectively, was recognized in Other comprehensive income in relation to the retranslation of the NOK Bonds in U.S. dollars as of September 30, 2019 (for the three and nine months ended September 30, 2018: a gain of $71 and a loss of $1,006,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 foreign exchange contracts</w:t>
      </w:r>
    </w:p>
    <w:p>
      <w:pPr>
        <w:spacing w:after="0" w:line="239" w:lineRule="exact"/>
        <w:rPr>
          <w:sz w:val="20"/>
          <w:szCs w:val="20"/>
          <w:color w:val="auto"/>
        </w:rPr>
      </w:pPr>
    </w:p>
    <w:p>
      <w:pPr>
        <w:ind w:right="60" w:firstLine="383"/>
        <w:spacing w:after="0" w:line="273" w:lineRule="auto"/>
        <w:rPr>
          <w:sz w:val="20"/>
          <w:szCs w:val="20"/>
          <w:color w:val="auto"/>
        </w:rPr>
      </w:pPr>
      <w:r>
        <w:rPr>
          <w:rFonts w:ascii="Arial" w:cs="Arial" w:eastAsia="Arial" w:hAnsi="Arial"/>
          <w:sz w:val="16"/>
          <w:szCs w:val="16"/>
          <w:color w:val="auto"/>
        </w:rPr>
        <w:t>The Group uses forward foreign exchange contracts to mitigate foreign exchange transaction exposures in British Pounds Sterling (“GBP”) and Euros (“EUR”). Under these forward foreign exchange contracts, the bank counterparty will effect fixed payments in GBP or EUR to the Group and the Group will effect fixed payments in USD to the bank counterparty on the respective settlement dates. All forward foreign exchange contracts are considered by management to be part of economic hedge arrangements but have not been formally designated as such.</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principal terms of the forward foreign exchange contracts held for trading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5"/>
              </w:rPr>
              <w:t>Fixed</w:t>
            </w: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Total Exchange</w:t>
            </w:r>
          </w:p>
        </w:tc>
        <w:tc>
          <w:tcPr>
            <w:tcW w:w="4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Number of</w:t>
            </w:r>
          </w:p>
        </w:tc>
        <w:tc>
          <w:tcPr>
            <w:tcW w:w="2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Exchange Rate</w:t>
            </w: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Amount</w:t>
            </w:r>
          </w:p>
        </w:tc>
        <w:tc>
          <w:tcPr>
            <w:tcW w:w="40" w:type="dxa"/>
            <w:vAlign w:val="bottom"/>
          </w:tcPr>
          <w:p>
            <w:pPr>
              <w:spacing w:after="0"/>
              <w:rPr>
                <w:sz w:val="17"/>
                <w:szCs w:val="17"/>
                <w:color w:val="auto"/>
              </w:rPr>
            </w:pPr>
          </w:p>
        </w:tc>
      </w:tr>
      <w:tr>
        <w:trPr>
          <w:trHeight w:val="213"/>
        </w:trPr>
        <w:tc>
          <w:tcPr>
            <w:tcW w:w="1440" w:type="dxa"/>
            <w:vAlign w:val="bottom"/>
            <w:gridSpan w:val="2"/>
          </w:tcPr>
          <w:p>
            <w:pPr>
              <w:ind w:left="280"/>
              <w:spacing w:after="0"/>
              <w:rPr>
                <w:sz w:val="20"/>
                <w:szCs w:val="20"/>
                <w:color w:val="auto"/>
              </w:rPr>
            </w:pPr>
            <w:r>
              <w:rPr>
                <w:rFonts w:ascii="Arial" w:cs="Arial" w:eastAsia="Arial" w:hAnsi="Arial"/>
                <w:sz w:val="16"/>
                <w:szCs w:val="16"/>
                <w:b w:val="1"/>
                <w:bCs w:val="1"/>
                <w:color w:val="auto"/>
              </w:rPr>
              <w:t>Company</w:t>
            </w:r>
          </w:p>
        </w:tc>
        <w:tc>
          <w:tcPr>
            <w:tcW w:w="1760" w:type="dxa"/>
            <w:vAlign w:val="bottom"/>
            <w:gridSpan w:val="2"/>
          </w:tcPr>
          <w:p>
            <w:pPr>
              <w:ind w:left="260"/>
              <w:spacing w:after="0"/>
              <w:rPr>
                <w:sz w:val="20"/>
                <w:szCs w:val="20"/>
                <w:color w:val="auto"/>
              </w:rPr>
            </w:pPr>
            <w:r>
              <w:rPr>
                <w:rFonts w:ascii="Arial" w:cs="Arial" w:eastAsia="Arial" w:hAnsi="Arial"/>
                <w:sz w:val="16"/>
                <w:szCs w:val="16"/>
                <w:b w:val="1"/>
                <w:bCs w:val="1"/>
                <w:color w:val="auto"/>
              </w:rPr>
              <w:t>Counterparty</w:t>
            </w:r>
          </w:p>
        </w:tc>
        <w:tc>
          <w:tcPr>
            <w:tcW w:w="15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Trade Date</w:t>
            </w: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contracts</w:t>
            </w:r>
          </w:p>
        </w:tc>
        <w:tc>
          <w:tcPr>
            <w:tcW w:w="23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Settlement Dates</w:t>
            </w:r>
          </w:p>
        </w:tc>
        <w:tc>
          <w:tcPr>
            <w:tcW w:w="14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5"/>
              </w:rPr>
              <w:t>(USD/GBP)</w:t>
            </w: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(in thousands)</w:t>
            </w:r>
          </w:p>
        </w:tc>
        <w:tc>
          <w:tcPr>
            <w:tcW w:w="40" w:type="dxa"/>
            <w:vAlign w:val="bottom"/>
          </w:tcPr>
          <w:p>
            <w:pPr>
              <w:spacing w:after="0"/>
              <w:rPr>
                <w:sz w:val="18"/>
                <w:szCs w:val="18"/>
                <w:color w:val="auto"/>
              </w:rPr>
            </w:pPr>
          </w:p>
        </w:tc>
      </w:tr>
      <w:tr>
        <w:trPr>
          <w:trHeight w:val="199"/>
        </w:trPr>
        <w:tc>
          <w:tcPr>
            <w:tcW w:w="122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color w:val="auto"/>
              </w:rPr>
              <w:t>GasLog</w:t>
            </w:r>
          </w:p>
        </w:tc>
        <w:tc>
          <w:tcPr>
            <w:tcW w:w="220" w:type="dxa"/>
            <w:vAlign w:val="bottom"/>
            <w:tcBorders>
              <w:top w:val="single" w:sz="8" w:color="E5FFFF"/>
            </w:tcBorders>
            <w:shd w:val="clear" w:color="auto" w:fill="E5FFFF"/>
          </w:tcPr>
          <w:p>
            <w:pPr>
              <w:spacing w:after="0"/>
              <w:rPr>
                <w:sz w:val="17"/>
                <w:szCs w:val="17"/>
                <w:color w:val="auto"/>
              </w:rPr>
            </w:pPr>
          </w:p>
        </w:tc>
        <w:tc>
          <w:tcPr>
            <w:tcW w:w="148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color w:val="auto"/>
              </w:rPr>
              <w:t>SEB</w:t>
            </w:r>
          </w:p>
        </w:tc>
        <w:tc>
          <w:tcPr>
            <w:tcW w:w="280" w:type="dxa"/>
            <w:vAlign w:val="bottom"/>
            <w:tcBorders>
              <w:top w:val="single" w:sz="8" w:color="E5FFFF"/>
            </w:tcBorders>
            <w:shd w:val="clear" w:color="auto" w:fill="E5FFFF"/>
          </w:tcPr>
          <w:p>
            <w:pPr>
              <w:spacing w:after="0"/>
              <w:rPr>
                <w:sz w:val="17"/>
                <w:szCs w:val="17"/>
                <w:color w:val="auto"/>
              </w:rPr>
            </w:pPr>
          </w:p>
        </w:tc>
        <w:tc>
          <w:tcPr>
            <w:tcW w:w="13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0"/>
              </w:rPr>
              <w:t>October 2018</w:t>
            </w:r>
          </w:p>
        </w:tc>
        <w:tc>
          <w:tcPr>
            <w:tcW w:w="240" w:type="dxa"/>
            <w:vAlign w:val="bottom"/>
            <w:tcBorders>
              <w:top w:val="single" w:sz="8" w:color="E5FFFF"/>
            </w:tcBorders>
            <w:shd w:val="clear" w:color="auto" w:fill="E5FFFF"/>
          </w:tcPr>
          <w:p>
            <w:pPr>
              <w:spacing w:after="0"/>
              <w:rPr>
                <w:sz w:val="17"/>
                <w:szCs w:val="17"/>
                <w:color w:val="auto"/>
              </w:rPr>
            </w:pPr>
          </w:p>
        </w:tc>
        <w:tc>
          <w:tcPr>
            <w:tcW w:w="11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3</w:t>
            </w:r>
          </w:p>
        </w:tc>
        <w:tc>
          <w:tcPr>
            <w:tcW w:w="220" w:type="dxa"/>
            <w:vAlign w:val="bottom"/>
            <w:tcBorders>
              <w:top w:val="single" w:sz="8" w:color="E5FFFF"/>
            </w:tcBorders>
            <w:shd w:val="clear" w:color="auto" w:fill="E5FFFF"/>
          </w:tcPr>
          <w:p>
            <w:pPr>
              <w:spacing w:after="0"/>
              <w:rPr>
                <w:sz w:val="17"/>
                <w:szCs w:val="17"/>
                <w:color w:val="auto"/>
              </w:rPr>
            </w:pPr>
          </w:p>
        </w:tc>
        <w:tc>
          <w:tcPr>
            <w:tcW w:w="21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0"/>
              </w:rPr>
              <w:t>October-December 2019</w:t>
            </w:r>
          </w:p>
        </w:tc>
        <w:tc>
          <w:tcPr>
            <w:tcW w:w="180" w:type="dxa"/>
            <w:vAlign w:val="bottom"/>
            <w:tcBorders>
              <w:top w:val="single" w:sz="8" w:color="E5FFFF"/>
            </w:tcBorders>
            <w:shd w:val="clear" w:color="auto" w:fill="E5FFFF"/>
          </w:tcPr>
          <w:p>
            <w:pPr>
              <w:spacing w:after="0"/>
              <w:rPr>
                <w:sz w:val="17"/>
                <w:szCs w:val="17"/>
                <w:color w:val="auto"/>
              </w:rPr>
            </w:pPr>
          </w:p>
        </w:tc>
        <w:tc>
          <w:tcPr>
            <w:tcW w:w="12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1.3228</w:t>
            </w:r>
          </w:p>
        </w:tc>
        <w:tc>
          <w:tcPr>
            <w:tcW w:w="160" w:type="dxa"/>
            <w:vAlign w:val="bottom"/>
            <w:tcBorders>
              <w:top w:val="single" w:sz="8" w:color="E5FFFF"/>
            </w:tcBorders>
            <w:shd w:val="clear" w:color="auto" w:fill="E5FFFF"/>
          </w:tcPr>
          <w:p>
            <w:pPr>
              <w:spacing w:after="0"/>
              <w:rPr>
                <w:sz w:val="17"/>
                <w:szCs w:val="17"/>
                <w:color w:val="auto"/>
              </w:rPr>
            </w:pPr>
          </w:p>
        </w:tc>
        <w:tc>
          <w:tcPr>
            <w:tcW w:w="1560" w:type="dxa"/>
            <w:vAlign w:val="bottom"/>
            <w:tcBorders>
              <w:top w:val="single" w:sz="8" w:color="auto"/>
            </w:tcBorders>
            <w:gridSpan w:val="2"/>
            <w:shd w:val="clear" w:color="auto" w:fill="E5FFFF"/>
          </w:tcPr>
          <w:p>
            <w:pPr>
              <w:jc w:val="right"/>
              <w:ind w:right="260"/>
              <w:spacing w:after="0"/>
              <w:rPr>
                <w:sz w:val="20"/>
                <w:szCs w:val="20"/>
                <w:color w:val="auto"/>
              </w:rPr>
            </w:pPr>
            <w:r>
              <w:rPr>
                <w:rFonts w:ascii="Arial" w:cs="Arial" w:eastAsia="Arial" w:hAnsi="Arial"/>
                <w:sz w:val="16"/>
                <w:szCs w:val="16"/>
                <w:color w:val="auto"/>
              </w:rPr>
              <w:t>£1,350</w:t>
            </w:r>
          </w:p>
        </w:tc>
        <w:tc>
          <w:tcPr>
            <w:tcW w:w="40" w:type="dxa"/>
            <w:vAlign w:val="bottom"/>
          </w:tcPr>
          <w:p>
            <w:pPr>
              <w:spacing w:after="0"/>
              <w:rPr>
                <w:sz w:val="17"/>
                <w:szCs w:val="17"/>
                <w:color w:val="auto"/>
              </w:rPr>
            </w:pPr>
          </w:p>
        </w:tc>
      </w:tr>
      <w:tr>
        <w:trPr>
          <w:trHeight w:val="203"/>
        </w:trPr>
        <w:tc>
          <w:tcPr>
            <w:tcW w:w="144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760" w:type="dxa"/>
            <w:vAlign w:val="bottom"/>
            <w:gridSpan w:val="2"/>
          </w:tcPr>
          <w:p>
            <w:pPr>
              <w:spacing w:after="0"/>
              <w:rPr>
                <w:sz w:val="20"/>
                <w:szCs w:val="20"/>
                <w:color w:val="auto"/>
              </w:rPr>
            </w:pPr>
            <w:r>
              <w:rPr>
                <w:rFonts w:ascii="Arial" w:cs="Arial" w:eastAsia="Arial" w:hAnsi="Arial"/>
                <w:sz w:val="16"/>
                <w:szCs w:val="16"/>
                <w:color w:val="auto"/>
              </w:rPr>
              <w:t>ABN</w:t>
            </w:r>
          </w:p>
        </w:tc>
        <w:tc>
          <w:tcPr>
            <w:tcW w:w="154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August 2019</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220" w:type="dxa"/>
            <w:vAlign w:val="bottom"/>
          </w:tcPr>
          <w:p>
            <w:pPr>
              <w:spacing w:after="0"/>
              <w:rPr>
                <w:sz w:val="17"/>
                <w:szCs w:val="17"/>
                <w:color w:val="auto"/>
              </w:rPr>
            </w:pPr>
          </w:p>
        </w:tc>
        <w:tc>
          <w:tcPr>
            <w:tcW w:w="2300" w:type="dxa"/>
            <w:vAlign w:val="bottom"/>
            <w:gridSpan w:val="2"/>
          </w:tcPr>
          <w:p>
            <w:pPr>
              <w:jc w:val="center"/>
              <w:ind w:right="200"/>
              <w:spacing w:after="0"/>
              <w:rPr>
                <w:sz w:val="20"/>
                <w:szCs w:val="20"/>
                <w:color w:val="auto"/>
              </w:rPr>
            </w:pPr>
            <w:r>
              <w:rPr>
                <w:rFonts w:ascii="Arial" w:cs="Arial" w:eastAsia="Arial" w:hAnsi="Arial"/>
                <w:sz w:val="16"/>
                <w:szCs w:val="16"/>
                <w:color w:val="auto"/>
                <w:w w:val="88"/>
              </w:rPr>
              <w:t>January 2020</w:t>
            </w: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1.2206</w:t>
            </w:r>
          </w:p>
        </w:tc>
        <w:tc>
          <w:tcPr>
            <w:tcW w:w="160" w:type="dxa"/>
            <w:vAlign w:val="bottom"/>
          </w:tcPr>
          <w:p>
            <w:pPr>
              <w:spacing w:after="0"/>
              <w:rPr>
                <w:sz w:val="17"/>
                <w:szCs w:val="17"/>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6"/>
                <w:szCs w:val="16"/>
                <w:color w:val="auto"/>
              </w:rPr>
              <w:t>£500</w:t>
            </w:r>
          </w:p>
        </w:tc>
        <w:tc>
          <w:tcPr>
            <w:tcW w:w="40" w:type="dxa"/>
            <w:vAlign w:val="bottom"/>
          </w:tcPr>
          <w:p>
            <w:pPr>
              <w:spacing w:after="0"/>
              <w:rPr>
                <w:sz w:val="17"/>
                <w:szCs w:val="17"/>
                <w:color w:val="auto"/>
              </w:rPr>
            </w:pPr>
          </w:p>
        </w:tc>
      </w:tr>
      <w:tr>
        <w:trPr>
          <w:trHeight w:val="203"/>
        </w:trPr>
        <w:tc>
          <w:tcPr>
            <w:tcW w:w="144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w:t>
            </w:r>
          </w:p>
        </w:tc>
        <w:tc>
          <w:tcPr>
            <w:tcW w:w="17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ABN</w:t>
            </w:r>
          </w:p>
        </w:tc>
        <w:tc>
          <w:tcPr>
            <w:tcW w:w="1540" w:type="dxa"/>
            <w:vAlign w:val="bottom"/>
            <w:gridSpan w:val="2"/>
            <w:shd w:val="clear" w:color="auto" w:fill="E5FFFF"/>
          </w:tcPr>
          <w:p>
            <w:pPr>
              <w:jc w:val="center"/>
              <w:ind w:right="220"/>
              <w:spacing w:after="0"/>
              <w:rPr>
                <w:sz w:val="20"/>
                <w:szCs w:val="20"/>
                <w:color w:val="auto"/>
              </w:rPr>
            </w:pPr>
            <w:r>
              <w:rPr>
                <w:rFonts w:ascii="Arial" w:cs="Arial" w:eastAsia="Arial" w:hAnsi="Arial"/>
                <w:sz w:val="16"/>
                <w:szCs w:val="16"/>
                <w:color w:val="auto"/>
                <w:w w:val="93"/>
              </w:rPr>
              <w:t>August 2019</w:t>
            </w:r>
          </w:p>
        </w:tc>
        <w:tc>
          <w:tcPr>
            <w:tcW w:w="11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w:t>
            </w:r>
          </w:p>
        </w:tc>
        <w:tc>
          <w:tcPr>
            <w:tcW w:w="220" w:type="dxa"/>
            <w:vAlign w:val="bottom"/>
            <w:shd w:val="clear" w:color="auto" w:fill="E5FFFF"/>
          </w:tcPr>
          <w:p>
            <w:pPr>
              <w:spacing w:after="0"/>
              <w:rPr>
                <w:sz w:val="17"/>
                <w:szCs w:val="17"/>
                <w:color w:val="auto"/>
              </w:rPr>
            </w:pPr>
          </w:p>
        </w:tc>
        <w:tc>
          <w:tcPr>
            <w:tcW w:w="2300" w:type="dxa"/>
            <w:vAlign w:val="bottom"/>
            <w:gridSpan w:val="2"/>
            <w:shd w:val="clear" w:color="auto" w:fill="E5FFFF"/>
          </w:tcPr>
          <w:p>
            <w:pPr>
              <w:jc w:val="center"/>
              <w:ind w:right="200"/>
              <w:spacing w:after="0"/>
              <w:rPr>
                <w:sz w:val="20"/>
                <w:szCs w:val="20"/>
                <w:color w:val="auto"/>
              </w:rPr>
            </w:pPr>
            <w:r>
              <w:rPr>
                <w:rFonts w:ascii="Arial" w:cs="Arial" w:eastAsia="Arial" w:hAnsi="Arial"/>
                <w:sz w:val="16"/>
                <w:szCs w:val="16"/>
                <w:color w:val="auto"/>
                <w:w w:val="90"/>
              </w:rPr>
              <w:t>February 2020</w:t>
            </w:r>
          </w:p>
        </w:tc>
        <w:tc>
          <w:tcPr>
            <w:tcW w:w="12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1.2219</w:t>
            </w:r>
          </w:p>
        </w:tc>
        <w:tc>
          <w:tcPr>
            <w:tcW w:w="160" w:type="dxa"/>
            <w:vAlign w:val="bottom"/>
            <w:shd w:val="clear" w:color="auto" w:fill="E5FFFF"/>
          </w:tcPr>
          <w:p>
            <w:pPr>
              <w:spacing w:after="0"/>
              <w:rPr>
                <w:sz w:val="17"/>
                <w:szCs w:val="17"/>
                <w:color w:val="auto"/>
              </w:rPr>
            </w:pPr>
          </w:p>
        </w:tc>
        <w:tc>
          <w:tcPr>
            <w:tcW w:w="1560" w:type="dxa"/>
            <w:vAlign w:val="bottom"/>
            <w:gridSpan w:val="2"/>
            <w:shd w:val="clear" w:color="auto" w:fill="E5FFFF"/>
          </w:tcPr>
          <w:p>
            <w:pPr>
              <w:jc w:val="right"/>
              <w:ind w:right="260"/>
              <w:spacing w:after="0"/>
              <w:rPr>
                <w:sz w:val="20"/>
                <w:szCs w:val="20"/>
                <w:color w:val="auto"/>
              </w:rPr>
            </w:pPr>
            <w:r>
              <w:rPr>
                <w:rFonts w:ascii="Arial" w:cs="Arial" w:eastAsia="Arial" w:hAnsi="Arial"/>
                <w:sz w:val="16"/>
                <w:szCs w:val="16"/>
                <w:color w:val="auto"/>
              </w:rPr>
              <w:t>£500</w:t>
            </w:r>
          </w:p>
        </w:tc>
        <w:tc>
          <w:tcPr>
            <w:tcW w:w="40" w:type="dxa"/>
            <w:vAlign w:val="bottom"/>
          </w:tcPr>
          <w:p>
            <w:pPr>
              <w:spacing w:after="0"/>
              <w:rPr>
                <w:sz w:val="17"/>
                <w:szCs w:val="17"/>
                <w:color w:val="auto"/>
              </w:rPr>
            </w:pPr>
          </w:p>
        </w:tc>
      </w:tr>
      <w:tr>
        <w:trPr>
          <w:trHeight w:val="203"/>
        </w:trPr>
        <w:tc>
          <w:tcPr>
            <w:tcW w:w="144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760" w:type="dxa"/>
            <w:vAlign w:val="bottom"/>
            <w:gridSpan w:val="2"/>
          </w:tcPr>
          <w:p>
            <w:pPr>
              <w:spacing w:after="0"/>
              <w:rPr>
                <w:sz w:val="20"/>
                <w:szCs w:val="20"/>
                <w:color w:val="auto"/>
              </w:rPr>
            </w:pPr>
            <w:r>
              <w:rPr>
                <w:rFonts w:ascii="Arial" w:cs="Arial" w:eastAsia="Arial" w:hAnsi="Arial"/>
                <w:sz w:val="16"/>
                <w:szCs w:val="16"/>
                <w:color w:val="auto"/>
              </w:rPr>
              <w:t>ABN</w:t>
            </w:r>
          </w:p>
        </w:tc>
        <w:tc>
          <w:tcPr>
            <w:tcW w:w="154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August 2019</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220" w:type="dxa"/>
            <w:vAlign w:val="bottom"/>
          </w:tcPr>
          <w:p>
            <w:pPr>
              <w:spacing w:after="0"/>
              <w:rPr>
                <w:sz w:val="17"/>
                <w:szCs w:val="17"/>
                <w:color w:val="auto"/>
              </w:rPr>
            </w:pPr>
          </w:p>
        </w:tc>
        <w:tc>
          <w:tcPr>
            <w:tcW w:w="2300" w:type="dxa"/>
            <w:vAlign w:val="bottom"/>
            <w:gridSpan w:val="2"/>
          </w:tcPr>
          <w:p>
            <w:pPr>
              <w:jc w:val="center"/>
              <w:ind w:right="200"/>
              <w:spacing w:after="0"/>
              <w:rPr>
                <w:sz w:val="20"/>
                <w:szCs w:val="20"/>
                <w:color w:val="auto"/>
              </w:rPr>
            </w:pPr>
            <w:r>
              <w:rPr>
                <w:rFonts w:ascii="Arial" w:cs="Arial" w:eastAsia="Arial" w:hAnsi="Arial"/>
                <w:sz w:val="16"/>
                <w:szCs w:val="16"/>
                <w:color w:val="auto"/>
                <w:w w:val="92"/>
              </w:rPr>
              <w:t>March 2020</w:t>
            </w: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1.2231</w:t>
            </w:r>
          </w:p>
        </w:tc>
        <w:tc>
          <w:tcPr>
            <w:tcW w:w="160" w:type="dxa"/>
            <w:vAlign w:val="bottom"/>
          </w:tcPr>
          <w:p>
            <w:pPr>
              <w:spacing w:after="0"/>
              <w:rPr>
                <w:sz w:val="17"/>
                <w:szCs w:val="17"/>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6"/>
                <w:szCs w:val="16"/>
                <w:color w:val="auto"/>
              </w:rPr>
              <w:t>£500</w:t>
            </w:r>
          </w:p>
        </w:tc>
        <w:tc>
          <w:tcPr>
            <w:tcW w:w="40" w:type="dxa"/>
            <w:vAlign w:val="bottom"/>
          </w:tcPr>
          <w:p>
            <w:pPr>
              <w:spacing w:after="0"/>
              <w:rPr>
                <w:sz w:val="17"/>
                <w:szCs w:val="17"/>
                <w:color w:val="auto"/>
              </w:rPr>
            </w:pPr>
          </w:p>
        </w:tc>
      </w:tr>
      <w:tr>
        <w:trPr>
          <w:trHeight w:val="203"/>
        </w:trPr>
        <w:tc>
          <w:tcPr>
            <w:tcW w:w="144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w:t>
            </w:r>
          </w:p>
        </w:tc>
        <w:tc>
          <w:tcPr>
            <w:tcW w:w="17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ABN</w:t>
            </w:r>
          </w:p>
        </w:tc>
        <w:tc>
          <w:tcPr>
            <w:tcW w:w="1540" w:type="dxa"/>
            <w:vAlign w:val="bottom"/>
            <w:gridSpan w:val="2"/>
            <w:shd w:val="clear" w:color="auto" w:fill="E5FFFF"/>
          </w:tcPr>
          <w:p>
            <w:pPr>
              <w:jc w:val="center"/>
              <w:ind w:right="220"/>
              <w:spacing w:after="0"/>
              <w:rPr>
                <w:sz w:val="20"/>
                <w:szCs w:val="20"/>
                <w:color w:val="auto"/>
              </w:rPr>
            </w:pPr>
            <w:r>
              <w:rPr>
                <w:rFonts w:ascii="Arial" w:cs="Arial" w:eastAsia="Arial" w:hAnsi="Arial"/>
                <w:sz w:val="16"/>
                <w:szCs w:val="16"/>
                <w:color w:val="auto"/>
                <w:w w:val="93"/>
              </w:rPr>
              <w:t>August 2019</w:t>
            </w:r>
          </w:p>
        </w:tc>
        <w:tc>
          <w:tcPr>
            <w:tcW w:w="11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w:t>
            </w:r>
          </w:p>
        </w:tc>
        <w:tc>
          <w:tcPr>
            <w:tcW w:w="220" w:type="dxa"/>
            <w:vAlign w:val="bottom"/>
            <w:shd w:val="clear" w:color="auto" w:fill="E5FFFF"/>
          </w:tcPr>
          <w:p>
            <w:pPr>
              <w:spacing w:after="0"/>
              <w:rPr>
                <w:sz w:val="17"/>
                <w:szCs w:val="17"/>
                <w:color w:val="auto"/>
              </w:rPr>
            </w:pPr>
          </w:p>
        </w:tc>
        <w:tc>
          <w:tcPr>
            <w:tcW w:w="2300" w:type="dxa"/>
            <w:vAlign w:val="bottom"/>
            <w:gridSpan w:val="2"/>
            <w:shd w:val="clear" w:color="auto" w:fill="E5FFFF"/>
          </w:tcPr>
          <w:p>
            <w:pPr>
              <w:jc w:val="center"/>
              <w:ind w:right="200"/>
              <w:spacing w:after="0"/>
              <w:rPr>
                <w:sz w:val="20"/>
                <w:szCs w:val="20"/>
                <w:color w:val="auto"/>
              </w:rPr>
            </w:pPr>
            <w:r>
              <w:rPr>
                <w:rFonts w:ascii="Arial" w:cs="Arial" w:eastAsia="Arial" w:hAnsi="Arial"/>
                <w:sz w:val="16"/>
                <w:szCs w:val="16"/>
                <w:color w:val="auto"/>
                <w:w w:val="97"/>
              </w:rPr>
              <w:t>April 2020</w:t>
            </w:r>
          </w:p>
        </w:tc>
        <w:tc>
          <w:tcPr>
            <w:tcW w:w="12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1.2246</w:t>
            </w:r>
          </w:p>
        </w:tc>
        <w:tc>
          <w:tcPr>
            <w:tcW w:w="160" w:type="dxa"/>
            <w:vAlign w:val="bottom"/>
            <w:shd w:val="clear" w:color="auto" w:fill="E5FFFF"/>
          </w:tcPr>
          <w:p>
            <w:pPr>
              <w:spacing w:after="0"/>
              <w:rPr>
                <w:sz w:val="17"/>
                <w:szCs w:val="17"/>
                <w:color w:val="auto"/>
              </w:rPr>
            </w:pPr>
          </w:p>
        </w:tc>
        <w:tc>
          <w:tcPr>
            <w:tcW w:w="1560" w:type="dxa"/>
            <w:vAlign w:val="bottom"/>
            <w:gridSpan w:val="2"/>
            <w:shd w:val="clear" w:color="auto" w:fill="E5FFFF"/>
          </w:tcPr>
          <w:p>
            <w:pPr>
              <w:jc w:val="right"/>
              <w:ind w:right="260"/>
              <w:spacing w:after="0"/>
              <w:rPr>
                <w:sz w:val="20"/>
                <w:szCs w:val="20"/>
                <w:color w:val="auto"/>
              </w:rPr>
            </w:pPr>
            <w:r>
              <w:rPr>
                <w:rFonts w:ascii="Arial" w:cs="Arial" w:eastAsia="Arial" w:hAnsi="Arial"/>
                <w:sz w:val="16"/>
                <w:szCs w:val="16"/>
                <w:color w:val="auto"/>
              </w:rPr>
              <w:t>£500</w:t>
            </w:r>
          </w:p>
        </w:tc>
        <w:tc>
          <w:tcPr>
            <w:tcW w:w="40" w:type="dxa"/>
            <w:vAlign w:val="bottom"/>
          </w:tcPr>
          <w:p>
            <w:pPr>
              <w:spacing w:after="0"/>
              <w:rPr>
                <w:sz w:val="17"/>
                <w:szCs w:val="17"/>
                <w:color w:val="auto"/>
              </w:rPr>
            </w:pPr>
          </w:p>
        </w:tc>
      </w:tr>
      <w:tr>
        <w:trPr>
          <w:trHeight w:val="203"/>
        </w:trPr>
        <w:tc>
          <w:tcPr>
            <w:tcW w:w="144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760" w:type="dxa"/>
            <w:vAlign w:val="bottom"/>
            <w:gridSpan w:val="2"/>
          </w:tcPr>
          <w:p>
            <w:pPr>
              <w:spacing w:after="0"/>
              <w:rPr>
                <w:sz w:val="20"/>
                <w:szCs w:val="20"/>
                <w:color w:val="auto"/>
              </w:rPr>
            </w:pPr>
            <w:r>
              <w:rPr>
                <w:rFonts w:ascii="Arial" w:cs="Arial" w:eastAsia="Arial" w:hAnsi="Arial"/>
                <w:sz w:val="16"/>
                <w:szCs w:val="16"/>
                <w:color w:val="auto"/>
              </w:rPr>
              <w:t>ABN</w:t>
            </w:r>
          </w:p>
        </w:tc>
        <w:tc>
          <w:tcPr>
            <w:tcW w:w="154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August 2019</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220" w:type="dxa"/>
            <w:vAlign w:val="bottom"/>
          </w:tcPr>
          <w:p>
            <w:pPr>
              <w:spacing w:after="0"/>
              <w:rPr>
                <w:sz w:val="17"/>
                <w:szCs w:val="17"/>
                <w:color w:val="auto"/>
              </w:rPr>
            </w:pPr>
          </w:p>
        </w:tc>
        <w:tc>
          <w:tcPr>
            <w:tcW w:w="2300" w:type="dxa"/>
            <w:vAlign w:val="bottom"/>
            <w:gridSpan w:val="2"/>
          </w:tcPr>
          <w:p>
            <w:pPr>
              <w:jc w:val="center"/>
              <w:ind w:right="200"/>
              <w:spacing w:after="0"/>
              <w:rPr>
                <w:sz w:val="20"/>
                <w:szCs w:val="20"/>
                <w:color w:val="auto"/>
              </w:rPr>
            </w:pPr>
            <w:r>
              <w:rPr>
                <w:rFonts w:ascii="Arial" w:cs="Arial" w:eastAsia="Arial" w:hAnsi="Arial"/>
                <w:sz w:val="16"/>
                <w:szCs w:val="16"/>
                <w:color w:val="auto"/>
                <w:w w:val="93"/>
              </w:rPr>
              <w:t>May 2020</w:t>
            </w: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1.2257</w:t>
            </w:r>
          </w:p>
        </w:tc>
        <w:tc>
          <w:tcPr>
            <w:tcW w:w="160" w:type="dxa"/>
            <w:vAlign w:val="bottom"/>
          </w:tcPr>
          <w:p>
            <w:pPr>
              <w:spacing w:after="0"/>
              <w:rPr>
                <w:sz w:val="17"/>
                <w:szCs w:val="17"/>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6"/>
                <w:szCs w:val="16"/>
                <w:color w:val="auto"/>
              </w:rPr>
              <w:t>£500</w:t>
            </w:r>
          </w:p>
        </w:tc>
        <w:tc>
          <w:tcPr>
            <w:tcW w:w="40" w:type="dxa"/>
            <w:vAlign w:val="bottom"/>
          </w:tcPr>
          <w:p>
            <w:pPr>
              <w:spacing w:after="0"/>
              <w:rPr>
                <w:sz w:val="17"/>
                <w:szCs w:val="17"/>
                <w:color w:val="auto"/>
              </w:rPr>
            </w:pPr>
          </w:p>
        </w:tc>
      </w:tr>
      <w:tr>
        <w:trPr>
          <w:trHeight w:val="203"/>
        </w:trPr>
        <w:tc>
          <w:tcPr>
            <w:tcW w:w="144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w:t>
            </w:r>
          </w:p>
        </w:tc>
        <w:tc>
          <w:tcPr>
            <w:tcW w:w="17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ABN</w:t>
            </w:r>
          </w:p>
        </w:tc>
        <w:tc>
          <w:tcPr>
            <w:tcW w:w="1540" w:type="dxa"/>
            <w:vAlign w:val="bottom"/>
            <w:gridSpan w:val="2"/>
            <w:shd w:val="clear" w:color="auto" w:fill="E5FFFF"/>
          </w:tcPr>
          <w:p>
            <w:pPr>
              <w:jc w:val="center"/>
              <w:ind w:right="220"/>
              <w:spacing w:after="0"/>
              <w:rPr>
                <w:sz w:val="20"/>
                <w:szCs w:val="20"/>
                <w:color w:val="auto"/>
              </w:rPr>
            </w:pPr>
            <w:r>
              <w:rPr>
                <w:rFonts w:ascii="Arial" w:cs="Arial" w:eastAsia="Arial" w:hAnsi="Arial"/>
                <w:sz w:val="16"/>
                <w:szCs w:val="16"/>
                <w:color w:val="auto"/>
                <w:w w:val="93"/>
              </w:rPr>
              <w:t>August 2019</w:t>
            </w:r>
          </w:p>
        </w:tc>
        <w:tc>
          <w:tcPr>
            <w:tcW w:w="11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w:t>
            </w:r>
          </w:p>
        </w:tc>
        <w:tc>
          <w:tcPr>
            <w:tcW w:w="220" w:type="dxa"/>
            <w:vAlign w:val="bottom"/>
            <w:shd w:val="clear" w:color="auto" w:fill="E5FFFF"/>
          </w:tcPr>
          <w:p>
            <w:pPr>
              <w:spacing w:after="0"/>
              <w:rPr>
                <w:sz w:val="17"/>
                <w:szCs w:val="17"/>
                <w:color w:val="auto"/>
              </w:rPr>
            </w:pPr>
          </w:p>
        </w:tc>
        <w:tc>
          <w:tcPr>
            <w:tcW w:w="2300" w:type="dxa"/>
            <w:vAlign w:val="bottom"/>
            <w:gridSpan w:val="2"/>
            <w:shd w:val="clear" w:color="auto" w:fill="E5FFFF"/>
          </w:tcPr>
          <w:p>
            <w:pPr>
              <w:jc w:val="center"/>
              <w:ind w:right="200"/>
              <w:spacing w:after="0"/>
              <w:rPr>
                <w:sz w:val="20"/>
                <w:szCs w:val="20"/>
                <w:color w:val="auto"/>
              </w:rPr>
            </w:pPr>
            <w:r>
              <w:rPr>
                <w:rFonts w:ascii="Arial" w:cs="Arial" w:eastAsia="Arial" w:hAnsi="Arial"/>
                <w:sz w:val="16"/>
                <w:szCs w:val="16"/>
                <w:color w:val="auto"/>
                <w:w w:val="88"/>
              </w:rPr>
              <w:t>June 2020</w:t>
            </w:r>
          </w:p>
        </w:tc>
        <w:tc>
          <w:tcPr>
            <w:tcW w:w="12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1.2272</w:t>
            </w:r>
          </w:p>
        </w:tc>
        <w:tc>
          <w:tcPr>
            <w:tcW w:w="160" w:type="dxa"/>
            <w:vAlign w:val="bottom"/>
            <w:shd w:val="clear" w:color="auto" w:fill="E5FFFF"/>
          </w:tcPr>
          <w:p>
            <w:pPr>
              <w:spacing w:after="0"/>
              <w:rPr>
                <w:sz w:val="17"/>
                <w:szCs w:val="17"/>
                <w:color w:val="auto"/>
              </w:rPr>
            </w:pPr>
          </w:p>
        </w:tc>
        <w:tc>
          <w:tcPr>
            <w:tcW w:w="1560" w:type="dxa"/>
            <w:vAlign w:val="bottom"/>
            <w:gridSpan w:val="2"/>
            <w:shd w:val="clear" w:color="auto" w:fill="E5FFFF"/>
          </w:tcPr>
          <w:p>
            <w:pPr>
              <w:jc w:val="right"/>
              <w:ind w:right="260"/>
              <w:spacing w:after="0"/>
              <w:rPr>
                <w:sz w:val="20"/>
                <w:szCs w:val="20"/>
                <w:color w:val="auto"/>
              </w:rPr>
            </w:pPr>
            <w:r>
              <w:rPr>
                <w:rFonts w:ascii="Arial" w:cs="Arial" w:eastAsia="Arial" w:hAnsi="Arial"/>
                <w:sz w:val="16"/>
                <w:szCs w:val="16"/>
                <w:color w:val="auto"/>
              </w:rPr>
              <w:t>£500</w:t>
            </w:r>
          </w:p>
        </w:tc>
        <w:tc>
          <w:tcPr>
            <w:tcW w:w="4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£4,350</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5"/>
              </w:rPr>
              <w:t>Fixed</w:t>
            </w: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Total Exchange</w:t>
            </w:r>
          </w:p>
        </w:tc>
        <w:tc>
          <w:tcPr>
            <w:tcW w:w="4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Number of</w:t>
            </w:r>
          </w:p>
        </w:tc>
        <w:tc>
          <w:tcPr>
            <w:tcW w:w="2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Exchange Rate</w:t>
            </w: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Amount</w:t>
            </w:r>
          </w:p>
        </w:tc>
        <w:tc>
          <w:tcPr>
            <w:tcW w:w="40" w:type="dxa"/>
            <w:vAlign w:val="bottom"/>
          </w:tcPr>
          <w:p>
            <w:pPr>
              <w:spacing w:after="0"/>
              <w:rPr>
                <w:sz w:val="17"/>
                <w:szCs w:val="17"/>
                <w:color w:val="auto"/>
              </w:rPr>
            </w:pPr>
          </w:p>
        </w:tc>
      </w:tr>
      <w:tr>
        <w:trPr>
          <w:trHeight w:val="213"/>
        </w:trPr>
        <w:tc>
          <w:tcPr>
            <w:tcW w:w="1440" w:type="dxa"/>
            <w:vAlign w:val="bottom"/>
            <w:gridSpan w:val="2"/>
          </w:tcPr>
          <w:p>
            <w:pPr>
              <w:ind w:left="280"/>
              <w:spacing w:after="0"/>
              <w:rPr>
                <w:sz w:val="20"/>
                <w:szCs w:val="20"/>
                <w:color w:val="auto"/>
              </w:rPr>
            </w:pPr>
            <w:r>
              <w:rPr>
                <w:rFonts w:ascii="Arial" w:cs="Arial" w:eastAsia="Arial" w:hAnsi="Arial"/>
                <w:sz w:val="16"/>
                <w:szCs w:val="16"/>
                <w:b w:val="1"/>
                <w:bCs w:val="1"/>
                <w:color w:val="auto"/>
              </w:rPr>
              <w:t>Company</w:t>
            </w:r>
          </w:p>
        </w:tc>
        <w:tc>
          <w:tcPr>
            <w:tcW w:w="1760" w:type="dxa"/>
            <w:vAlign w:val="bottom"/>
            <w:gridSpan w:val="2"/>
          </w:tcPr>
          <w:p>
            <w:pPr>
              <w:ind w:left="260"/>
              <w:spacing w:after="0"/>
              <w:rPr>
                <w:sz w:val="20"/>
                <w:szCs w:val="20"/>
                <w:color w:val="auto"/>
              </w:rPr>
            </w:pPr>
            <w:r>
              <w:rPr>
                <w:rFonts w:ascii="Arial" w:cs="Arial" w:eastAsia="Arial" w:hAnsi="Arial"/>
                <w:sz w:val="16"/>
                <w:szCs w:val="16"/>
                <w:b w:val="1"/>
                <w:bCs w:val="1"/>
                <w:color w:val="auto"/>
              </w:rPr>
              <w:t>Counterparty</w:t>
            </w:r>
          </w:p>
        </w:tc>
        <w:tc>
          <w:tcPr>
            <w:tcW w:w="15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Trade Date</w:t>
            </w: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contracts</w:t>
            </w:r>
          </w:p>
        </w:tc>
        <w:tc>
          <w:tcPr>
            <w:tcW w:w="23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Settlement Dates</w:t>
            </w:r>
          </w:p>
        </w:tc>
        <w:tc>
          <w:tcPr>
            <w:tcW w:w="14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9"/>
              </w:rPr>
              <w:t>(USD/EUR)</w:t>
            </w: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(in thousands)</w:t>
            </w:r>
          </w:p>
        </w:tc>
        <w:tc>
          <w:tcPr>
            <w:tcW w:w="40" w:type="dxa"/>
            <w:vAlign w:val="bottom"/>
          </w:tcPr>
          <w:p>
            <w:pPr>
              <w:spacing w:after="0"/>
              <w:rPr>
                <w:sz w:val="18"/>
                <w:szCs w:val="18"/>
                <w:color w:val="auto"/>
              </w:rPr>
            </w:pPr>
          </w:p>
        </w:tc>
      </w:tr>
      <w:tr>
        <w:trPr>
          <w:trHeight w:val="199"/>
        </w:trPr>
        <w:tc>
          <w:tcPr>
            <w:tcW w:w="122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color w:val="auto"/>
              </w:rPr>
              <w:t>GasLog</w:t>
            </w:r>
          </w:p>
        </w:tc>
        <w:tc>
          <w:tcPr>
            <w:tcW w:w="220" w:type="dxa"/>
            <w:vAlign w:val="bottom"/>
            <w:tcBorders>
              <w:top w:val="single" w:sz="8" w:color="E5FFFF"/>
            </w:tcBorders>
            <w:shd w:val="clear" w:color="auto" w:fill="E5FFFF"/>
          </w:tcPr>
          <w:p>
            <w:pPr>
              <w:spacing w:after="0"/>
              <w:rPr>
                <w:sz w:val="17"/>
                <w:szCs w:val="17"/>
                <w:color w:val="auto"/>
              </w:rPr>
            </w:pPr>
          </w:p>
        </w:tc>
        <w:tc>
          <w:tcPr>
            <w:tcW w:w="148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color w:val="auto"/>
              </w:rPr>
              <w:t>SEB</w:t>
            </w:r>
          </w:p>
        </w:tc>
        <w:tc>
          <w:tcPr>
            <w:tcW w:w="280" w:type="dxa"/>
            <w:vAlign w:val="bottom"/>
            <w:tcBorders>
              <w:top w:val="single" w:sz="8" w:color="E5FFFF"/>
            </w:tcBorders>
            <w:shd w:val="clear" w:color="auto" w:fill="E5FFFF"/>
          </w:tcPr>
          <w:p>
            <w:pPr>
              <w:spacing w:after="0"/>
              <w:rPr>
                <w:sz w:val="17"/>
                <w:szCs w:val="17"/>
                <w:color w:val="auto"/>
              </w:rPr>
            </w:pPr>
          </w:p>
        </w:tc>
        <w:tc>
          <w:tcPr>
            <w:tcW w:w="13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3"/>
              </w:rPr>
              <w:t>August 2019</w:t>
            </w:r>
          </w:p>
        </w:tc>
        <w:tc>
          <w:tcPr>
            <w:tcW w:w="240" w:type="dxa"/>
            <w:vAlign w:val="bottom"/>
            <w:tcBorders>
              <w:top w:val="single" w:sz="8" w:color="E5FFFF"/>
            </w:tcBorders>
            <w:shd w:val="clear" w:color="auto" w:fill="E5FFFF"/>
          </w:tcPr>
          <w:p>
            <w:pPr>
              <w:spacing w:after="0"/>
              <w:rPr>
                <w:sz w:val="17"/>
                <w:szCs w:val="17"/>
                <w:color w:val="auto"/>
              </w:rPr>
            </w:pPr>
          </w:p>
        </w:tc>
        <w:tc>
          <w:tcPr>
            <w:tcW w:w="11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1</w:t>
            </w:r>
          </w:p>
        </w:tc>
        <w:tc>
          <w:tcPr>
            <w:tcW w:w="220" w:type="dxa"/>
            <w:vAlign w:val="bottom"/>
            <w:tcBorders>
              <w:top w:val="single" w:sz="8" w:color="E5FFFF"/>
            </w:tcBorders>
            <w:shd w:val="clear" w:color="auto" w:fill="E5FFFF"/>
          </w:tcPr>
          <w:p>
            <w:pPr>
              <w:spacing w:after="0"/>
              <w:rPr>
                <w:sz w:val="17"/>
                <w:szCs w:val="17"/>
                <w:color w:val="auto"/>
              </w:rPr>
            </w:pPr>
          </w:p>
        </w:tc>
        <w:tc>
          <w:tcPr>
            <w:tcW w:w="21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8"/>
              </w:rPr>
              <w:t>January 2020</w:t>
            </w:r>
          </w:p>
        </w:tc>
        <w:tc>
          <w:tcPr>
            <w:tcW w:w="180" w:type="dxa"/>
            <w:vAlign w:val="bottom"/>
            <w:tcBorders>
              <w:top w:val="single" w:sz="8" w:color="E5FFFF"/>
            </w:tcBorders>
            <w:shd w:val="clear" w:color="auto" w:fill="E5FFFF"/>
          </w:tcPr>
          <w:p>
            <w:pPr>
              <w:spacing w:after="0"/>
              <w:rPr>
                <w:sz w:val="17"/>
                <w:szCs w:val="17"/>
                <w:color w:val="auto"/>
              </w:rPr>
            </w:pPr>
          </w:p>
        </w:tc>
        <w:tc>
          <w:tcPr>
            <w:tcW w:w="12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1.1235</w:t>
            </w:r>
          </w:p>
        </w:tc>
        <w:tc>
          <w:tcPr>
            <w:tcW w:w="160" w:type="dxa"/>
            <w:vAlign w:val="bottom"/>
            <w:tcBorders>
              <w:top w:val="single" w:sz="8" w:color="E5FFFF"/>
            </w:tcBorders>
            <w:shd w:val="clear" w:color="auto" w:fill="E5FFFF"/>
          </w:tcPr>
          <w:p>
            <w:pPr>
              <w:spacing w:after="0"/>
              <w:rPr>
                <w:sz w:val="17"/>
                <w:szCs w:val="17"/>
                <w:color w:val="auto"/>
              </w:rPr>
            </w:pPr>
          </w:p>
        </w:tc>
        <w:tc>
          <w:tcPr>
            <w:tcW w:w="1560" w:type="dxa"/>
            <w:vAlign w:val="bottom"/>
            <w:tcBorders>
              <w:top w:val="single" w:sz="8" w:color="auto"/>
            </w:tcBorders>
            <w:gridSpan w:val="2"/>
            <w:shd w:val="clear" w:color="auto" w:fill="E5FFFF"/>
          </w:tcPr>
          <w:p>
            <w:pPr>
              <w:jc w:val="right"/>
              <w:ind w:right="260"/>
              <w:spacing w:after="0"/>
              <w:rPr>
                <w:sz w:val="20"/>
                <w:szCs w:val="20"/>
                <w:color w:val="auto"/>
              </w:rPr>
            </w:pPr>
            <w:r>
              <w:rPr>
                <w:rFonts w:ascii="Arial" w:cs="Arial" w:eastAsia="Arial" w:hAnsi="Arial"/>
                <w:sz w:val="16"/>
                <w:szCs w:val="16"/>
                <w:color w:val="auto"/>
              </w:rPr>
              <w:t>€3,000</w:t>
            </w:r>
          </w:p>
        </w:tc>
        <w:tc>
          <w:tcPr>
            <w:tcW w:w="40" w:type="dxa"/>
            <w:vAlign w:val="bottom"/>
          </w:tcPr>
          <w:p>
            <w:pPr>
              <w:spacing w:after="0"/>
              <w:rPr>
                <w:sz w:val="17"/>
                <w:szCs w:val="17"/>
                <w:color w:val="auto"/>
              </w:rPr>
            </w:pPr>
          </w:p>
        </w:tc>
      </w:tr>
      <w:tr>
        <w:trPr>
          <w:trHeight w:val="203"/>
        </w:trPr>
        <w:tc>
          <w:tcPr>
            <w:tcW w:w="144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760" w:type="dxa"/>
            <w:vAlign w:val="bottom"/>
            <w:gridSpan w:val="2"/>
          </w:tcPr>
          <w:p>
            <w:pPr>
              <w:spacing w:after="0"/>
              <w:rPr>
                <w:sz w:val="20"/>
                <w:szCs w:val="20"/>
                <w:color w:val="auto"/>
              </w:rPr>
            </w:pPr>
            <w:r>
              <w:rPr>
                <w:rFonts w:ascii="Arial" w:cs="Arial" w:eastAsia="Arial" w:hAnsi="Arial"/>
                <w:sz w:val="16"/>
                <w:szCs w:val="16"/>
                <w:color w:val="auto"/>
              </w:rPr>
              <w:t>SEB</w:t>
            </w:r>
          </w:p>
        </w:tc>
        <w:tc>
          <w:tcPr>
            <w:tcW w:w="154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August 2019</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220" w:type="dxa"/>
            <w:vAlign w:val="bottom"/>
          </w:tcPr>
          <w:p>
            <w:pPr>
              <w:spacing w:after="0"/>
              <w:rPr>
                <w:sz w:val="17"/>
                <w:szCs w:val="17"/>
                <w:color w:val="auto"/>
              </w:rPr>
            </w:pPr>
          </w:p>
        </w:tc>
        <w:tc>
          <w:tcPr>
            <w:tcW w:w="230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February 2020</w:t>
            </w: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1.1260</w:t>
            </w:r>
          </w:p>
        </w:tc>
        <w:tc>
          <w:tcPr>
            <w:tcW w:w="160" w:type="dxa"/>
            <w:vAlign w:val="bottom"/>
          </w:tcPr>
          <w:p>
            <w:pPr>
              <w:spacing w:after="0"/>
              <w:rPr>
                <w:sz w:val="17"/>
                <w:szCs w:val="17"/>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6"/>
                <w:szCs w:val="16"/>
                <w:color w:val="auto"/>
              </w:rPr>
              <w:t>€3,000</w:t>
            </w:r>
          </w:p>
        </w:tc>
        <w:tc>
          <w:tcPr>
            <w:tcW w:w="40" w:type="dxa"/>
            <w:vAlign w:val="bottom"/>
          </w:tcPr>
          <w:p>
            <w:pPr>
              <w:spacing w:after="0"/>
              <w:rPr>
                <w:sz w:val="17"/>
                <w:szCs w:val="17"/>
                <w:color w:val="auto"/>
              </w:rPr>
            </w:pPr>
          </w:p>
        </w:tc>
      </w:tr>
      <w:tr>
        <w:trPr>
          <w:trHeight w:val="203"/>
        </w:trPr>
        <w:tc>
          <w:tcPr>
            <w:tcW w:w="144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w:t>
            </w:r>
          </w:p>
        </w:tc>
        <w:tc>
          <w:tcPr>
            <w:tcW w:w="17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SEB</w:t>
            </w:r>
          </w:p>
        </w:tc>
        <w:tc>
          <w:tcPr>
            <w:tcW w:w="1540" w:type="dxa"/>
            <w:vAlign w:val="bottom"/>
            <w:gridSpan w:val="2"/>
            <w:shd w:val="clear" w:color="auto" w:fill="E5FFFF"/>
          </w:tcPr>
          <w:p>
            <w:pPr>
              <w:jc w:val="center"/>
              <w:ind w:right="220"/>
              <w:spacing w:after="0"/>
              <w:rPr>
                <w:sz w:val="20"/>
                <w:szCs w:val="20"/>
                <w:color w:val="auto"/>
              </w:rPr>
            </w:pPr>
            <w:r>
              <w:rPr>
                <w:rFonts w:ascii="Arial" w:cs="Arial" w:eastAsia="Arial" w:hAnsi="Arial"/>
                <w:sz w:val="16"/>
                <w:szCs w:val="16"/>
                <w:color w:val="auto"/>
                <w:w w:val="93"/>
              </w:rPr>
              <w:t>August 2019</w:t>
            </w:r>
          </w:p>
        </w:tc>
        <w:tc>
          <w:tcPr>
            <w:tcW w:w="11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w:t>
            </w:r>
          </w:p>
        </w:tc>
        <w:tc>
          <w:tcPr>
            <w:tcW w:w="220" w:type="dxa"/>
            <w:vAlign w:val="bottom"/>
            <w:shd w:val="clear" w:color="auto" w:fill="E5FFFF"/>
          </w:tcPr>
          <w:p>
            <w:pPr>
              <w:spacing w:after="0"/>
              <w:rPr>
                <w:sz w:val="17"/>
                <w:szCs w:val="17"/>
                <w:color w:val="auto"/>
              </w:rPr>
            </w:pPr>
          </w:p>
        </w:tc>
        <w:tc>
          <w:tcPr>
            <w:tcW w:w="2300" w:type="dxa"/>
            <w:vAlign w:val="bottom"/>
            <w:gridSpan w:val="2"/>
            <w:shd w:val="clear" w:color="auto" w:fill="E5FFFF"/>
          </w:tcPr>
          <w:p>
            <w:pPr>
              <w:jc w:val="center"/>
              <w:ind w:right="200"/>
              <w:spacing w:after="0"/>
              <w:rPr>
                <w:sz w:val="20"/>
                <w:szCs w:val="20"/>
                <w:color w:val="auto"/>
              </w:rPr>
            </w:pPr>
            <w:r>
              <w:rPr>
                <w:rFonts w:ascii="Arial" w:cs="Arial" w:eastAsia="Arial" w:hAnsi="Arial"/>
                <w:sz w:val="16"/>
                <w:szCs w:val="16"/>
                <w:color w:val="auto"/>
                <w:w w:val="92"/>
              </w:rPr>
              <w:t>March 2020</w:t>
            </w:r>
          </w:p>
        </w:tc>
        <w:tc>
          <w:tcPr>
            <w:tcW w:w="12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1.1283</w:t>
            </w:r>
          </w:p>
        </w:tc>
        <w:tc>
          <w:tcPr>
            <w:tcW w:w="160" w:type="dxa"/>
            <w:vAlign w:val="bottom"/>
            <w:shd w:val="clear" w:color="auto" w:fill="E5FFFF"/>
          </w:tcPr>
          <w:p>
            <w:pPr>
              <w:spacing w:after="0"/>
              <w:rPr>
                <w:sz w:val="17"/>
                <w:szCs w:val="17"/>
                <w:color w:val="auto"/>
              </w:rPr>
            </w:pPr>
          </w:p>
        </w:tc>
        <w:tc>
          <w:tcPr>
            <w:tcW w:w="1560" w:type="dxa"/>
            <w:vAlign w:val="bottom"/>
            <w:gridSpan w:val="2"/>
            <w:shd w:val="clear" w:color="auto" w:fill="E5FFFF"/>
          </w:tcPr>
          <w:p>
            <w:pPr>
              <w:jc w:val="right"/>
              <w:ind w:right="260"/>
              <w:spacing w:after="0"/>
              <w:rPr>
                <w:sz w:val="20"/>
                <w:szCs w:val="20"/>
                <w:color w:val="auto"/>
              </w:rPr>
            </w:pPr>
            <w:r>
              <w:rPr>
                <w:rFonts w:ascii="Arial" w:cs="Arial" w:eastAsia="Arial" w:hAnsi="Arial"/>
                <w:sz w:val="16"/>
                <w:szCs w:val="16"/>
                <w:color w:val="auto"/>
              </w:rPr>
              <w:t>€3,000</w:t>
            </w:r>
          </w:p>
        </w:tc>
        <w:tc>
          <w:tcPr>
            <w:tcW w:w="40" w:type="dxa"/>
            <w:vAlign w:val="bottom"/>
          </w:tcPr>
          <w:p>
            <w:pPr>
              <w:spacing w:after="0"/>
              <w:rPr>
                <w:sz w:val="17"/>
                <w:szCs w:val="17"/>
                <w:color w:val="auto"/>
              </w:rPr>
            </w:pPr>
          </w:p>
        </w:tc>
      </w:tr>
      <w:tr>
        <w:trPr>
          <w:trHeight w:val="203"/>
        </w:trPr>
        <w:tc>
          <w:tcPr>
            <w:tcW w:w="144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760" w:type="dxa"/>
            <w:vAlign w:val="bottom"/>
            <w:gridSpan w:val="2"/>
          </w:tcPr>
          <w:p>
            <w:pPr>
              <w:spacing w:after="0"/>
              <w:rPr>
                <w:sz w:val="20"/>
                <w:szCs w:val="20"/>
                <w:color w:val="auto"/>
              </w:rPr>
            </w:pPr>
            <w:r>
              <w:rPr>
                <w:rFonts w:ascii="Arial" w:cs="Arial" w:eastAsia="Arial" w:hAnsi="Arial"/>
                <w:sz w:val="16"/>
                <w:szCs w:val="16"/>
                <w:color w:val="auto"/>
              </w:rPr>
              <w:t>Citibank</w:t>
            </w:r>
          </w:p>
        </w:tc>
        <w:tc>
          <w:tcPr>
            <w:tcW w:w="154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August 2019</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220" w:type="dxa"/>
            <w:vAlign w:val="bottom"/>
          </w:tcPr>
          <w:p>
            <w:pPr>
              <w:spacing w:after="0"/>
              <w:rPr>
                <w:sz w:val="17"/>
                <w:szCs w:val="17"/>
                <w:color w:val="auto"/>
              </w:rPr>
            </w:pPr>
          </w:p>
        </w:tc>
        <w:tc>
          <w:tcPr>
            <w:tcW w:w="2300" w:type="dxa"/>
            <w:vAlign w:val="bottom"/>
            <w:gridSpan w:val="2"/>
          </w:tcPr>
          <w:p>
            <w:pPr>
              <w:jc w:val="center"/>
              <w:ind w:right="200"/>
              <w:spacing w:after="0"/>
              <w:rPr>
                <w:sz w:val="20"/>
                <w:szCs w:val="20"/>
                <w:color w:val="auto"/>
              </w:rPr>
            </w:pPr>
            <w:r>
              <w:rPr>
                <w:rFonts w:ascii="Arial" w:cs="Arial" w:eastAsia="Arial" w:hAnsi="Arial"/>
                <w:sz w:val="16"/>
                <w:szCs w:val="16"/>
                <w:color w:val="auto"/>
                <w:w w:val="92"/>
              </w:rPr>
              <w:t>October 2019</w:t>
            </w: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1.1164</w:t>
            </w:r>
          </w:p>
        </w:tc>
        <w:tc>
          <w:tcPr>
            <w:tcW w:w="160" w:type="dxa"/>
            <w:vAlign w:val="bottom"/>
          </w:tcPr>
          <w:p>
            <w:pPr>
              <w:spacing w:after="0"/>
              <w:rPr>
                <w:sz w:val="17"/>
                <w:szCs w:val="17"/>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6"/>
                <w:szCs w:val="16"/>
                <w:color w:val="auto"/>
              </w:rPr>
              <w:t>€3,000</w:t>
            </w:r>
          </w:p>
        </w:tc>
        <w:tc>
          <w:tcPr>
            <w:tcW w:w="40" w:type="dxa"/>
            <w:vAlign w:val="bottom"/>
          </w:tcPr>
          <w:p>
            <w:pPr>
              <w:spacing w:after="0"/>
              <w:rPr>
                <w:sz w:val="17"/>
                <w:szCs w:val="17"/>
                <w:color w:val="auto"/>
              </w:rPr>
            </w:pPr>
          </w:p>
        </w:tc>
      </w:tr>
      <w:tr>
        <w:trPr>
          <w:trHeight w:val="203"/>
        </w:trPr>
        <w:tc>
          <w:tcPr>
            <w:tcW w:w="144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w:t>
            </w:r>
          </w:p>
        </w:tc>
        <w:tc>
          <w:tcPr>
            <w:tcW w:w="17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Citibank</w:t>
            </w:r>
          </w:p>
        </w:tc>
        <w:tc>
          <w:tcPr>
            <w:tcW w:w="1540" w:type="dxa"/>
            <w:vAlign w:val="bottom"/>
            <w:gridSpan w:val="2"/>
            <w:shd w:val="clear" w:color="auto" w:fill="E5FFFF"/>
          </w:tcPr>
          <w:p>
            <w:pPr>
              <w:jc w:val="center"/>
              <w:ind w:right="220"/>
              <w:spacing w:after="0"/>
              <w:rPr>
                <w:sz w:val="20"/>
                <w:szCs w:val="20"/>
                <w:color w:val="auto"/>
              </w:rPr>
            </w:pPr>
            <w:r>
              <w:rPr>
                <w:rFonts w:ascii="Arial" w:cs="Arial" w:eastAsia="Arial" w:hAnsi="Arial"/>
                <w:sz w:val="16"/>
                <w:szCs w:val="16"/>
                <w:color w:val="auto"/>
                <w:w w:val="93"/>
              </w:rPr>
              <w:t>August 2019</w:t>
            </w:r>
          </w:p>
        </w:tc>
        <w:tc>
          <w:tcPr>
            <w:tcW w:w="11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w:t>
            </w:r>
          </w:p>
        </w:tc>
        <w:tc>
          <w:tcPr>
            <w:tcW w:w="220" w:type="dxa"/>
            <w:vAlign w:val="bottom"/>
            <w:shd w:val="clear" w:color="auto" w:fill="E5FFFF"/>
          </w:tcPr>
          <w:p>
            <w:pPr>
              <w:spacing w:after="0"/>
              <w:rPr>
                <w:sz w:val="17"/>
                <w:szCs w:val="17"/>
                <w:color w:val="auto"/>
              </w:rPr>
            </w:pPr>
          </w:p>
        </w:tc>
        <w:tc>
          <w:tcPr>
            <w:tcW w:w="2300" w:type="dxa"/>
            <w:vAlign w:val="bottom"/>
            <w:gridSpan w:val="2"/>
            <w:shd w:val="clear" w:color="auto" w:fill="E5FFFF"/>
          </w:tcPr>
          <w:p>
            <w:pPr>
              <w:jc w:val="center"/>
              <w:ind w:right="200"/>
              <w:spacing w:after="0"/>
              <w:rPr>
                <w:sz w:val="20"/>
                <w:szCs w:val="20"/>
                <w:color w:val="auto"/>
              </w:rPr>
            </w:pPr>
            <w:r>
              <w:rPr>
                <w:rFonts w:ascii="Arial" w:cs="Arial" w:eastAsia="Arial" w:hAnsi="Arial"/>
                <w:sz w:val="16"/>
                <w:szCs w:val="16"/>
                <w:color w:val="auto"/>
                <w:w w:val="93"/>
              </w:rPr>
              <w:t>November 2019</w:t>
            </w:r>
          </w:p>
        </w:tc>
        <w:tc>
          <w:tcPr>
            <w:tcW w:w="12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1.1189</w:t>
            </w:r>
          </w:p>
        </w:tc>
        <w:tc>
          <w:tcPr>
            <w:tcW w:w="160" w:type="dxa"/>
            <w:vAlign w:val="bottom"/>
            <w:shd w:val="clear" w:color="auto" w:fill="E5FFFF"/>
          </w:tcPr>
          <w:p>
            <w:pPr>
              <w:spacing w:after="0"/>
              <w:rPr>
                <w:sz w:val="17"/>
                <w:szCs w:val="17"/>
                <w:color w:val="auto"/>
              </w:rPr>
            </w:pPr>
          </w:p>
        </w:tc>
        <w:tc>
          <w:tcPr>
            <w:tcW w:w="1560" w:type="dxa"/>
            <w:vAlign w:val="bottom"/>
            <w:gridSpan w:val="2"/>
            <w:shd w:val="clear" w:color="auto" w:fill="E5FFFF"/>
          </w:tcPr>
          <w:p>
            <w:pPr>
              <w:jc w:val="right"/>
              <w:ind w:right="260"/>
              <w:spacing w:after="0"/>
              <w:rPr>
                <w:sz w:val="20"/>
                <w:szCs w:val="20"/>
                <w:color w:val="auto"/>
              </w:rPr>
            </w:pPr>
            <w:r>
              <w:rPr>
                <w:rFonts w:ascii="Arial" w:cs="Arial" w:eastAsia="Arial" w:hAnsi="Arial"/>
                <w:sz w:val="16"/>
                <w:szCs w:val="16"/>
                <w:color w:val="auto"/>
              </w:rPr>
              <w:t>€3,000</w:t>
            </w:r>
          </w:p>
        </w:tc>
        <w:tc>
          <w:tcPr>
            <w:tcW w:w="40" w:type="dxa"/>
            <w:vAlign w:val="bottom"/>
          </w:tcPr>
          <w:p>
            <w:pPr>
              <w:spacing w:after="0"/>
              <w:rPr>
                <w:sz w:val="17"/>
                <w:szCs w:val="17"/>
                <w:color w:val="auto"/>
              </w:rPr>
            </w:pPr>
          </w:p>
        </w:tc>
      </w:tr>
      <w:tr>
        <w:trPr>
          <w:trHeight w:val="203"/>
        </w:trPr>
        <w:tc>
          <w:tcPr>
            <w:tcW w:w="144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760" w:type="dxa"/>
            <w:vAlign w:val="bottom"/>
            <w:gridSpan w:val="2"/>
          </w:tcPr>
          <w:p>
            <w:pPr>
              <w:spacing w:after="0"/>
              <w:rPr>
                <w:sz w:val="20"/>
                <w:szCs w:val="20"/>
                <w:color w:val="auto"/>
              </w:rPr>
            </w:pPr>
            <w:r>
              <w:rPr>
                <w:rFonts w:ascii="Arial" w:cs="Arial" w:eastAsia="Arial" w:hAnsi="Arial"/>
                <w:sz w:val="16"/>
                <w:szCs w:val="16"/>
                <w:color w:val="auto"/>
              </w:rPr>
              <w:t>Citibank</w:t>
            </w:r>
          </w:p>
        </w:tc>
        <w:tc>
          <w:tcPr>
            <w:tcW w:w="154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August 2019</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220" w:type="dxa"/>
            <w:vAlign w:val="bottom"/>
          </w:tcPr>
          <w:p>
            <w:pPr>
              <w:spacing w:after="0"/>
              <w:rPr>
                <w:sz w:val="17"/>
                <w:szCs w:val="17"/>
                <w:color w:val="auto"/>
              </w:rPr>
            </w:pPr>
          </w:p>
        </w:tc>
        <w:tc>
          <w:tcPr>
            <w:tcW w:w="2300" w:type="dxa"/>
            <w:vAlign w:val="bottom"/>
            <w:gridSpan w:val="2"/>
          </w:tcPr>
          <w:p>
            <w:pPr>
              <w:jc w:val="center"/>
              <w:ind w:right="200"/>
              <w:spacing w:after="0"/>
              <w:rPr>
                <w:sz w:val="20"/>
                <w:szCs w:val="20"/>
                <w:color w:val="auto"/>
              </w:rPr>
            </w:pPr>
            <w:r>
              <w:rPr>
                <w:rFonts w:ascii="Arial" w:cs="Arial" w:eastAsia="Arial" w:hAnsi="Arial"/>
                <w:sz w:val="16"/>
                <w:szCs w:val="16"/>
                <w:color w:val="auto"/>
                <w:w w:val="89"/>
              </w:rPr>
              <w:t>December 2019</w:t>
            </w: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1.1215</w:t>
            </w:r>
          </w:p>
        </w:tc>
        <w:tc>
          <w:tcPr>
            <w:tcW w:w="160" w:type="dxa"/>
            <w:vAlign w:val="bottom"/>
          </w:tcPr>
          <w:p>
            <w:pPr>
              <w:spacing w:after="0"/>
              <w:rPr>
                <w:sz w:val="17"/>
                <w:szCs w:val="17"/>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6"/>
                <w:szCs w:val="16"/>
                <w:color w:val="auto"/>
              </w:rPr>
              <w:t>€3,000</w:t>
            </w:r>
          </w:p>
        </w:tc>
        <w:tc>
          <w:tcPr>
            <w:tcW w:w="40" w:type="dxa"/>
            <w:vAlign w:val="bottom"/>
          </w:tcPr>
          <w:p>
            <w:pPr>
              <w:spacing w:after="0"/>
              <w:rPr>
                <w:sz w:val="17"/>
                <w:szCs w:val="17"/>
                <w:color w:val="auto"/>
              </w:rPr>
            </w:pPr>
          </w:p>
        </w:tc>
      </w:tr>
      <w:tr>
        <w:trPr>
          <w:trHeight w:val="203"/>
        </w:trPr>
        <w:tc>
          <w:tcPr>
            <w:tcW w:w="144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w:t>
            </w:r>
          </w:p>
        </w:tc>
        <w:tc>
          <w:tcPr>
            <w:tcW w:w="17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Citibank</w:t>
            </w:r>
          </w:p>
        </w:tc>
        <w:tc>
          <w:tcPr>
            <w:tcW w:w="1540" w:type="dxa"/>
            <w:vAlign w:val="bottom"/>
            <w:gridSpan w:val="2"/>
            <w:shd w:val="clear" w:color="auto" w:fill="E5FFFF"/>
          </w:tcPr>
          <w:p>
            <w:pPr>
              <w:jc w:val="center"/>
              <w:ind w:right="220"/>
              <w:spacing w:after="0"/>
              <w:rPr>
                <w:sz w:val="20"/>
                <w:szCs w:val="20"/>
                <w:color w:val="auto"/>
              </w:rPr>
            </w:pPr>
            <w:r>
              <w:rPr>
                <w:rFonts w:ascii="Arial" w:cs="Arial" w:eastAsia="Arial" w:hAnsi="Arial"/>
                <w:sz w:val="16"/>
                <w:szCs w:val="16"/>
                <w:color w:val="auto"/>
                <w:w w:val="93"/>
              </w:rPr>
              <w:t>August 2019</w:t>
            </w:r>
          </w:p>
        </w:tc>
        <w:tc>
          <w:tcPr>
            <w:tcW w:w="11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w:t>
            </w:r>
          </w:p>
        </w:tc>
        <w:tc>
          <w:tcPr>
            <w:tcW w:w="220" w:type="dxa"/>
            <w:vAlign w:val="bottom"/>
            <w:shd w:val="clear" w:color="auto" w:fill="E5FFFF"/>
          </w:tcPr>
          <w:p>
            <w:pPr>
              <w:spacing w:after="0"/>
              <w:rPr>
                <w:sz w:val="17"/>
                <w:szCs w:val="17"/>
                <w:color w:val="auto"/>
              </w:rPr>
            </w:pPr>
          </w:p>
        </w:tc>
        <w:tc>
          <w:tcPr>
            <w:tcW w:w="2300" w:type="dxa"/>
            <w:vAlign w:val="bottom"/>
            <w:gridSpan w:val="2"/>
            <w:shd w:val="clear" w:color="auto" w:fill="E5FFFF"/>
          </w:tcPr>
          <w:p>
            <w:pPr>
              <w:jc w:val="center"/>
              <w:ind w:right="200"/>
              <w:spacing w:after="0"/>
              <w:rPr>
                <w:sz w:val="20"/>
                <w:szCs w:val="20"/>
                <w:color w:val="auto"/>
              </w:rPr>
            </w:pPr>
            <w:r>
              <w:rPr>
                <w:rFonts w:ascii="Arial" w:cs="Arial" w:eastAsia="Arial" w:hAnsi="Arial"/>
                <w:sz w:val="16"/>
                <w:szCs w:val="16"/>
                <w:color w:val="auto"/>
                <w:w w:val="97"/>
              </w:rPr>
              <w:t>April 2020</w:t>
            </w:r>
          </w:p>
        </w:tc>
        <w:tc>
          <w:tcPr>
            <w:tcW w:w="12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1.1311</w:t>
            </w:r>
          </w:p>
        </w:tc>
        <w:tc>
          <w:tcPr>
            <w:tcW w:w="160" w:type="dxa"/>
            <w:vAlign w:val="bottom"/>
            <w:shd w:val="clear" w:color="auto" w:fill="E5FFFF"/>
          </w:tcPr>
          <w:p>
            <w:pPr>
              <w:spacing w:after="0"/>
              <w:rPr>
                <w:sz w:val="17"/>
                <w:szCs w:val="17"/>
                <w:color w:val="auto"/>
              </w:rPr>
            </w:pPr>
          </w:p>
        </w:tc>
        <w:tc>
          <w:tcPr>
            <w:tcW w:w="1560" w:type="dxa"/>
            <w:vAlign w:val="bottom"/>
            <w:gridSpan w:val="2"/>
            <w:shd w:val="clear" w:color="auto" w:fill="E5FFFF"/>
          </w:tcPr>
          <w:p>
            <w:pPr>
              <w:jc w:val="right"/>
              <w:ind w:right="260"/>
              <w:spacing w:after="0"/>
              <w:rPr>
                <w:sz w:val="20"/>
                <w:szCs w:val="20"/>
                <w:color w:val="auto"/>
              </w:rPr>
            </w:pPr>
            <w:r>
              <w:rPr>
                <w:rFonts w:ascii="Arial" w:cs="Arial" w:eastAsia="Arial" w:hAnsi="Arial"/>
                <w:sz w:val="16"/>
                <w:szCs w:val="16"/>
                <w:color w:val="auto"/>
              </w:rPr>
              <w:t>€1,000</w:t>
            </w:r>
          </w:p>
        </w:tc>
        <w:tc>
          <w:tcPr>
            <w:tcW w:w="40" w:type="dxa"/>
            <w:vAlign w:val="bottom"/>
          </w:tcPr>
          <w:p>
            <w:pPr>
              <w:spacing w:after="0"/>
              <w:rPr>
                <w:sz w:val="17"/>
                <w:szCs w:val="17"/>
                <w:color w:val="auto"/>
              </w:rPr>
            </w:pPr>
          </w:p>
        </w:tc>
      </w:tr>
      <w:tr>
        <w:trPr>
          <w:trHeight w:val="206"/>
        </w:trPr>
        <w:tc>
          <w:tcPr>
            <w:tcW w:w="144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760" w:type="dxa"/>
            <w:vAlign w:val="bottom"/>
            <w:gridSpan w:val="2"/>
          </w:tcPr>
          <w:p>
            <w:pPr>
              <w:spacing w:after="0"/>
              <w:rPr>
                <w:sz w:val="20"/>
                <w:szCs w:val="20"/>
                <w:color w:val="auto"/>
              </w:rPr>
            </w:pPr>
            <w:r>
              <w:rPr>
                <w:rFonts w:ascii="Arial" w:cs="Arial" w:eastAsia="Arial" w:hAnsi="Arial"/>
                <w:sz w:val="16"/>
                <w:szCs w:val="16"/>
                <w:color w:val="auto"/>
              </w:rPr>
              <w:t>Citibank</w:t>
            </w:r>
          </w:p>
        </w:tc>
        <w:tc>
          <w:tcPr>
            <w:tcW w:w="154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August 2019</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220" w:type="dxa"/>
            <w:vAlign w:val="bottom"/>
          </w:tcPr>
          <w:p>
            <w:pPr>
              <w:spacing w:after="0"/>
              <w:rPr>
                <w:sz w:val="17"/>
                <w:szCs w:val="17"/>
                <w:color w:val="auto"/>
              </w:rPr>
            </w:pPr>
          </w:p>
        </w:tc>
        <w:tc>
          <w:tcPr>
            <w:tcW w:w="2300" w:type="dxa"/>
            <w:vAlign w:val="bottom"/>
            <w:gridSpan w:val="2"/>
          </w:tcPr>
          <w:p>
            <w:pPr>
              <w:jc w:val="center"/>
              <w:ind w:right="200"/>
              <w:spacing w:after="0"/>
              <w:rPr>
                <w:sz w:val="20"/>
                <w:szCs w:val="20"/>
                <w:color w:val="auto"/>
              </w:rPr>
            </w:pPr>
            <w:r>
              <w:rPr>
                <w:rFonts w:ascii="Arial" w:cs="Arial" w:eastAsia="Arial" w:hAnsi="Arial"/>
                <w:sz w:val="16"/>
                <w:szCs w:val="16"/>
                <w:color w:val="auto"/>
                <w:w w:val="93"/>
              </w:rPr>
              <w:t>May 2020</w:t>
            </w: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1.1333</w:t>
            </w:r>
          </w:p>
        </w:tc>
        <w:tc>
          <w:tcPr>
            <w:tcW w:w="160" w:type="dxa"/>
            <w:vAlign w:val="bottom"/>
          </w:tcPr>
          <w:p>
            <w:pPr>
              <w:spacing w:after="0"/>
              <w:rPr>
                <w:sz w:val="17"/>
                <w:szCs w:val="17"/>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6"/>
                <w:szCs w:val="16"/>
                <w:color w:val="auto"/>
              </w:rPr>
              <w:t>€1,000</w:t>
            </w:r>
          </w:p>
        </w:tc>
        <w:tc>
          <w:tcPr>
            <w:tcW w:w="40" w:type="dxa"/>
            <w:vAlign w:val="bottom"/>
          </w:tcPr>
          <w:p>
            <w:pPr>
              <w:spacing w:after="0"/>
              <w:rPr>
                <w:sz w:val="17"/>
                <w:szCs w:val="17"/>
                <w:color w:val="auto"/>
              </w:rPr>
            </w:pPr>
          </w:p>
        </w:tc>
      </w:tr>
      <w:tr>
        <w:trPr>
          <w:trHeight w:val="409"/>
        </w:trPr>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ind w:left="820"/>
              <w:spacing w:after="0"/>
              <w:rPr>
                <w:sz w:val="20"/>
                <w:szCs w:val="20"/>
                <w:color w:val="auto"/>
              </w:rPr>
            </w:pPr>
            <w:r>
              <w:rPr>
                <w:rFonts w:ascii="Arial" w:cs="Arial" w:eastAsia="Arial" w:hAnsi="Arial"/>
                <w:sz w:val="16"/>
                <w:szCs w:val="16"/>
                <w:color w:val="auto"/>
              </w:rPr>
              <w:t>F-18</w:t>
            </w:r>
          </w:p>
        </w:tc>
        <w:tc>
          <w:tcPr>
            <w:tcW w:w="2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8"/>
        </w:trPr>
        <w:tc>
          <w:tcPr>
            <w:tcW w:w="12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4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0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1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2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3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6" w:right="19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3"/>
        </w:trPr>
        <w:tc>
          <w:tcPr>
            <w:tcW w:w="980" w:type="dxa"/>
            <w:vAlign w:val="bottom"/>
            <w:shd w:val="clear" w:color="auto" w:fill="E5FFFF"/>
          </w:tcPr>
          <w:p>
            <w:pPr>
              <w:spacing w:after="0"/>
              <w:rPr>
                <w:sz w:val="20"/>
                <w:szCs w:val="20"/>
                <w:color w:val="auto"/>
              </w:rPr>
            </w:pPr>
            <w:r>
              <w:rPr>
                <w:rFonts w:ascii="Arial" w:cs="Arial" w:eastAsia="Arial" w:hAnsi="Arial"/>
                <w:sz w:val="16"/>
                <w:szCs w:val="16"/>
                <w:color w:val="auto"/>
              </w:rPr>
              <w:t>GasLog</w:t>
            </w:r>
          </w:p>
        </w:tc>
        <w:tc>
          <w:tcPr>
            <w:tcW w:w="2140" w:type="dxa"/>
            <w:vAlign w:val="bottom"/>
            <w:shd w:val="clear" w:color="auto" w:fill="E5FFFF"/>
          </w:tcPr>
          <w:p>
            <w:pPr>
              <w:ind w:left="460"/>
              <w:spacing w:after="0"/>
              <w:rPr>
                <w:sz w:val="20"/>
                <w:szCs w:val="20"/>
                <w:color w:val="auto"/>
              </w:rPr>
            </w:pPr>
            <w:r>
              <w:rPr>
                <w:rFonts w:ascii="Arial" w:cs="Arial" w:eastAsia="Arial" w:hAnsi="Arial"/>
                <w:sz w:val="16"/>
                <w:szCs w:val="16"/>
                <w:color w:val="auto"/>
              </w:rPr>
              <w:t>Citibank</w:t>
            </w:r>
          </w:p>
        </w:tc>
        <w:tc>
          <w:tcPr>
            <w:tcW w:w="1660" w:type="dxa"/>
            <w:vAlign w:val="bottom"/>
            <w:shd w:val="clear" w:color="auto" w:fill="E5FFFF"/>
          </w:tcPr>
          <w:p>
            <w:pPr>
              <w:ind w:left="320"/>
              <w:spacing w:after="0"/>
              <w:rPr>
                <w:sz w:val="20"/>
                <w:szCs w:val="20"/>
                <w:color w:val="auto"/>
              </w:rPr>
            </w:pPr>
            <w:r>
              <w:rPr>
                <w:rFonts w:ascii="Arial" w:cs="Arial" w:eastAsia="Arial" w:hAnsi="Arial"/>
                <w:sz w:val="16"/>
                <w:szCs w:val="16"/>
                <w:color w:val="auto"/>
              </w:rPr>
              <w:t>August 2019</w:t>
            </w:r>
          </w:p>
        </w:tc>
        <w:tc>
          <w:tcPr>
            <w:tcW w:w="1080" w:type="dxa"/>
            <w:vAlign w:val="bottom"/>
            <w:shd w:val="clear" w:color="auto" w:fill="E5FFFF"/>
          </w:tcPr>
          <w:p>
            <w:pPr>
              <w:jc w:val="right"/>
              <w:ind w:right="419"/>
              <w:spacing w:after="0"/>
              <w:rPr>
                <w:sz w:val="20"/>
                <w:szCs w:val="20"/>
                <w:color w:val="auto"/>
              </w:rPr>
            </w:pPr>
            <w:r>
              <w:rPr>
                <w:rFonts w:ascii="Arial" w:cs="Arial" w:eastAsia="Arial" w:hAnsi="Arial"/>
                <w:sz w:val="16"/>
                <w:szCs w:val="16"/>
                <w:color w:val="auto"/>
              </w:rPr>
              <w:t>1</w:t>
            </w:r>
          </w:p>
        </w:tc>
        <w:tc>
          <w:tcPr>
            <w:tcW w:w="25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8"/>
              </w:rPr>
              <w:t>June 2020</w:t>
            </w:r>
          </w:p>
        </w:tc>
        <w:tc>
          <w:tcPr>
            <w:tcW w:w="1280" w:type="dxa"/>
            <w:vAlign w:val="bottom"/>
            <w:shd w:val="clear" w:color="auto" w:fill="E5FFFF"/>
          </w:tcPr>
          <w:p>
            <w:pPr>
              <w:jc w:val="right"/>
              <w:ind w:right="339"/>
              <w:spacing w:after="0"/>
              <w:rPr>
                <w:sz w:val="20"/>
                <w:szCs w:val="20"/>
                <w:color w:val="auto"/>
              </w:rPr>
            </w:pPr>
            <w:r>
              <w:rPr>
                <w:rFonts w:ascii="Arial" w:cs="Arial" w:eastAsia="Arial" w:hAnsi="Arial"/>
                <w:sz w:val="16"/>
                <w:szCs w:val="16"/>
                <w:color w:val="auto"/>
              </w:rPr>
              <w:t>1.1358</w:t>
            </w:r>
          </w:p>
        </w:tc>
        <w:tc>
          <w:tcPr>
            <w:tcW w:w="160" w:type="dxa"/>
            <w:vAlign w:val="bottom"/>
            <w:shd w:val="clear" w:color="auto" w:fill="E5FFFF"/>
          </w:tcPr>
          <w:p>
            <w:pPr>
              <w:spacing w:after="0"/>
              <w:rPr>
                <w:sz w:val="17"/>
                <w:szCs w:val="17"/>
                <w:color w:val="auto"/>
              </w:rPr>
            </w:pPr>
          </w:p>
        </w:tc>
        <w:tc>
          <w:tcPr>
            <w:tcW w:w="1560" w:type="dxa"/>
            <w:vAlign w:val="bottom"/>
            <w:gridSpan w:val="2"/>
            <w:shd w:val="clear" w:color="auto" w:fill="E5FFFF"/>
          </w:tcPr>
          <w:p>
            <w:pPr>
              <w:jc w:val="right"/>
              <w:ind w:right="260"/>
              <w:spacing w:after="0"/>
              <w:rPr>
                <w:sz w:val="20"/>
                <w:szCs w:val="20"/>
                <w:color w:val="auto"/>
              </w:rPr>
            </w:pPr>
            <w:r>
              <w:rPr>
                <w:rFonts w:ascii="Arial" w:cs="Arial" w:eastAsia="Arial" w:hAnsi="Arial"/>
                <w:sz w:val="16"/>
                <w:szCs w:val="16"/>
                <w:color w:val="auto"/>
              </w:rPr>
              <w:t>€1,000</w:t>
            </w:r>
          </w:p>
        </w:tc>
      </w:tr>
      <w:tr>
        <w:trPr>
          <w:trHeight w:val="193"/>
        </w:trPr>
        <w:tc>
          <w:tcPr>
            <w:tcW w:w="980" w:type="dxa"/>
            <w:vAlign w:val="bottom"/>
          </w:tcPr>
          <w:p>
            <w:pPr>
              <w:spacing w:after="0"/>
              <w:rPr>
                <w:sz w:val="20"/>
                <w:szCs w:val="20"/>
                <w:color w:val="auto"/>
              </w:rPr>
            </w:pPr>
            <w:r>
              <w:rPr>
                <w:rFonts w:ascii="Arial" w:cs="Arial" w:eastAsia="Arial" w:hAnsi="Arial"/>
                <w:sz w:val="16"/>
                <w:szCs w:val="16"/>
                <w:color w:val="auto"/>
              </w:rPr>
              <w:t>GasLog</w:t>
            </w:r>
          </w:p>
        </w:tc>
        <w:tc>
          <w:tcPr>
            <w:tcW w:w="2140" w:type="dxa"/>
            <w:vAlign w:val="bottom"/>
          </w:tcPr>
          <w:p>
            <w:pPr>
              <w:ind w:left="460"/>
              <w:spacing w:after="0"/>
              <w:rPr>
                <w:sz w:val="20"/>
                <w:szCs w:val="20"/>
                <w:color w:val="auto"/>
              </w:rPr>
            </w:pPr>
            <w:r>
              <w:rPr>
                <w:rFonts w:ascii="Arial" w:cs="Arial" w:eastAsia="Arial" w:hAnsi="Arial"/>
                <w:sz w:val="16"/>
                <w:szCs w:val="16"/>
                <w:color w:val="auto"/>
              </w:rPr>
              <w:t>Oversea-Chinese</w:t>
            </w:r>
          </w:p>
        </w:tc>
        <w:tc>
          <w:tcPr>
            <w:tcW w:w="1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03"/>
        </w:trPr>
        <w:tc>
          <w:tcPr>
            <w:tcW w:w="980" w:type="dxa"/>
            <w:vAlign w:val="bottom"/>
          </w:tcPr>
          <w:p>
            <w:pPr>
              <w:spacing w:after="0"/>
              <w:rPr>
                <w:sz w:val="17"/>
                <w:szCs w:val="17"/>
                <w:color w:val="auto"/>
              </w:rPr>
            </w:pPr>
          </w:p>
        </w:tc>
        <w:tc>
          <w:tcPr>
            <w:tcW w:w="2140" w:type="dxa"/>
            <w:vAlign w:val="bottom"/>
          </w:tcPr>
          <w:p>
            <w:pPr>
              <w:ind w:left="460"/>
              <w:spacing w:after="0"/>
              <w:rPr>
                <w:sz w:val="20"/>
                <w:szCs w:val="20"/>
                <w:color w:val="auto"/>
              </w:rPr>
            </w:pPr>
            <w:r>
              <w:rPr>
                <w:rFonts w:ascii="Arial" w:cs="Arial" w:eastAsia="Arial" w:hAnsi="Arial"/>
                <w:sz w:val="16"/>
                <w:szCs w:val="16"/>
                <w:color w:val="auto"/>
              </w:rPr>
              <w:t>Banking Corporation</w:t>
            </w: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980" w:type="dxa"/>
            <w:vAlign w:val="bottom"/>
          </w:tcPr>
          <w:p>
            <w:pPr>
              <w:spacing w:after="0"/>
              <w:rPr>
                <w:sz w:val="17"/>
                <w:szCs w:val="17"/>
                <w:color w:val="auto"/>
              </w:rPr>
            </w:pPr>
          </w:p>
        </w:tc>
        <w:tc>
          <w:tcPr>
            <w:tcW w:w="2140" w:type="dxa"/>
            <w:vAlign w:val="bottom"/>
          </w:tcPr>
          <w:p>
            <w:pPr>
              <w:ind w:left="460"/>
              <w:spacing w:after="0"/>
              <w:rPr>
                <w:sz w:val="20"/>
                <w:szCs w:val="20"/>
                <w:color w:val="auto"/>
              </w:rPr>
            </w:pPr>
            <w:r>
              <w:rPr>
                <w:rFonts w:ascii="Arial" w:cs="Arial" w:eastAsia="Arial" w:hAnsi="Arial"/>
                <w:sz w:val="16"/>
                <w:szCs w:val="16"/>
                <w:color w:val="auto"/>
              </w:rPr>
              <w:t>Limited (“OCBC</w:t>
            </w: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9"/>
        </w:trPr>
        <w:tc>
          <w:tcPr>
            <w:tcW w:w="980" w:type="dxa"/>
            <w:vAlign w:val="bottom"/>
          </w:tcPr>
          <w:p>
            <w:pPr>
              <w:spacing w:after="0"/>
              <w:rPr>
                <w:sz w:val="18"/>
                <w:szCs w:val="18"/>
                <w:color w:val="auto"/>
              </w:rPr>
            </w:pPr>
          </w:p>
        </w:tc>
        <w:tc>
          <w:tcPr>
            <w:tcW w:w="2140" w:type="dxa"/>
            <w:vAlign w:val="bottom"/>
          </w:tcPr>
          <w:p>
            <w:pPr>
              <w:ind w:left="460"/>
              <w:spacing w:after="0"/>
              <w:rPr>
                <w:sz w:val="20"/>
                <w:szCs w:val="20"/>
                <w:color w:val="auto"/>
              </w:rPr>
            </w:pPr>
            <w:r>
              <w:rPr>
                <w:rFonts w:ascii="Arial" w:cs="Arial" w:eastAsia="Arial" w:hAnsi="Arial"/>
                <w:sz w:val="16"/>
                <w:szCs w:val="16"/>
                <w:color w:val="auto"/>
              </w:rPr>
              <w:t>Bank”)</w:t>
            </w:r>
          </w:p>
        </w:tc>
        <w:tc>
          <w:tcPr>
            <w:tcW w:w="1660" w:type="dxa"/>
            <w:vAlign w:val="bottom"/>
          </w:tcPr>
          <w:p>
            <w:pPr>
              <w:ind w:left="320"/>
              <w:spacing w:after="0"/>
              <w:rPr>
                <w:sz w:val="20"/>
                <w:szCs w:val="20"/>
                <w:color w:val="auto"/>
              </w:rPr>
            </w:pPr>
            <w:r>
              <w:rPr>
                <w:rFonts w:ascii="Arial" w:cs="Arial" w:eastAsia="Arial" w:hAnsi="Arial"/>
                <w:sz w:val="16"/>
                <w:szCs w:val="16"/>
                <w:color w:val="auto"/>
              </w:rPr>
              <w:t>August 2019</w:t>
            </w:r>
          </w:p>
        </w:tc>
        <w:tc>
          <w:tcPr>
            <w:tcW w:w="1080" w:type="dxa"/>
            <w:vAlign w:val="bottom"/>
          </w:tcPr>
          <w:p>
            <w:pPr>
              <w:jc w:val="right"/>
              <w:ind w:right="419"/>
              <w:spacing w:after="0"/>
              <w:rPr>
                <w:sz w:val="20"/>
                <w:szCs w:val="20"/>
                <w:color w:val="auto"/>
              </w:rPr>
            </w:pPr>
            <w:r>
              <w:rPr>
                <w:rFonts w:ascii="Arial" w:cs="Arial" w:eastAsia="Arial" w:hAnsi="Arial"/>
                <w:sz w:val="16"/>
                <w:szCs w:val="16"/>
                <w:color w:val="auto"/>
              </w:rPr>
              <w:t>3</w:t>
            </w:r>
          </w:p>
        </w:tc>
        <w:tc>
          <w:tcPr>
            <w:tcW w:w="2560" w:type="dxa"/>
            <w:vAlign w:val="bottom"/>
          </w:tcPr>
          <w:p>
            <w:pPr>
              <w:jc w:val="center"/>
              <w:spacing w:after="0"/>
              <w:rPr>
                <w:sz w:val="20"/>
                <w:szCs w:val="20"/>
                <w:color w:val="auto"/>
              </w:rPr>
            </w:pPr>
            <w:r>
              <w:rPr>
                <w:rFonts w:ascii="Arial" w:cs="Arial" w:eastAsia="Arial" w:hAnsi="Arial"/>
                <w:sz w:val="16"/>
                <w:szCs w:val="16"/>
                <w:color w:val="auto"/>
                <w:w w:val="90"/>
              </w:rPr>
              <w:t>October-December 2019</w:t>
            </w:r>
          </w:p>
        </w:tc>
        <w:tc>
          <w:tcPr>
            <w:tcW w:w="1280" w:type="dxa"/>
            <w:vAlign w:val="bottom"/>
          </w:tcPr>
          <w:p>
            <w:pPr>
              <w:jc w:val="right"/>
              <w:ind w:right="339"/>
              <w:spacing w:after="0"/>
              <w:rPr>
                <w:sz w:val="20"/>
                <w:szCs w:val="20"/>
                <w:color w:val="auto"/>
              </w:rPr>
            </w:pPr>
            <w:r>
              <w:rPr>
                <w:rFonts w:ascii="Arial" w:cs="Arial" w:eastAsia="Arial" w:hAnsi="Arial"/>
                <w:sz w:val="16"/>
                <w:szCs w:val="16"/>
                <w:color w:val="auto"/>
              </w:rPr>
              <w:t>1.1188</w:t>
            </w:r>
          </w:p>
        </w:tc>
        <w:tc>
          <w:tcPr>
            <w:tcW w:w="160" w:type="dxa"/>
            <w:vAlign w:val="bottom"/>
          </w:tcPr>
          <w:p>
            <w:pPr>
              <w:spacing w:after="0"/>
              <w:rPr>
                <w:sz w:val="18"/>
                <w:szCs w:val="18"/>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6"/>
                <w:szCs w:val="16"/>
                <w:color w:val="auto"/>
              </w:rPr>
              <w:t>€9,000</w:t>
            </w:r>
          </w:p>
        </w:tc>
      </w:tr>
      <w:tr>
        <w:trPr>
          <w:trHeight w:val="199"/>
        </w:trPr>
        <w:tc>
          <w:tcPr>
            <w:tcW w:w="980" w:type="dxa"/>
            <w:vAlign w:val="bottom"/>
            <w:tcBorders>
              <w:top w:val="single" w:sz="8" w:color="E5FFFF"/>
              <w:bottom w:val="single" w:sz="8" w:color="E5FFFF"/>
            </w:tcBorders>
            <w:shd w:val="clear" w:color="auto" w:fill="E5FFFF"/>
          </w:tcPr>
          <w:p>
            <w:pPr>
              <w:spacing w:after="0"/>
              <w:rPr>
                <w:sz w:val="17"/>
                <w:szCs w:val="17"/>
                <w:color w:val="auto"/>
              </w:rPr>
            </w:pPr>
          </w:p>
        </w:tc>
        <w:tc>
          <w:tcPr>
            <w:tcW w:w="2140" w:type="dxa"/>
            <w:vAlign w:val="bottom"/>
            <w:tcBorders>
              <w:top w:val="single" w:sz="8" w:color="E5FFFF"/>
              <w:bottom w:val="single" w:sz="8" w:color="E5FFFF"/>
            </w:tcBorders>
            <w:shd w:val="clear" w:color="auto" w:fill="E5FFFF"/>
          </w:tcPr>
          <w:p>
            <w:pPr>
              <w:spacing w:after="0"/>
              <w:rPr>
                <w:sz w:val="17"/>
                <w:szCs w:val="17"/>
                <w:color w:val="auto"/>
              </w:rPr>
            </w:pPr>
          </w:p>
        </w:tc>
        <w:tc>
          <w:tcPr>
            <w:tcW w:w="1660" w:type="dxa"/>
            <w:vAlign w:val="bottom"/>
            <w:tcBorders>
              <w:top w:val="single" w:sz="8" w:color="E5FFFF"/>
              <w:bottom w:val="single" w:sz="8" w:color="E5FFFF"/>
            </w:tcBorders>
            <w:shd w:val="clear" w:color="auto" w:fill="E5FFFF"/>
          </w:tcPr>
          <w:p>
            <w:pPr>
              <w:spacing w:after="0"/>
              <w:rPr>
                <w:sz w:val="17"/>
                <w:szCs w:val="17"/>
                <w:color w:val="auto"/>
              </w:rPr>
            </w:pPr>
          </w:p>
        </w:tc>
        <w:tc>
          <w:tcPr>
            <w:tcW w:w="1080" w:type="dxa"/>
            <w:vAlign w:val="bottom"/>
            <w:tcBorders>
              <w:top w:val="single" w:sz="8" w:color="E5FFFF"/>
              <w:bottom w:val="single" w:sz="8" w:color="E5FFFF"/>
            </w:tcBorders>
            <w:shd w:val="clear" w:color="auto" w:fill="E5FFFF"/>
          </w:tcPr>
          <w:p>
            <w:pPr>
              <w:spacing w:after="0"/>
              <w:rPr>
                <w:sz w:val="17"/>
                <w:szCs w:val="17"/>
                <w:color w:val="auto"/>
              </w:rPr>
            </w:pPr>
          </w:p>
        </w:tc>
        <w:tc>
          <w:tcPr>
            <w:tcW w:w="2560" w:type="dxa"/>
            <w:vAlign w:val="bottom"/>
            <w:tcBorders>
              <w:top w:val="single" w:sz="8" w:color="E5FFFF"/>
              <w:bottom w:val="single" w:sz="8" w:color="E5FFFF"/>
            </w:tcBorders>
            <w:shd w:val="clear" w:color="auto" w:fill="E5FFFF"/>
          </w:tcPr>
          <w:p>
            <w:pPr>
              <w:spacing w:after="0"/>
              <w:rPr>
                <w:sz w:val="17"/>
                <w:szCs w:val="17"/>
                <w:color w:val="auto"/>
              </w:rPr>
            </w:pPr>
          </w:p>
        </w:tc>
        <w:tc>
          <w:tcPr>
            <w:tcW w:w="1280" w:type="dxa"/>
            <w:vAlign w:val="bottom"/>
            <w:tcBorders>
              <w:top w:val="single" w:sz="8" w:color="auto"/>
              <w:bottom w:val="single" w:sz="8" w:color="auto"/>
            </w:tcBorders>
            <w:shd w:val="clear" w:color="auto" w:fill="E5FFFF"/>
          </w:tcPr>
          <w:p>
            <w:pPr>
              <w:jc w:val="right"/>
              <w:ind w:right="199"/>
              <w:spacing w:after="0"/>
              <w:rPr>
                <w:sz w:val="20"/>
                <w:szCs w:val="20"/>
                <w:color w:val="auto"/>
              </w:rPr>
            </w:pPr>
            <w:r>
              <w:rPr>
                <w:rFonts w:ascii="Arial" w:cs="Arial" w:eastAsia="Arial" w:hAnsi="Arial"/>
                <w:sz w:val="16"/>
                <w:szCs w:val="16"/>
                <w:b w:val="1"/>
                <w:bCs w:val="1"/>
                <w:color w:val="auto"/>
              </w:rPr>
              <w:t>Total</w:t>
            </w:r>
          </w:p>
        </w:tc>
        <w:tc>
          <w:tcPr>
            <w:tcW w:w="160" w:type="dxa"/>
            <w:vAlign w:val="bottom"/>
            <w:tcBorders>
              <w:top w:val="single" w:sz="8" w:color="E5FFFF"/>
              <w:bottom w:val="single" w:sz="8" w:color="E5FFFF"/>
            </w:tcBorders>
            <w:shd w:val="clear" w:color="auto" w:fill="E5FFFF"/>
          </w:tcPr>
          <w:p>
            <w:pPr>
              <w:spacing w:after="0"/>
              <w:rPr>
                <w:sz w:val="17"/>
                <w:szCs w:val="17"/>
                <w:color w:val="auto"/>
              </w:rPr>
            </w:pPr>
          </w:p>
        </w:tc>
        <w:tc>
          <w:tcPr>
            <w:tcW w:w="13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€30,000</w:t>
            </w:r>
          </w:p>
        </w:tc>
        <w:tc>
          <w:tcPr>
            <w:tcW w:w="260" w:type="dxa"/>
            <w:vAlign w:val="bottom"/>
            <w:tcBorders>
              <w:top w:val="single" w:sz="8" w:color="E5FFFF"/>
              <w:bottom w:val="single" w:sz="8" w:color="E5FFFF"/>
            </w:tcBorders>
            <w:shd w:val="clear" w:color="auto" w:fill="E5FFFF"/>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6" w:lineRule="exact"/>
        <w:rPr>
          <w:sz w:val="20"/>
          <w:szCs w:val="20"/>
          <w:color w:val="auto"/>
        </w:rPr>
      </w:pPr>
    </w:p>
    <w:p>
      <w:pPr>
        <w:ind w:right="200" w:firstLine="356"/>
        <w:spacing w:after="0" w:line="335" w:lineRule="auto"/>
        <w:rPr>
          <w:sz w:val="20"/>
          <w:szCs w:val="20"/>
          <w:color w:val="auto"/>
        </w:rPr>
      </w:pPr>
      <w:r>
        <w:rPr>
          <w:rFonts w:ascii="Arial" w:cs="Arial" w:eastAsia="Arial" w:hAnsi="Arial"/>
          <w:sz w:val="14"/>
          <w:szCs w:val="14"/>
          <w:color w:val="auto"/>
        </w:rPr>
        <w:t>The derivative instruments listed above were not designated as cash flow hedging instruments as of September 30, 2019. The change in the fair value of these contracts for the three and nine months ended September 30, 2019 amounted to a net loss of $158 and a net gain of $616, respectively (for the three and nine months ended September 30, 2018: a net loss of $62 and $2,978, respectively), which was recognized against profit or loss in the period incurred and is included in Gain on derivatives.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Financial Costs and (Gain)/Loss on Derivatives</w:t>
      </w:r>
    </w:p>
    <w:p>
      <w:pPr>
        <w:spacing w:after="0" w:line="23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An analysis of financial costs and (gain)/loss on derivatives is as follows:</w:t>
      </w:r>
    </w:p>
    <w:p>
      <w:pPr>
        <w:spacing w:after="0" w:line="231" w:lineRule="exact"/>
        <w:rPr>
          <w:sz w:val="20"/>
          <w:szCs w:val="20"/>
          <w:color w:val="auto"/>
        </w:rPr>
      </w:pPr>
    </w:p>
    <w:tbl>
      <w:tblPr>
        <w:tblLayout w:type="fixed"/>
        <w:tblInd w:w="40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3300" w:type="dxa"/>
            <w:vAlign w:val="bottom"/>
            <w:gridSpan w:val="4"/>
          </w:tcPr>
          <w:p>
            <w:pPr>
              <w:jc w:val="right"/>
              <w:ind w:right="840"/>
              <w:spacing w:after="0"/>
              <w:rPr>
                <w:sz w:val="20"/>
                <w:szCs w:val="20"/>
                <w:color w:val="auto"/>
              </w:rPr>
            </w:pPr>
            <w:r>
              <w:rPr>
                <w:rFonts w:ascii="Arial" w:cs="Arial" w:eastAsia="Arial" w:hAnsi="Arial"/>
                <w:sz w:val="16"/>
                <w:szCs w:val="16"/>
                <w:b w:val="1"/>
                <w:bCs w:val="1"/>
                <w:color w:val="auto"/>
              </w:rPr>
              <w:t>For the three months ended</w:t>
            </w:r>
          </w:p>
        </w:tc>
        <w:tc>
          <w:tcPr>
            <w:tcW w:w="3120" w:type="dxa"/>
            <w:vAlign w:val="bottom"/>
            <w:gridSpan w:val="4"/>
          </w:tcPr>
          <w:p>
            <w:pPr>
              <w:jc w:val="right"/>
              <w:ind w:right="700"/>
              <w:spacing w:after="0"/>
              <w:rPr>
                <w:sz w:val="20"/>
                <w:szCs w:val="20"/>
                <w:color w:val="auto"/>
              </w:rPr>
            </w:pPr>
            <w:r>
              <w:rPr>
                <w:rFonts w:ascii="Arial" w:cs="Arial" w:eastAsia="Arial" w:hAnsi="Arial"/>
                <w:sz w:val="16"/>
                <w:szCs w:val="16"/>
                <w:b w:val="1"/>
                <w:bCs w:val="1"/>
                <w:color w:val="auto"/>
              </w:rPr>
              <w:t>For the nine months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64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September 30,</w:t>
            </w:r>
          </w:p>
        </w:tc>
        <w:tc>
          <w:tcPr>
            <w:tcW w:w="166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September 30,</w:t>
            </w:r>
          </w:p>
        </w:tc>
        <w:tc>
          <w:tcPr>
            <w:tcW w:w="1640" w:type="dxa"/>
            <w:vAlign w:val="bottom"/>
            <w:gridSpan w:val="2"/>
          </w:tcPr>
          <w:p>
            <w:pPr>
              <w:jc w:val="right"/>
              <w:ind w:right="439"/>
              <w:spacing w:after="0"/>
              <w:rPr>
                <w:sz w:val="20"/>
                <w:szCs w:val="20"/>
                <w:color w:val="auto"/>
              </w:rPr>
            </w:pPr>
            <w:r>
              <w:rPr>
                <w:rFonts w:ascii="Arial" w:cs="Arial" w:eastAsia="Arial" w:hAnsi="Arial"/>
                <w:sz w:val="16"/>
                <w:szCs w:val="16"/>
                <w:b w:val="1"/>
                <w:bCs w:val="1"/>
                <w:color w:val="auto"/>
              </w:rPr>
              <w:t>September 30,</w:t>
            </w:r>
          </w:p>
        </w:tc>
        <w:tc>
          <w:tcPr>
            <w:tcW w:w="14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28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30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28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060" w:type="dxa"/>
            <w:vAlign w:val="bottom"/>
            <w:shd w:val="clear" w:color="auto" w:fill="E5FFFF"/>
          </w:tcPr>
          <w:p>
            <w:pPr>
              <w:spacing w:after="0" w:line="179" w:lineRule="exact"/>
              <w:rPr>
                <w:sz w:val="20"/>
                <w:szCs w:val="20"/>
                <w:color w:val="auto"/>
              </w:rPr>
            </w:pPr>
            <w:r>
              <w:rPr>
                <w:rFonts w:ascii="Arial" w:cs="Arial" w:eastAsia="Arial" w:hAnsi="Arial"/>
                <w:sz w:val="16"/>
                <w:szCs w:val="16"/>
                <w:color w:val="auto"/>
                <w:w w:val="99"/>
              </w:rPr>
              <w:t>Amortization and write-off of deferred loan/bond issuance</w:t>
            </w:r>
          </w:p>
        </w:tc>
        <w:tc>
          <w:tcPr>
            <w:tcW w:w="1360" w:type="dxa"/>
            <w:vAlign w:val="bottom"/>
            <w:shd w:val="clear" w:color="auto" w:fill="E5FFFF"/>
          </w:tcPr>
          <w:p>
            <w:pPr>
              <w:spacing w:after="0"/>
              <w:rPr>
                <w:sz w:val="15"/>
                <w:szCs w:val="15"/>
                <w:color w:val="auto"/>
              </w:rPr>
            </w:pPr>
          </w:p>
        </w:tc>
        <w:tc>
          <w:tcPr>
            <w:tcW w:w="280" w:type="dxa"/>
            <w:vAlign w:val="bottom"/>
            <w:shd w:val="clear" w:color="auto" w:fill="E5FFFF"/>
          </w:tcPr>
          <w:p>
            <w:pPr>
              <w:spacing w:after="0"/>
              <w:rPr>
                <w:sz w:val="15"/>
                <w:szCs w:val="15"/>
                <w:color w:val="auto"/>
              </w:rPr>
            </w:pPr>
          </w:p>
        </w:tc>
        <w:tc>
          <w:tcPr>
            <w:tcW w:w="1360" w:type="dxa"/>
            <w:vAlign w:val="bottom"/>
            <w:shd w:val="clear" w:color="auto" w:fill="E5FFFF"/>
          </w:tcPr>
          <w:p>
            <w:pPr>
              <w:spacing w:after="0"/>
              <w:rPr>
                <w:sz w:val="15"/>
                <w:szCs w:val="15"/>
                <w:color w:val="auto"/>
              </w:rPr>
            </w:pPr>
          </w:p>
        </w:tc>
        <w:tc>
          <w:tcPr>
            <w:tcW w:w="300" w:type="dxa"/>
            <w:vAlign w:val="bottom"/>
            <w:shd w:val="clear" w:color="auto" w:fill="E5FFFF"/>
          </w:tcPr>
          <w:p>
            <w:pPr>
              <w:spacing w:after="0"/>
              <w:rPr>
                <w:sz w:val="15"/>
                <w:szCs w:val="15"/>
                <w:color w:val="auto"/>
              </w:rPr>
            </w:pPr>
          </w:p>
        </w:tc>
        <w:tc>
          <w:tcPr>
            <w:tcW w:w="1360" w:type="dxa"/>
            <w:vAlign w:val="bottom"/>
            <w:shd w:val="clear" w:color="auto" w:fill="E5FFFF"/>
          </w:tcPr>
          <w:p>
            <w:pPr>
              <w:spacing w:after="0"/>
              <w:rPr>
                <w:sz w:val="15"/>
                <w:szCs w:val="15"/>
                <w:color w:val="auto"/>
              </w:rPr>
            </w:pPr>
          </w:p>
        </w:tc>
        <w:tc>
          <w:tcPr>
            <w:tcW w:w="280" w:type="dxa"/>
            <w:vAlign w:val="bottom"/>
            <w:shd w:val="clear" w:color="auto" w:fill="E5FFFF"/>
          </w:tcPr>
          <w:p>
            <w:pPr>
              <w:spacing w:after="0"/>
              <w:rPr>
                <w:sz w:val="15"/>
                <w:szCs w:val="15"/>
                <w:color w:val="auto"/>
              </w:rPr>
            </w:pPr>
          </w:p>
        </w:tc>
        <w:tc>
          <w:tcPr>
            <w:tcW w:w="1360" w:type="dxa"/>
            <w:vAlign w:val="bottom"/>
            <w:shd w:val="clear" w:color="auto" w:fill="E5FFFF"/>
          </w:tcPr>
          <w:p>
            <w:pPr>
              <w:spacing w:after="0"/>
              <w:rPr>
                <w:sz w:val="15"/>
                <w:szCs w:val="15"/>
                <w:color w:val="auto"/>
              </w:rPr>
            </w:pPr>
          </w:p>
        </w:tc>
        <w:tc>
          <w:tcPr>
            <w:tcW w:w="120" w:type="dxa"/>
            <w:vAlign w:val="bottom"/>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shd w:val="clear" w:color="auto" w:fill="E5FFFF"/>
          </w:tcPr>
          <w:p>
            <w:pPr>
              <w:ind w:left="160"/>
              <w:spacing w:after="0"/>
              <w:rPr>
                <w:sz w:val="20"/>
                <w:szCs w:val="20"/>
                <w:color w:val="auto"/>
              </w:rPr>
            </w:pPr>
            <w:r>
              <w:rPr>
                <w:rFonts w:ascii="Arial" w:cs="Arial" w:eastAsia="Arial" w:hAnsi="Arial"/>
                <w:sz w:val="16"/>
                <w:szCs w:val="16"/>
                <w:color w:val="auto"/>
              </w:rPr>
              <w:t>costs/premium</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3,239</w:t>
            </w:r>
          </w:p>
        </w:tc>
        <w:tc>
          <w:tcPr>
            <w:tcW w:w="280" w:type="dxa"/>
            <w:vAlign w:val="bottom"/>
            <w:shd w:val="clear" w:color="auto" w:fill="E5FFFF"/>
          </w:tcPr>
          <w:p>
            <w:pPr>
              <w:spacing w:after="0"/>
              <w:rPr>
                <w:sz w:val="18"/>
                <w:szCs w:val="18"/>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3,265</w:t>
            </w:r>
          </w:p>
        </w:tc>
        <w:tc>
          <w:tcPr>
            <w:tcW w:w="300" w:type="dxa"/>
            <w:vAlign w:val="bottom"/>
            <w:shd w:val="clear" w:color="auto" w:fill="E5FFFF"/>
          </w:tcPr>
          <w:p>
            <w:pPr>
              <w:spacing w:after="0"/>
              <w:rPr>
                <w:sz w:val="18"/>
                <w:szCs w:val="18"/>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9,383</w:t>
            </w:r>
          </w:p>
        </w:tc>
        <w:tc>
          <w:tcPr>
            <w:tcW w:w="280" w:type="dxa"/>
            <w:vAlign w:val="bottom"/>
            <w:shd w:val="clear" w:color="auto" w:fill="E5FFFF"/>
          </w:tcPr>
          <w:p>
            <w:pPr>
              <w:spacing w:after="0"/>
              <w:rPr>
                <w:sz w:val="18"/>
                <w:szCs w:val="18"/>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10,650</w:t>
            </w:r>
          </w:p>
        </w:tc>
        <w:tc>
          <w:tcPr>
            <w:tcW w:w="1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tcPr>
          <w:p>
            <w:pPr>
              <w:spacing w:after="0"/>
              <w:rPr>
                <w:sz w:val="20"/>
                <w:szCs w:val="20"/>
                <w:color w:val="auto"/>
              </w:rPr>
            </w:pPr>
            <w:r>
              <w:rPr>
                <w:rFonts w:ascii="Arial" w:cs="Arial" w:eastAsia="Arial" w:hAnsi="Arial"/>
                <w:sz w:val="16"/>
                <w:szCs w:val="16"/>
                <w:color w:val="auto"/>
              </w:rPr>
              <w:t>Interest expense on loans</w:t>
            </w:r>
          </w:p>
        </w:tc>
        <w:tc>
          <w:tcPr>
            <w:tcW w:w="1360" w:type="dxa"/>
            <w:vAlign w:val="bottom"/>
          </w:tcPr>
          <w:p>
            <w:pPr>
              <w:jc w:val="right"/>
              <w:spacing w:after="0"/>
              <w:rPr>
                <w:sz w:val="20"/>
                <w:szCs w:val="20"/>
                <w:color w:val="auto"/>
              </w:rPr>
            </w:pPr>
            <w:r>
              <w:rPr>
                <w:rFonts w:ascii="Arial" w:cs="Arial" w:eastAsia="Arial" w:hAnsi="Arial"/>
                <w:sz w:val="16"/>
                <w:szCs w:val="16"/>
                <w:color w:val="auto"/>
              </w:rPr>
              <w:t>30,068</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30,833</w:t>
            </w:r>
          </w:p>
        </w:tc>
        <w:tc>
          <w:tcPr>
            <w:tcW w:w="3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81,331</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93,807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shd w:val="clear" w:color="auto" w:fill="E5FFFF"/>
          </w:tcPr>
          <w:p>
            <w:pPr>
              <w:spacing w:after="0"/>
              <w:rPr>
                <w:sz w:val="20"/>
                <w:szCs w:val="20"/>
                <w:color w:val="auto"/>
              </w:rPr>
            </w:pPr>
            <w:r>
              <w:rPr>
                <w:rFonts w:ascii="Arial" w:cs="Arial" w:eastAsia="Arial" w:hAnsi="Arial"/>
                <w:sz w:val="16"/>
                <w:szCs w:val="16"/>
                <w:color w:val="auto"/>
              </w:rPr>
              <w:t>Interest expense on bonds and realized loss on CCS</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7,526</w:t>
            </w:r>
          </w:p>
        </w:tc>
        <w:tc>
          <w:tcPr>
            <w:tcW w:w="28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9,190</w:t>
            </w:r>
          </w:p>
        </w:tc>
        <w:tc>
          <w:tcPr>
            <w:tcW w:w="30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22,441</w:t>
            </w:r>
          </w:p>
        </w:tc>
        <w:tc>
          <w:tcPr>
            <w:tcW w:w="28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24,929</w:t>
            </w:r>
          </w:p>
        </w:tc>
        <w:tc>
          <w:tcPr>
            <w:tcW w:w="1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tcPr>
          <w:p>
            <w:pPr>
              <w:spacing w:after="0"/>
              <w:rPr>
                <w:sz w:val="20"/>
                <w:szCs w:val="20"/>
                <w:color w:val="auto"/>
              </w:rPr>
            </w:pPr>
            <w:r>
              <w:rPr>
                <w:rFonts w:ascii="Arial" w:cs="Arial" w:eastAsia="Arial" w:hAnsi="Arial"/>
                <w:sz w:val="16"/>
                <w:szCs w:val="16"/>
                <w:color w:val="auto"/>
              </w:rPr>
              <w:t>Lease charge</w:t>
            </w:r>
          </w:p>
        </w:tc>
        <w:tc>
          <w:tcPr>
            <w:tcW w:w="1360" w:type="dxa"/>
            <w:vAlign w:val="bottom"/>
          </w:tcPr>
          <w:p>
            <w:pPr>
              <w:jc w:val="right"/>
              <w:spacing w:after="0"/>
              <w:rPr>
                <w:sz w:val="20"/>
                <w:szCs w:val="20"/>
                <w:color w:val="auto"/>
              </w:rPr>
            </w:pPr>
            <w:r>
              <w:rPr>
                <w:rFonts w:ascii="Arial" w:cs="Arial" w:eastAsia="Arial" w:hAnsi="Arial"/>
                <w:sz w:val="16"/>
                <w:szCs w:val="16"/>
                <w:color w:val="auto"/>
              </w:rPr>
              <w:t>2,641</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2,636</w:t>
            </w:r>
          </w:p>
        </w:tc>
        <w:tc>
          <w:tcPr>
            <w:tcW w:w="3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7,903</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7,900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shd w:val="clear" w:color="auto" w:fill="E5FFFF"/>
          </w:tcPr>
          <w:p>
            <w:pPr>
              <w:spacing w:after="0"/>
              <w:rPr>
                <w:sz w:val="20"/>
                <w:szCs w:val="20"/>
                <w:color w:val="auto"/>
              </w:rPr>
            </w:pPr>
            <w:r>
              <w:rPr>
                <w:rFonts w:ascii="Arial" w:cs="Arial" w:eastAsia="Arial" w:hAnsi="Arial"/>
                <w:sz w:val="16"/>
                <w:szCs w:val="16"/>
                <w:color w:val="auto"/>
              </w:rPr>
              <w:t>Other financial costs</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434</w:t>
            </w:r>
          </w:p>
        </w:tc>
        <w:tc>
          <w:tcPr>
            <w:tcW w:w="280" w:type="dxa"/>
            <w:vAlign w:val="bottom"/>
            <w:shd w:val="clear" w:color="auto" w:fill="E5FFFF"/>
          </w:tcPr>
          <w:p>
            <w:pPr>
              <w:spacing w:after="0"/>
              <w:rPr>
                <w:sz w:val="17"/>
                <w:szCs w:val="17"/>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537</w:t>
            </w:r>
          </w:p>
        </w:tc>
        <w:tc>
          <w:tcPr>
            <w:tcW w:w="300" w:type="dxa"/>
            <w:vAlign w:val="bottom"/>
            <w:shd w:val="clear" w:color="auto" w:fill="E5FFFF"/>
          </w:tcPr>
          <w:p>
            <w:pPr>
              <w:spacing w:after="0"/>
              <w:rPr>
                <w:sz w:val="17"/>
                <w:szCs w:val="17"/>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1,447</w:t>
            </w:r>
          </w:p>
        </w:tc>
        <w:tc>
          <w:tcPr>
            <w:tcW w:w="280" w:type="dxa"/>
            <w:vAlign w:val="bottom"/>
            <w:shd w:val="clear" w:color="auto" w:fill="E5FFFF"/>
          </w:tcPr>
          <w:p>
            <w:pPr>
              <w:spacing w:after="0"/>
              <w:rPr>
                <w:sz w:val="17"/>
                <w:szCs w:val="17"/>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1,579</w:t>
            </w:r>
          </w:p>
        </w:tc>
        <w:tc>
          <w:tcPr>
            <w:tcW w:w="1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60" w:type="dxa"/>
            <w:vAlign w:val="bottom"/>
          </w:tcPr>
          <w:p>
            <w:pPr>
              <w:spacing w:after="0"/>
              <w:rPr>
                <w:sz w:val="20"/>
                <w:szCs w:val="20"/>
                <w:color w:val="auto"/>
              </w:rPr>
            </w:pPr>
            <w:r>
              <w:rPr>
                <w:rFonts w:ascii="Arial" w:cs="Arial" w:eastAsia="Arial" w:hAnsi="Arial"/>
                <w:sz w:val="16"/>
                <w:szCs w:val="16"/>
                <w:b w:val="1"/>
                <w:bCs w:val="1"/>
                <w:color w:val="auto"/>
              </w:rPr>
              <w:t>Total financial costs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43,908</w:t>
            </w:r>
          </w:p>
        </w:tc>
        <w:tc>
          <w:tcPr>
            <w:tcW w:w="280" w:type="dxa"/>
            <w:vAlign w:val="bottom"/>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46,461</w:t>
            </w:r>
          </w:p>
        </w:tc>
        <w:tc>
          <w:tcPr>
            <w:tcW w:w="300" w:type="dxa"/>
            <w:vAlign w:val="bottom"/>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122,505</w:t>
            </w:r>
          </w:p>
        </w:tc>
        <w:tc>
          <w:tcPr>
            <w:tcW w:w="280" w:type="dxa"/>
            <w:vAlign w:val="bottom"/>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138,865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4060" w:type="dxa"/>
            <w:vAlign w:val="bottom"/>
            <w:shd w:val="clear" w:color="auto" w:fill="E5FFFF"/>
          </w:tcPr>
          <w:p>
            <w:pPr>
              <w:spacing w:after="0"/>
              <w:rPr>
                <w:sz w:val="20"/>
                <w:szCs w:val="20"/>
                <w:color w:val="auto"/>
              </w:rPr>
            </w:pPr>
            <w:r>
              <w:rPr>
                <w:rFonts w:ascii="Arial" w:cs="Arial" w:eastAsia="Arial" w:hAnsi="Arial"/>
                <w:sz w:val="16"/>
                <w:szCs w:val="16"/>
                <w:color w:val="auto"/>
              </w:rPr>
              <w:t>Unrealized (gain)/loss on derivative financial instruments</w:t>
            </w:r>
          </w:p>
        </w:tc>
        <w:tc>
          <w:tcPr>
            <w:tcW w:w="136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1360" w:type="dxa"/>
            <w:vAlign w:val="bottom"/>
            <w:shd w:val="clear" w:color="auto" w:fill="E5FFFF"/>
          </w:tcPr>
          <w:p>
            <w:pPr>
              <w:spacing w:after="0"/>
              <w:rPr>
                <w:sz w:val="16"/>
                <w:szCs w:val="16"/>
                <w:color w:val="auto"/>
              </w:rPr>
            </w:pPr>
          </w:p>
        </w:tc>
        <w:tc>
          <w:tcPr>
            <w:tcW w:w="300" w:type="dxa"/>
            <w:vAlign w:val="bottom"/>
            <w:shd w:val="clear" w:color="auto" w:fill="E5FFFF"/>
          </w:tcPr>
          <w:p>
            <w:pPr>
              <w:spacing w:after="0"/>
              <w:rPr>
                <w:sz w:val="16"/>
                <w:szCs w:val="16"/>
                <w:color w:val="auto"/>
              </w:rPr>
            </w:pPr>
          </w:p>
        </w:tc>
        <w:tc>
          <w:tcPr>
            <w:tcW w:w="136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136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shd w:val="clear" w:color="auto" w:fill="E5FFFF"/>
          </w:tcPr>
          <w:p>
            <w:pPr>
              <w:ind w:left="160"/>
              <w:spacing w:after="0"/>
              <w:rPr>
                <w:sz w:val="20"/>
                <w:szCs w:val="20"/>
                <w:color w:val="auto"/>
              </w:rPr>
            </w:pPr>
            <w:r>
              <w:rPr>
                <w:rFonts w:ascii="Arial" w:cs="Arial" w:eastAsia="Arial" w:hAnsi="Arial"/>
                <w:sz w:val="16"/>
                <w:szCs w:val="16"/>
                <w:color w:val="auto"/>
              </w:rPr>
              <w:t>held for trading (Note 15)</w:t>
            </w:r>
          </w:p>
        </w:tc>
        <w:tc>
          <w:tcPr>
            <w:tcW w:w="164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(6,975)</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15,897</w:t>
            </w:r>
          </w:p>
        </w:tc>
        <w:tc>
          <w:tcPr>
            <w:tcW w:w="300" w:type="dxa"/>
            <w:vAlign w:val="bottom"/>
            <w:shd w:val="clear" w:color="auto" w:fill="E5FFFF"/>
          </w:tcPr>
          <w:p>
            <w:pPr>
              <w:spacing w:after="0"/>
              <w:rPr>
                <w:sz w:val="18"/>
                <w:szCs w:val="18"/>
                <w:color w:val="auto"/>
              </w:rPr>
            </w:pPr>
          </w:p>
        </w:tc>
        <w:tc>
          <w:tcPr>
            <w:tcW w:w="1640" w:type="dxa"/>
            <w:vAlign w:val="bottom"/>
            <w:gridSpan w:val="2"/>
            <w:shd w:val="clear" w:color="auto" w:fill="E5FFFF"/>
          </w:tcPr>
          <w:p>
            <w:pPr>
              <w:jc w:val="right"/>
              <w:ind w:right="199"/>
              <w:spacing w:after="0"/>
              <w:rPr>
                <w:sz w:val="20"/>
                <w:szCs w:val="20"/>
                <w:color w:val="auto"/>
              </w:rPr>
            </w:pPr>
            <w:r>
              <w:rPr>
                <w:rFonts w:ascii="Arial" w:cs="Arial" w:eastAsia="Arial" w:hAnsi="Arial"/>
                <w:sz w:val="16"/>
                <w:szCs w:val="16"/>
                <w:color w:val="auto"/>
              </w:rPr>
              <w:t>(24,210)</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67,828</w:t>
            </w:r>
          </w:p>
        </w:tc>
        <w:tc>
          <w:tcPr>
            <w:tcW w:w="1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tcPr>
          <w:p>
            <w:pPr>
              <w:spacing w:after="0"/>
              <w:rPr>
                <w:sz w:val="20"/>
                <w:szCs w:val="20"/>
                <w:color w:val="auto"/>
              </w:rPr>
            </w:pPr>
            <w:r>
              <w:rPr>
                <w:rFonts w:ascii="Arial" w:cs="Arial" w:eastAsia="Arial" w:hAnsi="Arial"/>
                <w:sz w:val="16"/>
                <w:szCs w:val="16"/>
                <w:color w:val="auto"/>
              </w:rPr>
              <w:t>Realized gain on interest rate swaps held for trading</w:t>
            </w:r>
          </w:p>
        </w:tc>
        <w:tc>
          <w:tcPr>
            <w:tcW w:w="1640" w:type="dxa"/>
            <w:vAlign w:val="bottom"/>
            <w:gridSpan w:val="2"/>
          </w:tcPr>
          <w:p>
            <w:pPr>
              <w:jc w:val="right"/>
              <w:ind w:right="139"/>
              <w:spacing w:after="0"/>
              <w:rPr>
                <w:sz w:val="20"/>
                <w:szCs w:val="20"/>
                <w:color w:val="auto"/>
              </w:rPr>
            </w:pPr>
            <w:r>
              <w:rPr>
                <w:rFonts w:ascii="Arial" w:cs="Arial" w:eastAsia="Arial" w:hAnsi="Arial"/>
                <w:sz w:val="16"/>
                <w:szCs w:val="16"/>
                <w:color w:val="auto"/>
              </w:rPr>
              <w:t>(675)</w:t>
            </w:r>
          </w:p>
        </w:tc>
        <w:tc>
          <w:tcPr>
            <w:tcW w:w="1660" w:type="dxa"/>
            <w:vAlign w:val="bottom"/>
            <w:gridSpan w:val="2"/>
          </w:tcPr>
          <w:p>
            <w:pPr>
              <w:jc w:val="right"/>
              <w:ind w:right="240"/>
              <w:spacing w:after="0"/>
              <w:rPr>
                <w:sz w:val="20"/>
                <w:szCs w:val="20"/>
                <w:color w:val="auto"/>
              </w:rPr>
            </w:pPr>
            <w:r>
              <w:rPr>
                <w:rFonts w:ascii="Arial" w:cs="Arial" w:eastAsia="Arial" w:hAnsi="Arial"/>
                <w:sz w:val="16"/>
                <w:szCs w:val="16"/>
                <w:color w:val="auto"/>
              </w:rPr>
              <w:t>(446)</w:t>
            </w:r>
          </w:p>
        </w:tc>
        <w:tc>
          <w:tcPr>
            <w:tcW w:w="1640" w:type="dxa"/>
            <w:vAlign w:val="bottom"/>
            <w:gridSpan w:val="2"/>
          </w:tcPr>
          <w:p>
            <w:pPr>
              <w:jc w:val="right"/>
              <w:ind w:right="199"/>
              <w:spacing w:after="0"/>
              <w:rPr>
                <w:sz w:val="20"/>
                <w:szCs w:val="20"/>
                <w:color w:val="auto"/>
              </w:rPr>
            </w:pPr>
            <w:r>
              <w:rPr>
                <w:rFonts w:ascii="Arial" w:cs="Arial" w:eastAsia="Arial" w:hAnsi="Arial"/>
                <w:sz w:val="16"/>
                <w:szCs w:val="16"/>
                <w:color w:val="auto"/>
              </w:rPr>
              <w:t>(1,065)</w:t>
            </w: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(3,407)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60" w:type="dxa"/>
            <w:vAlign w:val="bottom"/>
            <w:shd w:val="clear" w:color="auto" w:fill="E5FFFF"/>
          </w:tcPr>
          <w:p>
            <w:pPr>
              <w:spacing w:after="0"/>
              <w:rPr>
                <w:sz w:val="20"/>
                <w:szCs w:val="20"/>
                <w:color w:val="auto"/>
              </w:rPr>
            </w:pPr>
            <w:r>
              <w:rPr>
                <w:rFonts w:ascii="Arial" w:cs="Arial" w:eastAsia="Arial" w:hAnsi="Arial"/>
                <w:sz w:val="16"/>
                <w:szCs w:val="16"/>
                <w:color w:val="auto"/>
              </w:rPr>
              <w:t>Realized loss/(gain) on forward foreign exchange</w:t>
            </w:r>
          </w:p>
        </w:tc>
        <w:tc>
          <w:tcPr>
            <w:tcW w:w="136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1360" w:type="dxa"/>
            <w:vAlign w:val="bottom"/>
            <w:shd w:val="clear" w:color="auto" w:fill="E5FFFF"/>
          </w:tcPr>
          <w:p>
            <w:pPr>
              <w:spacing w:after="0"/>
              <w:rPr>
                <w:sz w:val="16"/>
                <w:szCs w:val="16"/>
                <w:color w:val="auto"/>
              </w:rPr>
            </w:pPr>
          </w:p>
        </w:tc>
        <w:tc>
          <w:tcPr>
            <w:tcW w:w="300" w:type="dxa"/>
            <w:vAlign w:val="bottom"/>
            <w:shd w:val="clear" w:color="auto" w:fill="E5FFFF"/>
          </w:tcPr>
          <w:p>
            <w:pPr>
              <w:spacing w:after="0"/>
              <w:rPr>
                <w:sz w:val="16"/>
                <w:szCs w:val="16"/>
                <w:color w:val="auto"/>
              </w:rPr>
            </w:pPr>
          </w:p>
        </w:tc>
        <w:tc>
          <w:tcPr>
            <w:tcW w:w="136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136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shd w:val="clear" w:color="auto" w:fill="E5FFFF"/>
          </w:tcPr>
          <w:p>
            <w:pPr>
              <w:ind w:left="160"/>
              <w:spacing w:after="0"/>
              <w:rPr>
                <w:sz w:val="20"/>
                <w:szCs w:val="20"/>
                <w:color w:val="auto"/>
              </w:rPr>
            </w:pPr>
            <w:r>
              <w:rPr>
                <w:rFonts w:ascii="Arial" w:cs="Arial" w:eastAsia="Arial" w:hAnsi="Arial"/>
                <w:sz w:val="16"/>
                <w:szCs w:val="16"/>
                <w:color w:val="auto"/>
              </w:rPr>
              <w:t>contracts held for trading</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480</w:t>
            </w:r>
          </w:p>
        </w:tc>
        <w:tc>
          <w:tcPr>
            <w:tcW w:w="280" w:type="dxa"/>
            <w:vAlign w:val="bottom"/>
            <w:shd w:val="clear" w:color="auto" w:fill="E5FFFF"/>
          </w:tcPr>
          <w:p>
            <w:pPr>
              <w:spacing w:after="0"/>
              <w:rPr>
                <w:sz w:val="18"/>
                <w:szCs w:val="18"/>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1,443</w:t>
            </w:r>
          </w:p>
        </w:tc>
        <w:tc>
          <w:tcPr>
            <w:tcW w:w="300" w:type="dxa"/>
            <w:vAlign w:val="bottom"/>
            <w:shd w:val="clear" w:color="auto" w:fill="E5FFFF"/>
          </w:tcPr>
          <w:p>
            <w:pPr>
              <w:spacing w:after="0"/>
              <w:rPr>
                <w:sz w:val="18"/>
                <w:szCs w:val="18"/>
                <w:color w:val="auto"/>
              </w:rPr>
            </w:pPr>
          </w:p>
        </w:tc>
        <w:tc>
          <w:tcPr>
            <w:tcW w:w="1640" w:type="dxa"/>
            <w:vAlign w:val="bottom"/>
            <w:gridSpan w:val="2"/>
            <w:shd w:val="clear" w:color="auto" w:fill="E5FFFF"/>
          </w:tcPr>
          <w:p>
            <w:pPr>
              <w:jc w:val="right"/>
              <w:ind w:right="199"/>
              <w:spacing w:after="0"/>
              <w:rPr>
                <w:sz w:val="20"/>
                <w:szCs w:val="20"/>
                <w:color w:val="auto"/>
              </w:rPr>
            </w:pPr>
            <w:r>
              <w:rPr>
                <w:rFonts w:ascii="Arial" w:cs="Arial" w:eastAsia="Arial" w:hAnsi="Arial"/>
                <w:sz w:val="16"/>
                <w:szCs w:val="16"/>
                <w:color w:val="auto"/>
              </w:rPr>
              <w:t>(1,363)</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3,565</w:t>
            </w:r>
          </w:p>
        </w:tc>
        <w:tc>
          <w:tcPr>
            <w:tcW w:w="1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tcPr>
          <w:p>
            <w:pPr>
              <w:spacing w:after="0"/>
              <w:rPr>
                <w:sz w:val="20"/>
                <w:szCs w:val="20"/>
                <w:color w:val="auto"/>
              </w:rPr>
            </w:pPr>
            <w:r>
              <w:rPr>
                <w:rFonts w:ascii="Arial" w:cs="Arial" w:eastAsia="Arial" w:hAnsi="Arial"/>
                <w:sz w:val="16"/>
                <w:szCs w:val="16"/>
                <w:color w:val="auto"/>
              </w:rPr>
              <w:t>Ineffective portion of cash flow hedges</w:t>
            </w:r>
          </w:p>
        </w:tc>
        <w:tc>
          <w:tcPr>
            <w:tcW w:w="1640" w:type="dxa"/>
            <w:vAlign w:val="bottom"/>
            <w:gridSpan w:val="2"/>
          </w:tcPr>
          <w:p>
            <w:pPr>
              <w:jc w:val="right"/>
              <w:ind w:right="139"/>
              <w:spacing w:after="0"/>
              <w:rPr>
                <w:sz w:val="20"/>
                <w:szCs w:val="20"/>
                <w:color w:val="auto"/>
              </w:rPr>
            </w:pPr>
            <w:r>
              <w:rPr>
                <w:rFonts w:ascii="Arial" w:cs="Arial" w:eastAsia="Arial" w:hAnsi="Arial"/>
                <w:sz w:val="16"/>
                <w:szCs w:val="16"/>
                <w:color w:val="auto"/>
              </w:rPr>
              <w:t>(198)</w:t>
            </w:r>
          </w:p>
        </w:tc>
        <w:tc>
          <w:tcPr>
            <w:tcW w:w="1660" w:type="dxa"/>
            <w:vAlign w:val="bottom"/>
            <w:gridSpan w:val="2"/>
          </w:tcPr>
          <w:p>
            <w:pPr>
              <w:jc w:val="right"/>
              <w:ind w:right="240"/>
              <w:spacing w:after="0"/>
              <w:rPr>
                <w:sz w:val="20"/>
                <w:szCs w:val="20"/>
                <w:color w:val="auto"/>
              </w:rPr>
            </w:pPr>
            <w:r>
              <w:rPr>
                <w:rFonts w:ascii="Arial" w:cs="Arial" w:eastAsia="Arial" w:hAnsi="Arial"/>
                <w:sz w:val="16"/>
                <w:szCs w:val="16"/>
                <w:color w:val="auto"/>
              </w:rPr>
              <w:t>(136)</w:t>
            </w:r>
          </w:p>
        </w:tc>
        <w:tc>
          <w:tcPr>
            <w:tcW w:w="1360" w:type="dxa"/>
            <w:vAlign w:val="bottom"/>
          </w:tcPr>
          <w:p>
            <w:pPr>
              <w:jc w:val="right"/>
              <w:spacing w:after="0"/>
              <w:rPr>
                <w:sz w:val="20"/>
                <w:szCs w:val="20"/>
                <w:color w:val="auto"/>
              </w:rPr>
            </w:pPr>
            <w:r>
              <w:rPr>
                <w:rFonts w:ascii="Arial" w:cs="Arial" w:eastAsia="Arial" w:hAnsi="Arial"/>
                <w:sz w:val="16"/>
                <w:szCs w:val="16"/>
                <w:color w:val="auto"/>
              </w:rPr>
              <w:t>332</w:t>
            </w:r>
          </w:p>
        </w:tc>
        <w:tc>
          <w:tcPr>
            <w:tcW w:w="280" w:type="dxa"/>
            <w:vAlign w:val="bottom"/>
          </w:tcPr>
          <w:p>
            <w:pPr>
              <w:spacing w:after="0"/>
              <w:rPr>
                <w:sz w:val="17"/>
                <w:szCs w:val="17"/>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06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(gain)/loss on derivatives</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(7,368</w:t>
            </w:r>
          </w:p>
        </w:tc>
        <w:tc>
          <w:tcPr>
            <w:tcW w:w="280" w:type="dxa"/>
            <w:vAlign w:val="bottom"/>
            <w:tcBorders>
              <w:top w:val="single" w:sz="8" w:color="E5FFFF"/>
              <w:bottom w:val="single" w:sz="8" w:color="E5FFFF"/>
            </w:tcBorders>
            <w:shd w:val="clear" w:color="auto" w:fill="E5FFFF"/>
          </w:tcPr>
          <w:p>
            <w:pPr>
              <w:jc w:val="right"/>
              <w:ind w:right="139"/>
              <w:spacing w:after="0"/>
              <w:rPr>
                <w:sz w:val="20"/>
                <w:szCs w:val="20"/>
                <w:color w:val="auto"/>
              </w:rPr>
            </w:pPr>
            <w:r>
              <w:rPr>
                <w:rFonts w:ascii="Arial" w:cs="Arial" w:eastAsia="Arial" w:hAnsi="Arial"/>
                <w:sz w:val="16"/>
                <w:szCs w:val="16"/>
                <w:b w:val="1"/>
                <w:bCs w:val="1"/>
                <w:color w:val="auto"/>
                <w:w w:val="74"/>
              </w:rPr>
              <w:t>)</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16,758</w:t>
            </w:r>
          </w:p>
        </w:tc>
        <w:tc>
          <w:tcPr>
            <w:tcW w:w="300" w:type="dxa"/>
            <w:vAlign w:val="bottom"/>
            <w:tcBorders>
              <w:top w:val="single" w:sz="8" w:color="E5FFFF"/>
              <w:bottom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(26,306</w:t>
            </w:r>
          </w:p>
        </w:tc>
        <w:tc>
          <w:tcPr>
            <w:tcW w:w="280" w:type="dxa"/>
            <w:vAlign w:val="bottom"/>
            <w:tcBorders>
              <w:top w:val="single" w:sz="8" w:color="E5FFFF"/>
              <w:bottom w:val="single" w:sz="8" w:color="E5FFFF"/>
            </w:tcBorders>
            <w:shd w:val="clear" w:color="auto" w:fill="E5FFFF"/>
          </w:tcPr>
          <w:p>
            <w:pPr>
              <w:jc w:val="right"/>
              <w:ind w:right="199"/>
              <w:spacing w:after="0"/>
              <w:rPr>
                <w:sz w:val="20"/>
                <w:szCs w:val="20"/>
                <w:color w:val="auto"/>
              </w:rPr>
            </w:pPr>
            <w:r>
              <w:rPr>
                <w:rFonts w:ascii="Arial" w:cs="Arial" w:eastAsia="Arial" w:hAnsi="Arial"/>
                <w:sz w:val="8"/>
                <w:szCs w:val="8"/>
                <w:b w:val="1"/>
                <w:bCs w:val="1"/>
                <w:color w:val="auto"/>
                <w:w w:val="73"/>
              </w:rPr>
              <w:t>)</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67,801</w:t>
            </w:r>
          </w:p>
        </w:tc>
        <w:tc>
          <w:tcPr>
            <w:tcW w:w="120" w:type="dxa"/>
            <w:vAlign w:val="bottom"/>
            <w:tcBorders>
              <w:top w:val="single" w:sz="8" w:color="E5FFFF"/>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Cash Flow Reconciliations</w:t>
      </w:r>
    </w:p>
    <w:p>
      <w:pPr>
        <w:spacing w:after="0" w:line="239" w:lineRule="exact"/>
        <w:rPr>
          <w:sz w:val="20"/>
          <w:szCs w:val="20"/>
          <w:color w:val="auto"/>
        </w:rPr>
      </w:pPr>
    </w:p>
    <w:p>
      <w:pPr>
        <w:ind w:right="380" w:firstLine="383"/>
        <w:spacing w:after="0" w:line="293" w:lineRule="auto"/>
        <w:rPr>
          <w:sz w:val="20"/>
          <w:szCs w:val="20"/>
          <w:color w:val="auto"/>
        </w:rPr>
      </w:pPr>
      <w:r>
        <w:rPr>
          <w:rFonts w:ascii="Arial" w:cs="Arial" w:eastAsia="Arial" w:hAnsi="Arial"/>
          <w:sz w:val="16"/>
          <w:szCs w:val="16"/>
          <w:color w:val="auto"/>
        </w:rPr>
        <w:t>The reconciliation of the Group’s non-cash investing and financing activities for the periods ended September 30, 2018 and September 30, 2019 are presented in the tables below:</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 reconciliation of borrowings arising from financing activities is as follows:</w:t>
      </w:r>
    </w:p>
    <w:p>
      <w:pPr>
        <w:spacing w:after="0" w:line="231" w:lineRule="exact"/>
        <w:rPr>
          <w:sz w:val="20"/>
          <w:szCs w:val="20"/>
          <w:color w:val="auto"/>
        </w:rPr>
      </w:pPr>
    </w:p>
    <w:tbl>
      <w:tblPr>
        <w:tblLayout w:type="fixed"/>
        <w:tblInd w:w="400" w:type="dxa"/>
        <w:tblCellMar>
          <w:top w:w="0" w:type="dxa"/>
          <w:left w:w="0" w:type="dxa"/>
          <w:bottom w:w="0" w:type="dxa"/>
          <w:right w:w="0" w:type="dxa"/>
        </w:tblCellMar>
      </w:tblPr>
      <w:tr>
        <w:trPr>
          <w:trHeight w:val="203"/>
        </w:trPr>
        <w:tc>
          <w:tcPr>
            <w:tcW w:w="2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8"/>
              </w:rPr>
              <w:t>Other</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4"/>
              </w:rPr>
              <w:t>Deferred</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comprehensive</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Non-cash</w:t>
            </w:r>
          </w:p>
        </w:tc>
        <w:tc>
          <w:tcPr>
            <w:tcW w:w="13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6"/>
              </w:rPr>
              <w:t>financing costs,</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6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6"/>
                <w:szCs w:val="16"/>
                <w:b w:val="1"/>
                <w:bCs w:val="1"/>
                <w:color w:val="auto"/>
              </w:rPr>
              <w:t>Opening balance</w:t>
            </w:r>
          </w:p>
        </w:tc>
        <w:tc>
          <w:tcPr>
            <w:tcW w:w="134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Cash flows</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income</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items</w:t>
            </w:r>
          </w:p>
        </w:tc>
        <w:tc>
          <w:tcPr>
            <w:tcW w:w="13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0"/>
              </w:rPr>
              <w:t>assets</w:t>
            </w:r>
          </w:p>
        </w:tc>
        <w:tc>
          <w:tcPr>
            <w:tcW w:w="128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9"/>
        </w:trPr>
        <w:tc>
          <w:tcPr>
            <w:tcW w:w="2860" w:type="dxa"/>
            <w:vAlign w:val="bottom"/>
            <w:tcBorders>
              <w:top w:val="single" w:sz="8" w:color="E5FFFF"/>
            </w:tcBorders>
            <w:shd w:val="clear" w:color="auto" w:fill="E5FFFF"/>
          </w:tcPr>
          <w:p>
            <w:pPr>
              <w:spacing w:after="0" w:line="179" w:lineRule="exact"/>
              <w:rPr>
                <w:sz w:val="20"/>
                <w:szCs w:val="20"/>
                <w:color w:val="auto"/>
              </w:rPr>
            </w:pPr>
            <w:r>
              <w:rPr>
                <w:rFonts w:ascii="Arial" w:cs="Arial" w:eastAsia="Arial" w:hAnsi="Arial"/>
                <w:sz w:val="16"/>
                <w:szCs w:val="16"/>
                <w:color w:val="auto"/>
                <w:w w:val="99"/>
              </w:rPr>
              <w:t>Borrowings outstanding as of January 1,</w:t>
            </w:r>
          </w:p>
        </w:tc>
        <w:tc>
          <w:tcPr>
            <w:tcW w:w="118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112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114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114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1200" w:type="dxa"/>
            <w:vAlign w:val="bottom"/>
            <w:tcBorders>
              <w:top w:val="single" w:sz="8" w:color="auto"/>
            </w:tcBorders>
            <w:shd w:val="clear" w:color="auto" w:fill="E5FFFF"/>
          </w:tcPr>
          <w:p>
            <w:pPr>
              <w:spacing w:after="0"/>
              <w:rPr>
                <w:sz w:val="15"/>
                <w:szCs w:val="15"/>
                <w:color w:val="auto"/>
              </w:rPr>
            </w:pPr>
          </w:p>
        </w:tc>
        <w:tc>
          <w:tcPr>
            <w:tcW w:w="160" w:type="dxa"/>
            <w:vAlign w:val="bottom"/>
            <w:tcBorders>
              <w:top w:val="single" w:sz="8" w:color="E5FFFF"/>
            </w:tcBorders>
            <w:shd w:val="clear" w:color="auto" w:fill="E5FFFF"/>
          </w:tcPr>
          <w:p>
            <w:pPr>
              <w:spacing w:after="0"/>
              <w:rPr>
                <w:sz w:val="15"/>
                <w:szCs w:val="15"/>
                <w:color w:val="auto"/>
              </w:rPr>
            </w:pPr>
          </w:p>
        </w:tc>
        <w:tc>
          <w:tcPr>
            <w:tcW w:w="1160" w:type="dxa"/>
            <w:vAlign w:val="bottom"/>
            <w:tcBorders>
              <w:top w:val="single" w:sz="8" w:color="auto"/>
            </w:tcBorders>
            <w:shd w:val="clear" w:color="auto" w:fill="E5FFFF"/>
          </w:tcPr>
          <w:p>
            <w:pPr>
              <w:spacing w:after="0"/>
              <w:rPr>
                <w:sz w:val="15"/>
                <w:szCs w:val="15"/>
                <w:color w:val="auto"/>
              </w:rPr>
            </w:pPr>
          </w:p>
        </w:tc>
        <w:tc>
          <w:tcPr>
            <w:tcW w:w="120" w:type="dxa"/>
            <w:vAlign w:val="bottom"/>
            <w:tcBorders>
              <w:top w:val="single" w:sz="8" w:color="E5FFFF"/>
            </w:tcBorders>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860" w:type="dxa"/>
            <w:vAlign w:val="bottom"/>
            <w:shd w:val="clear" w:color="auto" w:fill="E5FFFF"/>
          </w:tcPr>
          <w:p>
            <w:pPr>
              <w:spacing w:after="0"/>
              <w:rPr>
                <w:sz w:val="20"/>
                <w:szCs w:val="20"/>
                <w:color w:val="auto"/>
              </w:rPr>
            </w:pPr>
            <w:r>
              <w:rPr>
                <w:rFonts w:ascii="Arial" w:cs="Arial" w:eastAsia="Arial" w:hAnsi="Arial"/>
                <w:sz w:val="16"/>
                <w:szCs w:val="16"/>
                <w:color w:val="auto"/>
              </w:rPr>
              <w:t>2018</w:t>
            </w:r>
          </w:p>
        </w:tc>
        <w:tc>
          <w:tcPr>
            <w:tcW w:w="11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2,547,556</w:t>
            </w:r>
          </w:p>
        </w:tc>
        <w:tc>
          <w:tcPr>
            <w:tcW w:w="220" w:type="dxa"/>
            <w:vAlign w:val="bottom"/>
            <w:shd w:val="clear" w:color="auto" w:fill="E5FFFF"/>
          </w:tcPr>
          <w:p>
            <w:pPr>
              <w:spacing w:after="0"/>
              <w:rPr>
                <w:sz w:val="18"/>
                <w:szCs w:val="18"/>
                <w:color w:val="auto"/>
              </w:rPr>
            </w:pPr>
          </w:p>
        </w:tc>
        <w:tc>
          <w:tcPr>
            <w:tcW w:w="13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2,547,556</w:t>
            </w:r>
          </w:p>
        </w:tc>
        <w:tc>
          <w:tcPr>
            <w:tcW w:w="1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860" w:type="dxa"/>
            <w:vAlign w:val="bottom"/>
          </w:tcPr>
          <w:p>
            <w:pPr>
              <w:spacing w:after="0"/>
              <w:rPr>
                <w:sz w:val="20"/>
                <w:szCs w:val="20"/>
                <w:color w:val="auto"/>
              </w:rPr>
            </w:pPr>
            <w:r>
              <w:rPr>
                <w:rFonts w:ascii="Arial" w:cs="Arial" w:eastAsia="Arial" w:hAnsi="Arial"/>
                <w:sz w:val="16"/>
                <w:szCs w:val="16"/>
                <w:color w:val="auto"/>
              </w:rPr>
              <w:t>Proceeds from bank loans and bonds</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498,225</w:t>
            </w:r>
          </w:p>
        </w:tc>
        <w:tc>
          <w:tcPr>
            <w:tcW w:w="22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498,225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shd w:val="clear" w:color="auto" w:fill="E5FFFF"/>
          </w:tcPr>
          <w:p>
            <w:pPr>
              <w:spacing w:after="0"/>
              <w:rPr>
                <w:sz w:val="20"/>
                <w:szCs w:val="20"/>
                <w:color w:val="auto"/>
              </w:rPr>
            </w:pPr>
            <w:r>
              <w:rPr>
                <w:rFonts w:ascii="Arial" w:cs="Arial" w:eastAsia="Arial" w:hAnsi="Arial"/>
                <w:sz w:val="16"/>
                <w:szCs w:val="16"/>
                <w:color w:val="auto"/>
              </w:rPr>
              <w:t>Bank loan repayments</w:t>
            </w:r>
          </w:p>
        </w:tc>
        <w:tc>
          <w:tcPr>
            <w:tcW w:w="140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(180,792)</w:t>
            </w:r>
          </w:p>
        </w:tc>
        <w:tc>
          <w:tcPr>
            <w:tcW w:w="136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E5FFFF"/>
          </w:tcPr>
          <w:p>
            <w:pPr>
              <w:jc w:val="right"/>
              <w:ind w:right="80"/>
              <w:spacing w:after="0"/>
              <w:rPr>
                <w:sz w:val="20"/>
                <w:szCs w:val="20"/>
                <w:color w:val="auto"/>
              </w:rPr>
            </w:pPr>
            <w:r>
              <w:rPr>
                <w:rFonts w:ascii="Arial" w:cs="Arial" w:eastAsia="Arial" w:hAnsi="Arial"/>
                <w:sz w:val="16"/>
                <w:szCs w:val="16"/>
                <w:color w:val="auto"/>
              </w:rPr>
              <w:t>(180,792)</w:t>
            </w:r>
          </w:p>
        </w:tc>
        <w:tc>
          <w:tcPr>
            <w:tcW w:w="0" w:type="dxa"/>
            <w:vAlign w:val="bottom"/>
          </w:tcPr>
          <w:p>
            <w:pPr>
              <w:spacing w:after="0"/>
              <w:rPr>
                <w:sz w:val="1"/>
                <w:szCs w:val="1"/>
                <w:color w:val="auto"/>
              </w:rPr>
            </w:pPr>
          </w:p>
        </w:tc>
      </w:tr>
      <w:tr>
        <w:trPr>
          <w:trHeight w:val="203"/>
        </w:trPr>
        <w:tc>
          <w:tcPr>
            <w:tcW w:w="2860" w:type="dxa"/>
            <w:vAlign w:val="bottom"/>
          </w:tcPr>
          <w:p>
            <w:pPr>
              <w:spacing w:after="0"/>
              <w:rPr>
                <w:sz w:val="20"/>
                <w:szCs w:val="20"/>
                <w:color w:val="auto"/>
              </w:rPr>
            </w:pPr>
            <w:r>
              <w:rPr>
                <w:rFonts w:ascii="Arial" w:cs="Arial" w:eastAsia="Arial" w:hAnsi="Arial"/>
                <w:sz w:val="16"/>
                <w:szCs w:val="16"/>
                <w:color w:val="auto"/>
              </w:rPr>
              <w:t>Additions in deferred loan fees</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(7,363)</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1,302</w:t>
            </w:r>
          </w:p>
        </w:tc>
        <w:tc>
          <w:tcPr>
            <w:tcW w:w="220" w:type="dxa"/>
            <w:vAlign w:val="bottom"/>
          </w:tcPr>
          <w:p>
            <w:pPr>
              <w:spacing w:after="0"/>
              <w:rPr>
                <w:sz w:val="17"/>
                <w:szCs w:val="17"/>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(13,195)</w:t>
            </w: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(19,256)</w:t>
            </w:r>
          </w:p>
        </w:tc>
        <w:tc>
          <w:tcPr>
            <w:tcW w:w="0" w:type="dxa"/>
            <w:vAlign w:val="bottom"/>
          </w:tcPr>
          <w:p>
            <w:pPr>
              <w:spacing w:after="0"/>
              <w:rPr>
                <w:sz w:val="1"/>
                <w:szCs w:val="1"/>
                <w:color w:val="auto"/>
              </w:rPr>
            </w:pPr>
          </w:p>
        </w:tc>
      </w:tr>
      <w:tr>
        <w:trPr>
          <w:trHeight w:val="193"/>
        </w:trPr>
        <w:tc>
          <w:tcPr>
            <w:tcW w:w="2860" w:type="dxa"/>
            <w:vAlign w:val="bottom"/>
            <w:shd w:val="clear" w:color="auto" w:fill="E5FFFF"/>
          </w:tcPr>
          <w:p>
            <w:pPr>
              <w:spacing w:after="0"/>
              <w:rPr>
                <w:sz w:val="20"/>
                <w:szCs w:val="20"/>
                <w:color w:val="auto"/>
              </w:rPr>
            </w:pPr>
            <w:r>
              <w:rPr>
                <w:rFonts w:ascii="Arial" w:cs="Arial" w:eastAsia="Arial" w:hAnsi="Arial"/>
                <w:sz w:val="16"/>
                <w:szCs w:val="16"/>
                <w:color w:val="auto"/>
              </w:rPr>
              <w:t>Amortization of deferred loan issuance</w:t>
            </w:r>
          </w:p>
        </w:tc>
        <w:tc>
          <w:tcPr>
            <w:tcW w:w="118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112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114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114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120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116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860" w:type="dxa"/>
            <w:vAlign w:val="bottom"/>
            <w:shd w:val="clear" w:color="auto" w:fill="E5FFFF"/>
          </w:tcPr>
          <w:p>
            <w:pPr>
              <w:spacing w:after="0"/>
              <w:rPr>
                <w:sz w:val="20"/>
                <w:szCs w:val="20"/>
                <w:color w:val="auto"/>
              </w:rPr>
            </w:pPr>
            <w:r>
              <w:rPr>
                <w:rFonts w:ascii="Arial" w:cs="Arial" w:eastAsia="Arial" w:hAnsi="Arial"/>
                <w:sz w:val="16"/>
                <w:szCs w:val="16"/>
                <w:color w:val="auto"/>
              </w:rPr>
              <w:t>costs and premium</w:t>
            </w:r>
          </w:p>
        </w:tc>
        <w:tc>
          <w:tcPr>
            <w:tcW w:w="140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9,383</w:t>
            </w:r>
          </w:p>
        </w:tc>
        <w:tc>
          <w:tcPr>
            <w:tcW w:w="220" w:type="dxa"/>
            <w:vAlign w:val="bottom"/>
            <w:shd w:val="clear" w:color="auto" w:fill="E5FFFF"/>
          </w:tcPr>
          <w:p>
            <w:pPr>
              <w:spacing w:after="0"/>
              <w:rPr>
                <w:sz w:val="18"/>
                <w:szCs w:val="18"/>
                <w:color w:val="auto"/>
              </w:rPr>
            </w:pPr>
          </w:p>
        </w:tc>
        <w:tc>
          <w:tcPr>
            <w:tcW w:w="136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9,383</w:t>
            </w:r>
          </w:p>
        </w:tc>
        <w:tc>
          <w:tcPr>
            <w:tcW w:w="1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860" w:type="dxa"/>
            <w:vAlign w:val="bottom"/>
          </w:tcPr>
          <w:p>
            <w:pPr>
              <w:spacing w:after="0"/>
              <w:rPr>
                <w:sz w:val="20"/>
                <w:szCs w:val="20"/>
                <w:color w:val="auto"/>
              </w:rPr>
            </w:pPr>
            <w:r>
              <w:rPr>
                <w:rFonts w:ascii="Arial" w:cs="Arial" w:eastAsia="Arial" w:hAnsi="Arial"/>
                <w:sz w:val="16"/>
                <w:szCs w:val="16"/>
                <w:color w:val="auto"/>
              </w:rPr>
              <w:t>Retranslation of the 2021 NOK Bonds</w:t>
            </w: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860" w:type="dxa"/>
            <w:vAlign w:val="bottom"/>
          </w:tcPr>
          <w:p>
            <w:pPr>
              <w:spacing w:after="0"/>
              <w:rPr>
                <w:sz w:val="20"/>
                <w:szCs w:val="20"/>
                <w:color w:val="auto"/>
              </w:rPr>
            </w:pPr>
            <w:r>
              <w:rPr>
                <w:rFonts w:ascii="Arial" w:cs="Arial" w:eastAsia="Arial" w:hAnsi="Arial"/>
                <w:sz w:val="16"/>
                <w:szCs w:val="16"/>
                <w:color w:val="auto"/>
              </w:rPr>
              <w:t>in USD</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1,007</w:t>
            </w:r>
          </w:p>
        </w:tc>
        <w:tc>
          <w:tcPr>
            <w:tcW w:w="22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1,007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60" w:type="dxa"/>
            <w:vAlign w:val="bottom"/>
            <w:vMerge w:val="restart"/>
            <w:shd w:val="clear" w:color="auto" w:fill="E5FFFF"/>
          </w:tcPr>
          <w:p>
            <w:pPr>
              <w:spacing w:after="0"/>
              <w:rPr>
                <w:sz w:val="20"/>
                <w:szCs w:val="20"/>
                <w:color w:val="auto"/>
              </w:rPr>
            </w:pPr>
            <w:r>
              <w:rPr>
                <w:rFonts w:ascii="Arial" w:cs="Arial" w:eastAsia="Arial" w:hAnsi="Arial"/>
                <w:sz w:val="16"/>
                <w:szCs w:val="16"/>
                <w:b w:val="1"/>
                <w:bCs w:val="1"/>
                <w:color w:val="auto"/>
              </w:rPr>
              <w:t>Borrowings outstanding as of</w:t>
            </w: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E5FF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E5FF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E5FF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E5FF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E5FF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860" w:type="dxa"/>
            <w:vAlign w:val="bottom"/>
            <w:vMerge w:val="continue"/>
            <w:shd w:val="clear" w:color="auto" w:fill="E5FFFF"/>
          </w:tcPr>
          <w:p>
            <w:pPr>
              <w:spacing w:after="0"/>
              <w:rPr>
                <w:sz w:val="15"/>
                <w:szCs w:val="15"/>
                <w:color w:val="auto"/>
              </w:rPr>
            </w:pPr>
          </w:p>
        </w:tc>
        <w:tc>
          <w:tcPr>
            <w:tcW w:w="1180" w:type="dxa"/>
            <w:vAlign w:val="bottom"/>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2,547,556</w:t>
            </w:r>
          </w:p>
        </w:tc>
        <w:tc>
          <w:tcPr>
            <w:tcW w:w="220" w:type="dxa"/>
            <w:vAlign w:val="bottom"/>
            <w:shd w:val="clear" w:color="auto" w:fill="E5FFFF"/>
          </w:tcPr>
          <w:p>
            <w:pPr>
              <w:spacing w:after="0"/>
              <w:rPr>
                <w:sz w:val="15"/>
                <w:szCs w:val="15"/>
                <w:color w:val="auto"/>
              </w:rPr>
            </w:pPr>
          </w:p>
        </w:tc>
        <w:tc>
          <w:tcPr>
            <w:tcW w:w="1120" w:type="dxa"/>
            <w:vAlign w:val="bottom"/>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310,070</w:t>
            </w:r>
          </w:p>
        </w:tc>
        <w:tc>
          <w:tcPr>
            <w:tcW w:w="220" w:type="dxa"/>
            <w:vAlign w:val="bottom"/>
            <w:shd w:val="clear" w:color="auto" w:fill="E5FFFF"/>
          </w:tcPr>
          <w:p>
            <w:pPr>
              <w:spacing w:after="0"/>
              <w:rPr>
                <w:sz w:val="15"/>
                <w:szCs w:val="15"/>
                <w:color w:val="auto"/>
              </w:rPr>
            </w:pPr>
          </w:p>
        </w:tc>
        <w:tc>
          <w:tcPr>
            <w:tcW w:w="1140" w:type="dxa"/>
            <w:vAlign w:val="bottom"/>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1,007</w:t>
            </w:r>
          </w:p>
        </w:tc>
        <w:tc>
          <w:tcPr>
            <w:tcW w:w="220" w:type="dxa"/>
            <w:vAlign w:val="bottom"/>
            <w:shd w:val="clear" w:color="auto" w:fill="E5FFFF"/>
          </w:tcPr>
          <w:p>
            <w:pPr>
              <w:spacing w:after="0"/>
              <w:rPr>
                <w:sz w:val="15"/>
                <w:szCs w:val="15"/>
                <w:color w:val="auto"/>
              </w:rPr>
            </w:pPr>
          </w:p>
        </w:tc>
        <w:tc>
          <w:tcPr>
            <w:tcW w:w="1140" w:type="dxa"/>
            <w:vAlign w:val="bottom"/>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10,685</w:t>
            </w:r>
          </w:p>
        </w:tc>
        <w:tc>
          <w:tcPr>
            <w:tcW w:w="220" w:type="dxa"/>
            <w:vAlign w:val="bottom"/>
            <w:shd w:val="clear" w:color="auto" w:fill="E5FFFF"/>
          </w:tcPr>
          <w:p>
            <w:pPr>
              <w:spacing w:after="0"/>
              <w:rPr>
                <w:sz w:val="15"/>
                <w:szCs w:val="15"/>
                <w:color w:val="auto"/>
              </w:rPr>
            </w:pPr>
          </w:p>
        </w:tc>
        <w:tc>
          <w:tcPr>
            <w:tcW w:w="1360" w:type="dxa"/>
            <w:vAlign w:val="bottom"/>
            <w:gridSpan w:val="2"/>
            <w:vMerge w:val="restart"/>
            <w:shd w:val="clear" w:color="auto" w:fill="E5FFFF"/>
          </w:tcPr>
          <w:p>
            <w:pPr>
              <w:jc w:val="right"/>
              <w:ind w:right="100"/>
              <w:spacing w:after="0"/>
              <w:rPr>
                <w:sz w:val="20"/>
                <w:szCs w:val="20"/>
                <w:color w:val="auto"/>
              </w:rPr>
            </w:pPr>
            <w:r>
              <w:rPr>
                <w:rFonts w:ascii="Arial" w:cs="Arial" w:eastAsia="Arial" w:hAnsi="Arial"/>
                <w:sz w:val="16"/>
                <w:szCs w:val="16"/>
                <w:b w:val="1"/>
                <w:bCs w:val="1"/>
                <w:color w:val="auto"/>
              </w:rPr>
              <w:t>(13,195)</w:t>
            </w:r>
          </w:p>
        </w:tc>
        <w:tc>
          <w:tcPr>
            <w:tcW w:w="1160" w:type="dxa"/>
            <w:vAlign w:val="bottom"/>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2,856,123</w:t>
            </w:r>
          </w:p>
        </w:tc>
        <w:tc>
          <w:tcPr>
            <w:tcW w:w="120" w:type="dxa"/>
            <w:vAlign w:val="bottom"/>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8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September 30, 2018</w:t>
            </w:r>
          </w:p>
        </w:tc>
        <w:tc>
          <w:tcPr>
            <w:tcW w:w="1180" w:type="dxa"/>
            <w:vAlign w:val="bottom"/>
            <w:vMerge w:val="continue"/>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20" w:type="dxa"/>
            <w:vAlign w:val="bottom"/>
            <w:vMerge w:val="continue"/>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40" w:type="dxa"/>
            <w:vAlign w:val="bottom"/>
            <w:vMerge w:val="continue"/>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40" w:type="dxa"/>
            <w:vAlign w:val="bottom"/>
            <w:vMerge w:val="continue"/>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360" w:type="dxa"/>
            <w:vAlign w:val="bottom"/>
            <w:gridSpan w:val="2"/>
            <w:vMerge w:val="continue"/>
            <w:shd w:val="clear" w:color="auto" w:fill="E5FFFF"/>
          </w:tcPr>
          <w:p>
            <w:pPr>
              <w:spacing w:after="0"/>
              <w:rPr>
                <w:sz w:val="17"/>
                <w:szCs w:val="17"/>
                <w:color w:val="auto"/>
              </w:rPr>
            </w:pPr>
          </w:p>
        </w:tc>
        <w:tc>
          <w:tcPr>
            <w:tcW w:w="1160" w:type="dxa"/>
            <w:vAlign w:val="bottom"/>
            <w:vMerge w:val="continue"/>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E5FF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8"/>
              </w:rPr>
              <w:t>Other</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4"/>
              </w:rPr>
              <w:t>Deferred</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comprehensive</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Non-cash</w:t>
            </w:r>
          </w:p>
        </w:tc>
        <w:tc>
          <w:tcPr>
            <w:tcW w:w="13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6"/>
              </w:rPr>
              <w:t>financing costs,</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6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6"/>
                <w:szCs w:val="16"/>
                <w:b w:val="1"/>
                <w:bCs w:val="1"/>
                <w:color w:val="auto"/>
              </w:rPr>
              <w:t>Opening balance</w:t>
            </w:r>
          </w:p>
        </w:tc>
        <w:tc>
          <w:tcPr>
            <w:tcW w:w="134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Cash flows</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income</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items</w:t>
            </w:r>
          </w:p>
        </w:tc>
        <w:tc>
          <w:tcPr>
            <w:tcW w:w="13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0"/>
              </w:rPr>
              <w:t>assets</w:t>
            </w:r>
          </w:p>
        </w:tc>
        <w:tc>
          <w:tcPr>
            <w:tcW w:w="128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9"/>
        </w:trPr>
        <w:tc>
          <w:tcPr>
            <w:tcW w:w="2860" w:type="dxa"/>
            <w:vAlign w:val="bottom"/>
            <w:tcBorders>
              <w:top w:val="single" w:sz="8" w:color="E5FFFF"/>
            </w:tcBorders>
            <w:shd w:val="clear" w:color="auto" w:fill="E5FFFF"/>
          </w:tcPr>
          <w:p>
            <w:pPr>
              <w:spacing w:after="0" w:line="179" w:lineRule="exact"/>
              <w:rPr>
                <w:sz w:val="20"/>
                <w:szCs w:val="20"/>
                <w:color w:val="auto"/>
              </w:rPr>
            </w:pPr>
            <w:r>
              <w:rPr>
                <w:rFonts w:ascii="Arial" w:cs="Arial" w:eastAsia="Arial" w:hAnsi="Arial"/>
                <w:sz w:val="16"/>
                <w:szCs w:val="16"/>
                <w:color w:val="auto"/>
                <w:w w:val="99"/>
              </w:rPr>
              <w:t>Borrowings outstanding as of January 1,</w:t>
            </w:r>
          </w:p>
        </w:tc>
        <w:tc>
          <w:tcPr>
            <w:tcW w:w="118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112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114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114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1200" w:type="dxa"/>
            <w:vAlign w:val="bottom"/>
            <w:tcBorders>
              <w:top w:val="single" w:sz="8" w:color="auto"/>
            </w:tcBorders>
            <w:shd w:val="clear" w:color="auto" w:fill="E5FFFF"/>
          </w:tcPr>
          <w:p>
            <w:pPr>
              <w:spacing w:after="0"/>
              <w:rPr>
                <w:sz w:val="15"/>
                <w:szCs w:val="15"/>
                <w:color w:val="auto"/>
              </w:rPr>
            </w:pPr>
          </w:p>
        </w:tc>
        <w:tc>
          <w:tcPr>
            <w:tcW w:w="160" w:type="dxa"/>
            <w:vAlign w:val="bottom"/>
            <w:tcBorders>
              <w:top w:val="single" w:sz="8" w:color="E5FFFF"/>
            </w:tcBorders>
            <w:shd w:val="clear" w:color="auto" w:fill="E5FFFF"/>
          </w:tcPr>
          <w:p>
            <w:pPr>
              <w:spacing w:after="0"/>
              <w:rPr>
                <w:sz w:val="15"/>
                <w:szCs w:val="15"/>
                <w:color w:val="auto"/>
              </w:rPr>
            </w:pPr>
          </w:p>
        </w:tc>
        <w:tc>
          <w:tcPr>
            <w:tcW w:w="1160" w:type="dxa"/>
            <w:vAlign w:val="bottom"/>
            <w:tcBorders>
              <w:top w:val="single" w:sz="8" w:color="auto"/>
            </w:tcBorders>
            <w:shd w:val="clear" w:color="auto" w:fill="E5FFFF"/>
          </w:tcPr>
          <w:p>
            <w:pPr>
              <w:spacing w:after="0"/>
              <w:rPr>
                <w:sz w:val="15"/>
                <w:szCs w:val="15"/>
                <w:color w:val="auto"/>
              </w:rPr>
            </w:pPr>
          </w:p>
        </w:tc>
        <w:tc>
          <w:tcPr>
            <w:tcW w:w="120" w:type="dxa"/>
            <w:vAlign w:val="bottom"/>
            <w:tcBorders>
              <w:top w:val="single" w:sz="8" w:color="E5FFFF"/>
            </w:tcBorders>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860" w:type="dxa"/>
            <w:vAlign w:val="bottom"/>
            <w:shd w:val="clear" w:color="auto" w:fill="E5FFFF"/>
          </w:tcPr>
          <w:p>
            <w:pPr>
              <w:spacing w:after="0"/>
              <w:rPr>
                <w:sz w:val="20"/>
                <w:szCs w:val="20"/>
                <w:color w:val="auto"/>
              </w:rPr>
            </w:pPr>
            <w:r>
              <w:rPr>
                <w:rFonts w:ascii="Arial" w:cs="Arial" w:eastAsia="Arial" w:hAnsi="Arial"/>
                <w:sz w:val="16"/>
                <w:szCs w:val="16"/>
                <w:color w:val="auto"/>
              </w:rPr>
              <w:t>2019</w:t>
            </w:r>
          </w:p>
        </w:tc>
        <w:tc>
          <w:tcPr>
            <w:tcW w:w="11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2,828,459</w:t>
            </w:r>
          </w:p>
        </w:tc>
        <w:tc>
          <w:tcPr>
            <w:tcW w:w="220" w:type="dxa"/>
            <w:vAlign w:val="bottom"/>
            <w:shd w:val="clear" w:color="auto" w:fill="E5FFFF"/>
          </w:tcPr>
          <w:p>
            <w:pPr>
              <w:spacing w:after="0"/>
              <w:rPr>
                <w:sz w:val="18"/>
                <w:szCs w:val="18"/>
                <w:color w:val="auto"/>
              </w:rPr>
            </w:pPr>
          </w:p>
        </w:tc>
        <w:tc>
          <w:tcPr>
            <w:tcW w:w="13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2,828,459</w:t>
            </w:r>
          </w:p>
        </w:tc>
        <w:tc>
          <w:tcPr>
            <w:tcW w:w="1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860" w:type="dxa"/>
            <w:vAlign w:val="bottom"/>
          </w:tcPr>
          <w:p>
            <w:pPr>
              <w:spacing w:after="0"/>
              <w:rPr>
                <w:sz w:val="20"/>
                <w:szCs w:val="20"/>
                <w:color w:val="auto"/>
              </w:rPr>
            </w:pPr>
            <w:r>
              <w:rPr>
                <w:rFonts w:ascii="Arial" w:cs="Arial" w:eastAsia="Arial" w:hAnsi="Arial"/>
                <w:sz w:val="16"/>
                <w:szCs w:val="16"/>
                <w:color w:val="auto"/>
              </w:rPr>
              <w:t>Proceeds from bank loans and bonds</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807,180</w:t>
            </w:r>
          </w:p>
        </w:tc>
        <w:tc>
          <w:tcPr>
            <w:tcW w:w="22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807,180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shd w:val="clear" w:color="auto" w:fill="E5FFFF"/>
          </w:tcPr>
          <w:p>
            <w:pPr>
              <w:spacing w:after="0"/>
              <w:rPr>
                <w:sz w:val="20"/>
                <w:szCs w:val="20"/>
                <w:color w:val="auto"/>
              </w:rPr>
            </w:pPr>
            <w:r>
              <w:rPr>
                <w:rFonts w:ascii="Arial" w:cs="Arial" w:eastAsia="Arial" w:hAnsi="Arial"/>
                <w:sz w:val="16"/>
                <w:szCs w:val="16"/>
                <w:color w:val="auto"/>
              </w:rPr>
              <w:t>Bank loan repayments</w:t>
            </w:r>
          </w:p>
        </w:tc>
        <w:tc>
          <w:tcPr>
            <w:tcW w:w="140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(519,379)</w:t>
            </w:r>
          </w:p>
        </w:tc>
        <w:tc>
          <w:tcPr>
            <w:tcW w:w="136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E5FFFF"/>
          </w:tcPr>
          <w:p>
            <w:pPr>
              <w:jc w:val="right"/>
              <w:ind w:right="80"/>
              <w:spacing w:after="0"/>
              <w:rPr>
                <w:sz w:val="20"/>
                <w:szCs w:val="20"/>
                <w:color w:val="auto"/>
              </w:rPr>
            </w:pPr>
            <w:r>
              <w:rPr>
                <w:rFonts w:ascii="Arial" w:cs="Arial" w:eastAsia="Arial" w:hAnsi="Arial"/>
                <w:sz w:val="16"/>
                <w:szCs w:val="16"/>
                <w:color w:val="auto"/>
              </w:rPr>
              <w:t>(519,379)</w:t>
            </w:r>
          </w:p>
        </w:tc>
        <w:tc>
          <w:tcPr>
            <w:tcW w:w="0" w:type="dxa"/>
            <w:vAlign w:val="bottom"/>
          </w:tcPr>
          <w:p>
            <w:pPr>
              <w:spacing w:after="0"/>
              <w:rPr>
                <w:sz w:val="1"/>
                <w:szCs w:val="1"/>
                <w:color w:val="auto"/>
              </w:rPr>
            </w:pPr>
          </w:p>
        </w:tc>
      </w:tr>
      <w:tr>
        <w:trPr>
          <w:trHeight w:val="206"/>
        </w:trPr>
        <w:tc>
          <w:tcPr>
            <w:tcW w:w="2860" w:type="dxa"/>
            <w:vAlign w:val="bottom"/>
          </w:tcPr>
          <w:p>
            <w:pPr>
              <w:spacing w:after="0"/>
              <w:rPr>
                <w:sz w:val="20"/>
                <w:szCs w:val="20"/>
                <w:color w:val="auto"/>
              </w:rPr>
            </w:pPr>
            <w:r>
              <w:rPr>
                <w:rFonts w:ascii="Arial" w:cs="Arial" w:eastAsia="Arial" w:hAnsi="Arial"/>
                <w:sz w:val="16"/>
                <w:szCs w:val="16"/>
                <w:color w:val="auto"/>
              </w:rPr>
              <w:t>Additions in deferred loan fees</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(11,269)</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314</w:t>
            </w:r>
          </w:p>
        </w:tc>
        <w:tc>
          <w:tcPr>
            <w:tcW w:w="220" w:type="dxa"/>
            <w:vAlign w:val="bottom"/>
          </w:tcPr>
          <w:p>
            <w:pPr>
              <w:spacing w:after="0"/>
              <w:rPr>
                <w:sz w:val="17"/>
                <w:szCs w:val="17"/>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(4,550)</w:t>
            </w: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(15,505)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93"/>
        </w:trPr>
        <w:tc>
          <w:tcPr>
            <w:tcW w:w="2880" w:type="dxa"/>
            <w:vAlign w:val="bottom"/>
            <w:shd w:val="clear" w:color="auto" w:fill="E5FFFF"/>
          </w:tcPr>
          <w:p>
            <w:pPr>
              <w:spacing w:after="0"/>
              <w:rPr>
                <w:sz w:val="20"/>
                <w:szCs w:val="20"/>
                <w:color w:val="auto"/>
              </w:rPr>
            </w:pPr>
            <w:r>
              <w:rPr>
                <w:rFonts w:ascii="Arial" w:cs="Arial" w:eastAsia="Arial" w:hAnsi="Arial"/>
                <w:sz w:val="16"/>
                <w:szCs w:val="16"/>
                <w:color w:val="auto"/>
              </w:rPr>
              <w:t>Amortization and write-off of deferred</w:t>
            </w:r>
          </w:p>
        </w:tc>
        <w:tc>
          <w:tcPr>
            <w:tcW w:w="1140" w:type="dxa"/>
            <w:vAlign w:val="bottom"/>
            <w:shd w:val="clear" w:color="auto" w:fill="E5FFFF"/>
          </w:tcPr>
          <w:p>
            <w:pPr>
              <w:spacing w:after="0"/>
              <w:rPr>
                <w:sz w:val="16"/>
                <w:szCs w:val="16"/>
                <w:color w:val="auto"/>
              </w:rPr>
            </w:pPr>
          </w:p>
        </w:tc>
        <w:tc>
          <w:tcPr>
            <w:tcW w:w="200" w:type="dxa"/>
            <w:vAlign w:val="bottom"/>
            <w:shd w:val="clear" w:color="auto" w:fill="E5FFFF"/>
          </w:tcPr>
          <w:p>
            <w:pPr>
              <w:spacing w:after="0"/>
              <w:rPr>
                <w:sz w:val="16"/>
                <w:szCs w:val="16"/>
                <w:color w:val="auto"/>
              </w:rPr>
            </w:pPr>
          </w:p>
        </w:tc>
        <w:tc>
          <w:tcPr>
            <w:tcW w:w="116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114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114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120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116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880" w:type="dxa"/>
            <w:vAlign w:val="bottom"/>
            <w:shd w:val="clear" w:color="auto" w:fill="E5FFFF"/>
          </w:tcPr>
          <w:p>
            <w:pPr>
              <w:spacing w:after="0"/>
              <w:rPr>
                <w:sz w:val="20"/>
                <w:szCs w:val="20"/>
                <w:color w:val="auto"/>
              </w:rPr>
            </w:pPr>
            <w:r>
              <w:rPr>
                <w:rFonts w:ascii="Arial" w:cs="Arial" w:eastAsia="Arial" w:hAnsi="Arial"/>
                <w:sz w:val="16"/>
                <w:szCs w:val="16"/>
                <w:color w:val="auto"/>
              </w:rPr>
              <w:t>loan issuance costs and premium</w:t>
            </w:r>
          </w:p>
        </w:tc>
        <w:tc>
          <w:tcPr>
            <w:tcW w:w="13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10,650</w:t>
            </w:r>
          </w:p>
        </w:tc>
        <w:tc>
          <w:tcPr>
            <w:tcW w:w="220" w:type="dxa"/>
            <w:vAlign w:val="bottom"/>
            <w:shd w:val="clear" w:color="auto" w:fill="E5FFFF"/>
          </w:tcPr>
          <w:p>
            <w:pPr>
              <w:spacing w:after="0"/>
              <w:rPr>
                <w:sz w:val="18"/>
                <w:szCs w:val="18"/>
                <w:color w:val="auto"/>
              </w:rPr>
            </w:pPr>
          </w:p>
        </w:tc>
        <w:tc>
          <w:tcPr>
            <w:tcW w:w="136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10,650</w:t>
            </w:r>
          </w:p>
        </w:tc>
        <w:tc>
          <w:tcPr>
            <w:tcW w:w="1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880" w:type="dxa"/>
            <w:vAlign w:val="bottom"/>
          </w:tcPr>
          <w:p>
            <w:pPr>
              <w:spacing w:after="0"/>
              <w:rPr>
                <w:sz w:val="20"/>
                <w:szCs w:val="20"/>
                <w:color w:val="auto"/>
              </w:rPr>
            </w:pPr>
            <w:r>
              <w:rPr>
                <w:rFonts w:ascii="Arial" w:cs="Arial" w:eastAsia="Arial" w:hAnsi="Arial"/>
                <w:sz w:val="16"/>
                <w:szCs w:val="16"/>
                <w:color w:val="auto"/>
              </w:rPr>
              <w:t>Retranslation of the 2021 NOK Bonds in</w:t>
            </w: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880" w:type="dxa"/>
            <w:vAlign w:val="bottom"/>
          </w:tcPr>
          <w:p>
            <w:pPr>
              <w:spacing w:after="0"/>
              <w:rPr>
                <w:sz w:val="20"/>
                <w:szCs w:val="20"/>
                <w:color w:val="auto"/>
              </w:rPr>
            </w:pPr>
            <w:r>
              <w:rPr>
                <w:rFonts w:ascii="Arial" w:cs="Arial" w:eastAsia="Arial" w:hAnsi="Arial"/>
                <w:sz w:val="16"/>
                <w:szCs w:val="16"/>
                <w:color w:val="auto"/>
              </w:rPr>
              <w:t>USD</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(3,616)</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(3,616)</w:t>
            </w:r>
          </w:p>
        </w:tc>
        <w:tc>
          <w:tcPr>
            <w:tcW w:w="0" w:type="dxa"/>
            <w:vAlign w:val="bottom"/>
          </w:tcPr>
          <w:p>
            <w:pPr>
              <w:spacing w:after="0"/>
              <w:rPr>
                <w:sz w:val="1"/>
                <w:szCs w:val="1"/>
                <w:color w:val="auto"/>
              </w:rPr>
            </w:pPr>
          </w:p>
        </w:tc>
      </w:tr>
      <w:tr>
        <w:trPr>
          <w:trHeight w:val="20"/>
        </w:trPr>
        <w:tc>
          <w:tcPr>
            <w:tcW w:w="2880" w:type="dxa"/>
            <w:vAlign w:val="bottom"/>
            <w:vMerge w:val="restart"/>
            <w:shd w:val="clear" w:color="auto" w:fill="E5FFFF"/>
          </w:tcPr>
          <w:p>
            <w:pPr>
              <w:spacing w:after="0"/>
              <w:rPr>
                <w:sz w:val="20"/>
                <w:szCs w:val="20"/>
                <w:color w:val="auto"/>
              </w:rPr>
            </w:pPr>
            <w:r>
              <w:rPr>
                <w:rFonts w:ascii="Arial" w:cs="Arial" w:eastAsia="Arial" w:hAnsi="Arial"/>
                <w:sz w:val="16"/>
                <w:szCs w:val="16"/>
                <w:b w:val="1"/>
                <w:bCs w:val="1"/>
                <w:color w:val="auto"/>
              </w:rPr>
              <w:t>Borrowings outstanding as of</w:t>
            </w: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E5FF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E5FF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E5FF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E5FF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E5FF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880" w:type="dxa"/>
            <w:vAlign w:val="bottom"/>
            <w:vMerge w:val="continue"/>
            <w:shd w:val="clear" w:color="auto" w:fill="E5FFFF"/>
          </w:tcPr>
          <w:p>
            <w:pPr>
              <w:spacing w:after="0"/>
              <w:rPr>
                <w:sz w:val="15"/>
                <w:szCs w:val="15"/>
                <w:color w:val="auto"/>
              </w:rPr>
            </w:pPr>
          </w:p>
        </w:tc>
        <w:tc>
          <w:tcPr>
            <w:tcW w:w="1140" w:type="dxa"/>
            <w:vAlign w:val="bottom"/>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2,828,459</w:t>
            </w:r>
          </w:p>
        </w:tc>
        <w:tc>
          <w:tcPr>
            <w:tcW w:w="200" w:type="dxa"/>
            <w:vAlign w:val="bottom"/>
            <w:shd w:val="clear" w:color="auto" w:fill="E5FFFF"/>
          </w:tcPr>
          <w:p>
            <w:pPr>
              <w:spacing w:after="0"/>
              <w:rPr>
                <w:sz w:val="15"/>
                <w:szCs w:val="15"/>
                <w:color w:val="auto"/>
              </w:rPr>
            </w:pPr>
          </w:p>
        </w:tc>
        <w:tc>
          <w:tcPr>
            <w:tcW w:w="1160" w:type="dxa"/>
            <w:vAlign w:val="bottom"/>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276,532</w:t>
            </w:r>
          </w:p>
        </w:tc>
        <w:tc>
          <w:tcPr>
            <w:tcW w:w="220" w:type="dxa"/>
            <w:vAlign w:val="bottom"/>
            <w:shd w:val="clear" w:color="auto" w:fill="E5FFFF"/>
          </w:tcPr>
          <w:p>
            <w:pPr>
              <w:spacing w:after="0"/>
              <w:rPr>
                <w:sz w:val="15"/>
                <w:szCs w:val="15"/>
                <w:color w:val="auto"/>
              </w:rPr>
            </w:pPr>
          </w:p>
        </w:tc>
        <w:tc>
          <w:tcPr>
            <w:tcW w:w="1360" w:type="dxa"/>
            <w:vAlign w:val="bottom"/>
            <w:gridSpan w:val="2"/>
            <w:vMerge w:val="restart"/>
            <w:shd w:val="clear" w:color="auto" w:fill="E5FFFF"/>
          </w:tcPr>
          <w:p>
            <w:pPr>
              <w:jc w:val="right"/>
              <w:ind w:right="160"/>
              <w:spacing w:after="0"/>
              <w:rPr>
                <w:sz w:val="20"/>
                <w:szCs w:val="20"/>
                <w:color w:val="auto"/>
              </w:rPr>
            </w:pPr>
            <w:r>
              <w:rPr>
                <w:rFonts w:ascii="Arial" w:cs="Arial" w:eastAsia="Arial" w:hAnsi="Arial"/>
                <w:sz w:val="16"/>
                <w:szCs w:val="16"/>
                <w:b w:val="1"/>
                <w:bCs w:val="1"/>
                <w:color w:val="auto"/>
              </w:rPr>
              <w:t>(3,616)</w:t>
            </w:r>
          </w:p>
        </w:tc>
        <w:tc>
          <w:tcPr>
            <w:tcW w:w="1140" w:type="dxa"/>
            <w:vAlign w:val="bottom"/>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10,964</w:t>
            </w:r>
          </w:p>
        </w:tc>
        <w:tc>
          <w:tcPr>
            <w:tcW w:w="220" w:type="dxa"/>
            <w:vAlign w:val="bottom"/>
            <w:shd w:val="clear" w:color="auto" w:fill="E5FFFF"/>
          </w:tcPr>
          <w:p>
            <w:pPr>
              <w:spacing w:after="0"/>
              <w:rPr>
                <w:sz w:val="15"/>
                <w:szCs w:val="15"/>
                <w:color w:val="auto"/>
              </w:rPr>
            </w:pPr>
          </w:p>
        </w:tc>
        <w:tc>
          <w:tcPr>
            <w:tcW w:w="1360" w:type="dxa"/>
            <w:vAlign w:val="bottom"/>
            <w:gridSpan w:val="2"/>
            <w:vMerge w:val="restart"/>
            <w:shd w:val="clear" w:color="auto" w:fill="E5FFFF"/>
          </w:tcPr>
          <w:p>
            <w:pPr>
              <w:jc w:val="right"/>
              <w:ind w:right="100"/>
              <w:spacing w:after="0"/>
              <w:rPr>
                <w:sz w:val="20"/>
                <w:szCs w:val="20"/>
                <w:color w:val="auto"/>
              </w:rPr>
            </w:pPr>
            <w:r>
              <w:rPr>
                <w:rFonts w:ascii="Arial" w:cs="Arial" w:eastAsia="Arial" w:hAnsi="Arial"/>
                <w:sz w:val="16"/>
                <w:szCs w:val="16"/>
                <w:b w:val="1"/>
                <w:bCs w:val="1"/>
                <w:color w:val="auto"/>
              </w:rPr>
              <w:t>(4,550)</w:t>
            </w:r>
          </w:p>
        </w:tc>
        <w:tc>
          <w:tcPr>
            <w:tcW w:w="1160" w:type="dxa"/>
            <w:vAlign w:val="bottom"/>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3,107,789</w:t>
            </w:r>
          </w:p>
        </w:tc>
        <w:tc>
          <w:tcPr>
            <w:tcW w:w="120" w:type="dxa"/>
            <w:vAlign w:val="bottom"/>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88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September 30, 2019</w:t>
            </w:r>
          </w:p>
        </w:tc>
        <w:tc>
          <w:tcPr>
            <w:tcW w:w="1140" w:type="dxa"/>
            <w:vAlign w:val="bottom"/>
            <w:vMerge w:val="continue"/>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160" w:type="dxa"/>
            <w:vAlign w:val="bottom"/>
            <w:vMerge w:val="continue"/>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360" w:type="dxa"/>
            <w:vAlign w:val="bottom"/>
            <w:gridSpan w:val="2"/>
            <w:vMerge w:val="continue"/>
            <w:shd w:val="clear" w:color="auto" w:fill="E5FFFF"/>
          </w:tcPr>
          <w:p>
            <w:pPr>
              <w:spacing w:after="0"/>
              <w:rPr>
                <w:sz w:val="17"/>
                <w:szCs w:val="17"/>
                <w:color w:val="auto"/>
              </w:rPr>
            </w:pPr>
          </w:p>
        </w:tc>
        <w:tc>
          <w:tcPr>
            <w:tcW w:w="1140" w:type="dxa"/>
            <w:vAlign w:val="bottom"/>
            <w:vMerge w:val="continue"/>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360" w:type="dxa"/>
            <w:vAlign w:val="bottom"/>
            <w:gridSpan w:val="2"/>
            <w:vMerge w:val="continue"/>
            <w:shd w:val="clear" w:color="auto" w:fill="E5FFFF"/>
          </w:tcPr>
          <w:p>
            <w:pPr>
              <w:spacing w:after="0"/>
              <w:rPr>
                <w:sz w:val="17"/>
                <w:szCs w:val="17"/>
                <w:color w:val="auto"/>
              </w:rPr>
            </w:pPr>
          </w:p>
        </w:tc>
        <w:tc>
          <w:tcPr>
            <w:tcW w:w="1160" w:type="dxa"/>
            <w:vAlign w:val="bottom"/>
            <w:vMerge w:val="continue"/>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80" w:type="dxa"/>
            <w:vAlign w:val="bottom"/>
            <w:tcBorders>
              <w:top w:val="single" w:sz="8" w:color="E5FF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 reconciliation of derivatives arising from financing activities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98"/>
              </w:rPr>
              <w:t>Other comprehensive</w:t>
            </w: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0"/>
        </w:trPr>
        <w:tc>
          <w:tcPr>
            <w:tcW w:w="4460" w:type="dxa"/>
            <w:vAlign w:val="bottom"/>
          </w:tcPr>
          <w:p>
            <w:pPr>
              <w:spacing w:after="0"/>
              <w:rPr>
                <w:sz w:val="18"/>
                <w:szCs w:val="18"/>
                <w:color w:val="auto"/>
              </w:rPr>
            </w:pPr>
          </w:p>
        </w:tc>
        <w:tc>
          <w:tcPr>
            <w:tcW w:w="1760" w:type="dxa"/>
            <w:vAlign w:val="bottom"/>
            <w:gridSpan w:val="2"/>
          </w:tcPr>
          <w:p>
            <w:pPr>
              <w:ind w:left="180"/>
              <w:spacing w:after="0"/>
              <w:rPr>
                <w:sz w:val="20"/>
                <w:szCs w:val="20"/>
                <w:color w:val="auto"/>
              </w:rPr>
            </w:pPr>
            <w:r>
              <w:rPr>
                <w:rFonts w:ascii="Arial" w:cs="Arial" w:eastAsia="Arial" w:hAnsi="Arial"/>
                <w:sz w:val="16"/>
                <w:szCs w:val="16"/>
                <w:b w:val="1"/>
                <w:bCs w:val="1"/>
                <w:color w:val="auto"/>
              </w:rPr>
              <w:t>Opening balance</w:t>
            </w:r>
          </w:p>
        </w:tc>
        <w:tc>
          <w:tcPr>
            <w:tcW w:w="1960" w:type="dxa"/>
            <w:vAlign w:val="bottom"/>
            <w:gridSpan w:val="2"/>
          </w:tcPr>
          <w:p>
            <w:pPr>
              <w:jc w:val="right"/>
              <w:ind w:right="820"/>
              <w:spacing w:after="0"/>
              <w:rPr>
                <w:sz w:val="20"/>
                <w:szCs w:val="20"/>
                <w:color w:val="auto"/>
              </w:rPr>
            </w:pPr>
            <w:r>
              <w:rPr>
                <w:rFonts w:ascii="Arial" w:cs="Arial" w:eastAsia="Arial" w:hAnsi="Arial"/>
                <w:sz w:val="16"/>
                <w:szCs w:val="16"/>
                <w:b w:val="1"/>
                <w:bCs w:val="1"/>
                <w:color w:val="auto"/>
              </w:rPr>
              <w:t>income</w:t>
            </w:r>
          </w:p>
        </w:tc>
        <w:tc>
          <w:tcPr>
            <w:tcW w:w="15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Non-cash items</w:t>
            </w:r>
          </w:p>
        </w:tc>
        <w:tc>
          <w:tcPr>
            <w:tcW w:w="126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Total</w:t>
            </w:r>
          </w:p>
        </w:tc>
      </w:tr>
      <w:tr>
        <w:trPr>
          <w:trHeight w:val="202"/>
        </w:trPr>
        <w:tc>
          <w:tcPr>
            <w:tcW w:w="44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Net derivative assets as of January 1, 2018</w:t>
            </w:r>
          </w:p>
        </w:tc>
        <w:tc>
          <w:tcPr>
            <w:tcW w:w="15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16,396</w:t>
            </w:r>
          </w:p>
        </w:tc>
        <w:tc>
          <w:tcPr>
            <w:tcW w:w="240" w:type="dxa"/>
            <w:vAlign w:val="bottom"/>
            <w:tcBorders>
              <w:top w:val="single" w:sz="8" w:color="E5FFFF"/>
            </w:tcBorders>
            <w:shd w:val="clear" w:color="auto" w:fill="E5FFFF"/>
          </w:tcPr>
          <w:p>
            <w:pPr>
              <w:spacing w:after="0"/>
              <w:rPr>
                <w:sz w:val="17"/>
                <w:szCs w:val="17"/>
                <w:color w:val="auto"/>
              </w:rPr>
            </w:pPr>
          </w:p>
        </w:tc>
        <w:tc>
          <w:tcPr>
            <w:tcW w:w="17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16,396</w:t>
            </w:r>
          </w:p>
        </w:tc>
        <w:tc>
          <w:tcPr>
            <w:tcW w:w="120" w:type="dxa"/>
            <w:vAlign w:val="bottom"/>
            <w:tcBorders>
              <w:top w:val="single" w:sz="8" w:color="E5FFFF"/>
            </w:tcBorders>
            <w:shd w:val="clear" w:color="auto" w:fill="E5FFFF"/>
          </w:tcPr>
          <w:p>
            <w:pPr>
              <w:spacing w:after="0"/>
              <w:rPr>
                <w:sz w:val="17"/>
                <w:szCs w:val="17"/>
                <w:color w:val="auto"/>
              </w:rPr>
            </w:pPr>
          </w:p>
        </w:tc>
      </w:tr>
      <w:tr>
        <w:trPr>
          <w:trHeight w:val="193"/>
        </w:trPr>
        <w:tc>
          <w:tcPr>
            <w:tcW w:w="4460" w:type="dxa"/>
            <w:vAlign w:val="bottom"/>
          </w:tcPr>
          <w:p>
            <w:pPr>
              <w:spacing w:after="0"/>
              <w:rPr>
                <w:sz w:val="20"/>
                <w:szCs w:val="20"/>
                <w:color w:val="auto"/>
              </w:rPr>
            </w:pPr>
            <w:r>
              <w:rPr>
                <w:rFonts w:ascii="Arial" w:cs="Arial" w:eastAsia="Arial" w:hAnsi="Arial"/>
                <w:sz w:val="16"/>
                <w:szCs w:val="16"/>
                <w:color w:val="auto"/>
              </w:rPr>
              <w:t>Unrealized gain on derivative financial instruments held for</w:t>
            </w: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6"/>
        </w:trPr>
        <w:tc>
          <w:tcPr>
            <w:tcW w:w="4460" w:type="dxa"/>
            <w:vAlign w:val="bottom"/>
          </w:tcPr>
          <w:p>
            <w:pPr>
              <w:spacing w:after="0"/>
              <w:rPr>
                <w:sz w:val="20"/>
                <w:szCs w:val="20"/>
                <w:color w:val="auto"/>
              </w:rPr>
            </w:pPr>
            <w:r>
              <w:rPr>
                <w:rFonts w:ascii="Arial" w:cs="Arial" w:eastAsia="Arial" w:hAnsi="Arial"/>
                <w:sz w:val="16"/>
                <w:szCs w:val="16"/>
                <w:color w:val="auto"/>
              </w:rPr>
              <w:t>trading (Note 16)</w:t>
            </w:r>
          </w:p>
        </w:tc>
        <w:tc>
          <w:tcPr>
            <w:tcW w:w="1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24,210</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24,210</w:t>
            </w:r>
          </w:p>
        </w:tc>
        <w:tc>
          <w:tcPr>
            <w:tcW w:w="120" w:type="dxa"/>
            <w:vAlign w:val="bottom"/>
          </w:tcPr>
          <w:p>
            <w:pPr>
              <w:spacing w:after="0"/>
              <w:rPr>
                <w:sz w:val="17"/>
                <w:szCs w:val="17"/>
                <w:color w:val="auto"/>
              </w:rPr>
            </w:pPr>
          </w:p>
        </w:tc>
      </w:tr>
      <w:tr>
        <w:trPr>
          <w:trHeight w:val="209"/>
        </w:trPr>
        <w:tc>
          <w:tcPr>
            <w:tcW w:w="4460" w:type="dxa"/>
            <w:vAlign w:val="bottom"/>
            <w:shd w:val="clear" w:color="auto" w:fill="E5FFFF"/>
          </w:tcPr>
          <w:p>
            <w:pPr>
              <w:spacing w:after="0"/>
              <w:rPr>
                <w:sz w:val="20"/>
                <w:szCs w:val="20"/>
                <w:color w:val="auto"/>
              </w:rPr>
            </w:pPr>
            <w:r>
              <w:rPr>
                <w:rFonts w:ascii="Arial" w:cs="Arial" w:eastAsia="Arial" w:hAnsi="Arial"/>
                <w:sz w:val="16"/>
                <w:szCs w:val="16"/>
                <w:color w:val="auto"/>
              </w:rPr>
              <w:t>Ineffective portion of cash flow hedges (Note 16)</w:t>
            </w:r>
          </w:p>
        </w:tc>
        <w:tc>
          <w:tcPr>
            <w:tcW w:w="176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w:t>
            </w:r>
          </w:p>
        </w:tc>
        <w:tc>
          <w:tcPr>
            <w:tcW w:w="196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E5FFFF"/>
          </w:tcPr>
          <w:p>
            <w:pPr>
              <w:jc w:val="right"/>
              <w:ind w:right="80"/>
              <w:spacing w:after="0"/>
              <w:rPr>
                <w:sz w:val="20"/>
                <w:szCs w:val="20"/>
                <w:color w:val="auto"/>
              </w:rPr>
            </w:pPr>
            <w:r>
              <w:rPr>
                <w:rFonts w:ascii="Arial" w:cs="Arial" w:eastAsia="Arial" w:hAnsi="Arial"/>
                <w:sz w:val="16"/>
                <w:szCs w:val="16"/>
                <w:color w:val="auto"/>
              </w:rPr>
              <w:t>(332)</w:t>
            </w:r>
          </w:p>
        </w:tc>
        <w:tc>
          <w:tcPr>
            <w:tcW w:w="126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(332)</w:t>
            </w:r>
          </w:p>
        </w:tc>
      </w:tr>
      <w:tr>
        <w:trPr>
          <w:trHeight w:val="193"/>
        </w:trPr>
        <w:tc>
          <w:tcPr>
            <w:tcW w:w="4460" w:type="dxa"/>
            <w:vAlign w:val="bottom"/>
          </w:tcPr>
          <w:p>
            <w:pPr>
              <w:spacing w:after="0"/>
              <w:rPr>
                <w:sz w:val="20"/>
                <w:szCs w:val="20"/>
                <w:color w:val="auto"/>
              </w:rPr>
            </w:pPr>
            <w:r>
              <w:rPr>
                <w:rFonts w:ascii="Arial" w:cs="Arial" w:eastAsia="Arial" w:hAnsi="Arial"/>
                <w:sz w:val="16"/>
                <w:szCs w:val="16"/>
                <w:color w:val="auto"/>
              </w:rPr>
              <w:t>Effective portion of changes in the fair value of derivatives</w:t>
            </w: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6"/>
        </w:trPr>
        <w:tc>
          <w:tcPr>
            <w:tcW w:w="4460" w:type="dxa"/>
            <w:vAlign w:val="bottom"/>
          </w:tcPr>
          <w:p>
            <w:pPr>
              <w:spacing w:after="0"/>
              <w:rPr>
                <w:sz w:val="20"/>
                <w:szCs w:val="20"/>
                <w:color w:val="auto"/>
              </w:rPr>
            </w:pPr>
            <w:r>
              <w:rPr>
                <w:rFonts w:ascii="Arial" w:cs="Arial" w:eastAsia="Arial" w:hAnsi="Arial"/>
                <w:sz w:val="16"/>
                <w:szCs w:val="16"/>
                <w:color w:val="auto"/>
              </w:rPr>
              <w:t>designated as cash flow hedging instruments</w:t>
            </w:r>
          </w:p>
        </w:tc>
        <w:tc>
          <w:tcPr>
            <w:tcW w:w="1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2,292</w:t>
            </w:r>
          </w:p>
        </w:tc>
        <w:tc>
          <w:tcPr>
            <w:tcW w:w="180" w:type="dxa"/>
            <w:vAlign w:val="bottom"/>
          </w:tcPr>
          <w:p>
            <w:pPr>
              <w:spacing w:after="0"/>
              <w:rPr>
                <w:sz w:val="17"/>
                <w:szCs w:val="17"/>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2,292</w:t>
            </w:r>
          </w:p>
        </w:tc>
        <w:tc>
          <w:tcPr>
            <w:tcW w:w="120" w:type="dxa"/>
            <w:vAlign w:val="bottom"/>
          </w:tcPr>
          <w:p>
            <w:pPr>
              <w:spacing w:after="0"/>
              <w:rPr>
                <w:sz w:val="17"/>
                <w:szCs w:val="17"/>
                <w:color w:val="auto"/>
              </w:rPr>
            </w:pPr>
          </w:p>
        </w:tc>
      </w:tr>
      <w:tr>
        <w:trPr>
          <w:trHeight w:val="202"/>
        </w:trPr>
        <w:tc>
          <w:tcPr>
            <w:tcW w:w="446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Net derivative assets as of September 30, 2018</w:t>
            </w:r>
          </w:p>
        </w:tc>
        <w:tc>
          <w:tcPr>
            <w:tcW w:w="15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16,396</w:t>
            </w:r>
          </w:p>
        </w:tc>
        <w:tc>
          <w:tcPr>
            <w:tcW w:w="240" w:type="dxa"/>
            <w:vAlign w:val="bottom"/>
            <w:tcBorders>
              <w:top w:val="single" w:sz="8" w:color="E5FFFF"/>
              <w:bottom w:val="single" w:sz="8" w:color="E5FFFF"/>
            </w:tcBorders>
            <w:shd w:val="clear" w:color="auto" w:fill="E5FFFF"/>
          </w:tcPr>
          <w:p>
            <w:pPr>
              <w:spacing w:after="0"/>
              <w:rPr>
                <w:sz w:val="17"/>
                <w:szCs w:val="17"/>
                <w:color w:val="auto"/>
              </w:rPr>
            </w:pPr>
          </w:p>
        </w:tc>
        <w:tc>
          <w:tcPr>
            <w:tcW w:w="17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2,292</w:t>
            </w:r>
          </w:p>
        </w:tc>
        <w:tc>
          <w:tcPr>
            <w:tcW w:w="180" w:type="dxa"/>
            <w:vAlign w:val="bottom"/>
            <w:tcBorders>
              <w:top w:val="single" w:sz="8" w:color="E5FFFF"/>
              <w:bottom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23,878</w:t>
            </w:r>
          </w:p>
        </w:tc>
        <w:tc>
          <w:tcPr>
            <w:tcW w:w="140" w:type="dxa"/>
            <w:vAlign w:val="bottom"/>
            <w:tcBorders>
              <w:top w:val="single" w:sz="8" w:color="E5FFFF"/>
              <w:bottom w:val="single" w:sz="8" w:color="E5FFFF"/>
            </w:tcBorders>
            <w:shd w:val="clear" w:color="auto" w:fill="E5FFFF"/>
          </w:tcPr>
          <w:p>
            <w:pPr>
              <w:spacing w:after="0"/>
              <w:rPr>
                <w:sz w:val="17"/>
                <w:szCs w:val="17"/>
                <w:color w:val="auto"/>
              </w:rPr>
            </w:pPr>
          </w:p>
        </w:tc>
        <w:tc>
          <w:tcPr>
            <w:tcW w:w="1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42,566</w:t>
            </w:r>
          </w:p>
        </w:tc>
        <w:tc>
          <w:tcPr>
            <w:tcW w:w="120" w:type="dxa"/>
            <w:vAlign w:val="bottom"/>
            <w:tcBorders>
              <w:top w:val="single" w:sz="8" w:color="E5FFFF"/>
              <w:bottom w:val="single" w:sz="8" w:color="E5FFFF"/>
            </w:tcBorders>
            <w:shd w:val="clear" w:color="auto" w:fill="E5FFFF"/>
          </w:tcPr>
          <w:p>
            <w:pPr>
              <w:spacing w:after="0"/>
              <w:rPr>
                <w:sz w:val="17"/>
                <w:szCs w:val="17"/>
                <w:color w:val="auto"/>
              </w:rPr>
            </w:pPr>
          </w:p>
        </w:tc>
      </w:tr>
      <w:tr>
        <w:trPr>
          <w:trHeight w:val="20"/>
        </w:trPr>
        <w:tc>
          <w:tcPr>
            <w:tcW w:w="44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960"/>
          </w:cols>
          <w:pgMar w:left="640" w:top="356" w:right="29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Net derivative assets as of January 1, 2019</w:t>
      </w:r>
    </w:p>
    <w:p>
      <w:pPr>
        <w:spacing w:after="0" w:line="32"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Unrealized loss on derivative financial instruments held for trading (Note 16)</w:t>
      </w:r>
    </w:p>
    <w:p>
      <w:pPr>
        <w:spacing w:after="0" w:line="1" w:lineRule="exact"/>
        <w:rPr>
          <w:sz w:val="20"/>
          <w:szCs w:val="20"/>
          <w:color w:val="auto"/>
        </w:rPr>
      </w:pPr>
    </w:p>
    <w:p>
      <w:pPr>
        <w:ind w:right="120"/>
        <w:spacing w:after="0" w:line="281" w:lineRule="auto"/>
        <w:rPr>
          <w:sz w:val="20"/>
          <w:szCs w:val="20"/>
          <w:color w:val="auto"/>
        </w:rPr>
      </w:pPr>
      <w:r>
        <w:rPr>
          <w:rFonts w:ascii="Arial" w:cs="Arial" w:eastAsia="Arial" w:hAnsi="Arial"/>
          <w:sz w:val="15"/>
          <w:szCs w:val="15"/>
          <w:color w:val="auto"/>
        </w:rPr>
        <w:t>Ineffective portion of cash flow hedges (Note 16) Effective portion of changes in the fair value of derivatives designated as cash flow hedging instruments</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derivative assets/(liabilities) as of September 30, 2019</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6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auto"/>
                <w:w w:val="98"/>
              </w:rPr>
              <w:t>Other comprehensive</w:t>
            </w: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3"/>
        </w:trPr>
        <w:tc>
          <w:tcPr>
            <w:tcW w:w="1760" w:type="dxa"/>
            <w:vAlign w:val="bottom"/>
            <w:gridSpan w:val="2"/>
          </w:tcPr>
          <w:p>
            <w:pPr>
              <w:ind w:left="180"/>
              <w:spacing w:after="0"/>
              <w:rPr>
                <w:sz w:val="20"/>
                <w:szCs w:val="20"/>
                <w:color w:val="auto"/>
              </w:rPr>
            </w:pPr>
            <w:r>
              <w:rPr>
                <w:rFonts w:ascii="Arial" w:cs="Arial" w:eastAsia="Arial" w:hAnsi="Arial"/>
                <w:sz w:val="16"/>
                <w:szCs w:val="16"/>
                <w:b w:val="1"/>
                <w:bCs w:val="1"/>
                <w:color w:val="auto"/>
              </w:rPr>
              <w:t>Opening balance</w:t>
            </w:r>
          </w:p>
        </w:tc>
        <w:tc>
          <w:tcPr>
            <w:tcW w:w="1960" w:type="dxa"/>
            <w:vAlign w:val="bottom"/>
            <w:gridSpan w:val="2"/>
          </w:tcPr>
          <w:p>
            <w:pPr>
              <w:jc w:val="right"/>
              <w:ind w:right="859"/>
              <w:spacing w:after="0"/>
              <w:rPr>
                <w:sz w:val="20"/>
                <w:szCs w:val="20"/>
                <w:color w:val="auto"/>
              </w:rPr>
            </w:pPr>
            <w:r>
              <w:rPr>
                <w:rFonts w:ascii="Arial" w:cs="Arial" w:eastAsia="Arial" w:hAnsi="Arial"/>
                <w:sz w:val="16"/>
                <w:szCs w:val="16"/>
                <w:b w:val="1"/>
                <w:bCs w:val="1"/>
                <w:color w:val="auto"/>
              </w:rPr>
              <w:t>loss</w:t>
            </w:r>
          </w:p>
        </w:tc>
        <w:tc>
          <w:tcPr>
            <w:tcW w:w="1520" w:type="dxa"/>
            <w:vAlign w:val="bottom"/>
            <w:gridSpan w:val="2"/>
          </w:tcPr>
          <w:p>
            <w:pPr>
              <w:jc w:val="right"/>
              <w:ind w:right="219"/>
              <w:spacing w:after="0"/>
              <w:rPr>
                <w:sz w:val="20"/>
                <w:szCs w:val="20"/>
                <w:color w:val="auto"/>
              </w:rPr>
            </w:pPr>
            <w:r>
              <w:rPr>
                <w:rFonts w:ascii="Arial" w:cs="Arial" w:eastAsia="Arial" w:hAnsi="Arial"/>
                <w:sz w:val="16"/>
                <w:szCs w:val="16"/>
                <w:b w:val="1"/>
                <w:bCs w:val="1"/>
                <w:color w:val="auto"/>
              </w:rPr>
              <w:t>Non-cash items</w:t>
            </w:r>
          </w:p>
        </w:tc>
        <w:tc>
          <w:tcPr>
            <w:tcW w:w="1200" w:type="dxa"/>
            <w:vAlign w:val="bottom"/>
            <w:gridSpan w:val="3"/>
          </w:tcPr>
          <w:p>
            <w:pPr>
              <w:jc w:val="right"/>
              <w:ind w:right="440"/>
              <w:spacing w:after="0"/>
              <w:rPr>
                <w:sz w:val="20"/>
                <w:szCs w:val="20"/>
                <w:color w:val="auto"/>
              </w:rPr>
            </w:pPr>
            <w:r>
              <w:rPr>
                <w:rFonts w:ascii="Arial" w:cs="Arial" w:eastAsia="Arial" w:hAnsi="Arial"/>
                <w:sz w:val="16"/>
                <w:szCs w:val="16"/>
                <w:b w:val="1"/>
                <w:bCs w:val="1"/>
                <w:color w:val="auto"/>
              </w:rPr>
              <w:t>Total</w:t>
            </w:r>
          </w:p>
        </w:tc>
      </w:tr>
      <w:tr>
        <w:trPr>
          <w:trHeight w:val="203"/>
        </w:trPr>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3,096</w:t>
            </w:r>
          </w:p>
        </w:tc>
        <w:tc>
          <w:tcPr>
            <w:tcW w:w="240" w:type="dxa"/>
            <w:vAlign w:val="bottom"/>
          </w:tcPr>
          <w:p>
            <w:pPr>
              <w:spacing w:after="0"/>
              <w:rPr>
                <w:sz w:val="17"/>
                <w:szCs w:val="17"/>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3,096</w:t>
            </w:r>
          </w:p>
        </w:tc>
        <w:tc>
          <w:tcPr>
            <w:tcW w:w="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391"/>
        </w:trPr>
        <w:tc>
          <w:tcPr>
            <w:tcW w:w="1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96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(67,828)</w:t>
            </w: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(67,828)</w:t>
            </w:r>
          </w:p>
        </w:tc>
      </w:tr>
      <w:tr>
        <w:trPr>
          <w:trHeight w:val="206"/>
        </w:trPr>
        <w:tc>
          <w:tcPr>
            <w:tcW w:w="1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96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185</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05"/>
        </w:trPr>
        <w:tc>
          <w:tcPr>
            <w:tcW w:w="1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960" w:type="dxa"/>
            <w:vAlign w:val="bottom"/>
            <w:gridSpan w:val="2"/>
          </w:tcPr>
          <w:p>
            <w:pPr>
              <w:jc w:val="right"/>
              <w:ind w:right="39"/>
              <w:spacing w:after="0"/>
              <w:rPr>
                <w:sz w:val="20"/>
                <w:szCs w:val="20"/>
                <w:color w:val="auto"/>
              </w:rPr>
            </w:pPr>
            <w:r>
              <w:rPr>
                <w:rFonts w:ascii="Arial" w:cs="Arial" w:eastAsia="Arial" w:hAnsi="Arial"/>
                <w:sz w:val="16"/>
                <w:szCs w:val="16"/>
                <w:color w:val="auto"/>
              </w:rPr>
              <w:t>(6,913)</w:t>
            </w:r>
          </w:p>
        </w:tc>
        <w:tc>
          <w:tcPr>
            <w:tcW w:w="152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(6,913)</w:t>
            </w:r>
          </w:p>
        </w:tc>
      </w:tr>
      <w:tr>
        <w:trPr>
          <w:trHeight w:val="213"/>
        </w:trPr>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3,096</w:t>
            </w:r>
          </w:p>
        </w:tc>
        <w:tc>
          <w:tcPr>
            <w:tcW w:w="240" w:type="dxa"/>
            <w:vAlign w:val="bottom"/>
          </w:tcPr>
          <w:p>
            <w:pPr>
              <w:spacing w:after="0"/>
              <w:rPr>
                <w:sz w:val="18"/>
                <w:szCs w:val="18"/>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(6,913</w:t>
            </w:r>
          </w:p>
        </w:tc>
        <w:tc>
          <w:tcPr>
            <w:tcW w:w="180" w:type="dxa"/>
            <w:vAlign w:val="bottom"/>
          </w:tcPr>
          <w:p>
            <w:pPr>
              <w:jc w:val="right"/>
              <w:ind w:right="39"/>
              <w:spacing w:after="0"/>
              <w:rPr>
                <w:sz w:val="20"/>
                <w:szCs w:val="20"/>
                <w:color w:val="auto"/>
              </w:rPr>
            </w:pPr>
            <w:r>
              <w:rPr>
                <w:rFonts w:ascii="Arial" w:cs="Arial" w:eastAsia="Arial" w:hAnsi="Arial"/>
                <w:sz w:val="16"/>
                <w:szCs w:val="16"/>
                <w:b w:val="1"/>
                <w:bCs w:val="1"/>
                <w:color w:val="auto"/>
                <w:w w:val="74"/>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(67,643</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(71,460</w:t>
            </w:r>
          </w:p>
        </w:tc>
        <w:tc>
          <w:tcPr>
            <w:tcW w:w="60" w:type="dxa"/>
            <w:vAlign w:val="bottom"/>
            <w:gridSpan w:val="2"/>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-2831465</wp:posOffset>
            </wp:positionH>
            <wp:positionV relativeFrom="paragraph">
              <wp:posOffset>-951230</wp:posOffset>
            </wp:positionV>
            <wp:extent cx="6955155"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55155" cy="137160"/>
                    </a:xfrm>
                    <a:prstGeom prst="rect">
                      <a:avLst/>
                    </a:prstGeom>
                    <a:noFill/>
                  </pic:spPr>
                </pic:pic>
              </a:graphicData>
            </a:graphic>
          </wp:anchor>
        </w:drawing>
        <w:drawing>
          <wp:anchor simplePos="0" relativeHeight="251657728" behindDoc="1" locked="0" layoutInCell="0" allowOverlap="1">
            <wp:simplePos x="0" y="0"/>
            <wp:positionH relativeFrom="column">
              <wp:posOffset>-2831465</wp:posOffset>
            </wp:positionH>
            <wp:positionV relativeFrom="paragraph">
              <wp:posOffset>-556895</wp:posOffset>
            </wp:positionV>
            <wp:extent cx="6955155"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55155" cy="128905"/>
                    </a:xfrm>
                    <a:prstGeom prst="rect">
                      <a:avLst/>
                    </a:prstGeom>
                    <a:noFill/>
                  </pic:spPr>
                </pic:pic>
              </a:graphicData>
            </a:graphic>
          </wp:anchor>
        </w:drawing>
        <w:drawing>
          <wp:anchor simplePos="0" relativeHeight="251657728" behindDoc="1" locked="0" layoutInCell="0" allowOverlap="1">
            <wp:simplePos x="0" y="0"/>
            <wp:positionH relativeFrom="column">
              <wp:posOffset>-2831465</wp:posOffset>
            </wp:positionH>
            <wp:positionV relativeFrom="paragraph">
              <wp:posOffset>-170815</wp:posOffset>
            </wp:positionV>
            <wp:extent cx="6955155"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55155"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40" w:space="520"/>
            <w:col w:w="6500"/>
          </w:cols>
          <w:pgMar w:left="640" w:top="356" w:right="299" w:bottom="1440" w:gutter="0" w:footer="0" w:header="0"/>
          <w:type w:val="continuous"/>
        </w:sectPr>
      </w:pPr>
    </w:p>
    <w:p>
      <w:pPr>
        <w:spacing w:after="0" w:line="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 reconciliation of tangible fixed assets and vessels under construction arising from investing activities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60" w:type="dxa"/>
            <w:vAlign w:val="bottom"/>
          </w:tcPr>
          <w:p>
            <w:pPr>
              <w:spacing w:after="0"/>
              <w:rPr>
                <w:sz w:val="18"/>
                <w:szCs w:val="18"/>
                <w:color w:val="auto"/>
              </w:rPr>
            </w:pPr>
          </w:p>
        </w:tc>
        <w:tc>
          <w:tcPr>
            <w:tcW w:w="1760" w:type="dxa"/>
            <w:vAlign w:val="bottom"/>
            <w:gridSpan w:val="2"/>
          </w:tcPr>
          <w:p>
            <w:pPr>
              <w:ind w:left="180"/>
              <w:spacing w:after="0"/>
              <w:rPr>
                <w:sz w:val="20"/>
                <w:szCs w:val="20"/>
                <w:color w:val="auto"/>
              </w:rPr>
            </w:pPr>
            <w:r>
              <w:rPr>
                <w:rFonts w:ascii="Arial" w:cs="Arial" w:eastAsia="Arial" w:hAnsi="Arial"/>
                <w:sz w:val="16"/>
                <w:szCs w:val="16"/>
                <w:b w:val="1"/>
                <w:bCs w:val="1"/>
                <w:color w:val="auto"/>
              </w:rPr>
              <w:t>Opening balance</w:t>
            </w:r>
          </w:p>
        </w:tc>
        <w:tc>
          <w:tcPr>
            <w:tcW w:w="1960" w:type="dxa"/>
            <w:vAlign w:val="bottom"/>
            <w:gridSpan w:val="2"/>
          </w:tcPr>
          <w:p>
            <w:pPr>
              <w:jc w:val="right"/>
              <w:ind w:right="680"/>
              <w:spacing w:after="0"/>
              <w:rPr>
                <w:sz w:val="20"/>
                <w:szCs w:val="20"/>
                <w:color w:val="auto"/>
              </w:rPr>
            </w:pPr>
            <w:r>
              <w:rPr>
                <w:rFonts w:ascii="Arial" w:cs="Arial" w:eastAsia="Arial" w:hAnsi="Arial"/>
                <w:sz w:val="16"/>
                <w:szCs w:val="16"/>
                <w:b w:val="1"/>
                <w:bCs w:val="1"/>
                <w:color w:val="auto"/>
              </w:rPr>
              <w:t>Cash flows</w:t>
            </w:r>
          </w:p>
        </w:tc>
        <w:tc>
          <w:tcPr>
            <w:tcW w:w="15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Non-cash items</w:t>
            </w:r>
          </w:p>
        </w:tc>
        <w:tc>
          <w:tcPr>
            <w:tcW w:w="126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9"/>
        </w:trPr>
        <w:tc>
          <w:tcPr>
            <w:tcW w:w="4460" w:type="dxa"/>
            <w:vAlign w:val="bottom"/>
            <w:tcBorders>
              <w:top w:val="single" w:sz="8" w:color="E5FFFF"/>
            </w:tcBorders>
            <w:shd w:val="clear" w:color="auto" w:fill="E5FFFF"/>
          </w:tcPr>
          <w:p>
            <w:pPr>
              <w:spacing w:after="0" w:line="179" w:lineRule="exact"/>
              <w:rPr>
                <w:sz w:val="20"/>
                <w:szCs w:val="20"/>
                <w:color w:val="auto"/>
              </w:rPr>
            </w:pPr>
            <w:r>
              <w:rPr>
                <w:rFonts w:ascii="Arial" w:cs="Arial" w:eastAsia="Arial" w:hAnsi="Arial"/>
                <w:sz w:val="16"/>
                <w:szCs w:val="16"/>
                <w:color w:val="auto"/>
              </w:rPr>
              <w:t>Tangible fixed assets and vessels under construction as of</w:t>
            </w:r>
          </w:p>
        </w:tc>
        <w:tc>
          <w:tcPr>
            <w:tcW w:w="1520" w:type="dxa"/>
            <w:vAlign w:val="bottom"/>
            <w:tcBorders>
              <w:top w:val="single" w:sz="8" w:color="auto"/>
            </w:tcBorders>
            <w:shd w:val="clear" w:color="auto" w:fill="E5FFFF"/>
          </w:tcPr>
          <w:p>
            <w:pPr>
              <w:spacing w:after="0"/>
              <w:rPr>
                <w:sz w:val="15"/>
                <w:szCs w:val="15"/>
                <w:color w:val="auto"/>
              </w:rPr>
            </w:pPr>
          </w:p>
        </w:tc>
        <w:tc>
          <w:tcPr>
            <w:tcW w:w="240" w:type="dxa"/>
            <w:vAlign w:val="bottom"/>
            <w:tcBorders>
              <w:top w:val="single" w:sz="8" w:color="E5FFFF"/>
            </w:tcBorders>
            <w:shd w:val="clear" w:color="auto" w:fill="E5FFFF"/>
          </w:tcPr>
          <w:p>
            <w:pPr>
              <w:spacing w:after="0"/>
              <w:rPr>
                <w:sz w:val="15"/>
                <w:szCs w:val="15"/>
                <w:color w:val="auto"/>
              </w:rPr>
            </w:pPr>
          </w:p>
        </w:tc>
        <w:tc>
          <w:tcPr>
            <w:tcW w:w="1780" w:type="dxa"/>
            <w:vAlign w:val="bottom"/>
            <w:tcBorders>
              <w:top w:val="single" w:sz="8" w:color="auto"/>
            </w:tcBorders>
            <w:shd w:val="clear" w:color="auto" w:fill="E5FFFF"/>
          </w:tcPr>
          <w:p>
            <w:pPr>
              <w:spacing w:after="0"/>
              <w:rPr>
                <w:sz w:val="15"/>
                <w:szCs w:val="15"/>
                <w:color w:val="auto"/>
              </w:rPr>
            </w:pPr>
          </w:p>
        </w:tc>
        <w:tc>
          <w:tcPr>
            <w:tcW w:w="180" w:type="dxa"/>
            <w:vAlign w:val="bottom"/>
            <w:tcBorders>
              <w:top w:val="single" w:sz="8" w:color="E5FFFF"/>
            </w:tcBorders>
            <w:shd w:val="clear" w:color="auto" w:fill="E5FFFF"/>
          </w:tcPr>
          <w:p>
            <w:pPr>
              <w:spacing w:after="0"/>
              <w:rPr>
                <w:sz w:val="15"/>
                <w:szCs w:val="15"/>
                <w:color w:val="auto"/>
              </w:rPr>
            </w:pPr>
          </w:p>
        </w:tc>
        <w:tc>
          <w:tcPr>
            <w:tcW w:w="1380" w:type="dxa"/>
            <w:vAlign w:val="bottom"/>
            <w:tcBorders>
              <w:top w:val="single" w:sz="8" w:color="auto"/>
            </w:tcBorders>
            <w:shd w:val="clear" w:color="auto" w:fill="E5FFFF"/>
          </w:tcPr>
          <w:p>
            <w:pPr>
              <w:spacing w:after="0"/>
              <w:rPr>
                <w:sz w:val="15"/>
                <w:szCs w:val="15"/>
                <w:color w:val="auto"/>
              </w:rPr>
            </w:pPr>
          </w:p>
        </w:tc>
        <w:tc>
          <w:tcPr>
            <w:tcW w:w="140" w:type="dxa"/>
            <w:vAlign w:val="bottom"/>
            <w:tcBorders>
              <w:top w:val="single" w:sz="8" w:color="E5FFFF"/>
            </w:tcBorders>
            <w:shd w:val="clear" w:color="auto" w:fill="E5FFFF"/>
          </w:tcPr>
          <w:p>
            <w:pPr>
              <w:spacing w:after="0"/>
              <w:rPr>
                <w:sz w:val="15"/>
                <w:szCs w:val="15"/>
                <w:color w:val="auto"/>
              </w:rPr>
            </w:pPr>
          </w:p>
        </w:tc>
        <w:tc>
          <w:tcPr>
            <w:tcW w:w="1140" w:type="dxa"/>
            <w:vAlign w:val="bottom"/>
            <w:tcBorders>
              <w:top w:val="single" w:sz="8" w:color="auto"/>
            </w:tcBorders>
            <w:shd w:val="clear" w:color="auto" w:fill="E5FFFF"/>
          </w:tcPr>
          <w:p>
            <w:pPr>
              <w:spacing w:after="0"/>
              <w:rPr>
                <w:sz w:val="15"/>
                <w:szCs w:val="15"/>
                <w:color w:val="auto"/>
              </w:rPr>
            </w:pPr>
          </w:p>
        </w:tc>
        <w:tc>
          <w:tcPr>
            <w:tcW w:w="120" w:type="dxa"/>
            <w:vAlign w:val="bottom"/>
            <w:tcBorders>
              <w:top w:val="single" w:sz="8" w:color="E5FFFF"/>
            </w:tcBorders>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60" w:type="dxa"/>
            <w:vAlign w:val="bottom"/>
            <w:shd w:val="clear" w:color="auto" w:fill="E5FFFF"/>
          </w:tcPr>
          <w:p>
            <w:pPr>
              <w:spacing w:after="0"/>
              <w:rPr>
                <w:sz w:val="20"/>
                <w:szCs w:val="20"/>
                <w:color w:val="auto"/>
              </w:rPr>
            </w:pPr>
            <w:r>
              <w:rPr>
                <w:rFonts w:ascii="Arial" w:cs="Arial" w:eastAsia="Arial" w:hAnsi="Arial"/>
                <w:sz w:val="16"/>
                <w:szCs w:val="16"/>
                <w:color w:val="auto"/>
              </w:rPr>
              <w:t>January 1, 2018</w:t>
            </w:r>
          </w:p>
        </w:tc>
        <w:tc>
          <w:tcPr>
            <w:tcW w:w="15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3,939,221</w:t>
            </w:r>
          </w:p>
        </w:tc>
        <w:tc>
          <w:tcPr>
            <w:tcW w:w="240" w:type="dxa"/>
            <w:vAlign w:val="bottom"/>
            <w:shd w:val="clear" w:color="auto" w:fill="E5FFFF"/>
          </w:tcPr>
          <w:p>
            <w:pPr>
              <w:spacing w:after="0"/>
              <w:rPr>
                <w:sz w:val="18"/>
                <w:szCs w:val="18"/>
                <w:color w:val="auto"/>
              </w:rPr>
            </w:pPr>
          </w:p>
        </w:tc>
        <w:tc>
          <w:tcPr>
            <w:tcW w:w="196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3,939,221</w:t>
            </w:r>
          </w:p>
        </w:tc>
        <w:tc>
          <w:tcPr>
            <w:tcW w:w="1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60" w:type="dxa"/>
            <w:vAlign w:val="bottom"/>
          </w:tcPr>
          <w:p>
            <w:pPr>
              <w:spacing w:after="0"/>
              <w:rPr>
                <w:sz w:val="20"/>
                <w:szCs w:val="20"/>
                <w:color w:val="auto"/>
              </w:rPr>
            </w:pPr>
            <w:r>
              <w:rPr>
                <w:rFonts w:ascii="Arial" w:cs="Arial" w:eastAsia="Arial" w:hAnsi="Arial"/>
                <w:sz w:val="16"/>
                <w:szCs w:val="16"/>
                <w:color w:val="auto"/>
              </w:rPr>
              <w:t>Additions (Note 5)</w:t>
            </w:r>
          </w:p>
        </w:tc>
        <w:tc>
          <w:tcPr>
            <w:tcW w:w="1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618,565</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16,831</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635,396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shd w:val="clear" w:color="auto" w:fill="E5FFFF"/>
          </w:tcPr>
          <w:p>
            <w:pPr>
              <w:spacing w:after="0"/>
              <w:rPr>
                <w:sz w:val="20"/>
                <w:szCs w:val="20"/>
                <w:color w:val="auto"/>
              </w:rPr>
            </w:pPr>
            <w:r>
              <w:rPr>
                <w:rFonts w:ascii="Arial" w:cs="Arial" w:eastAsia="Arial" w:hAnsi="Arial"/>
                <w:sz w:val="16"/>
                <w:szCs w:val="16"/>
                <w:color w:val="auto"/>
              </w:rPr>
              <w:t>Transfer under “Other non-current assets”</w:t>
            </w:r>
          </w:p>
        </w:tc>
        <w:tc>
          <w:tcPr>
            <w:tcW w:w="176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w:t>
            </w:r>
          </w:p>
        </w:tc>
        <w:tc>
          <w:tcPr>
            <w:tcW w:w="196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E5FFFF"/>
          </w:tcPr>
          <w:p>
            <w:pPr>
              <w:jc w:val="right"/>
              <w:ind w:right="80"/>
              <w:spacing w:after="0"/>
              <w:rPr>
                <w:sz w:val="20"/>
                <w:szCs w:val="20"/>
                <w:color w:val="auto"/>
              </w:rPr>
            </w:pPr>
            <w:r>
              <w:rPr>
                <w:rFonts w:ascii="Arial" w:cs="Arial" w:eastAsia="Arial" w:hAnsi="Arial"/>
                <w:sz w:val="16"/>
                <w:szCs w:val="16"/>
                <w:color w:val="auto"/>
              </w:rPr>
              <w:t>(1,650)</w:t>
            </w:r>
          </w:p>
        </w:tc>
        <w:tc>
          <w:tcPr>
            <w:tcW w:w="126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(1,650)</w:t>
            </w:r>
          </w:p>
        </w:tc>
        <w:tc>
          <w:tcPr>
            <w:tcW w:w="0" w:type="dxa"/>
            <w:vAlign w:val="bottom"/>
          </w:tcPr>
          <w:p>
            <w:pPr>
              <w:spacing w:after="0"/>
              <w:rPr>
                <w:sz w:val="1"/>
                <w:szCs w:val="1"/>
                <w:color w:val="auto"/>
              </w:rPr>
            </w:pPr>
          </w:p>
        </w:tc>
      </w:tr>
      <w:tr>
        <w:trPr>
          <w:trHeight w:val="203"/>
        </w:trPr>
        <w:tc>
          <w:tcPr>
            <w:tcW w:w="4460" w:type="dxa"/>
            <w:vAlign w:val="bottom"/>
          </w:tcPr>
          <w:p>
            <w:pPr>
              <w:spacing w:after="0"/>
              <w:rPr>
                <w:sz w:val="20"/>
                <w:szCs w:val="20"/>
                <w:color w:val="auto"/>
              </w:rPr>
            </w:pPr>
            <w:r>
              <w:rPr>
                <w:rFonts w:ascii="Arial" w:cs="Arial" w:eastAsia="Arial" w:hAnsi="Arial"/>
                <w:sz w:val="16"/>
                <w:szCs w:val="16"/>
                <w:color w:val="auto"/>
              </w:rPr>
              <w:t>Depreciation expense (Note 5)</w:t>
            </w: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80"/>
              <w:spacing w:after="0"/>
              <w:rPr>
                <w:sz w:val="20"/>
                <w:szCs w:val="20"/>
                <w:color w:val="auto"/>
              </w:rPr>
            </w:pPr>
            <w:r>
              <w:rPr>
                <w:rFonts w:ascii="Arial" w:cs="Arial" w:eastAsia="Arial" w:hAnsi="Arial"/>
                <w:sz w:val="16"/>
                <w:szCs w:val="16"/>
                <w:color w:val="auto"/>
              </w:rPr>
              <w:t>(107,910)</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(107,910)</w:t>
            </w:r>
          </w:p>
        </w:tc>
        <w:tc>
          <w:tcPr>
            <w:tcW w:w="0" w:type="dxa"/>
            <w:vAlign w:val="bottom"/>
          </w:tcPr>
          <w:p>
            <w:pPr>
              <w:spacing w:after="0"/>
              <w:rPr>
                <w:sz w:val="1"/>
                <w:szCs w:val="1"/>
                <w:color w:val="auto"/>
              </w:rPr>
            </w:pPr>
          </w:p>
        </w:tc>
      </w:tr>
      <w:tr>
        <w:trPr>
          <w:trHeight w:val="20"/>
        </w:trPr>
        <w:tc>
          <w:tcPr>
            <w:tcW w:w="4460" w:type="dxa"/>
            <w:vAlign w:val="bottom"/>
            <w:vMerge w:val="restart"/>
            <w:shd w:val="clear" w:color="auto" w:fill="E5FFFF"/>
          </w:tcPr>
          <w:p>
            <w:pPr>
              <w:spacing w:after="0"/>
              <w:rPr>
                <w:sz w:val="20"/>
                <w:szCs w:val="20"/>
                <w:color w:val="auto"/>
              </w:rPr>
            </w:pPr>
            <w:r>
              <w:rPr>
                <w:rFonts w:ascii="Arial" w:cs="Arial" w:eastAsia="Arial" w:hAnsi="Arial"/>
                <w:sz w:val="16"/>
                <w:szCs w:val="16"/>
                <w:b w:val="1"/>
                <w:bCs w:val="1"/>
                <w:color w:val="auto"/>
                <w:w w:val="98"/>
              </w:rPr>
              <w:t>Tangible fixed assets and vessels under construction as of</w:t>
            </w:r>
          </w:p>
        </w:tc>
        <w:tc>
          <w:tcPr>
            <w:tcW w:w="1520" w:type="dxa"/>
            <w:vAlign w:val="bottom"/>
            <w:shd w:val="clear" w:color="auto" w:fill="000000"/>
          </w:tcPr>
          <w:p>
            <w:pPr>
              <w:spacing w:after="0" w:line="20" w:lineRule="exact"/>
              <w:rPr>
                <w:sz w:val="1"/>
                <w:szCs w:val="1"/>
                <w:color w:val="auto"/>
              </w:rPr>
            </w:pPr>
          </w:p>
        </w:tc>
        <w:tc>
          <w:tcPr>
            <w:tcW w:w="240" w:type="dxa"/>
            <w:vAlign w:val="bottom"/>
            <w:shd w:val="clear" w:color="auto" w:fill="E5FFFF"/>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80" w:type="dxa"/>
            <w:vAlign w:val="bottom"/>
            <w:shd w:val="clear" w:color="auto" w:fill="E5FF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shd w:val="clear" w:color="auto" w:fill="E5FF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460" w:type="dxa"/>
            <w:vAlign w:val="bottom"/>
            <w:vMerge w:val="continue"/>
            <w:shd w:val="clear" w:color="auto" w:fill="E5FFFF"/>
          </w:tcPr>
          <w:p>
            <w:pPr>
              <w:spacing w:after="0"/>
              <w:rPr>
                <w:sz w:val="14"/>
                <w:szCs w:val="14"/>
                <w:color w:val="auto"/>
              </w:rPr>
            </w:pPr>
          </w:p>
        </w:tc>
        <w:tc>
          <w:tcPr>
            <w:tcW w:w="1520" w:type="dxa"/>
            <w:vAlign w:val="bottom"/>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3,939,221</w:t>
            </w:r>
          </w:p>
        </w:tc>
        <w:tc>
          <w:tcPr>
            <w:tcW w:w="240" w:type="dxa"/>
            <w:vAlign w:val="bottom"/>
            <w:shd w:val="clear" w:color="auto" w:fill="E5FFFF"/>
          </w:tcPr>
          <w:p>
            <w:pPr>
              <w:spacing w:after="0"/>
              <w:rPr>
                <w:sz w:val="14"/>
                <w:szCs w:val="14"/>
                <w:color w:val="auto"/>
              </w:rPr>
            </w:pPr>
          </w:p>
        </w:tc>
        <w:tc>
          <w:tcPr>
            <w:tcW w:w="1780" w:type="dxa"/>
            <w:vAlign w:val="bottom"/>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618,565</w:t>
            </w:r>
          </w:p>
        </w:tc>
        <w:tc>
          <w:tcPr>
            <w:tcW w:w="180" w:type="dxa"/>
            <w:vAlign w:val="bottom"/>
            <w:shd w:val="clear" w:color="auto" w:fill="E5FFFF"/>
          </w:tcPr>
          <w:p>
            <w:pPr>
              <w:spacing w:after="0"/>
              <w:rPr>
                <w:sz w:val="14"/>
                <w:szCs w:val="14"/>
                <w:color w:val="auto"/>
              </w:rPr>
            </w:pPr>
          </w:p>
        </w:tc>
        <w:tc>
          <w:tcPr>
            <w:tcW w:w="1520" w:type="dxa"/>
            <w:vAlign w:val="bottom"/>
            <w:gridSpan w:val="2"/>
            <w:vMerge w:val="restart"/>
            <w:shd w:val="clear" w:color="auto" w:fill="E5FFFF"/>
          </w:tcPr>
          <w:p>
            <w:pPr>
              <w:jc w:val="right"/>
              <w:ind w:right="80"/>
              <w:spacing w:after="0"/>
              <w:rPr>
                <w:sz w:val="20"/>
                <w:szCs w:val="20"/>
                <w:color w:val="auto"/>
              </w:rPr>
            </w:pPr>
            <w:r>
              <w:rPr>
                <w:rFonts w:ascii="Arial" w:cs="Arial" w:eastAsia="Arial" w:hAnsi="Arial"/>
                <w:sz w:val="16"/>
                <w:szCs w:val="16"/>
                <w:b w:val="1"/>
                <w:bCs w:val="1"/>
                <w:color w:val="auto"/>
              </w:rPr>
              <w:t>(92,729)</w:t>
            </w:r>
          </w:p>
        </w:tc>
        <w:tc>
          <w:tcPr>
            <w:tcW w:w="1140" w:type="dxa"/>
            <w:vAlign w:val="bottom"/>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4,465,057</w:t>
            </w:r>
          </w:p>
        </w:tc>
        <w:tc>
          <w:tcPr>
            <w:tcW w:w="120" w:type="dxa"/>
            <w:vAlign w:val="bottom"/>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4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September 30, 2018</w:t>
            </w:r>
          </w:p>
        </w:tc>
        <w:tc>
          <w:tcPr>
            <w:tcW w:w="1520" w:type="dxa"/>
            <w:vAlign w:val="bottom"/>
            <w:vMerge w:val="continue"/>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780" w:type="dxa"/>
            <w:vAlign w:val="bottom"/>
            <w:vMerge w:val="continue"/>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520" w:type="dxa"/>
            <w:vAlign w:val="bottom"/>
            <w:gridSpan w:val="2"/>
            <w:vMerge w:val="continue"/>
            <w:shd w:val="clear" w:color="auto" w:fill="E5FFFF"/>
          </w:tcPr>
          <w:p>
            <w:pPr>
              <w:spacing w:after="0"/>
              <w:rPr>
                <w:sz w:val="17"/>
                <w:szCs w:val="17"/>
                <w:color w:val="auto"/>
              </w:rPr>
            </w:pPr>
          </w:p>
        </w:tc>
        <w:tc>
          <w:tcPr>
            <w:tcW w:w="1140" w:type="dxa"/>
            <w:vAlign w:val="bottom"/>
            <w:vMerge w:val="continue"/>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E5FF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5FF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460" w:type="dxa"/>
            <w:vAlign w:val="bottom"/>
          </w:tcPr>
          <w:p>
            <w:pPr>
              <w:spacing w:after="0"/>
              <w:rPr>
                <w:sz w:val="24"/>
                <w:szCs w:val="24"/>
                <w:color w:val="auto"/>
              </w:rPr>
            </w:pPr>
          </w:p>
        </w:tc>
        <w:tc>
          <w:tcPr>
            <w:tcW w:w="1760" w:type="dxa"/>
            <w:vAlign w:val="bottom"/>
            <w:gridSpan w:val="2"/>
          </w:tcPr>
          <w:p>
            <w:pPr>
              <w:ind w:left="180"/>
              <w:spacing w:after="0"/>
              <w:rPr>
                <w:sz w:val="20"/>
                <w:szCs w:val="20"/>
                <w:color w:val="auto"/>
              </w:rPr>
            </w:pPr>
            <w:r>
              <w:rPr>
                <w:rFonts w:ascii="Arial" w:cs="Arial" w:eastAsia="Arial" w:hAnsi="Arial"/>
                <w:sz w:val="16"/>
                <w:szCs w:val="16"/>
                <w:b w:val="1"/>
                <w:bCs w:val="1"/>
                <w:color w:val="auto"/>
              </w:rPr>
              <w:t>Opening balance</w:t>
            </w:r>
          </w:p>
        </w:tc>
        <w:tc>
          <w:tcPr>
            <w:tcW w:w="1960" w:type="dxa"/>
            <w:vAlign w:val="bottom"/>
            <w:gridSpan w:val="2"/>
          </w:tcPr>
          <w:p>
            <w:pPr>
              <w:jc w:val="right"/>
              <w:ind w:right="680"/>
              <w:spacing w:after="0"/>
              <w:rPr>
                <w:sz w:val="20"/>
                <w:szCs w:val="20"/>
                <w:color w:val="auto"/>
              </w:rPr>
            </w:pPr>
            <w:r>
              <w:rPr>
                <w:rFonts w:ascii="Arial" w:cs="Arial" w:eastAsia="Arial" w:hAnsi="Arial"/>
                <w:sz w:val="16"/>
                <w:szCs w:val="16"/>
                <w:b w:val="1"/>
                <w:bCs w:val="1"/>
                <w:color w:val="auto"/>
              </w:rPr>
              <w:t>Cash flows</w:t>
            </w:r>
          </w:p>
        </w:tc>
        <w:tc>
          <w:tcPr>
            <w:tcW w:w="15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Non-cash items</w:t>
            </w:r>
          </w:p>
        </w:tc>
        <w:tc>
          <w:tcPr>
            <w:tcW w:w="126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9"/>
        </w:trPr>
        <w:tc>
          <w:tcPr>
            <w:tcW w:w="4460" w:type="dxa"/>
            <w:vAlign w:val="bottom"/>
            <w:tcBorders>
              <w:top w:val="single" w:sz="8" w:color="E5FFFF"/>
            </w:tcBorders>
            <w:shd w:val="clear" w:color="auto" w:fill="E5FFFF"/>
          </w:tcPr>
          <w:p>
            <w:pPr>
              <w:spacing w:after="0" w:line="179" w:lineRule="exact"/>
              <w:rPr>
                <w:sz w:val="20"/>
                <w:szCs w:val="20"/>
                <w:color w:val="auto"/>
              </w:rPr>
            </w:pPr>
            <w:r>
              <w:rPr>
                <w:rFonts w:ascii="Arial" w:cs="Arial" w:eastAsia="Arial" w:hAnsi="Arial"/>
                <w:sz w:val="16"/>
                <w:szCs w:val="16"/>
                <w:color w:val="auto"/>
              </w:rPr>
              <w:t>Tangible fixed assets and vessels under construction as of</w:t>
            </w:r>
          </w:p>
        </w:tc>
        <w:tc>
          <w:tcPr>
            <w:tcW w:w="1520" w:type="dxa"/>
            <w:vAlign w:val="bottom"/>
            <w:tcBorders>
              <w:top w:val="single" w:sz="8" w:color="auto"/>
            </w:tcBorders>
            <w:shd w:val="clear" w:color="auto" w:fill="E5FFFF"/>
          </w:tcPr>
          <w:p>
            <w:pPr>
              <w:spacing w:after="0"/>
              <w:rPr>
                <w:sz w:val="15"/>
                <w:szCs w:val="15"/>
                <w:color w:val="auto"/>
              </w:rPr>
            </w:pPr>
          </w:p>
        </w:tc>
        <w:tc>
          <w:tcPr>
            <w:tcW w:w="240" w:type="dxa"/>
            <w:vAlign w:val="bottom"/>
            <w:tcBorders>
              <w:top w:val="single" w:sz="8" w:color="E5FFFF"/>
            </w:tcBorders>
            <w:shd w:val="clear" w:color="auto" w:fill="E5FFFF"/>
          </w:tcPr>
          <w:p>
            <w:pPr>
              <w:spacing w:after="0"/>
              <w:rPr>
                <w:sz w:val="15"/>
                <w:szCs w:val="15"/>
                <w:color w:val="auto"/>
              </w:rPr>
            </w:pPr>
          </w:p>
        </w:tc>
        <w:tc>
          <w:tcPr>
            <w:tcW w:w="1780" w:type="dxa"/>
            <w:vAlign w:val="bottom"/>
            <w:tcBorders>
              <w:top w:val="single" w:sz="8" w:color="auto"/>
            </w:tcBorders>
            <w:shd w:val="clear" w:color="auto" w:fill="E5FFFF"/>
          </w:tcPr>
          <w:p>
            <w:pPr>
              <w:spacing w:after="0"/>
              <w:rPr>
                <w:sz w:val="15"/>
                <w:szCs w:val="15"/>
                <w:color w:val="auto"/>
              </w:rPr>
            </w:pPr>
          </w:p>
        </w:tc>
        <w:tc>
          <w:tcPr>
            <w:tcW w:w="180" w:type="dxa"/>
            <w:vAlign w:val="bottom"/>
            <w:tcBorders>
              <w:top w:val="single" w:sz="8" w:color="E5FFFF"/>
            </w:tcBorders>
            <w:shd w:val="clear" w:color="auto" w:fill="E5FFFF"/>
          </w:tcPr>
          <w:p>
            <w:pPr>
              <w:spacing w:after="0"/>
              <w:rPr>
                <w:sz w:val="15"/>
                <w:szCs w:val="15"/>
                <w:color w:val="auto"/>
              </w:rPr>
            </w:pPr>
          </w:p>
        </w:tc>
        <w:tc>
          <w:tcPr>
            <w:tcW w:w="1380" w:type="dxa"/>
            <w:vAlign w:val="bottom"/>
            <w:tcBorders>
              <w:top w:val="single" w:sz="8" w:color="auto"/>
            </w:tcBorders>
            <w:shd w:val="clear" w:color="auto" w:fill="E5FFFF"/>
          </w:tcPr>
          <w:p>
            <w:pPr>
              <w:spacing w:after="0"/>
              <w:rPr>
                <w:sz w:val="15"/>
                <w:szCs w:val="15"/>
                <w:color w:val="auto"/>
              </w:rPr>
            </w:pPr>
          </w:p>
        </w:tc>
        <w:tc>
          <w:tcPr>
            <w:tcW w:w="140" w:type="dxa"/>
            <w:vAlign w:val="bottom"/>
            <w:tcBorders>
              <w:top w:val="single" w:sz="8" w:color="E5FFFF"/>
            </w:tcBorders>
            <w:shd w:val="clear" w:color="auto" w:fill="E5FFFF"/>
          </w:tcPr>
          <w:p>
            <w:pPr>
              <w:spacing w:after="0"/>
              <w:rPr>
                <w:sz w:val="15"/>
                <w:szCs w:val="15"/>
                <w:color w:val="auto"/>
              </w:rPr>
            </w:pPr>
          </w:p>
        </w:tc>
        <w:tc>
          <w:tcPr>
            <w:tcW w:w="1140" w:type="dxa"/>
            <w:vAlign w:val="bottom"/>
            <w:tcBorders>
              <w:top w:val="single" w:sz="8" w:color="auto"/>
            </w:tcBorders>
            <w:shd w:val="clear" w:color="auto" w:fill="E5FFFF"/>
          </w:tcPr>
          <w:p>
            <w:pPr>
              <w:spacing w:after="0"/>
              <w:rPr>
                <w:sz w:val="15"/>
                <w:szCs w:val="15"/>
                <w:color w:val="auto"/>
              </w:rPr>
            </w:pPr>
          </w:p>
        </w:tc>
        <w:tc>
          <w:tcPr>
            <w:tcW w:w="120" w:type="dxa"/>
            <w:vAlign w:val="bottom"/>
            <w:tcBorders>
              <w:top w:val="single" w:sz="8" w:color="E5FFFF"/>
            </w:tcBorders>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60" w:type="dxa"/>
            <w:vAlign w:val="bottom"/>
            <w:shd w:val="clear" w:color="auto" w:fill="E5FFFF"/>
          </w:tcPr>
          <w:p>
            <w:pPr>
              <w:spacing w:after="0"/>
              <w:rPr>
                <w:sz w:val="20"/>
                <w:szCs w:val="20"/>
                <w:color w:val="auto"/>
              </w:rPr>
            </w:pPr>
            <w:r>
              <w:rPr>
                <w:rFonts w:ascii="Arial" w:cs="Arial" w:eastAsia="Arial" w:hAnsi="Arial"/>
                <w:sz w:val="16"/>
                <w:szCs w:val="16"/>
                <w:color w:val="auto"/>
              </w:rPr>
              <w:t>January 1, 2019</w:t>
            </w:r>
          </w:p>
        </w:tc>
        <w:tc>
          <w:tcPr>
            <w:tcW w:w="15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4,482,857</w:t>
            </w:r>
          </w:p>
        </w:tc>
        <w:tc>
          <w:tcPr>
            <w:tcW w:w="240" w:type="dxa"/>
            <w:vAlign w:val="bottom"/>
            <w:shd w:val="clear" w:color="auto" w:fill="E5FFFF"/>
          </w:tcPr>
          <w:p>
            <w:pPr>
              <w:spacing w:after="0"/>
              <w:rPr>
                <w:sz w:val="18"/>
                <w:szCs w:val="18"/>
                <w:color w:val="auto"/>
              </w:rPr>
            </w:pPr>
          </w:p>
        </w:tc>
        <w:tc>
          <w:tcPr>
            <w:tcW w:w="196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4,482,857</w:t>
            </w:r>
          </w:p>
        </w:tc>
        <w:tc>
          <w:tcPr>
            <w:tcW w:w="1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60" w:type="dxa"/>
            <w:vAlign w:val="bottom"/>
          </w:tcPr>
          <w:p>
            <w:pPr>
              <w:spacing w:after="0"/>
              <w:rPr>
                <w:sz w:val="20"/>
                <w:szCs w:val="20"/>
                <w:color w:val="auto"/>
              </w:rPr>
            </w:pPr>
            <w:r>
              <w:rPr>
                <w:rFonts w:ascii="Arial" w:cs="Arial" w:eastAsia="Arial" w:hAnsi="Arial"/>
                <w:sz w:val="16"/>
                <w:szCs w:val="16"/>
                <w:color w:val="auto"/>
              </w:rPr>
              <w:t>Additions (Note 5)</w:t>
            </w:r>
          </w:p>
        </w:tc>
        <w:tc>
          <w:tcPr>
            <w:tcW w:w="1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446,529</w:t>
            </w:r>
          </w:p>
        </w:tc>
        <w:tc>
          <w:tcPr>
            <w:tcW w:w="180" w:type="dxa"/>
            <w:vAlign w:val="bottom"/>
          </w:tcPr>
          <w:p>
            <w:pPr>
              <w:spacing w:after="0"/>
              <w:rPr>
                <w:sz w:val="17"/>
                <w:szCs w:val="17"/>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6"/>
                <w:szCs w:val="16"/>
                <w:color w:val="auto"/>
              </w:rPr>
              <w:t>(4,284)</w:t>
            </w:r>
          </w:p>
        </w:tc>
        <w:tc>
          <w:tcPr>
            <w:tcW w:w="1140" w:type="dxa"/>
            <w:vAlign w:val="bottom"/>
          </w:tcPr>
          <w:p>
            <w:pPr>
              <w:jc w:val="right"/>
              <w:spacing w:after="0"/>
              <w:rPr>
                <w:sz w:val="20"/>
                <w:szCs w:val="20"/>
                <w:color w:val="auto"/>
              </w:rPr>
            </w:pPr>
            <w:r>
              <w:rPr>
                <w:rFonts w:ascii="Arial" w:cs="Arial" w:eastAsia="Arial" w:hAnsi="Arial"/>
                <w:sz w:val="16"/>
                <w:szCs w:val="16"/>
                <w:color w:val="auto"/>
              </w:rPr>
              <w:t>442,245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shd w:val="clear" w:color="auto" w:fill="E5FFFF"/>
          </w:tcPr>
          <w:p>
            <w:pPr>
              <w:spacing w:after="0"/>
              <w:rPr>
                <w:sz w:val="20"/>
                <w:szCs w:val="20"/>
                <w:color w:val="auto"/>
              </w:rPr>
            </w:pPr>
            <w:r>
              <w:rPr>
                <w:rFonts w:ascii="Arial" w:cs="Arial" w:eastAsia="Arial" w:hAnsi="Arial"/>
                <w:sz w:val="16"/>
                <w:szCs w:val="16"/>
                <w:color w:val="auto"/>
              </w:rPr>
              <w:t>Returns for capital expenditures (Note 5)</w:t>
            </w:r>
          </w:p>
        </w:tc>
        <w:tc>
          <w:tcPr>
            <w:tcW w:w="176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w:t>
            </w:r>
          </w:p>
        </w:tc>
        <w:tc>
          <w:tcPr>
            <w:tcW w:w="196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(10,451)</w:t>
            </w:r>
          </w:p>
        </w:tc>
        <w:tc>
          <w:tcPr>
            <w:tcW w:w="1520" w:type="dxa"/>
            <w:vAlign w:val="bottom"/>
            <w:gridSpan w:val="2"/>
            <w:shd w:val="clear" w:color="auto" w:fill="E5FFFF"/>
          </w:tcPr>
          <w:p>
            <w:pPr>
              <w:jc w:val="right"/>
              <w:ind w:right="80"/>
              <w:spacing w:after="0"/>
              <w:rPr>
                <w:sz w:val="20"/>
                <w:szCs w:val="20"/>
                <w:color w:val="auto"/>
              </w:rPr>
            </w:pPr>
            <w:r>
              <w:rPr>
                <w:rFonts w:ascii="Arial" w:cs="Arial" w:eastAsia="Arial" w:hAnsi="Arial"/>
                <w:sz w:val="16"/>
                <w:szCs w:val="16"/>
                <w:color w:val="auto"/>
              </w:rPr>
              <w:t>(773)</w:t>
            </w:r>
          </w:p>
        </w:tc>
        <w:tc>
          <w:tcPr>
            <w:tcW w:w="126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(11,224)</w:t>
            </w:r>
          </w:p>
        </w:tc>
        <w:tc>
          <w:tcPr>
            <w:tcW w:w="0" w:type="dxa"/>
            <w:vAlign w:val="bottom"/>
          </w:tcPr>
          <w:p>
            <w:pPr>
              <w:spacing w:after="0"/>
              <w:rPr>
                <w:sz w:val="1"/>
                <w:szCs w:val="1"/>
                <w:color w:val="auto"/>
              </w:rPr>
            </w:pPr>
          </w:p>
        </w:tc>
      </w:tr>
      <w:tr>
        <w:trPr>
          <w:trHeight w:val="203"/>
        </w:trPr>
        <w:tc>
          <w:tcPr>
            <w:tcW w:w="4460" w:type="dxa"/>
            <w:vAlign w:val="bottom"/>
          </w:tcPr>
          <w:p>
            <w:pPr>
              <w:spacing w:after="0"/>
              <w:rPr>
                <w:sz w:val="20"/>
                <w:szCs w:val="20"/>
                <w:color w:val="auto"/>
              </w:rPr>
            </w:pPr>
            <w:r>
              <w:rPr>
                <w:rFonts w:ascii="Arial" w:cs="Arial" w:eastAsia="Arial" w:hAnsi="Arial"/>
                <w:sz w:val="16"/>
                <w:szCs w:val="16"/>
                <w:color w:val="auto"/>
              </w:rPr>
              <w:t>Depreciation expense (Note 5)</w:t>
            </w: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80"/>
              <w:spacing w:after="0"/>
              <w:rPr>
                <w:sz w:val="20"/>
                <w:szCs w:val="20"/>
                <w:color w:val="auto"/>
              </w:rPr>
            </w:pPr>
            <w:r>
              <w:rPr>
                <w:rFonts w:ascii="Arial" w:cs="Arial" w:eastAsia="Arial" w:hAnsi="Arial"/>
                <w:sz w:val="16"/>
                <w:szCs w:val="16"/>
                <w:color w:val="auto"/>
              </w:rPr>
              <w:t>(116,480)</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(116,480)</w:t>
            </w:r>
          </w:p>
        </w:tc>
        <w:tc>
          <w:tcPr>
            <w:tcW w:w="0" w:type="dxa"/>
            <w:vAlign w:val="bottom"/>
          </w:tcPr>
          <w:p>
            <w:pPr>
              <w:spacing w:after="0"/>
              <w:rPr>
                <w:sz w:val="1"/>
                <w:szCs w:val="1"/>
                <w:color w:val="auto"/>
              </w:rPr>
            </w:pPr>
          </w:p>
        </w:tc>
      </w:tr>
      <w:tr>
        <w:trPr>
          <w:trHeight w:val="20"/>
        </w:trPr>
        <w:tc>
          <w:tcPr>
            <w:tcW w:w="4460" w:type="dxa"/>
            <w:vAlign w:val="bottom"/>
            <w:vMerge w:val="restart"/>
            <w:shd w:val="clear" w:color="auto" w:fill="E5FFFF"/>
          </w:tcPr>
          <w:p>
            <w:pPr>
              <w:spacing w:after="0"/>
              <w:rPr>
                <w:sz w:val="20"/>
                <w:szCs w:val="20"/>
                <w:color w:val="auto"/>
              </w:rPr>
            </w:pPr>
            <w:r>
              <w:rPr>
                <w:rFonts w:ascii="Arial" w:cs="Arial" w:eastAsia="Arial" w:hAnsi="Arial"/>
                <w:sz w:val="16"/>
                <w:szCs w:val="16"/>
                <w:b w:val="1"/>
                <w:bCs w:val="1"/>
                <w:color w:val="auto"/>
                <w:w w:val="98"/>
              </w:rPr>
              <w:t>Tangible fixed assets and vessels under construction as of</w:t>
            </w:r>
          </w:p>
        </w:tc>
        <w:tc>
          <w:tcPr>
            <w:tcW w:w="1520" w:type="dxa"/>
            <w:vAlign w:val="bottom"/>
            <w:shd w:val="clear" w:color="auto" w:fill="000000"/>
          </w:tcPr>
          <w:p>
            <w:pPr>
              <w:spacing w:after="0" w:line="20" w:lineRule="exact"/>
              <w:rPr>
                <w:sz w:val="1"/>
                <w:szCs w:val="1"/>
                <w:color w:val="auto"/>
              </w:rPr>
            </w:pPr>
          </w:p>
        </w:tc>
        <w:tc>
          <w:tcPr>
            <w:tcW w:w="240" w:type="dxa"/>
            <w:vAlign w:val="bottom"/>
            <w:shd w:val="clear" w:color="auto" w:fill="E5FFFF"/>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80" w:type="dxa"/>
            <w:vAlign w:val="bottom"/>
            <w:shd w:val="clear" w:color="auto" w:fill="E5FF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shd w:val="clear" w:color="auto" w:fill="E5FF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460" w:type="dxa"/>
            <w:vAlign w:val="bottom"/>
            <w:vMerge w:val="continue"/>
            <w:shd w:val="clear" w:color="auto" w:fill="E5FFFF"/>
          </w:tcPr>
          <w:p>
            <w:pPr>
              <w:spacing w:after="0"/>
              <w:rPr>
                <w:sz w:val="14"/>
                <w:szCs w:val="14"/>
                <w:color w:val="auto"/>
              </w:rPr>
            </w:pPr>
          </w:p>
        </w:tc>
        <w:tc>
          <w:tcPr>
            <w:tcW w:w="1520" w:type="dxa"/>
            <w:vAlign w:val="bottom"/>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4,482,857</w:t>
            </w:r>
          </w:p>
        </w:tc>
        <w:tc>
          <w:tcPr>
            <w:tcW w:w="240" w:type="dxa"/>
            <w:vAlign w:val="bottom"/>
            <w:shd w:val="clear" w:color="auto" w:fill="E5FFFF"/>
          </w:tcPr>
          <w:p>
            <w:pPr>
              <w:spacing w:after="0"/>
              <w:rPr>
                <w:sz w:val="14"/>
                <w:szCs w:val="14"/>
                <w:color w:val="auto"/>
              </w:rPr>
            </w:pPr>
          </w:p>
        </w:tc>
        <w:tc>
          <w:tcPr>
            <w:tcW w:w="1780" w:type="dxa"/>
            <w:vAlign w:val="bottom"/>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436,078</w:t>
            </w:r>
          </w:p>
        </w:tc>
        <w:tc>
          <w:tcPr>
            <w:tcW w:w="180" w:type="dxa"/>
            <w:vAlign w:val="bottom"/>
            <w:shd w:val="clear" w:color="auto" w:fill="E5FFFF"/>
          </w:tcPr>
          <w:p>
            <w:pPr>
              <w:spacing w:after="0"/>
              <w:rPr>
                <w:sz w:val="14"/>
                <w:szCs w:val="14"/>
                <w:color w:val="auto"/>
              </w:rPr>
            </w:pPr>
          </w:p>
        </w:tc>
        <w:tc>
          <w:tcPr>
            <w:tcW w:w="1520" w:type="dxa"/>
            <w:vAlign w:val="bottom"/>
            <w:gridSpan w:val="2"/>
            <w:vMerge w:val="restart"/>
            <w:shd w:val="clear" w:color="auto" w:fill="E5FFFF"/>
          </w:tcPr>
          <w:p>
            <w:pPr>
              <w:jc w:val="right"/>
              <w:ind w:right="80"/>
              <w:spacing w:after="0"/>
              <w:rPr>
                <w:sz w:val="20"/>
                <w:szCs w:val="20"/>
                <w:color w:val="auto"/>
              </w:rPr>
            </w:pPr>
            <w:r>
              <w:rPr>
                <w:rFonts w:ascii="Arial" w:cs="Arial" w:eastAsia="Arial" w:hAnsi="Arial"/>
                <w:sz w:val="16"/>
                <w:szCs w:val="16"/>
                <w:b w:val="1"/>
                <w:bCs w:val="1"/>
                <w:color w:val="auto"/>
              </w:rPr>
              <w:t>(121,537)</w:t>
            </w:r>
          </w:p>
        </w:tc>
        <w:tc>
          <w:tcPr>
            <w:tcW w:w="1140" w:type="dxa"/>
            <w:vAlign w:val="bottom"/>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4,797,398</w:t>
            </w:r>
          </w:p>
        </w:tc>
        <w:tc>
          <w:tcPr>
            <w:tcW w:w="120" w:type="dxa"/>
            <w:vAlign w:val="bottom"/>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4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September 30, 2019</w:t>
            </w:r>
          </w:p>
        </w:tc>
        <w:tc>
          <w:tcPr>
            <w:tcW w:w="1520" w:type="dxa"/>
            <w:vAlign w:val="bottom"/>
            <w:vMerge w:val="continue"/>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780" w:type="dxa"/>
            <w:vAlign w:val="bottom"/>
            <w:vMerge w:val="continue"/>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520" w:type="dxa"/>
            <w:vAlign w:val="bottom"/>
            <w:gridSpan w:val="2"/>
            <w:vMerge w:val="continue"/>
            <w:shd w:val="clear" w:color="auto" w:fill="E5FFFF"/>
          </w:tcPr>
          <w:p>
            <w:pPr>
              <w:spacing w:after="0"/>
              <w:rPr>
                <w:sz w:val="17"/>
                <w:szCs w:val="17"/>
                <w:color w:val="auto"/>
              </w:rPr>
            </w:pPr>
          </w:p>
        </w:tc>
        <w:tc>
          <w:tcPr>
            <w:tcW w:w="1140" w:type="dxa"/>
            <w:vAlign w:val="bottom"/>
            <w:vMerge w:val="continue"/>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E5FF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5FF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6220" w:type="dxa"/>
            <w:vAlign w:val="bottom"/>
            <w:gridSpan w:val="3"/>
          </w:tcPr>
          <w:p>
            <w:pPr>
              <w:ind w:left="20"/>
              <w:spacing w:after="0"/>
              <w:rPr>
                <w:sz w:val="20"/>
                <w:szCs w:val="20"/>
                <w:color w:val="auto"/>
              </w:rPr>
            </w:pPr>
            <w:r>
              <w:rPr>
                <w:rFonts w:ascii="Arial" w:cs="Arial" w:eastAsia="Arial" w:hAnsi="Arial"/>
                <w:sz w:val="16"/>
                <w:szCs w:val="16"/>
                <w:color w:val="auto"/>
              </w:rPr>
              <w:t>A reconciliation of lease liabilities arising from financing activities is as follows:</w:t>
            </w:r>
          </w:p>
        </w:tc>
        <w:tc>
          <w:tcPr>
            <w:tcW w:w="1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4460" w:type="dxa"/>
            <w:vAlign w:val="bottom"/>
          </w:tcPr>
          <w:p>
            <w:pPr>
              <w:spacing w:after="0"/>
              <w:rPr>
                <w:sz w:val="24"/>
                <w:szCs w:val="24"/>
                <w:color w:val="auto"/>
              </w:rPr>
            </w:pPr>
          </w:p>
        </w:tc>
        <w:tc>
          <w:tcPr>
            <w:tcW w:w="1760" w:type="dxa"/>
            <w:vAlign w:val="bottom"/>
            <w:gridSpan w:val="2"/>
          </w:tcPr>
          <w:p>
            <w:pPr>
              <w:ind w:left="180"/>
              <w:spacing w:after="0"/>
              <w:rPr>
                <w:sz w:val="20"/>
                <w:szCs w:val="20"/>
                <w:color w:val="auto"/>
              </w:rPr>
            </w:pPr>
            <w:r>
              <w:rPr>
                <w:rFonts w:ascii="Arial" w:cs="Arial" w:eastAsia="Arial" w:hAnsi="Arial"/>
                <w:sz w:val="16"/>
                <w:szCs w:val="16"/>
                <w:b w:val="1"/>
                <w:bCs w:val="1"/>
                <w:color w:val="auto"/>
              </w:rPr>
              <w:t>Opening balance</w:t>
            </w:r>
          </w:p>
        </w:tc>
        <w:tc>
          <w:tcPr>
            <w:tcW w:w="1960" w:type="dxa"/>
            <w:vAlign w:val="bottom"/>
            <w:gridSpan w:val="2"/>
          </w:tcPr>
          <w:p>
            <w:pPr>
              <w:jc w:val="right"/>
              <w:ind w:right="680"/>
              <w:spacing w:after="0"/>
              <w:rPr>
                <w:sz w:val="20"/>
                <w:szCs w:val="20"/>
                <w:color w:val="auto"/>
              </w:rPr>
            </w:pPr>
            <w:r>
              <w:rPr>
                <w:rFonts w:ascii="Arial" w:cs="Arial" w:eastAsia="Arial" w:hAnsi="Arial"/>
                <w:sz w:val="16"/>
                <w:szCs w:val="16"/>
                <w:b w:val="1"/>
                <w:bCs w:val="1"/>
                <w:color w:val="auto"/>
              </w:rPr>
              <w:t>Cash flows</w:t>
            </w:r>
          </w:p>
        </w:tc>
        <w:tc>
          <w:tcPr>
            <w:tcW w:w="15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Non-cash items</w:t>
            </w:r>
          </w:p>
        </w:tc>
        <w:tc>
          <w:tcPr>
            <w:tcW w:w="126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2"/>
        </w:trPr>
        <w:tc>
          <w:tcPr>
            <w:tcW w:w="44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Lease liabilities as of January 1, 2018</w:t>
            </w:r>
          </w:p>
        </w:tc>
        <w:tc>
          <w:tcPr>
            <w:tcW w:w="15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213,428</w:t>
            </w:r>
          </w:p>
        </w:tc>
        <w:tc>
          <w:tcPr>
            <w:tcW w:w="240" w:type="dxa"/>
            <w:vAlign w:val="bottom"/>
            <w:tcBorders>
              <w:top w:val="single" w:sz="8" w:color="E5FFFF"/>
            </w:tcBorders>
            <w:shd w:val="clear" w:color="auto" w:fill="E5FFFF"/>
          </w:tcPr>
          <w:p>
            <w:pPr>
              <w:spacing w:after="0"/>
              <w:rPr>
                <w:sz w:val="17"/>
                <w:szCs w:val="17"/>
                <w:color w:val="auto"/>
              </w:rPr>
            </w:pPr>
          </w:p>
        </w:tc>
        <w:tc>
          <w:tcPr>
            <w:tcW w:w="17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213,428</w:t>
            </w:r>
          </w:p>
        </w:tc>
        <w:tc>
          <w:tcPr>
            <w:tcW w:w="12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tcPr>
          <w:p>
            <w:pPr>
              <w:spacing w:after="0"/>
              <w:rPr>
                <w:sz w:val="20"/>
                <w:szCs w:val="20"/>
                <w:color w:val="auto"/>
              </w:rPr>
            </w:pPr>
            <w:r>
              <w:rPr>
                <w:rFonts w:ascii="Arial" w:cs="Arial" w:eastAsia="Arial" w:hAnsi="Arial"/>
                <w:sz w:val="16"/>
                <w:szCs w:val="16"/>
                <w:color w:val="auto"/>
              </w:rPr>
              <w:t>Lease charge (Note 16)</w:t>
            </w:r>
          </w:p>
        </w:tc>
        <w:tc>
          <w:tcPr>
            <w:tcW w:w="1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7,903</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7,903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shd w:val="clear" w:color="auto" w:fill="E5FFFF"/>
          </w:tcPr>
          <w:p>
            <w:pPr>
              <w:spacing w:after="0"/>
              <w:rPr>
                <w:sz w:val="20"/>
                <w:szCs w:val="20"/>
                <w:color w:val="auto"/>
              </w:rPr>
            </w:pPr>
            <w:r>
              <w:rPr>
                <w:rFonts w:ascii="Arial" w:cs="Arial" w:eastAsia="Arial" w:hAnsi="Arial"/>
                <w:sz w:val="16"/>
                <w:szCs w:val="16"/>
                <w:color w:val="auto"/>
              </w:rPr>
              <w:t>Payments for interest</w:t>
            </w:r>
          </w:p>
        </w:tc>
        <w:tc>
          <w:tcPr>
            <w:tcW w:w="176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w:t>
            </w:r>
          </w:p>
        </w:tc>
        <w:tc>
          <w:tcPr>
            <w:tcW w:w="196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(7,903)</w:t>
            </w:r>
          </w:p>
        </w:tc>
        <w:tc>
          <w:tcPr>
            <w:tcW w:w="152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(7,903)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60"/>
          </w:cols>
          <w:pgMar w:left="640" w:top="356" w:right="299" w:bottom="1440" w:gutter="0" w:footer="0" w:header="0"/>
          <w:type w:val="continuous"/>
        </w:sectPr>
      </w:pPr>
    </w:p>
    <w:bookmarkStart w:id="45" w:name="page46"/>
    <w:bookmarkEnd w:id="45"/>
    <w:tbl>
      <w:tblPr>
        <w:tblLayout w:type="fixed"/>
        <w:tblInd w:w="400" w:type="dxa"/>
        <w:tblCellMar>
          <w:top w:w="0" w:type="dxa"/>
          <w:left w:w="0" w:type="dxa"/>
          <w:bottom w:w="0" w:type="dxa"/>
          <w:right w:w="0" w:type="dxa"/>
        </w:tblCellMar>
      </w:tblPr>
      <w:tr>
        <w:trPr>
          <w:trHeight w:val="206"/>
        </w:trPr>
        <w:tc>
          <w:tcPr>
            <w:tcW w:w="5380" w:type="dxa"/>
            <w:vAlign w:val="bottom"/>
            <w:gridSpan w:val="2"/>
          </w:tcPr>
          <w:p>
            <w:pPr>
              <w:spacing w:after="0"/>
              <w:rPr>
                <w:sz w:val="20"/>
                <w:szCs w:val="20"/>
                <w:color w:val="auto"/>
              </w:rPr>
            </w:pPr>
            <w:r>
              <w:rPr>
                <w:rFonts w:ascii="Arial" w:cs="Arial" w:eastAsia="Arial" w:hAnsi="Arial"/>
                <w:sz w:val="16"/>
                <w:szCs w:val="16"/>
                <w:color w:val="auto"/>
              </w:rPr>
              <w:t>Payments for lease liability</w:t>
            </w: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960" w:type="dxa"/>
            <w:vAlign w:val="bottom"/>
            <w:gridSpan w:val="2"/>
          </w:tcPr>
          <w:p>
            <w:pPr>
              <w:jc w:val="right"/>
              <w:ind w:right="39"/>
              <w:spacing w:after="0"/>
              <w:rPr>
                <w:sz w:val="20"/>
                <w:szCs w:val="20"/>
                <w:color w:val="auto"/>
              </w:rPr>
            </w:pPr>
            <w:r>
              <w:rPr>
                <w:rFonts w:ascii="Arial" w:cs="Arial" w:eastAsia="Arial" w:hAnsi="Arial"/>
                <w:sz w:val="16"/>
                <w:szCs w:val="16"/>
                <w:color w:val="auto"/>
              </w:rPr>
              <w:t>(5,447)</w:t>
            </w:r>
          </w:p>
        </w:tc>
        <w:tc>
          <w:tcPr>
            <w:tcW w:w="15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(5,447)</w:t>
            </w:r>
          </w:p>
        </w:tc>
      </w:tr>
      <w:tr>
        <w:trPr>
          <w:trHeight w:val="213"/>
        </w:trPr>
        <w:tc>
          <w:tcPr>
            <w:tcW w:w="446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Lease liabilities as of September 30, 2018</w:t>
            </w:r>
          </w:p>
        </w:tc>
        <w:tc>
          <w:tcPr>
            <w:tcW w:w="920" w:type="dxa"/>
            <w:vAlign w:val="bottom"/>
            <w:tcBorders>
              <w:top w:val="single" w:sz="8" w:color="auto"/>
              <w:bottom w:val="single" w:sz="8" w:color="auto"/>
            </w:tcBorders>
            <w:shd w:val="clear" w:color="auto" w:fill="E5FFFF"/>
          </w:tcPr>
          <w:p>
            <w:pPr>
              <w:spacing w:after="0"/>
              <w:rPr>
                <w:sz w:val="18"/>
                <w:szCs w:val="18"/>
                <w:color w:val="auto"/>
              </w:rPr>
            </w:pPr>
          </w:p>
        </w:tc>
        <w:tc>
          <w:tcPr>
            <w:tcW w:w="6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213,428</w:t>
            </w:r>
          </w:p>
        </w:tc>
        <w:tc>
          <w:tcPr>
            <w:tcW w:w="240" w:type="dxa"/>
            <w:vAlign w:val="bottom"/>
            <w:tcBorders>
              <w:top w:val="single" w:sz="8" w:color="E5FFFF"/>
              <w:bottom w:val="single" w:sz="8" w:color="E5FFFF"/>
            </w:tcBorders>
            <w:shd w:val="clear" w:color="auto" w:fill="E5FFFF"/>
          </w:tcPr>
          <w:p>
            <w:pPr>
              <w:spacing w:after="0"/>
              <w:rPr>
                <w:sz w:val="18"/>
                <w:szCs w:val="18"/>
                <w:color w:val="auto"/>
              </w:rPr>
            </w:pPr>
          </w:p>
        </w:tc>
        <w:tc>
          <w:tcPr>
            <w:tcW w:w="17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(13,350</w:t>
            </w:r>
          </w:p>
        </w:tc>
        <w:tc>
          <w:tcPr>
            <w:tcW w:w="180" w:type="dxa"/>
            <w:vAlign w:val="bottom"/>
            <w:tcBorders>
              <w:top w:val="single" w:sz="8" w:color="E5FFFF"/>
              <w:bottom w:val="single" w:sz="8" w:color="E5FFFF"/>
            </w:tcBorders>
            <w:shd w:val="clear" w:color="auto" w:fill="E5FFFF"/>
          </w:tcPr>
          <w:p>
            <w:pPr>
              <w:jc w:val="right"/>
              <w:ind w:right="39"/>
              <w:spacing w:after="0"/>
              <w:rPr>
                <w:sz w:val="20"/>
                <w:szCs w:val="20"/>
                <w:color w:val="auto"/>
              </w:rPr>
            </w:pPr>
            <w:r>
              <w:rPr>
                <w:rFonts w:ascii="Arial" w:cs="Arial" w:eastAsia="Arial" w:hAnsi="Arial"/>
                <w:sz w:val="16"/>
                <w:szCs w:val="16"/>
                <w:b w:val="1"/>
                <w:bCs w:val="1"/>
                <w:color w:val="auto"/>
                <w:w w:val="74"/>
              </w:rPr>
              <w:t>)</w:t>
            </w: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7,903</w:t>
            </w:r>
          </w:p>
        </w:tc>
        <w:tc>
          <w:tcPr>
            <w:tcW w:w="140" w:type="dxa"/>
            <w:vAlign w:val="bottom"/>
            <w:tcBorders>
              <w:top w:val="single" w:sz="8" w:color="E5FFFF"/>
              <w:bottom w:val="single" w:sz="8" w:color="E5FFFF"/>
            </w:tcBorders>
            <w:shd w:val="clear" w:color="auto" w:fill="E5FFFF"/>
          </w:tcPr>
          <w:p>
            <w:pPr>
              <w:spacing w:after="0"/>
              <w:rPr>
                <w:sz w:val="18"/>
                <w:szCs w:val="18"/>
                <w:color w:val="auto"/>
              </w:rPr>
            </w:pPr>
          </w:p>
        </w:tc>
        <w:tc>
          <w:tcPr>
            <w:tcW w:w="1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207,981</w:t>
            </w:r>
          </w:p>
        </w:tc>
        <w:tc>
          <w:tcPr>
            <w:tcW w:w="120" w:type="dxa"/>
            <w:vAlign w:val="bottom"/>
            <w:tcBorders>
              <w:top w:val="single" w:sz="8" w:color="E5FFFF"/>
              <w:bottom w:val="single" w:sz="8" w:color="E5FFFF"/>
            </w:tcBorders>
            <w:shd w:val="clear" w:color="auto" w:fill="E5FFFF"/>
          </w:tcPr>
          <w:p>
            <w:pPr>
              <w:spacing w:after="0"/>
              <w:rPr>
                <w:sz w:val="18"/>
                <w:szCs w:val="18"/>
                <w:color w:val="auto"/>
              </w:rPr>
            </w:pPr>
          </w:p>
        </w:tc>
      </w:tr>
      <w:tr>
        <w:trPr>
          <w:trHeight w:val="20"/>
        </w:trPr>
        <w:tc>
          <w:tcPr>
            <w:tcW w:w="446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96"/>
        </w:trPr>
        <w:tc>
          <w:tcPr>
            <w:tcW w:w="4460" w:type="dxa"/>
            <w:vAlign w:val="bottom"/>
          </w:tcPr>
          <w:p>
            <w:pPr>
              <w:spacing w:after="0"/>
              <w:rPr>
                <w:sz w:val="24"/>
                <w:szCs w:val="24"/>
                <w:color w:val="auto"/>
              </w:rPr>
            </w:pPr>
          </w:p>
        </w:tc>
        <w:tc>
          <w:tcPr>
            <w:tcW w:w="1760" w:type="dxa"/>
            <w:vAlign w:val="bottom"/>
            <w:gridSpan w:val="3"/>
          </w:tcPr>
          <w:p>
            <w:pPr>
              <w:ind w:left="180"/>
              <w:spacing w:after="0"/>
              <w:rPr>
                <w:sz w:val="20"/>
                <w:szCs w:val="20"/>
                <w:color w:val="auto"/>
              </w:rPr>
            </w:pPr>
            <w:r>
              <w:rPr>
                <w:rFonts w:ascii="Arial" w:cs="Arial" w:eastAsia="Arial" w:hAnsi="Arial"/>
                <w:sz w:val="16"/>
                <w:szCs w:val="16"/>
                <w:b w:val="1"/>
                <w:bCs w:val="1"/>
                <w:color w:val="auto"/>
              </w:rPr>
              <w:t>Opening balance</w:t>
            </w:r>
          </w:p>
        </w:tc>
        <w:tc>
          <w:tcPr>
            <w:tcW w:w="1960" w:type="dxa"/>
            <w:vAlign w:val="bottom"/>
            <w:gridSpan w:val="2"/>
          </w:tcPr>
          <w:p>
            <w:pPr>
              <w:jc w:val="right"/>
              <w:ind w:right="599"/>
              <w:spacing w:after="0"/>
              <w:rPr>
                <w:sz w:val="20"/>
                <w:szCs w:val="20"/>
                <w:color w:val="auto"/>
              </w:rPr>
            </w:pPr>
            <w:r>
              <w:rPr>
                <w:rFonts w:ascii="Arial" w:cs="Arial" w:eastAsia="Arial" w:hAnsi="Arial"/>
                <w:sz w:val="16"/>
                <w:szCs w:val="16"/>
                <w:b w:val="1"/>
                <w:bCs w:val="1"/>
                <w:color w:val="auto"/>
              </w:rPr>
              <w:t>Cash flows</w:t>
            </w:r>
          </w:p>
        </w:tc>
        <w:tc>
          <w:tcPr>
            <w:tcW w:w="1520" w:type="dxa"/>
            <w:vAlign w:val="bottom"/>
            <w:gridSpan w:val="2"/>
          </w:tcPr>
          <w:p>
            <w:pPr>
              <w:ind w:left="160"/>
              <w:spacing w:after="0"/>
              <w:rPr>
                <w:sz w:val="20"/>
                <w:szCs w:val="20"/>
                <w:color w:val="auto"/>
              </w:rPr>
            </w:pPr>
            <w:r>
              <w:rPr>
                <w:rFonts w:ascii="Arial" w:cs="Arial" w:eastAsia="Arial" w:hAnsi="Arial"/>
                <w:sz w:val="16"/>
                <w:szCs w:val="16"/>
                <w:b w:val="1"/>
                <w:bCs w:val="1"/>
                <w:color w:val="auto"/>
              </w:rPr>
              <w:t>Non-cash items</w:t>
            </w:r>
          </w:p>
        </w:tc>
        <w:tc>
          <w:tcPr>
            <w:tcW w:w="1260" w:type="dxa"/>
            <w:vAlign w:val="bottom"/>
            <w:gridSpan w:val="2"/>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202"/>
        </w:trPr>
        <w:tc>
          <w:tcPr>
            <w:tcW w:w="44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Lease liabilities as of January 1, 2019</w:t>
            </w:r>
          </w:p>
        </w:tc>
        <w:tc>
          <w:tcPr>
            <w:tcW w:w="920" w:type="dxa"/>
            <w:vAlign w:val="bottom"/>
            <w:tcBorders>
              <w:top w:val="single" w:sz="8" w:color="auto"/>
            </w:tcBorders>
            <w:shd w:val="clear" w:color="auto" w:fill="E5FFFF"/>
          </w:tcPr>
          <w:p>
            <w:pPr>
              <w:spacing w:after="0"/>
              <w:rPr>
                <w:sz w:val="17"/>
                <w:szCs w:val="17"/>
                <w:color w:val="auto"/>
              </w:rPr>
            </w:pPr>
          </w:p>
        </w:tc>
        <w:tc>
          <w:tcPr>
            <w:tcW w:w="6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213,374</w:t>
            </w:r>
          </w:p>
        </w:tc>
        <w:tc>
          <w:tcPr>
            <w:tcW w:w="240" w:type="dxa"/>
            <w:vAlign w:val="bottom"/>
            <w:tcBorders>
              <w:top w:val="single" w:sz="8" w:color="E5FFFF"/>
            </w:tcBorders>
            <w:shd w:val="clear" w:color="auto" w:fill="E5FFFF"/>
          </w:tcPr>
          <w:p>
            <w:pPr>
              <w:spacing w:after="0"/>
              <w:rPr>
                <w:sz w:val="17"/>
                <w:szCs w:val="17"/>
                <w:color w:val="auto"/>
              </w:rPr>
            </w:pPr>
          </w:p>
        </w:tc>
        <w:tc>
          <w:tcPr>
            <w:tcW w:w="17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213,374</w:t>
            </w:r>
          </w:p>
        </w:tc>
        <w:tc>
          <w:tcPr>
            <w:tcW w:w="120" w:type="dxa"/>
            <w:vAlign w:val="bottom"/>
            <w:tcBorders>
              <w:top w:val="single" w:sz="8" w:color="E5FFFF"/>
            </w:tcBorders>
            <w:shd w:val="clear" w:color="auto" w:fill="E5FFFF"/>
          </w:tcPr>
          <w:p>
            <w:pPr>
              <w:spacing w:after="0"/>
              <w:rPr>
                <w:sz w:val="17"/>
                <w:szCs w:val="17"/>
                <w:color w:val="auto"/>
              </w:rPr>
            </w:pPr>
          </w:p>
        </w:tc>
      </w:tr>
      <w:tr>
        <w:trPr>
          <w:trHeight w:val="203"/>
        </w:trPr>
        <w:tc>
          <w:tcPr>
            <w:tcW w:w="5380" w:type="dxa"/>
            <w:vAlign w:val="bottom"/>
            <w:gridSpan w:val="2"/>
          </w:tcPr>
          <w:p>
            <w:pPr>
              <w:spacing w:after="0"/>
              <w:rPr>
                <w:sz w:val="20"/>
                <w:szCs w:val="20"/>
                <w:color w:val="auto"/>
              </w:rPr>
            </w:pPr>
            <w:r>
              <w:rPr>
                <w:rFonts w:ascii="Arial" w:cs="Arial" w:eastAsia="Arial" w:hAnsi="Arial"/>
                <w:sz w:val="16"/>
                <w:szCs w:val="16"/>
                <w:color w:val="auto"/>
              </w:rPr>
              <w:t>Lease charge (Note 16)</w:t>
            </w: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96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7,900</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7,900</w:t>
            </w:r>
          </w:p>
        </w:tc>
        <w:tc>
          <w:tcPr>
            <w:tcW w:w="120" w:type="dxa"/>
            <w:vAlign w:val="bottom"/>
          </w:tcPr>
          <w:p>
            <w:pPr>
              <w:spacing w:after="0"/>
              <w:rPr>
                <w:sz w:val="17"/>
                <w:szCs w:val="17"/>
                <w:color w:val="auto"/>
              </w:rPr>
            </w:pPr>
          </w:p>
        </w:tc>
      </w:tr>
      <w:tr>
        <w:trPr>
          <w:trHeight w:val="203"/>
        </w:trPr>
        <w:tc>
          <w:tcPr>
            <w:tcW w:w="53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Additions</w:t>
            </w:r>
          </w:p>
        </w:tc>
        <w:tc>
          <w:tcPr>
            <w:tcW w:w="84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w:t>
            </w:r>
          </w:p>
        </w:tc>
        <w:tc>
          <w:tcPr>
            <w:tcW w:w="1960" w:type="dxa"/>
            <w:vAlign w:val="bottom"/>
            <w:gridSpan w:val="2"/>
            <w:shd w:val="clear" w:color="auto" w:fill="E5FFFF"/>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1,447</w:t>
            </w:r>
          </w:p>
        </w:tc>
        <w:tc>
          <w:tcPr>
            <w:tcW w:w="140" w:type="dxa"/>
            <w:vAlign w:val="bottom"/>
            <w:shd w:val="clear" w:color="auto" w:fill="E5FFFF"/>
          </w:tcPr>
          <w:p>
            <w:pPr>
              <w:spacing w:after="0"/>
              <w:rPr>
                <w:sz w:val="17"/>
                <w:szCs w:val="17"/>
                <w:color w:val="auto"/>
              </w:rPr>
            </w:pPr>
          </w:p>
        </w:tc>
        <w:tc>
          <w:tcPr>
            <w:tcW w:w="11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1,447</w:t>
            </w:r>
          </w:p>
        </w:tc>
        <w:tc>
          <w:tcPr>
            <w:tcW w:w="120" w:type="dxa"/>
            <w:vAlign w:val="bottom"/>
            <w:shd w:val="clear" w:color="auto" w:fill="E5FFFF"/>
          </w:tcPr>
          <w:p>
            <w:pPr>
              <w:spacing w:after="0"/>
              <w:rPr>
                <w:sz w:val="17"/>
                <w:szCs w:val="17"/>
                <w:color w:val="auto"/>
              </w:rPr>
            </w:pPr>
          </w:p>
        </w:tc>
      </w:tr>
      <w:tr>
        <w:trPr>
          <w:trHeight w:val="203"/>
        </w:trPr>
        <w:tc>
          <w:tcPr>
            <w:tcW w:w="5380" w:type="dxa"/>
            <w:vAlign w:val="bottom"/>
            <w:gridSpan w:val="2"/>
          </w:tcPr>
          <w:p>
            <w:pPr>
              <w:spacing w:after="0"/>
              <w:rPr>
                <w:sz w:val="20"/>
                <w:szCs w:val="20"/>
                <w:color w:val="auto"/>
              </w:rPr>
            </w:pPr>
            <w:r>
              <w:rPr>
                <w:rFonts w:ascii="Arial" w:cs="Arial" w:eastAsia="Arial" w:hAnsi="Arial"/>
                <w:sz w:val="16"/>
                <w:szCs w:val="16"/>
                <w:color w:val="auto"/>
              </w:rPr>
              <w:t>Payments for interest</w:t>
            </w: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960" w:type="dxa"/>
            <w:vAlign w:val="bottom"/>
            <w:gridSpan w:val="2"/>
          </w:tcPr>
          <w:p>
            <w:pPr>
              <w:jc w:val="right"/>
              <w:ind w:right="39"/>
              <w:spacing w:after="0"/>
              <w:rPr>
                <w:sz w:val="20"/>
                <w:szCs w:val="20"/>
                <w:color w:val="auto"/>
              </w:rPr>
            </w:pPr>
            <w:r>
              <w:rPr>
                <w:rFonts w:ascii="Arial" w:cs="Arial" w:eastAsia="Arial" w:hAnsi="Arial"/>
                <w:sz w:val="16"/>
                <w:szCs w:val="16"/>
                <w:color w:val="auto"/>
              </w:rPr>
              <w:t>(7,916)</w:t>
            </w:r>
          </w:p>
        </w:tc>
        <w:tc>
          <w:tcPr>
            <w:tcW w:w="15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(7,916)</w:t>
            </w:r>
          </w:p>
        </w:tc>
      </w:tr>
      <w:tr>
        <w:trPr>
          <w:trHeight w:val="203"/>
        </w:trPr>
        <w:tc>
          <w:tcPr>
            <w:tcW w:w="53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Payments for lease liability</w:t>
            </w:r>
          </w:p>
        </w:tc>
        <w:tc>
          <w:tcPr>
            <w:tcW w:w="84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w:t>
            </w:r>
          </w:p>
        </w:tc>
        <w:tc>
          <w:tcPr>
            <w:tcW w:w="1960" w:type="dxa"/>
            <w:vAlign w:val="bottom"/>
            <w:gridSpan w:val="2"/>
            <w:shd w:val="clear" w:color="auto" w:fill="E5FFFF"/>
          </w:tcPr>
          <w:p>
            <w:pPr>
              <w:jc w:val="right"/>
              <w:ind w:right="39"/>
              <w:spacing w:after="0"/>
              <w:rPr>
                <w:sz w:val="20"/>
                <w:szCs w:val="20"/>
                <w:color w:val="auto"/>
              </w:rPr>
            </w:pPr>
            <w:r>
              <w:rPr>
                <w:rFonts w:ascii="Arial" w:cs="Arial" w:eastAsia="Arial" w:hAnsi="Arial"/>
                <w:sz w:val="16"/>
                <w:szCs w:val="16"/>
                <w:color w:val="auto"/>
              </w:rPr>
              <w:t>(7,368)</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37</w:t>
            </w:r>
          </w:p>
        </w:tc>
        <w:tc>
          <w:tcPr>
            <w:tcW w:w="140" w:type="dxa"/>
            <w:vAlign w:val="bottom"/>
            <w:shd w:val="clear" w:color="auto" w:fill="E5FFFF"/>
          </w:tcPr>
          <w:p>
            <w:pPr>
              <w:spacing w:after="0"/>
              <w:rPr>
                <w:sz w:val="17"/>
                <w:szCs w:val="17"/>
                <w:color w:val="auto"/>
              </w:rPr>
            </w:pPr>
          </w:p>
        </w:tc>
        <w:tc>
          <w:tcPr>
            <w:tcW w:w="12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(7,331)</w:t>
            </w:r>
          </w:p>
        </w:tc>
      </w:tr>
      <w:tr>
        <w:trPr>
          <w:trHeight w:val="207"/>
        </w:trPr>
        <w:tc>
          <w:tcPr>
            <w:tcW w:w="4460" w:type="dxa"/>
            <w:vAlign w:val="bottom"/>
          </w:tcPr>
          <w:p>
            <w:pPr>
              <w:spacing w:after="0"/>
              <w:rPr>
                <w:sz w:val="20"/>
                <w:szCs w:val="20"/>
                <w:color w:val="auto"/>
              </w:rPr>
            </w:pPr>
            <w:r>
              <w:rPr>
                <w:rFonts w:ascii="Arial" w:cs="Arial" w:eastAsia="Arial" w:hAnsi="Arial"/>
                <w:sz w:val="16"/>
                <w:szCs w:val="16"/>
                <w:b w:val="1"/>
                <w:bCs w:val="1"/>
                <w:color w:val="auto"/>
              </w:rPr>
              <w:t>Lease liabilities as of September 30, 2019</w:t>
            </w:r>
          </w:p>
        </w:tc>
        <w:tc>
          <w:tcPr>
            <w:tcW w:w="92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213,374</w:t>
            </w:r>
          </w:p>
        </w:tc>
        <w:tc>
          <w:tcPr>
            <w:tcW w:w="240" w:type="dxa"/>
            <w:vAlign w:val="bottom"/>
          </w:tcPr>
          <w:p>
            <w:pPr>
              <w:spacing w:after="0"/>
              <w:rPr>
                <w:sz w:val="17"/>
                <w:szCs w:val="17"/>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(15,284</w:t>
            </w:r>
          </w:p>
        </w:tc>
        <w:tc>
          <w:tcPr>
            <w:tcW w:w="180" w:type="dxa"/>
            <w:vAlign w:val="bottom"/>
          </w:tcPr>
          <w:p>
            <w:pPr>
              <w:jc w:val="right"/>
              <w:ind w:right="39"/>
              <w:spacing w:after="0"/>
              <w:rPr>
                <w:sz w:val="20"/>
                <w:szCs w:val="20"/>
                <w:color w:val="auto"/>
              </w:rPr>
            </w:pPr>
            <w:r>
              <w:rPr>
                <w:rFonts w:ascii="Arial" w:cs="Arial" w:eastAsia="Arial" w:hAnsi="Arial"/>
                <w:sz w:val="16"/>
                <w:szCs w:val="16"/>
                <w:b w:val="1"/>
                <w:bCs w:val="1"/>
                <w:color w:val="auto"/>
                <w:w w:val="74"/>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9,384</w:t>
            </w:r>
          </w:p>
        </w:tc>
        <w:tc>
          <w:tcPr>
            <w:tcW w:w="14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207,474</w:t>
            </w:r>
          </w:p>
        </w:tc>
        <w:tc>
          <w:tcPr>
            <w:tcW w:w="120" w:type="dxa"/>
            <w:vAlign w:val="bottom"/>
          </w:tcPr>
          <w:p>
            <w:pPr>
              <w:spacing w:after="0"/>
              <w:rPr>
                <w:sz w:val="17"/>
                <w:szCs w:val="17"/>
                <w:color w:val="auto"/>
              </w:rPr>
            </w:pPr>
          </w:p>
        </w:tc>
      </w:tr>
      <w:tr>
        <w:trPr>
          <w:trHeight w:val="20"/>
        </w:trPr>
        <w:tc>
          <w:tcPr>
            <w:tcW w:w="44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96"/>
        </w:trPr>
        <w:tc>
          <w:tcPr>
            <w:tcW w:w="5380" w:type="dxa"/>
            <w:vAlign w:val="bottom"/>
            <w:gridSpan w:val="2"/>
          </w:tcPr>
          <w:p>
            <w:pPr>
              <w:ind w:left="20"/>
              <w:spacing w:after="0"/>
              <w:rPr>
                <w:sz w:val="20"/>
                <w:szCs w:val="20"/>
                <w:color w:val="auto"/>
              </w:rPr>
            </w:pPr>
            <w:r>
              <w:rPr>
                <w:rFonts w:ascii="Arial" w:cs="Arial" w:eastAsia="Arial" w:hAnsi="Arial"/>
                <w:sz w:val="16"/>
                <w:szCs w:val="16"/>
                <w:color w:val="auto"/>
                <w:w w:val="95"/>
              </w:rPr>
              <w:t>A reconciliation of equity offerings arising from financing activities is as follows:</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9"/>
        </w:trPr>
        <w:tc>
          <w:tcPr>
            <w:tcW w:w="4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gridSpan w:val="2"/>
          </w:tcPr>
          <w:p>
            <w:pPr>
              <w:jc w:val="right"/>
              <w:ind w:right="599"/>
              <w:spacing w:after="0"/>
              <w:rPr>
                <w:sz w:val="20"/>
                <w:szCs w:val="20"/>
                <w:color w:val="auto"/>
              </w:rPr>
            </w:pPr>
            <w:r>
              <w:rPr>
                <w:rFonts w:ascii="Arial" w:cs="Arial" w:eastAsia="Arial" w:hAnsi="Arial"/>
                <w:sz w:val="16"/>
                <w:szCs w:val="16"/>
                <w:b w:val="1"/>
                <w:bCs w:val="1"/>
                <w:color w:val="auto"/>
              </w:rPr>
              <w:t>Cash flows</w:t>
            </w:r>
          </w:p>
        </w:tc>
        <w:tc>
          <w:tcPr>
            <w:tcW w:w="1520" w:type="dxa"/>
            <w:vAlign w:val="bottom"/>
            <w:gridSpan w:val="2"/>
          </w:tcPr>
          <w:p>
            <w:pPr>
              <w:ind w:left="160"/>
              <w:spacing w:after="0"/>
              <w:rPr>
                <w:sz w:val="20"/>
                <w:szCs w:val="20"/>
                <w:color w:val="auto"/>
              </w:rPr>
            </w:pPr>
            <w:r>
              <w:rPr>
                <w:rFonts w:ascii="Arial" w:cs="Arial" w:eastAsia="Arial" w:hAnsi="Arial"/>
                <w:sz w:val="16"/>
                <w:szCs w:val="16"/>
                <w:b w:val="1"/>
                <w:bCs w:val="1"/>
                <w:color w:val="auto"/>
              </w:rPr>
              <w:t>Non-cash items</w:t>
            </w:r>
          </w:p>
        </w:tc>
        <w:tc>
          <w:tcPr>
            <w:tcW w:w="1260" w:type="dxa"/>
            <w:vAlign w:val="bottom"/>
            <w:gridSpan w:val="2"/>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179"/>
        </w:trPr>
        <w:tc>
          <w:tcPr>
            <w:tcW w:w="6220" w:type="dxa"/>
            <w:vAlign w:val="bottom"/>
            <w:tcBorders>
              <w:top w:val="single" w:sz="8" w:color="E5FFFF"/>
            </w:tcBorders>
            <w:gridSpan w:val="4"/>
            <w:shd w:val="clear" w:color="auto" w:fill="E5FFFF"/>
          </w:tcPr>
          <w:p>
            <w:pPr>
              <w:spacing w:after="0" w:line="179" w:lineRule="exact"/>
              <w:rPr>
                <w:sz w:val="20"/>
                <w:szCs w:val="20"/>
                <w:color w:val="auto"/>
              </w:rPr>
            </w:pPr>
            <w:r>
              <w:rPr>
                <w:rFonts w:ascii="Arial" w:cs="Arial" w:eastAsia="Arial" w:hAnsi="Arial"/>
                <w:sz w:val="16"/>
                <w:szCs w:val="16"/>
                <w:color w:val="auto"/>
                <w:w w:val="99"/>
              </w:rPr>
              <w:t>Proceeds from GasLog Partners’ preference unit offerings (net of underwriting discounts</w:t>
            </w:r>
          </w:p>
        </w:tc>
        <w:tc>
          <w:tcPr>
            <w:tcW w:w="1780" w:type="dxa"/>
            <w:vAlign w:val="bottom"/>
            <w:tcBorders>
              <w:top w:val="single" w:sz="8" w:color="auto"/>
            </w:tcBorders>
            <w:shd w:val="clear" w:color="auto" w:fill="E5FFFF"/>
          </w:tcPr>
          <w:p>
            <w:pPr>
              <w:spacing w:after="0"/>
              <w:rPr>
                <w:sz w:val="15"/>
                <w:szCs w:val="15"/>
                <w:color w:val="auto"/>
              </w:rPr>
            </w:pPr>
          </w:p>
        </w:tc>
        <w:tc>
          <w:tcPr>
            <w:tcW w:w="180" w:type="dxa"/>
            <w:vAlign w:val="bottom"/>
            <w:tcBorders>
              <w:top w:val="single" w:sz="8" w:color="E5FFFF"/>
            </w:tcBorders>
            <w:shd w:val="clear" w:color="auto" w:fill="E5FFFF"/>
          </w:tcPr>
          <w:p>
            <w:pPr>
              <w:spacing w:after="0"/>
              <w:rPr>
                <w:sz w:val="15"/>
                <w:szCs w:val="15"/>
                <w:color w:val="auto"/>
              </w:rPr>
            </w:pPr>
          </w:p>
        </w:tc>
        <w:tc>
          <w:tcPr>
            <w:tcW w:w="1380" w:type="dxa"/>
            <w:vAlign w:val="bottom"/>
            <w:tcBorders>
              <w:top w:val="single" w:sz="8" w:color="auto"/>
            </w:tcBorders>
            <w:shd w:val="clear" w:color="auto" w:fill="E5FFFF"/>
          </w:tcPr>
          <w:p>
            <w:pPr>
              <w:spacing w:after="0"/>
              <w:rPr>
                <w:sz w:val="15"/>
                <w:szCs w:val="15"/>
                <w:color w:val="auto"/>
              </w:rPr>
            </w:pPr>
          </w:p>
        </w:tc>
        <w:tc>
          <w:tcPr>
            <w:tcW w:w="140" w:type="dxa"/>
            <w:vAlign w:val="bottom"/>
            <w:tcBorders>
              <w:top w:val="single" w:sz="8" w:color="E5FFFF"/>
            </w:tcBorders>
            <w:shd w:val="clear" w:color="auto" w:fill="E5FFFF"/>
          </w:tcPr>
          <w:p>
            <w:pPr>
              <w:spacing w:after="0"/>
              <w:rPr>
                <w:sz w:val="15"/>
                <w:szCs w:val="15"/>
                <w:color w:val="auto"/>
              </w:rPr>
            </w:pPr>
          </w:p>
        </w:tc>
        <w:tc>
          <w:tcPr>
            <w:tcW w:w="1140" w:type="dxa"/>
            <w:vAlign w:val="bottom"/>
            <w:tcBorders>
              <w:top w:val="single" w:sz="8" w:color="auto"/>
            </w:tcBorders>
            <w:shd w:val="clear" w:color="auto" w:fill="E5FFFF"/>
          </w:tcPr>
          <w:p>
            <w:pPr>
              <w:spacing w:after="0"/>
              <w:rPr>
                <w:sz w:val="15"/>
                <w:szCs w:val="15"/>
                <w:color w:val="auto"/>
              </w:rPr>
            </w:pPr>
          </w:p>
        </w:tc>
        <w:tc>
          <w:tcPr>
            <w:tcW w:w="120" w:type="dxa"/>
            <w:vAlign w:val="bottom"/>
            <w:tcBorders>
              <w:top w:val="single" w:sz="8" w:color="E5FFFF"/>
            </w:tcBorders>
            <w:shd w:val="clear" w:color="auto" w:fill="E5FFFF"/>
          </w:tcPr>
          <w:p>
            <w:pPr>
              <w:spacing w:after="0"/>
              <w:rPr>
                <w:sz w:val="15"/>
                <w:szCs w:val="15"/>
                <w:color w:val="auto"/>
              </w:rPr>
            </w:pPr>
          </w:p>
        </w:tc>
      </w:tr>
      <w:tr>
        <w:trPr>
          <w:trHeight w:val="212"/>
        </w:trPr>
        <w:tc>
          <w:tcPr>
            <w:tcW w:w="5380" w:type="dxa"/>
            <w:vAlign w:val="bottom"/>
            <w:gridSpan w:val="2"/>
            <w:shd w:val="clear" w:color="auto" w:fill="E5FFFF"/>
          </w:tcPr>
          <w:p>
            <w:pPr>
              <w:ind w:left="180"/>
              <w:spacing w:after="0"/>
              <w:rPr>
                <w:sz w:val="20"/>
                <w:szCs w:val="20"/>
                <w:color w:val="auto"/>
              </w:rPr>
            </w:pPr>
            <w:r>
              <w:rPr>
                <w:rFonts w:ascii="Arial" w:cs="Arial" w:eastAsia="Arial" w:hAnsi="Arial"/>
                <w:sz w:val="16"/>
                <w:szCs w:val="16"/>
                <w:color w:val="auto"/>
              </w:rPr>
              <w:t>and commissions)</w:t>
            </w:r>
          </w:p>
        </w:tc>
        <w:tc>
          <w:tcPr>
            <w:tcW w:w="60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7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111,544</w:t>
            </w:r>
          </w:p>
        </w:tc>
        <w:tc>
          <w:tcPr>
            <w:tcW w:w="180" w:type="dxa"/>
            <w:vAlign w:val="bottom"/>
            <w:shd w:val="clear" w:color="auto" w:fill="E5FFFF"/>
          </w:tcPr>
          <w:p>
            <w:pPr>
              <w:spacing w:after="0"/>
              <w:rPr>
                <w:sz w:val="18"/>
                <w:szCs w:val="18"/>
                <w:color w:val="auto"/>
              </w:rPr>
            </w:pPr>
          </w:p>
        </w:tc>
        <w:tc>
          <w:tcPr>
            <w:tcW w:w="152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111,544</w:t>
            </w:r>
          </w:p>
        </w:tc>
        <w:tc>
          <w:tcPr>
            <w:tcW w:w="120" w:type="dxa"/>
            <w:vAlign w:val="bottom"/>
            <w:shd w:val="clear" w:color="auto" w:fill="E5FFFF"/>
          </w:tcPr>
          <w:p>
            <w:pPr>
              <w:spacing w:after="0"/>
              <w:rPr>
                <w:sz w:val="18"/>
                <w:szCs w:val="18"/>
                <w:color w:val="auto"/>
              </w:rPr>
            </w:pPr>
          </w:p>
        </w:tc>
      </w:tr>
      <w:tr>
        <w:trPr>
          <w:trHeight w:val="193"/>
        </w:trPr>
        <w:tc>
          <w:tcPr>
            <w:tcW w:w="6220" w:type="dxa"/>
            <w:vAlign w:val="bottom"/>
            <w:gridSpan w:val="4"/>
          </w:tcPr>
          <w:p>
            <w:pPr>
              <w:spacing w:after="0"/>
              <w:rPr>
                <w:sz w:val="20"/>
                <w:szCs w:val="20"/>
                <w:color w:val="auto"/>
              </w:rPr>
            </w:pPr>
            <w:r>
              <w:rPr>
                <w:rFonts w:ascii="Arial" w:cs="Arial" w:eastAsia="Arial" w:hAnsi="Arial"/>
                <w:sz w:val="16"/>
                <w:szCs w:val="16"/>
                <w:color w:val="auto"/>
                <w:w w:val="99"/>
              </w:rPr>
              <w:t>Proceeds from public offerings and private placement (net of underwriting discounts and</w:t>
            </w:r>
          </w:p>
        </w:tc>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6"/>
        </w:trPr>
        <w:tc>
          <w:tcPr>
            <w:tcW w:w="5380" w:type="dxa"/>
            <w:vAlign w:val="bottom"/>
            <w:gridSpan w:val="2"/>
          </w:tcPr>
          <w:p>
            <w:pPr>
              <w:ind w:left="180"/>
              <w:spacing w:after="0"/>
              <w:rPr>
                <w:sz w:val="20"/>
                <w:szCs w:val="20"/>
                <w:color w:val="auto"/>
              </w:rPr>
            </w:pPr>
            <w:r>
              <w:rPr>
                <w:rFonts w:ascii="Arial" w:cs="Arial" w:eastAsia="Arial" w:hAnsi="Arial"/>
                <w:sz w:val="16"/>
                <w:szCs w:val="16"/>
                <w:color w:val="auto"/>
              </w:rPr>
              <w:t>commissions)</w:t>
            </w: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54,338</w:t>
            </w:r>
          </w:p>
        </w:tc>
        <w:tc>
          <w:tcPr>
            <w:tcW w:w="180" w:type="dxa"/>
            <w:vAlign w:val="bottom"/>
          </w:tcPr>
          <w:p>
            <w:pPr>
              <w:spacing w:after="0"/>
              <w:rPr>
                <w:sz w:val="17"/>
                <w:szCs w:val="17"/>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54,338</w:t>
            </w:r>
          </w:p>
        </w:tc>
        <w:tc>
          <w:tcPr>
            <w:tcW w:w="120" w:type="dxa"/>
            <w:vAlign w:val="bottom"/>
          </w:tcPr>
          <w:p>
            <w:pPr>
              <w:spacing w:after="0"/>
              <w:rPr>
                <w:sz w:val="17"/>
                <w:szCs w:val="17"/>
                <w:color w:val="auto"/>
              </w:rPr>
            </w:pPr>
          </w:p>
        </w:tc>
      </w:tr>
      <w:tr>
        <w:trPr>
          <w:trHeight w:val="209"/>
        </w:trPr>
        <w:tc>
          <w:tcPr>
            <w:tcW w:w="53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Equity related costs</w:t>
            </w:r>
          </w:p>
        </w:tc>
        <w:tc>
          <w:tcPr>
            <w:tcW w:w="60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960" w:type="dxa"/>
            <w:vAlign w:val="bottom"/>
            <w:gridSpan w:val="2"/>
            <w:shd w:val="clear" w:color="auto" w:fill="E5FFFF"/>
          </w:tcPr>
          <w:p>
            <w:pPr>
              <w:jc w:val="right"/>
              <w:ind w:right="39"/>
              <w:spacing w:after="0"/>
              <w:rPr>
                <w:sz w:val="20"/>
                <w:szCs w:val="20"/>
                <w:color w:val="auto"/>
              </w:rPr>
            </w:pPr>
            <w:r>
              <w:rPr>
                <w:rFonts w:ascii="Arial" w:cs="Arial" w:eastAsia="Arial" w:hAnsi="Arial"/>
                <w:sz w:val="16"/>
                <w:szCs w:val="16"/>
                <w:color w:val="auto"/>
              </w:rPr>
              <w:t>(929)</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198</w:t>
            </w:r>
          </w:p>
        </w:tc>
        <w:tc>
          <w:tcPr>
            <w:tcW w:w="14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(731)</w:t>
            </w:r>
          </w:p>
        </w:tc>
      </w:tr>
      <w:tr>
        <w:trPr>
          <w:trHeight w:val="196"/>
        </w:trPr>
        <w:tc>
          <w:tcPr>
            <w:tcW w:w="5380" w:type="dxa"/>
            <w:vAlign w:val="bottom"/>
            <w:gridSpan w:val="2"/>
          </w:tcPr>
          <w:p>
            <w:pPr>
              <w:spacing w:after="0"/>
              <w:rPr>
                <w:sz w:val="20"/>
                <w:szCs w:val="20"/>
                <w:color w:val="auto"/>
              </w:rPr>
            </w:pPr>
            <w:r>
              <w:rPr>
                <w:rFonts w:ascii="Arial" w:cs="Arial" w:eastAsia="Arial" w:hAnsi="Arial"/>
                <w:sz w:val="16"/>
                <w:szCs w:val="16"/>
                <w:b w:val="1"/>
                <w:bCs w:val="1"/>
                <w:color w:val="auto"/>
                <w:w w:val="93"/>
              </w:rPr>
              <w:t>Net proceeds from equity offerings in the period ended September 30, 2018</w:t>
            </w: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164,953</w:t>
            </w:r>
          </w:p>
        </w:tc>
        <w:tc>
          <w:tcPr>
            <w:tcW w:w="180" w:type="dxa"/>
            <w:vAlign w:val="bottom"/>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198</w:t>
            </w:r>
          </w:p>
        </w:tc>
        <w:tc>
          <w:tcPr>
            <w:tcW w:w="14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165,151</w:t>
            </w:r>
          </w:p>
        </w:tc>
        <w:tc>
          <w:tcPr>
            <w:tcW w:w="120" w:type="dxa"/>
            <w:vAlign w:val="bottom"/>
          </w:tcPr>
          <w:p>
            <w:pPr>
              <w:spacing w:after="0"/>
              <w:rPr>
                <w:sz w:val="17"/>
                <w:szCs w:val="17"/>
                <w:color w:val="auto"/>
              </w:rPr>
            </w:pPr>
          </w:p>
        </w:tc>
      </w:tr>
      <w:tr>
        <w:trPr>
          <w:trHeight w:val="20"/>
        </w:trPr>
        <w:tc>
          <w:tcPr>
            <w:tcW w:w="4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09"/>
        </w:trPr>
        <w:tc>
          <w:tcPr>
            <w:tcW w:w="4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gridSpan w:val="2"/>
          </w:tcPr>
          <w:p>
            <w:pPr>
              <w:jc w:val="right"/>
              <w:ind w:right="599"/>
              <w:spacing w:after="0"/>
              <w:rPr>
                <w:sz w:val="20"/>
                <w:szCs w:val="20"/>
                <w:color w:val="auto"/>
              </w:rPr>
            </w:pPr>
            <w:r>
              <w:rPr>
                <w:rFonts w:ascii="Arial" w:cs="Arial" w:eastAsia="Arial" w:hAnsi="Arial"/>
                <w:sz w:val="16"/>
                <w:szCs w:val="16"/>
                <w:b w:val="1"/>
                <w:bCs w:val="1"/>
                <w:color w:val="auto"/>
              </w:rPr>
              <w:t>Cash flows</w:t>
            </w:r>
          </w:p>
        </w:tc>
        <w:tc>
          <w:tcPr>
            <w:tcW w:w="1520" w:type="dxa"/>
            <w:vAlign w:val="bottom"/>
            <w:gridSpan w:val="2"/>
          </w:tcPr>
          <w:p>
            <w:pPr>
              <w:ind w:left="160"/>
              <w:spacing w:after="0"/>
              <w:rPr>
                <w:sz w:val="20"/>
                <w:szCs w:val="20"/>
                <w:color w:val="auto"/>
              </w:rPr>
            </w:pPr>
            <w:r>
              <w:rPr>
                <w:rFonts w:ascii="Arial" w:cs="Arial" w:eastAsia="Arial" w:hAnsi="Arial"/>
                <w:sz w:val="16"/>
                <w:szCs w:val="16"/>
                <w:b w:val="1"/>
                <w:bCs w:val="1"/>
                <w:color w:val="auto"/>
              </w:rPr>
              <w:t>Non-cash items</w:t>
            </w:r>
          </w:p>
        </w:tc>
        <w:tc>
          <w:tcPr>
            <w:tcW w:w="1260" w:type="dxa"/>
            <w:vAlign w:val="bottom"/>
            <w:gridSpan w:val="2"/>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202"/>
        </w:trPr>
        <w:tc>
          <w:tcPr>
            <w:tcW w:w="538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6"/>
                <w:szCs w:val="16"/>
                <w:color w:val="auto"/>
              </w:rPr>
              <w:t>Equity related costs</w:t>
            </w:r>
          </w:p>
        </w:tc>
        <w:tc>
          <w:tcPr>
            <w:tcW w:w="600" w:type="dxa"/>
            <w:vAlign w:val="bottom"/>
            <w:tcBorders>
              <w:top w:val="single" w:sz="8" w:color="E5FFFF"/>
            </w:tcBorders>
            <w:shd w:val="clear" w:color="auto" w:fill="E5FFFF"/>
          </w:tcPr>
          <w:p>
            <w:pPr>
              <w:spacing w:after="0"/>
              <w:rPr>
                <w:sz w:val="17"/>
                <w:szCs w:val="17"/>
                <w:color w:val="auto"/>
              </w:rPr>
            </w:pPr>
          </w:p>
        </w:tc>
        <w:tc>
          <w:tcPr>
            <w:tcW w:w="240" w:type="dxa"/>
            <w:vAlign w:val="bottom"/>
            <w:tcBorders>
              <w:top w:val="single" w:sz="8" w:color="E5FFFF"/>
            </w:tcBorders>
            <w:shd w:val="clear" w:color="auto" w:fill="E5FFFF"/>
          </w:tcPr>
          <w:p>
            <w:pPr>
              <w:spacing w:after="0"/>
              <w:rPr>
                <w:sz w:val="17"/>
                <w:szCs w:val="17"/>
                <w:color w:val="auto"/>
              </w:rPr>
            </w:pPr>
          </w:p>
        </w:tc>
        <w:tc>
          <w:tcPr>
            <w:tcW w:w="17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(1,584)</w:t>
            </w:r>
          </w:p>
        </w:tc>
        <w:tc>
          <w:tcPr>
            <w:tcW w:w="18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1,051</w:t>
            </w:r>
          </w:p>
        </w:tc>
        <w:tc>
          <w:tcPr>
            <w:tcW w:w="14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(533)</w:t>
            </w:r>
          </w:p>
        </w:tc>
        <w:tc>
          <w:tcPr>
            <w:tcW w:w="120" w:type="dxa"/>
            <w:vAlign w:val="bottom"/>
            <w:tcBorders>
              <w:top w:val="single" w:sz="8" w:color="E5FFFF"/>
            </w:tcBorders>
            <w:shd w:val="clear" w:color="auto" w:fill="E5FFFF"/>
          </w:tcPr>
          <w:p>
            <w:pPr>
              <w:spacing w:after="0"/>
              <w:rPr>
                <w:sz w:val="17"/>
                <w:szCs w:val="17"/>
                <w:color w:val="auto"/>
              </w:rPr>
            </w:pPr>
          </w:p>
        </w:tc>
      </w:tr>
      <w:tr>
        <w:trPr>
          <w:trHeight w:val="207"/>
        </w:trPr>
        <w:tc>
          <w:tcPr>
            <w:tcW w:w="5380" w:type="dxa"/>
            <w:vAlign w:val="bottom"/>
            <w:gridSpan w:val="2"/>
          </w:tcPr>
          <w:p>
            <w:pPr>
              <w:spacing w:after="0"/>
              <w:rPr>
                <w:sz w:val="20"/>
                <w:szCs w:val="20"/>
                <w:color w:val="auto"/>
              </w:rPr>
            </w:pPr>
            <w:r>
              <w:rPr>
                <w:rFonts w:ascii="Arial" w:cs="Arial" w:eastAsia="Arial" w:hAnsi="Arial"/>
                <w:sz w:val="16"/>
                <w:szCs w:val="16"/>
                <w:b w:val="1"/>
                <w:bCs w:val="1"/>
                <w:color w:val="auto"/>
                <w:w w:val="95"/>
              </w:rPr>
              <w:t>Net payments for equity offerings in the period ended September 30, 2019</w:t>
            </w: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(1,584</w:t>
            </w:r>
          </w:p>
        </w:tc>
        <w:tc>
          <w:tcPr>
            <w:tcW w:w="180" w:type="dxa"/>
            <w:vAlign w:val="bottom"/>
          </w:tcPr>
          <w:p>
            <w:pPr>
              <w:jc w:val="right"/>
              <w:ind w:right="39"/>
              <w:spacing w:after="0"/>
              <w:rPr>
                <w:sz w:val="20"/>
                <w:szCs w:val="20"/>
                <w:color w:val="auto"/>
              </w:rPr>
            </w:pPr>
            <w:r>
              <w:rPr>
                <w:rFonts w:ascii="Arial" w:cs="Arial" w:eastAsia="Arial" w:hAnsi="Arial"/>
                <w:sz w:val="16"/>
                <w:szCs w:val="16"/>
                <w:b w:val="1"/>
                <w:bCs w:val="1"/>
                <w:color w:val="auto"/>
                <w:w w:val="74"/>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1,051</w:t>
            </w:r>
          </w:p>
        </w:tc>
        <w:tc>
          <w:tcPr>
            <w:tcW w:w="14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(533</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4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18. Share-Based Compensation</w:t>
      </w:r>
    </w:p>
    <w:p>
      <w:pPr>
        <w:spacing w:after="0" w:line="239" w:lineRule="exact"/>
        <w:rPr>
          <w:sz w:val="20"/>
          <w:szCs w:val="20"/>
          <w:color w:val="auto"/>
        </w:rPr>
      </w:pPr>
    </w:p>
    <w:p>
      <w:pPr>
        <w:ind w:right="40" w:firstLine="357"/>
        <w:spacing w:after="0" w:line="273" w:lineRule="auto"/>
        <w:rPr>
          <w:sz w:val="20"/>
          <w:szCs w:val="20"/>
          <w:color w:val="auto"/>
        </w:rPr>
      </w:pPr>
      <w:r>
        <w:rPr>
          <w:rFonts w:ascii="Arial" w:cs="Arial" w:eastAsia="Arial" w:hAnsi="Arial"/>
          <w:sz w:val="16"/>
          <w:szCs w:val="16"/>
          <w:color w:val="auto"/>
        </w:rPr>
        <w:t>The terms of the 2013 Omnibus Incentive Compensation Plan (the “Plan”) and the assumptions for the valuation of Restricted Stock Units (“RSUs”) and Stock Appreciation Rights or Stock Options (collectively, the “SARs”) and the terms of the GasLog Partners’ 2015 Long-Term Incentive Plan (the “GasLog Partners’ Plan”) and the assumptions for the valuation of Restricted Common Units (“RCUs”) and Performance Common Units (“PCUs”) have been disclosed in Note 22 “Share-Based Compensation” in the annual audited consolidated financial statements for the year ended December 31, 2018.</w:t>
      </w:r>
    </w:p>
    <w:p>
      <w:pPr>
        <w:spacing w:after="0" w:line="189" w:lineRule="exact"/>
        <w:rPr>
          <w:sz w:val="20"/>
          <w:szCs w:val="20"/>
          <w:color w:val="auto"/>
        </w:rPr>
      </w:pPr>
    </w:p>
    <w:p>
      <w:pPr>
        <w:ind w:right="60" w:firstLine="357"/>
        <w:spacing w:after="0" w:line="293" w:lineRule="auto"/>
        <w:rPr>
          <w:sz w:val="20"/>
          <w:szCs w:val="20"/>
          <w:color w:val="auto"/>
        </w:rPr>
      </w:pPr>
      <w:r>
        <w:rPr>
          <w:rFonts w:ascii="Arial" w:cs="Arial" w:eastAsia="Arial" w:hAnsi="Arial"/>
          <w:sz w:val="16"/>
          <w:szCs w:val="16"/>
          <w:color w:val="auto"/>
        </w:rPr>
        <w:t>On April 1, 2019, GasLog granted to executives, managers and certain employees of the Group 98,613 RSUs and 299,322 SARs in accordance with the Plan. The RSUs will vest on April 1, 2022 while the SARs will vest incrementally with one-third of the SARs vesting on each of April 1, 2020, 2021 and 2022.</w:t>
      </w:r>
    </w:p>
    <w:p>
      <w:pPr>
        <w:spacing w:after="0" w:line="172" w:lineRule="exact"/>
        <w:rPr>
          <w:sz w:val="20"/>
          <w:szCs w:val="20"/>
          <w:color w:val="auto"/>
        </w:rPr>
      </w:pPr>
    </w:p>
    <w:p>
      <w:pPr>
        <w:ind w:right="60" w:firstLine="357"/>
        <w:spacing w:after="0" w:line="293" w:lineRule="auto"/>
        <w:rPr>
          <w:sz w:val="20"/>
          <w:szCs w:val="20"/>
          <w:color w:val="auto"/>
        </w:rPr>
      </w:pPr>
      <w:r>
        <w:rPr>
          <w:rFonts w:ascii="Arial" w:cs="Arial" w:eastAsia="Arial" w:hAnsi="Arial"/>
          <w:sz w:val="16"/>
          <w:szCs w:val="16"/>
          <w:color w:val="auto"/>
        </w:rPr>
        <w:t>On August 20, 2019, GasLog granted to its executives an additional 7,410 RSUs and 27,132 SARs in accordance with the Plan. The RSUs will vest on August 20, 2022, while the SARs will vest incrementally with one-third of the SARs vesting on each of August 20, 2020, 2021 and 2022.</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compensation cost for the SARs is recognized on an accelerated basis as though each separately vesting portion of the SARs is a separate award.</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203"/>
        </w:trPr>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b w:val="1"/>
                <w:bCs w:val="1"/>
                <w:color w:val="auto"/>
              </w:rPr>
              <w:t>Fair value at</w:t>
            </w:r>
          </w:p>
        </w:tc>
      </w:tr>
      <w:tr>
        <w:trPr>
          <w:trHeight w:val="213"/>
        </w:trPr>
        <w:tc>
          <w:tcPr>
            <w:tcW w:w="1460" w:type="dxa"/>
            <w:vAlign w:val="bottom"/>
            <w:gridSpan w:val="2"/>
          </w:tcPr>
          <w:p>
            <w:pPr>
              <w:spacing w:after="0"/>
              <w:rPr>
                <w:sz w:val="20"/>
                <w:szCs w:val="20"/>
                <w:color w:val="auto"/>
              </w:rPr>
            </w:pPr>
            <w:r>
              <w:rPr>
                <w:rFonts w:ascii="Arial" w:cs="Arial" w:eastAsia="Arial" w:hAnsi="Arial"/>
                <w:sz w:val="16"/>
                <w:szCs w:val="16"/>
                <w:b w:val="1"/>
                <w:bCs w:val="1"/>
                <w:color w:val="auto"/>
              </w:rPr>
              <w:t>Awards</w:t>
            </w:r>
          </w:p>
        </w:tc>
        <w:tc>
          <w:tcPr>
            <w:tcW w:w="700" w:type="dxa"/>
            <w:vAlign w:val="bottom"/>
          </w:tcPr>
          <w:p>
            <w:pPr>
              <w:spacing w:after="0"/>
              <w:rPr>
                <w:sz w:val="20"/>
                <w:szCs w:val="20"/>
                <w:color w:val="auto"/>
              </w:rPr>
            </w:pPr>
            <w:r>
              <w:rPr>
                <w:rFonts w:ascii="Arial" w:cs="Arial" w:eastAsia="Arial" w:hAnsi="Arial"/>
                <w:sz w:val="16"/>
                <w:szCs w:val="16"/>
                <w:b w:val="1"/>
                <w:bCs w:val="1"/>
                <w:color w:val="auto"/>
              </w:rPr>
              <w:t>Number</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ind w:left="400"/>
              <w:spacing w:after="0"/>
              <w:rPr>
                <w:sz w:val="20"/>
                <w:szCs w:val="20"/>
                <w:color w:val="auto"/>
              </w:rPr>
            </w:pPr>
            <w:r>
              <w:rPr>
                <w:rFonts w:ascii="Arial" w:cs="Arial" w:eastAsia="Arial" w:hAnsi="Arial"/>
                <w:sz w:val="16"/>
                <w:szCs w:val="16"/>
                <w:b w:val="1"/>
                <w:bCs w:val="1"/>
                <w:color w:val="auto"/>
              </w:rPr>
              <w:t>Grant date</w:t>
            </w:r>
          </w:p>
        </w:tc>
        <w:tc>
          <w:tcPr>
            <w:tcW w:w="1620" w:type="dxa"/>
            <w:vAlign w:val="bottom"/>
            <w:gridSpan w:val="2"/>
          </w:tcPr>
          <w:p>
            <w:pPr>
              <w:ind w:left="280"/>
              <w:spacing w:after="0"/>
              <w:rPr>
                <w:sz w:val="20"/>
                <w:szCs w:val="20"/>
                <w:color w:val="auto"/>
              </w:rPr>
            </w:pPr>
            <w:r>
              <w:rPr>
                <w:rFonts w:ascii="Arial" w:cs="Arial" w:eastAsia="Arial" w:hAnsi="Arial"/>
                <w:sz w:val="16"/>
                <w:szCs w:val="16"/>
                <w:b w:val="1"/>
                <w:bCs w:val="1"/>
                <w:color w:val="auto"/>
              </w:rPr>
              <w:t>Expiry date</w:t>
            </w:r>
          </w:p>
        </w:tc>
        <w:tc>
          <w:tcPr>
            <w:tcW w:w="1300" w:type="dxa"/>
            <w:vAlign w:val="bottom"/>
            <w:gridSpan w:val="2"/>
          </w:tcPr>
          <w:p>
            <w:pPr>
              <w:ind w:left="80"/>
              <w:spacing w:after="0"/>
              <w:rPr>
                <w:sz w:val="20"/>
                <w:szCs w:val="20"/>
                <w:color w:val="auto"/>
              </w:rPr>
            </w:pPr>
            <w:r>
              <w:rPr>
                <w:rFonts w:ascii="Arial" w:cs="Arial" w:eastAsia="Arial" w:hAnsi="Arial"/>
                <w:sz w:val="16"/>
                <w:szCs w:val="16"/>
                <w:b w:val="1"/>
                <w:bCs w:val="1"/>
                <w:color w:val="auto"/>
              </w:rPr>
              <w:t>Exercise price</w:t>
            </w:r>
          </w:p>
        </w:tc>
        <w:tc>
          <w:tcPr>
            <w:tcW w:w="1420" w:type="dxa"/>
            <w:vAlign w:val="bottom"/>
          </w:tcPr>
          <w:p>
            <w:pPr>
              <w:jc w:val="right"/>
              <w:ind w:right="199"/>
              <w:spacing w:after="0"/>
              <w:rPr>
                <w:sz w:val="20"/>
                <w:szCs w:val="20"/>
                <w:color w:val="auto"/>
              </w:rPr>
            </w:pPr>
            <w:r>
              <w:rPr>
                <w:rFonts w:ascii="Arial" w:cs="Arial" w:eastAsia="Arial" w:hAnsi="Arial"/>
                <w:sz w:val="16"/>
                <w:szCs w:val="16"/>
                <w:b w:val="1"/>
                <w:bCs w:val="1"/>
                <w:color w:val="auto"/>
              </w:rPr>
              <w:t>grant date</w:t>
            </w:r>
          </w:p>
        </w:tc>
      </w:tr>
      <w:tr>
        <w:trPr>
          <w:trHeight w:val="199"/>
        </w:trPr>
        <w:tc>
          <w:tcPr>
            <w:tcW w:w="118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color w:val="auto"/>
              </w:rPr>
              <w:t>RSUs</w:t>
            </w:r>
          </w:p>
        </w:tc>
        <w:tc>
          <w:tcPr>
            <w:tcW w:w="280" w:type="dxa"/>
            <w:vAlign w:val="bottom"/>
            <w:tcBorders>
              <w:top w:val="single" w:sz="8" w:color="E5FFFF"/>
            </w:tcBorders>
            <w:shd w:val="clear" w:color="auto" w:fill="E5FFFF"/>
          </w:tcPr>
          <w:p>
            <w:pPr>
              <w:spacing w:after="0"/>
              <w:rPr>
                <w:sz w:val="17"/>
                <w:szCs w:val="17"/>
                <w:color w:val="auto"/>
              </w:rPr>
            </w:pPr>
          </w:p>
        </w:tc>
        <w:tc>
          <w:tcPr>
            <w:tcW w:w="700" w:type="dxa"/>
            <w:vAlign w:val="bottom"/>
            <w:tcBorders>
              <w:top w:val="single" w:sz="8" w:color="auto"/>
            </w:tcBorders>
            <w:shd w:val="clear" w:color="auto" w:fill="E5FFFF"/>
          </w:tcPr>
          <w:p>
            <w:pPr>
              <w:spacing w:after="0"/>
              <w:rPr>
                <w:sz w:val="17"/>
                <w:szCs w:val="17"/>
                <w:color w:val="auto"/>
              </w:rPr>
            </w:pPr>
          </w:p>
        </w:tc>
        <w:tc>
          <w:tcPr>
            <w:tcW w:w="740" w:type="dxa"/>
            <w:vAlign w:val="bottom"/>
            <w:tcBorders>
              <w:top w:val="single" w:sz="8" w:color="auto"/>
            </w:tcBorders>
            <w:shd w:val="clear" w:color="auto" w:fill="E5FFFF"/>
          </w:tcPr>
          <w:p>
            <w:pPr>
              <w:jc w:val="right"/>
              <w:ind w:right="19"/>
              <w:spacing w:after="0"/>
              <w:rPr>
                <w:sz w:val="20"/>
                <w:szCs w:val="20"/>
                <w:color w:val="auto"/>
              </w:rPr>
            </w:pPr>
            <w:r>
              <w:rPr>
                <w:rFonts w:ascii="Arial" w:cs="Arial" w:eastAsia="Arial" w:hAnsi="Arial"/>
                <w:sz w:val="16"/>
                <w:szCs w:val="16"/>
                <w:color w:val="auto"/>
              </w:rPr>
              <w:t>98,613</w:t>
            </w:r>
          </w:p>
        </w:tc>
        <w:tc>
          <w:tcPr>
            <w:tcW w:w="260" w:type="dxa"/>
            <w:vAlign w:val="bottom"/>
            <w:tcBorders>
              <w:top w:val="single" w:sz="8" w:color="E5FFFF"/>
            </w:tcBorders>
            <w:shd w:val="clear" w:color="auto" w:fill="E5FFFF"/>
          </w:tcPr>
          <w:p>
            <w:pPr>
              <w:spacing w:after="0"/>
              <w:rPr>
                <w:sz w:val="17"/>
                <w:szCs w:val="17"/>
                <w:color w:val="auto"/>
              </w:rPr>
            </w:pPr>
          </w:p>
        </w:tc>
        <w:tc>
          <w:tcPr>
            <w:tcW w:w="154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color w:val="auto"/>
              </w:rPr>
              <w:t>April 1, 2019</w:t>
            </w:r>
          </w:p>
        </w:tc>
        <w:tc>
          <w:tcPr>
            <w:tcW w:w="20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color w:val="auto"/>
              </w:rPr>
              <w:t>n/a</w:t>
            </w:r>
          </w:p>
        </w:tc>
        <w:tc>
          <w:tcPr>
            <w:tcW w:w="24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n/a</w:t>
            </w:r>
          </w:p>
        </w:tc>
        <w:tc>
          <w:tcPr>
            <w:tcW w:w="160" w:type="dxa"/>
            <w:vAlign w:val="bottom"/>
            <w:tcBorders>
              <w:top w:val="single" w:sz="8" w:color="E5FFFF"/>
            </w:tcBorders>
            <w:shd w:val="clear" w:color="auto" w:fill="E5FFFF"/>
          </w:tcPr>
          <w:p>
            <w:pPr>
              <w:spacing w:after="0"/>
              <w:rPr>
                <w:sz w:val="17"/>
                <w:szCs w:val="17"/>
                <w:color w:val="auto"/>
              </w:rPr>
            </w:pPr>
          </w:p>
        </w:tc>
        <w:tc>
          <w:tcPr>
            <w:tcW w:w="1420" w:type="dxa"/>
            <w:vAlign w:val="bottom"/>
            <w:tcBorders>
              <w:top w:val="single" w:sz="8" w:color="auto"/>
            </w:tcBorders>
            <w:shd w:val="clear" w:color="auto" w:fill="E5FFFF"/>
          </w:tcPr>
          <w:p>
            <w:pPr>
              <w:jc w:val="right"/>
              <w:ind w:right="99"/>
              <w:spacing w:after="0"/>
              <w:rPr>
                <w:sz w:val="20"/>
                <w:szCs w:val="20"/>
                <w:color w:val="auto"/>
              </w:rPr>
            </w:pPr>
            <w:r>
              <w:rPr>
                <w:rFonts w:ascii="Arial" w:cs="Arial" w:eastAsia="Arial" w:hAnsi="Arial"/>
                <w:sz w:val="16"/>
                <w:szCs w:val="16"/>
                <w:color w:val="auto"/>
              </w:rPr>
              <w:t>$17.79</w:t>
            </w:r>
          </w:p>
        </w:tc>
      </w:tr>
      <w:tr>
        <w:trPr>
          <w:trHeight w:val="203"/>
        </w:trPr>
        <w:tc>
          <w:tcPr>
            <w:tcW w:w="1460" w:type="dxa"/>
            <w:vAlign w:val="bottom"/>
            <w:gridSpan w:val="2"/>
          </w:tcPr>
          <w:p>
            <w:pPr>
              <w:spacing w:after="0"/>
              <w:rPr>
                <w:sz w:val="20"/>
                <w:szCs w:val="20"/>
                <w:color w:val="auto"/>
              </w:rPr>
            </w:pPr>
            <w:r>
              <w:rPr>
                <w:rFonts w:ascii="Arial" w:cs="Arial" w:eastAsia="Arial" w:hAnsi="Arial"/>
                <w:sz w:val="16"/>
                <w:szCs w:val="16"/>
                <w:color w:val="auto"/>
              </w:rPr>
              <w:t>SARs</w:t>
            </w:r>
          </w:p>
        </w:tc>
        <w:tc>
          <w:tcPr>
            <w:tcW w:w="70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299,322</w:t>
            </w:r>
          </w:p>
        </w:tc>
        <w:tc>
          <w:tcPr>
            <w:tcW w:w="260" w:type="dxa"/>
            <w:vAlign w:val="bottom"/>
          </w:tcPr>
          <w:p>
            <w:pPr>
              <w:spacing w:after="0"/>
              <w:rPr>
                <w:sz w:val="17"/>
                <w:szCs w:val="17"/>
                <w:color w:val="auto"/>
              </w:rPr>
            </w:pPr>
          </w:p>
        </w:tc>
        <w:tc>
          <w:tcPr>
            <w:tcW w:w="1740" w:type="dxa"/>
            <w:vAlign w:val="bottom"/>
            <w:gridSpan w:val="2"/>
          </w:tcPr>
          <w:p>
            <w:pPr>
              <w:spacing w:after="0"/>
              <w:rPr>
                <w:sz w:val="20"/>
                <w:szCs w:val="20"/>
                <w:color w:val="auto"/>
              </w:rPr>
            </w:pPr>
            <w:r>
              <w:rPr>
                <w:rFonts w:ascii="Arial" w:cs="Arial" w:eastAsia="Arial" w:hAnsi="Arial"/>
                <w:sz w:val="16"/>
                <w:szCs w:val="16"/>
                <w:color w:val="auto"/>
              </w:rPr>
              <w:t>April 1, 2019</w:t>
            </w:r>
          </w:p>
        </w:tc>
        <w:tc>
          <w:tcPr>
            <w:tcW w:w="1620" w:type="dxa"/>
            <w:vAlign w:val="bottom"/>
            <w:gridSpan w:val="2"/>
          </w:tcPr>
          <w:p>
            <w:pPr>
              <w:spacing w:after="0"/>
              <w:rPr>
                <w:sz w:val="20"/>
                <w:szCs w:val="20"/>
                <w:color w:val="auto"/>
              </w:rPr>
            </w:pPr>
            <w:r>
              <w:rPr>
                <w:rFonts w:ascii="Arial" w:cs="Arial" w:eastAsia="Arial" w:hAnsi="Arial"/>
                <w:sz w:val="16"/>
                <w:szCs w:val="16"/>
                <w:color w:val="auto"/>
              </w:rPr>
              <w:t>April 1, 2029</w:t>
            </w:r>
          </w:p>
        </w:tc>
        <w:tc>
          <w:tcPr>
            <w:tcW w:w="1140" w:type="dxa"/>
            <w:vAlign w:val="bottom"/>
          </w:tcPr>
          <w:p>
            <w:pPr>
              <w:jc w:val="right"/>
              <w:spacing w:after="0"/>
              <w:rPr>
                <w:sz w:val="20"/>
                <w:szCs w:val="20"/>
                <w:color w:val="auto"/>
              </w:rPr>
            </w:pPr>
            <w:r>
              <w:rPr>
                <w:rFonts w:ascii="Arial" w:cs="Arial" w:eastAsia="Arial" w:hAnsi="Arial"/>
                <w:sz w:val="16"/>
                <w:szCs w:val="16"/>
                <w:color w:val="auto"/>
              </w:rPr>
              <w:t>$17.79</w:t>
            </w:r>
          </w:p>
        </w:tc>
        <w:tc>
          <w:tcPr>
            <w:tcW w:w="160" w:type="dxa"/>
            <w:vAlign w:val="bottom"/>
          </w:tcPr>
          <w:p>
            <w:pPr>
              <w:spacing w:after="0"/>
              <w:rPr>
                <w:sz w:val="17"/>
                <w:szCs w:val="17"/>
                <w:color w:val="auto"/>
              </w:rPr>
            </w:pPr>
          </w:p>
        </w:tc>
        <w:tc>
          <w:tcPr>
            <w:tcW w:w="1420" w:type="dxa"/>
            <w:vAlign w:val="bottom"/>
          </w:tcPr>
          <w:p>
            <w:pPr>
              <w:jc w:val="right"/>
              <w:ind w:right="99"/>
              <w:spacing w:after="0"/>
              <w:rPr>
                <w:sz w:val="20"/>
                <w:szCs w:val="20"/>
                <w:color w:val="auto"/>
              </w:rPr>
            </w:pPr>
            <w:r>
              <w:rPr>
                <w:rFonts w:ascii="Arial" w:cs="Arial" w:eastAsia="Arial" w:hAnsi="Arial"/>
                <w:sz w:val="16"/>
                <w:szCs w:val="16"/>
                <w:color w:val="auto"/>
              </w:rPr>
              <w:t>$5.8612</w:t>
            </w:r>
          </w:p>
        </w:tc>
      </w:tr>
      <w:tr>
        <w:trPr>
          <w:trHeight w:val="203"/>
        </w:trPr>
        <w:tc>
          <w:tcPr>
            <w:tcW w:w="14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RSUs</w:t>
            </w:r>
          </w:p>
        </w:tc>
        <w:tc>
          <w:tcPr>
            <w:tcW w:w="700" w:type="dxa"/>
            <w:vAlign w:val="bottom"/>
            <w:shd w:val="clear" w:color="auto" w:fill="E5FFFF"/>
          </w:tcPr>
          <w:p>
            <w:pPr>
              <w:spacing w:after="0"/>
              <w:rPr>
                <w:sz w:val="17"/>
                <w:szCs w:val="17"/>
                <w:color w:val="auto"/>
              </w:rPr>
            </w:pPr>
          </w:p>
        </w:tc>
        <w:tc>
          <w:tcPr>
            <w:tcW w:w="740" w:type="dxa"/>
            <w:vAlign w:val="bottom"/>
            <w:shd w:val="clear" w:color="auto" w:fill="E5FFFF"/>
          </w:tcPr>
          <w:p>
            <w:pPr>
              <w:jc w:val="right"/>
              <w:ind w:right="19"/>
              <w:spacing w:after="0"/>
              <w:rPr>
                <w:sz w:val="20"/>
                <w:szCs w:val="20"/>
                <w:color w:val="auto"/>
              </w:rPr>
            </w:pPr>
            <w:r>
              <w:rPr>
                <w:rFonts w:ascii="Arial" w:cs="Arial" w:eastAsia="Arial" w:hAnsi="Arial"/>
                <w:sz w:val="16"/>
                <w:szCs w:val="16"/>
                <w:color w:val="auto"/>
              </w:rPr>
              <w:t>7,410</w:t>
            </w:r>
          </w:p>
        </w:tc>
        <w:tc>
          <w:tcPr>
            <w:tcW w:w="260" w:type="dxa"/>
            <w:vAlign w:val="bottom"/>
            <w:shd w:val="clear" w:color="auto" w:fill="E5FFFF"/>
          </w:tcPr>
          <w:p>
            <w:pPr>
              <w:spacing w:after="0"/>
              <w:rPr>
                <w:sz w:val="17"/>
                <w:szCs w:val="17"/>
                <w:color w:val="auto"/>
              </w:rPr>
            </w:pPr>
          </w:p>
        </w:tc>
        <w:tc>
          <w:tcPr>
            <w:tcW w:w="174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August 20, 2019</w:t>
            </w:r>
          </w:p>
        </w:tc>
        <w:tc>
          <w:tcPr>
            <w:tcW w:w="162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n/a</w:t>
            </w:r>
          </w:p>
        </w:tc>
        <w:tc>
          <w:tcPr>
            <w:tcW w:w="130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n/a</w:t>
            </w:r>
          </w:p>
        </w:tc>
        <w:tc>
          <w:tcPr>
            <w:tcW w:w="1420" w:type="dxa"/>
            <w:vAlign w:val="bottom"/>
            <w:shd w:val="clear" w:color="auto" w:fill="E5FFFF"/>
          </w:tcPr>
          <w:p>
            <w:pPr>
              <w:jc w:val="right"/>
              <w:ind w:right="99"/>
              <w:spacing w:after="0"/>
              <w:rPr>
                <w:sz w:val="20"/>
                <w:szCs w:val="20"/>
                <w:color w:val="auto"/>
              </w:rPr>
            </w:pPr>
            <w:r>
              <w:rPr>
                <w:rFonts w:ascii="Arial" w:cs="Arial" w:eastAsia="Arial" w:hAnsi="Arial"/>
                <w:sz w:val="16"/>
                <w:szCs w:val="16"/>
                <w:color w:val="auto"/>
              </w:rPr>
              <w:t>$12.34</w:t>
            </w:r>
          </w:p>
        </w:tc>
      </w:tr>
      <w:tr>
        <w:trPr>
          <w:trHeight w:val="206"/>
        </w:trPr>
        <w:tc>
          <w:tcPr>
            <w:tcW w:w="1460" w:type="dxa"/>
            <w:vAlign w:val="bottom"/>
            <w:gridSpan w:val="2"/>
          </w:tcPr>
          <w:p>
            <w:pPr>
              <w:spacing w:after="0"/>
              <w:rPr>
                <w:sz w:val="20"/>
                <w:szCs w:val="20"/>
                <w:color w:val="auto"/>
              </w:rPr>
            </w:pPr>
            <w:r>
              <w:rPr>
                <w:rFonts w:ascii="Arial" w:cs="Arial" w:eastAsia="Arial" w:hAnsi="Arial"/>
                <w:sz w:val="16"/>
                <w:szCs w:val="16"/>
                <w:color w:val="auto"/>
              </w:rPr>
              <w:t>SARs</w:t>
            </w:r>
          </w:p>
        </w:tc>
        <w:tc>
          <w:tcPr>
            <w:tcW w:w="70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27,132</w:t>
            </w:r>
          </w:p>
        </w:tc>
        <w:tc>
          <w:tcPr>
            <w:tcW w:w="260" w:type="dxa"/>
            <w:vAlign w:val="bottom"/>
          </w:tcPr>
          <w:p>
            <w:pPr>
              <w:spacing w:after="0"/>
              <w:rPr>
                <w:sz w:val="17"/>
                <w:szCs w:val="17"/>
                <w:color w:val="auto"/>
              </w:rPr>
            </w:pPr>
          </w:p>
        </w:tc>
        <w:tc>
          <w:tcPr>
            <w:tcW w:w="1740" w:type="dxa"/>
            <w:vAlign w:val="bottom"/>
            <w:gridSpan w:val="2"/>
          </w:tcPr>
          <w:p>
            <w:pPr>
              <w:spacing w:after="0"/>
              <w:rPr>
                <w:sz w:val="20"/>
                <w:szCs w:val="20"/>
                <w:color w:val="auto"/>
              </w:rPr>
            </w:pPr>
            <w:r>
              <w:rPr>
                <w:rFonts w:ascii="Arial" w:cs="Arial" w:eastAsia="Arial" w:hAnsi="Arial"/>
                <w:sz w:val="16"/>
                <w:szCs w:val="16"/>
                <w:color w:val="auto"/>
              </w:rPr>
              <w:t>August 20, 2019</w:t>
            </w:r>
          </w:p>
        </w:tc>
        <w:tc>
          <w:tcPr>
            <w:tcW w:w="1620" w:type="dxa"/>
            <w:vAlign w:val="bottom"/>
            <w:gridSpan w:val="2"/>
          </w:tcPr>
          <w:p>
            <w:pPr>
              <w:spacing w:after="0"/>
              <w:rPr>
                <w:sz w:val="20"/>
                <w:szCs w:val="20"/>
                <w:color w:val="auto"/>
              </w:rPr>
            </w:pPr>
            <w:r>
              <w:rPr>
                <w:rFonts w:ascii="Arial" w:cs="Arial" w:eastAsia="Arial" w:hAnsi="Arial"/>
                <w:sz w:val="16"/>
                <w:szCs w:val="16"/>
                <w:color w:val="auto"/>
              </w:rPr>
              <w:t>August 20, 2029</w:t>
            </w:r>
          </w:p>
        </w:tc>
        <w:tc>
          <w:tcPr>
            <w:tcW w:w="1140" w:type="dxa"/>
            <w:vAlign w:val="bottom"/>
          </w:tcPr>
          <w:p>
            <w:pPr>
              <w:jc w:val="right"/>
              <w:spacing w:after="0"/>
              <w:rPr>
                <w:sz w:val="20"/>
                <w:szCs w:val="20"/>
                <w:color w:val="auto"/>
              </w:rPr>
            </w:pPr>
            <w:r>
              <w:rPr>
                <w:rFonts w:ascii="Arial" w:cs="Arial" w:eastAsia="Arial" w:hAnsi="Arial"/>
                <w:sz w:val="16"/>
                <w:szCs w:val="16"/>
                <w:color w:val="auto"/>
              </w:rPr>
              <w:t>$12.34</w:t>
            </w:r>
          </w:p>
        </w:tc>
        <w:tc>
          <w:tcPr>
            <w:tcW w:w="160" w:type="dxa"/>
            <w:vAlign w:val="bottom"/>
          </w:tcPr>
          <w:p>
            <w:pPr>
              <w:spacing w:after="0"/>
              <w:rPr>
                <w:sz w:val="17"/>
                <w:szCs w:val="17"/>
                <w:color w:val="auto"/>
              </w:rPr>
            </w:pPr>
          </w:p>
        </w:tc>
        <w:tc>
          <w:tcPr>
            <w:tcW w:w="1420" w:type="dxa"/>
            <w:vAlign w:val="bottom"/>
          </w:tcPr>
          <w:p>
            <w:pPr>
              <w:jc w:val="right"/>
              <w:ind w:right="99"/>
              <w:spacing w:after="0"/>
              <w:rPr>
                <w:sz w:val="20"/>
                <w:szCs w:val="20"/>
                <w:color w:val="auto"/>
              </w:rPr>
            </w:pPr>
            <w:r>
              <w:rPr>
                <w:rFonts w:ascii="Arial" w:cs="Arial" w:eastAsia="Arial" w:hAnsi="Arial"/>
                <w:sz w:val="16"/>
                <w:szCs w:val="16"/>
                <w:color w:val="auto"/>
              </w:rPr>
              <w:t>$3.37</w:t>
            </w: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40" w:firstLine="357"/>
        <w:spacing w:after="0" w:line="273" w:lineRule="auto"/>
        <w:rPr>
          <w:sz w:val="20"/>
          <w:szCs w:val="20"/>
          <w:color w:val="auto"/>
        </w:rPr>
      </w:pPr>
      <w:r>
        <w:rPr>
          <w:rFonts w:ascii="Arial" w:cs="Arial" w:eastAsia="Arial" w:hAnsi="Arial"/>
          <w:sz w:val="16"/>
          <w:szCs w:val="16"/>
          <w:color w:val="auto"/>
        </w:rPr>
        <w:t>In accordance with the terms of the Plan, there are only service condition requirements. The awards will be settled in cash or in shares at the sole discretion of the compensation committee of the board of directors. These awards have been treated as equity settled because the Group has no present obligation to settle in cash. The amount to be settled for each SAR exercised is computed, in each case, as the excess, if any, of the fair market value (the closing price of shares) on the exercise date over the exercise price of the SAR.</w:t>
      </w:r>
    </w:p>
    <w:p>
      <w:pPr>
        <w:spacing w:after="0" w:line="189" w:lineRule="exact"/>
        <w:rPr>
          <w:sz w:val="20"/>
          <w:szCs w:val="20"/>
          <w:color w:val="auto"/>
        </w:rPr>
      </w:pPr>
    </w:p>
    <w:p>
      <w:pPr>
        <w:ind w:right="120" w:firstLine="436"/>
        <w:spacing w:after="0" w:line="278" w:lineRule="auto"/>
        <w:rPr>
          <w:sz w:val="20"/>
          <w:szCs w:val="20"/>
          <w:color w:val="auto"/>
        </w:rPr>
      </w:pPr>
      <w:r>
        <w:rPr>
          <w:rFonts w:ascii="Arial" w:cs="Arial" w:eastAsia="Arial" w:hAnsi="Arial"/>
          <w:sz w:val="16"/>
          <w:szCs w:val="16"/>
          <w:color w:val="auto"/>
        </w:rPr>
        <w:t>The fair value of the SARs has been calculated based on the Modified Black-Scholes-Merton method. Expected volatility was based on historical share price volatility for the period since GasLog’s initial public offering. The expected dividend is based on management’s expectations of future payments on the grant date. The significant assumptions used to estimate the fair value of the SARs granted in 2019 are set out below:</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6" w:right="299" w:bottom="1440" w:gutter="0" w:footer="0" w:header="0"/>
        </w:sectPr>
      </w:pPr>
    </w:p>
    <w:bookmarkStart w:id="46" w:name="page47"/>
    <w:bookmarkEnd w:id="46"/>
    <w:tbl>
      <w:tblPr>
        <w:tblLayout w:type="fixed"/>
        <w:tblInd w:w="980" w:type="dxa"/>
        <w:tblCellMar>
          <w:top w:w="0" w:type="dxa"/>
          <w:left w:w="0" w:type="dxa"/>
          <w:bottom w:w="0" w:type="dxa"/>
          <w:right w:w="0" w:type="dxa"/>
        </w:tblCellMar>
      </w:tblPr>
      <w:tr>
        <w:trPr>
          <w:trHeight w:val="184"/>
        </w:trPr>
        <w:tc>
          <w:tcPr>
            <w:tcW w:w="3580" w:type="dxa"/>
            <w:vAlign w:val="bottom"/>
            <w:gridSpan w:val="3"/>
          </w:tcPr>
          <w:p>
            <w:pPr>
              <w:spacing w:after="0"/>
              <w:rPr>
                <w:sz w:val="20"/>
                <w:szCs w:val="20"/>
                <w:color w:val="auto"/>
              </w:rPr>
            </w:pPr>
            <w:r>
              <w:rPr>
                <w:rFonts w:ascii="Arial" w:cs="Arial" w:eastAsia="Arial" w:hAnsi="Arial"/>
                <w:sz w:val="16"/>
                <w:szCs w:val="16"/>
                <w:b w:val="1"/>
                <w:bCs w:val="1"/>
                <w:color w:val="auto"/>
              </w:rPr>
              <w:t>Inputs into the model</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April</w:t>
            </w:r>
          </w:p>
        </w:tc>
        <w:tc>
          <w:tcPr>
            <w:tcW w:w="140" w:type="dxa"/>
            <w:vAlign w:val="bottom"/>
          </w:tcPr>
          <w:p>
            <w:pPr>
              <w:spacing w:after="0"/>
              <w:rPr>
                <w:sz w:val="16"/>
                <w:szCs w:val="16"/>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7"/>
              </w:rPr>
              <w:t>August</w:t>
            </w:r>
          </w:p>
        </w:tc>
      </w:tr>
      <w:tr>
        <w:trPr>
          <w:trHeight w:val="21"/>
        </w:trPr>
        <w:tc>
          <w:tcPr>
            <w:tcW w:w="20" w:type="dxa"/>
            <w:vAlign w:val="bottom"/>
          </w:tcPr>
          <w:p>
            <w:pPr>
              <w:spacing w:after="0" w:line="20" w:lineRule="exact"/>
              <w:rPr>
                <w:sz w:val="1"/>
                <w:szCs w:val="1"/>
                <w:color w:val="auto"/>
              </w:rPr>
            </w:pPr>
          </w:p>
        </w:tc>
        <w:tc>
          <w:tcPr>
            <w:tcW w:w="1460" w:type="dxa"/>
            <w:vAlign w:val="bottom"/>
            <w:tcBorders>
              <w:top w:val="single" w:sz="8" w:color="auto"/>
              <w:bottom w:val="single" w:sz="8" w:color="E5FFFF"/>
            </w:tcBorders>
          </w:tcPr>
          <w:p>
            <w:pPr>
              <w:spacing w:after="0" w:line="20" w:lineRule="exact"/>
              <w:rPr>
                <w:sz w:val="1"/>
                <w:szCs w:val="1"/>
                <w:color w:val="auto"/>
              </w:rPr>
            </w:pPr>
          </w:p>
        </w:tc>
        <w:tc>
          <w:tcPr>
            <w:tcW w:w="2100" w:type="dxa"/>
            <w:vAlign w:val="bottom"/>
            <w:tcBorders>
              <w:bottom w:val="single" w:sz="8" w:color="E5FFFF"/>
            </w:tcBorders>
          </w:tcPr>
          <w:p>
            <w:pPr>
              <w:spacing w:after="0" w:line="20" w:lineRule="exact"/>
              <w:rPr>
                <w:sz w:val="1"/>
                <w:szCs w:val="1"/>
                <w:color w:val="auto"/>
              </w:rPr>
            </w:pPr>
          </w:p>
        </w:tc>
        <w:tc>
          <w:tcPr>
            <w:tcW w:w="360" w:type="dxa"/>
            <w:vAlign w:val="bottom"/>
            <w:tcBorders>
              <w:bottom w:val="single" w:sz="8" w:color="E5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E5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E5FFFF"/>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Grant date share closing price</w:t>
            </w:r>
          </w:p>
        </w:tc>
        <w:tc>
          <w:tcPr>
            <w:tcW w:w="360" w:type="dxa"/>
            <w:vAlign w:val="bottom"/>
            <w:shd w:val="clear" w:color="auto" w:fill="E5FFFF"/>
          </w:tcPr>
          <w:p>
            <w:pPr>
              <w:spacing w:after="0"/>
              <w:rPr>
                <w:sz w:val="17"/>
                <w:szCs w:val="17"/>
                <w:color w:val="auto"/>
              </w:rPr>
            </w:pPr>
          </w:p>
        </w:tc>
        <w:tc>
          <w:tcPr>
            <w:tcW w:w="160" w:type="dxa"/>
            <w:vAlign w:val="bottom"/>
            <w:shd w:val="clear" w:color="auto" w:fill="E5FFFF"/>
          </w:tcPr>
          <w:p>
            <w:pPr>
              <w:jc w:val="right"/>
              <w:ind w:right="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17.79</w:t>
            </w:r>
          </w:p>
        </w:tc>
        <w:tc>
          <w:tcPr>
            <w:tcW w:w="180" w:type="dxa"/>
            <w:vAlign w:val="bottom"/>
            <w:shd w:val="clear" w:color="auto" w:fill="E5FFFF"/>
          </w:tcPr>
          <w:p>
            <w:pPr>
              <w:spacing w:after="0"/>
              <w:rPr>
                <w:sz w:val="17"/>
                <w:szCs w:val="17"/>
                <w:color w:val="auto"/>
              </w:rPr>
            </w:pPr>
          </w:p>
        </w:tc>
        <w:tc>
          <w:tcPr>
            <w:tcW w:w="140" w:type="dxa"/>
            <w:vAlign w:val="bottom"/>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12.34</w:t>
            </w:r>
          </w:p>
        </w:tc>
        <w:tc>
          <w:tcPr>
            <w:tcW w:w="160" w:type="dxa"/>
            <w:vAlign w:val="bottom"/>
            <w:shd w:val="clear" w:color="auto" w:fill="E5FF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560" w:type="dxa"/>
            <w:vAlign w:val="bottom"/>
            <w:gridSpan w:val="2"/>
          </w:tcPr>
          <w:p>
            <w:pPr>
              <w:spacing w:after="0"/>
              <w:rPr>
                <w:sz w:val="20"/>
                <w:szCs w:val="20"/>
                <w:color w:val="auto"/>
              </w:rPr>
            </w:pPr>
            <w:r>
              <w:rPr>
                <w:rFonts w:ascii="Arial" w:cs="Arial" w:eastAsia="Arial" w:hAnsi="Arial"/>
                <w:sz w:val="16"/>
                <w:szCs w:val="16"/>
                <w:color w:val="auto"/>
              </w:rPr>
              <w:t>Exercise price</w:t>
            </w:r>
          </w:p>
        </w:tc>
        <w:tc>
          <w:tcPr>
            <w:tcW w:w="52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17.79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12.34</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5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Expected volatility</w:t>
            </w:r>
          </w:p>
        </w:tc>
        <w:tc>
          <w:tcPr>
            <w:tcW w:w="3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90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45.03%</w:t>
            </w:r>
          </w:p>
        </w:tc>
        <w:tc>
          <w:tcPr>
            <w:tcW w:w="140" w:type="dxa"/>
            <w:vAlign w:val="bottom"/>
            <w:shd w:val="clear" w:color="auto" w:fill="E5FFFF"/>
          </w:tcPr>
          <w:p>
            <w:pPr>
              <w:spacing w:after="0"/>
              <w:rPr>
                <w:sz w:val="17"/>
                <w:szCs w:val="17"/>
                <w:color w:val="auto"/>
              </w:rPr>
            </w:pPr>
          </w:p>
        </w:tc>
        <w:tc>
          <w:tcPr>
            <w:tcW w:w="90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45.8%</w:t>
            </w:r>
          </w:p>
        </w:tc>
      </w:tr>
      <w:tr>
        <w:trPr>
          <w:trHeight w:val="203"/>
        </w:trPr>
        <w:tc>
          <w:tcPr>
            <w:tcW w:w="20" w:type="dxa"/>
            <w:vAlign w:val="bottom"/>
          </w:tcPr>
          <w:p>
            <w:pPr>
              <w:spacing w:after="0"/>
              <w:rPr>
                <w:sz w:val="17"/>
                <w:szCs w:val="17"/>
                <w:color w:val="auto"/>
              </w:rPr>
            </w:pPr>
          </w:p>
        </w:tc>
        <w:tc>
          <w:tcPr>
            <w:tcW w:w="3560" w:type="dxa"/>
            <w:vAlign w:val="bottom"/>
            <w:gridSpan w:val="2"/>
          </w:tcPr>
          <w:p>
            <w:pPr>
              <w:spacing w:after="0"/>
              <w:rPr>
                <w:sz w:val="20"/>
                <w:szCs w:val="20"/>
                <w:color w:val="auto"/>
              </w:rPr>
            </w:pPr>
            <w:r>
              <w:rPr>
                <w:rFonts w:ascii="Arial" w:cs="Arial" w:eastAsia="Arial" w:hAnsi="Arial"/>
                <w:sz w:val="16"/>
                <w:szCs w:val="16"/>
                <w:color w:val="auto"/>
              </w:rPr>
              <w:t>Expected term</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6 years</w:t>
            </w:r>
          </w:p>
        </w:tc>
        <w:tc>
          <w:tcPr>
            <w:tcW w:w="1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6 years</w:t>
            </w:r>
          </w:p>
        </w:tc>
      </w:tr>
      <w:tr>
        <w:trPr>
          <w:trHeight w:val="193"/>
        </w:trPr>
        <w:tc>
          <w:tcPr>
            <w:tcW w:w="20" w:type="dxa"/>
            <w:vAlign w:val="bottom"/>
          </w:tcPr>
          <w:p>
            <w:pPr>
              <w:spacing w:after="0"/>
              <w:rPr>
                <w:sz w:val="16"/>
                <w:szCs w:val="16"/>
                <w:color w:val="auto"/>
              </w:rPr>
            </w:pPr>
          </w:p>
        </w:tc>
        <w:tc>
          <w:tcPr>
            <w:tcW w:w="35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Risk-free interest rate for the period similar to the</w:t>
            </w:r>
          </w:p>
        </w:tc>
        <w:tc>
          <w:tcPr>
            <w:tcW w:w="36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720" w:type="dxa"/>
            <w:vAlign w:val="bottom"/>
            <w:shd w:val="clear" w:color="auto" w:fill="E5FFFF"/>
          </w:tcPr>
          <w:p>
            <w:pPr>
              <w:spacing w:after="0"/>
              <w:rPr>
                <w:sz w:val="16"/>
                <w:szCs w:val="16"/>
                <w:color w:val="auto"/>
              </w:rPr>
            </w:pPr>
          </w:p>
        </w:tc>
        <w:tc>
          <w:tcPr>
            <w:tcW w:w="180" w:type="dxa"/>
            <w:vAlign w:val="bottom"/>
            <w:shd w:val="clear" w:color="auto" w:fill="E5FFFF"/>
          </w:tcPr>
          <w:p>
            <w:pPr>
              <w:spacing w:after="0"/>
              <w:rPr>
                <w:sz w:val="16"/>
                <w:szCs w:val="16"/>
                <w:color w:val="auto"/>
              </w:rPr>
            </w:pPr>
          </w:p>
        </w:tc>
        <w:tc>
          <w:tcPr>
            <w:tcW w:w="140" w:type="dxa"/>
            <w:vAlign w:val="bottom"/>
            <w:shd w:val="clear" w:color="auto" w:fill="E5FFFF"/>
          </w:tcPr>
          <w:p>
            <w:pPr>
              <w:spacing w:after="0"/>
              <w:rPr>
                <w:sz w:val="16"/>
                <w:szCs w:val="16"/>
                <w:color w:val="auto"/>
              </w:rPr>
            </w:pPr>
          </w:p>
        </w:tc>
        <w:tc>
          <w:tcPr>
            <w:tcW w:w="74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35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expected term</w:t>
            </w:r>
          </w:p>
        </w:tc>
        <w:tc>
          <w:tcPr>
            <w:tcW w:w="3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90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2.35%</w:t>
            </w:r>
          </w:p>
        </w:tc>
        <w:tc>
          <w:tcPr>
            <w:tcW w:w="140" w:type="dxa"/>
            <w:vAlign w:val="bottom"/>
            <w:shd w:val="clear" w:color="auto" w:fill="E5FFFF"/>
          </w:tcPr>
          <w:p>
            <w:pPr>
              <w:spacing w:after="0"/>
              <w:rPr>
                <w:sz w:val="18"/>
                <w:szCs w:val="18"/>
                <w:color w:val="auto"/>
              </w:rPr>
            </w:pPr>
          </w:p>
        </w:tc>
        <w:tc>
          <w:tcPr>
            <w:tcW w:w="90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1.47%</w:t>
            </w: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fair value of the RSUs was determined by using the grant date closing price and was not further adjusted since the holders are entitled to dividends.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20" w:type="dxa"/>
            <w:vAlign w:val="bottom"/>
          </w:tcPr>
          <w:p>
            <w:pPr>
              <w:spacing w:after="0"/>
              <w:rPr>
                <w:sz w:val="20"/>
                <w:szCs w:val="20"/>
                <w:color w:val="auto"/>
              </w:rPr>
            </w:pPr>
            <w:r>
              <w:rPr>
                <w:rFonts w:ascii="Arial" w:cs="Arial" w:eastAsia="Arial" w:hAnsi="Arial"/>
                <w:sz w:val="16"/>
                <w:szCs w:val="16"/>
                <w:b w:val="1"/>
                <w:bCs w:val="1"/>
                <w:color w:val="auto"/>
              </w:rPr>
              <w:t>Movement in RSUs and SARs during the period</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05"/>
        </w:trPr>
        <w:tc>
          <w:tcPr>
            <w:tcW w:w="4020" w:type="dxa"/>
            <w:vAlign w:val="bottom"/>
          </w:tcPr>
          <w:p>
            <w:pPr>
              <w:ind w:left="360"/>
              <w:spacing w:after="0"/>
              <w:rPr>
                <w:sz w:val="20"/>
                <w:szCs w:val="20"/>
                <w:color w:val="auto"/>
              </w:rPr>
            </w:pPr>
            <w:r>
              <w:rPr>
                <w:rFonts w:ascii="Arial" w:cs="Arial" w:eastAsia="Arial" w:hAnsi="Arial"/>
                <w:sz w:val="16"/>
                <w:szCs w:val="16"/>
                <w:color w:val="auto"/>
                <w:w w:val="95"/>
              </w:rPr>
              <w:t>The summary of RSUs and SARs is presented below:</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8"/>
        </w:trPr>
        <w:tc>
          <w:tcPr>
            <w:tcW w:w="4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Weighted</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4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w:t>
            </w: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average</w:t>
            </w: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4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average</w:t>
            </w: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share price</w:t>
            </w: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4020" w:type="dxa"/>
            <w:vAlign w:val="bottom"/>
          </w:tcPr>
          <w:p>
            <w:pPr>
              <w:spacing w:after="0"/>
              <w:rPr>
                <w:sz w:val="17"/>
                <w:szCs w:val="17"/>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Number of</w:t>
            </w: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exercise price</w:t>
            </w: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at the date</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Weighted average</w:t>
            </w:r>
          </w:p>
        </w:tc>
        <w:tc>
          <w:tcPr>
            <w:tcW w:w="1700" w:type="dxa"/>
            <w:vAlign w:val="bottom"/>
            <w:gridSpan w:val="3"/>
          </w:tcPr>
          <w:p>
            <w:pPr>
              <w:jc w:val="right"/>
              <w:ind w:right="400"/>
              <w:spacing w:after="0"/>
              <w:rPr>
                <w:sz w:val="20"/>
                <w:szCs w:val="20"/>
                <w:color w:val="auto"/>
              </w:rPr>
            </w:pPr>
            <w:r>
              <w:rPr>
                <w:rFonts w:ascii="Arial" w:cs="Arial" w:eastAsia="Arial" w:hAnsi="Arial"/>
                <w:sz w:val="16"/>
                <w:szCs w:val="16"/>
                <w:b w:val="1"/>
                <w:bCs w:val="1"/>
                <w:color w:val="auto"/>
              </w:rPr>
              <w:t>Aggregate fair</w:t>
            </w:r>
          </w:p>
        </w:tc>
      </w:tr>
      <w:tr>
        <w:trPr>
          <w:trHeight w:val="210"/>
        </w:trPr>
        <w:tc>
          <w:tcPr>
            <w:tcW w:w="402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awards</w:t>
            </w: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per share</w:t>
            </w:r>
          </w:p>
        </w:tc>
        <w:tc>
          <w:tcPr>
            <w:tcW w:w="13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of exercise</w:t>
            </w: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contractual life</w:t>
            </w:r>
          </w:p>
        </w:tc>
        <w:tc>
          <w:tcPr>
            <w:tcW w:w="1700" w:type="dxa"/>
            <w:vAlign w:val="bottom"/>
            <w:gridSpan w:val="3"/>
          </w:tcPr>
          <w:p>
            <w:pPr>
              <w:jc w:val="right"/>
              <w:ind w:right="720"/>
              <w:spacing w:after="0"/>
              <w:rPr>
                <w:sz w:val="20"/>
                <w:szCs w:val="20"/>
                <w:color w:val="auto"/>
              </w:rPr>
            </w:pPr>
            <w:r>
              <w:rPr>
                <w:rFonts w:ascii="Arial" w:cs="Arial" w:eastAsia="Arial" w:hAnsi="Arial"/>
                <w:sz w:val="16"/>
                <w:szCs w:val="16"/>
                <w:b w:val="1"/>
                <w:bCs w:val="1"/>
                <w:color w:val="auto"/>
              </w:rPr>
              <w:t>value</w:t>
            </w:r>
          </w:p>
        </w:tc>
      </w:tr>
      <w:tr>
        <w:trPr>
          <w:trHeight w:val="189"/>
        </w:trPr>
        <w:tc>
          <w:tcPr>
            <w:tcW w:w="40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RSUs</w:t>
            </w:r>
          </w:p>
        </w:tc>
        <w:tc>
          <w:tcPr>
            <w:tcW w:w="1140" w:type="dxa"/>
            <w:vAlign w:val="bottom"/>
            <w:tcBorders>
              <w:top w:val="single" w:sz="8" w:color="auto"/>
            </w:tcBorders>
            <w:shd w:val="clear" w:color="auto" w:fill="E5FFFF"/>
          </w:tcPr>
          <w:p>
            <w:pPr>
              <w:spacing w:after="0"/>
              <w:rPr>
                <w:sz w:val="16"/>
                <w:szCs w:val="16"/>
                <w:color w:val="auto"/>
              </w:rPr>
            </w:pPr>
          </w:p>
        </w:tc>
        <w:tc>
          <w:tcPr>
            <w:tcW w:w="120" w:type="dxa"/>
            <w:vAlign w:val="bottom"/>
            <w:tcBorders>
              <w:top w:val="single" w:sz="8" w:color="E5FFFF"/>
            </w:tcBorders>
            <w:shd w:val="clear" w:color="auto" w:fill="E5FFFF"/>
          </w:tcPr>
          <w:p>
            <w:pPr>
              <w:spacing w:after="0"/>
              <w:rPr>
                <w:sz w:val="16"/>
                <w:szCs w:val="16"/>
                <w:color w:val="auto"/>
              </w:rPr>
            </w:pPr>
          </w:p>
        </w:tc>
        <w:tc>
          <w:tcPr>
            <w:tcW w:w="1260" w:type="dxa"/>
            <w:vAlign w:val="bottom"/>
            <w:tcBorders>
              <w:top w:val="single" w:sz="8" w:color="auto"/>
            </w:tcBorders>
            <w:shd w:val="clear" w:color="auto" w:fill="E5FFFF"/>
          </w:tcPr>
          <w:p>
            <w:pPr>
              <w:spacing w:after="0"/>
              <w:rPr>
                <w:sz w:val="16"/>
                <w:szCs w:val="16"/>
                <w:color w:val="auto"/>
              </w:rPr>
            </w:pPr>
          </w:p>
        </w:tc>
        <w:tc>
          <w:tcPr>
            <w:tcW w:w="120" w:type="dxa"/>
            <w:vAlign w:val="bottom"/>
            <w:tcBorders>
              <w:top w:val="single" w:sz="8" w:color="E5FFFF"/>
            </w:tcBorders>
            <w:shd w:val="clear" w:color="auto" w:fill="E5FFFF"/>
          </w:tcPr>
          <w:p>
            <w:pPr>
              <w:spacing w:after="0"/>
              <w:rPr>
                <w:sz w:val="16"/>
                <w:szCs w:val="16"/>
                <w:color w:val="auto"/>
              </w:rPr>
            </w:pPr>
          </w:p>
        </w:tc>
        <w:tc>
          <w:tcPr>
            <w:tcW w:w="1240" w:type="dxa"/>
            <w:vAlign w:val="bottom"/>
            <w:tcBorders>
              <w:top w:val="single" w:sz="8" w:color="auto"/>
            </w:tcBorders>
            <w:shd w:val="clear" w:color="auto" w:fill="E5FFFF"/>
          </w:tcPr>
          <w:p>
            <w:pPr>
              <w:spacing w:after="0"/>
              <w:rPr>
                <w:sz w:val="16"/>
                <w:szCs w:val="16"/>
                <w:color w:val="auto"/>
              </w:rPr>
            </w:pPr>
          </w:p>
        </w:tc>
        <w:tc>
          <w:tcPr>
            <w:tcW w:w="120" w:type="dxa"/>
            <w:vAlign w:val="bottom"/>
            <w:tcBorders>
              <w:top w:val="single" w:sz="8" w:color="E5FFFF"/>
            </w:tcBorders>
            <w:shd w:val="clear" w:color="auto" w:fill="E5FFFF"/>
          </w:tcPr>
          <w:p>
            <w:pPr>
              <w:spacing w:after="0"/>
              <w:rPr>
                <w:sz w:val="16"/>
                <w:szCs w:val="16"/>
                <w:color w:val="auto"/>
              </w:rPr>
            </w:pPr>
          </w:p>
        </w:tc>
        <w:tc>
          <w:tcPr>
            <w:tcW w:w="1600" w:type="dxa"/>
            <w:vAlign w:val="bottom"/>
            <w:tcBorders>
              <w:top w:val="single" w:sz="8" w:color="auto"/>
            </w:tcBorders>
            <w:shd w:val="clear" w:color="auto" w:fill="E5FFFF"/>
          </w:tcPr>
          <w:p>
            <w:pPr>
              <w:spacing w:after="0"/>
              <w:rPr>
                <w:sz w:val="16"/>
                <w:szCs w:val="16"/>
                <w:color w:val="auto"/>
              </w:rPr>
            </w:pPr>
          </w:p>
        </w:tc>
        <w:tc>
          <w:tcPr>
            <w:tcW w:w="100" w:type="dxa"/>
            <w:vAlign w:val="bottom"/>
            <w:tcBorders>
              <w:top w:val="single" w:sz="8" w:color="E5FFFF"/>
            </w:tcBorders>
            <w:shd w:val="clear" w:color="auto" w:fill="E5FFFF"/>
          </w:tcPr>
          <w:p>
            <w:pPr>
              <w:spacing w:after="0"/>
              <w:rPr>
                <w:sz w:val="16"/>
                <w:szCs w:val="16"/>
                <w:color w:val="auto"/>
              </w:rPr>
            </w:pPr>
          </w:p>
        </w:tc>
        <w:tc>
          <w:tcPr>
            <w:tcW w:w="1600" w:type="dxa"/>
            <w:vAlign w:val="bottom"/>
            <w:tcBorders>
              <w:top w:val="single" w:sz="8" w:color="auto"/>
            </w:tcBorders>
            <w:shd w:val="clear" w:color="auto" w:fill="E5FFFF"/>
          </w:tcPr>
          <w:p>
            <w:pPr>
              <w:spacing w:after="0"/>
              <w:rPr>
                <w:sz w:val="16"/>
                <w:szCs w:val="16"/>
                <w:color w:val="auto"/>
              </w:rPr>
            </w:pPr>
          </w:p>
        </w:tc>
        <w:tc>
          <w:tcPr>
            <w:tcW w:w="20" w:type="dxa"/>
            <w:vAlign w:val="bottom"/>
            <w:tcBorders>
              <w:top w:val="single" w:sz="8" w:color="E5FFFF"/>
            </w:tcBorders>
            <w:shd w:val="clear" w:color="auto" w:fill="E5FFFF"/>
          </w:tcPr>
          <w:p>
            <w:pPr>
              <w:spacing w:after="0"/>
              <w:rPr>
                <w:sz w:val="16"/>
                <w:szCs w:val="16"/>
                <w:color w:val="auto"/>
              </w:rPr>
            </w:pPr>
          </w:p>
        </w:tc>
        <w:tc>
          <w:tcPr>
            <w:tcW w:w="80" w:type="dxa"/>
            <w:vAlign w:val="bottom"/>
            <w:tcBorders>
              <w:top w:val="single" w:sz="8" w:color="E5FFFF"/>
            </w:tcBorders>
            <w:shd w:val="clear" w:color="auto" w:fill="E5FFFF"/>
          </w:tcPr>
          <w:p>
            <w:pPr>
              <w:spacing w:after="0"/>
              <w:rPr>
                <w:sz w:val="16"/>
                <w:szCs w:val="16"/>
                <w:color w:val="auto"/>
              </w:rPr>
            </w:pPr>
          </w:p>
        </w:tc>
      </w:tr>
      <w:tr>
        <w:trPr>
          <w:trHeight w:val="203"/>
        </w:trPr>
        <w:tc>
          <w:tcPr>
            <w:tcW w:w="4020" w:type="dxa"/>
            <w:vAlign w:val="bottom"/>
          </w:tcPr>
          <w:p>
            <w:pPr>
              <w:spacing w:after="0"/>
              <w:rPr>
                <w:sz w:val="20"/>
                <w:szCs w:val="20"/>
                <w:color w:val="auto"/>
              </w:rPr>
            </w:pPr>
            <w:r>
              <w:rPr>
                <w:rFonts w:ascii="Arial" w:cs="Arial" w:eastAsia="Arial" w:hAnsi="Arial"/>
                <w:sz w:val="16"/>
                <w:szCs w:val="16"/>
                <w:b w:val="1"/>
                <w:bCs w:val="1"/>
                <w:color w:val="auto"/>
              </w:rPr>
              <w:t>Outstanding as of January 1, 2019</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488,173</w:t>
            </w:r>
          </w:p>
        </w:tc>
        <w:tc>
          <w:tcPr>
            <w:tcW w:w="120" w:type="dxa"/>
            <w:vAlign w:val="bottom"/>
          </w:tcPr>
          <w:p>
            <w:pPr>
              <w:spacing w:after="0"/>
              <w:rPr>
                <w:sz w:val="17"/>
                <w:szCs w:val="17"/>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1360" w:type="dxa"/>
            <w:vAlign w:val="bottom"/>
            <w:gridSpan w:val="2"/>
          </w:tcPr>
          <w:p>
            <w:pPr>
              <w:ind w:left="1080"/>
              <w:spacing w:after="0"/>
              <w:rPr>
                <w:sz w:val="20"/>
                <w:szCs w:val="20"/>
                <w:color w:val="auto"/>
              </w:rPr>
            </w:pPr>
            <w:r>
              <w:rPr>
                <w:rFonts w:ascii="Arial" w:cs="Arial" w:eastAsia="Arial" w:hAnsi="Arial"/>
                <w:sz w:val="16"/>
                <w:szCs w:val="16"/>
                <w:b w:val="1"/>
                <w:bCs w:val="1"/>
                <w:color w:val="auto"/>
              </w:rPr>
              <w:t>—</w:t>
            </w: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1.13</w:t>
            </w:r>
          </w:p>
        </w:tc>
        <w:tc>
          <w:tcPr>
            <w:tcW w:w="100" w:type="dxa"/>
            <w:vAlign w:val="bottom"/>
          </w:tcPr>
          <w:p>
            <w:pPr>
              <w:spacing w:after="0"/>
              <w:rPr>
                <w:sz w:val="17"/>
                <w:szCs w:val="17"/>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6,408</w:t>
            </w:r>
          </w:p>
        </w:tc>
        <w:tc>
          <w:tcPr>
            <w:tcW w:w="80" w:type="dxa"/>
            <w:vAlign w:val="bottom"/>
          </w:tcPr>
          <w:p>
            <w:pPr>
              <w:spacing w:after="0"/>
              <w:rPr>
                <w:sz w:val="17"/>
                <w:szCs w:val="17"/>
                <w:color w:val="auto"/>
              </w:rPr>
            </w:pPr>
          </w:p>
        </w:tc>
      </w:tr>
      <w:tr>
        <w:trPr>
          <w:trHeight w:val="203"/>
        </w:trPr>
        <w:tc>
          <w:tcPr>
            <w:tcW w:w="4020" w:type="dxa"/>
            <w:vAlign w:val="bottom"/>
            <w:shd w:val="clear" w:color="auto" w:fill="E5FFFF"/>
          </w:tcPr>
          <w:p>
            <w:pPr>
              <w:spacing w:after="0"/>
              <w:rPr>
                <w:sz w:val="20"/>
                <w:szCs w:val="20"/>
                <w:color w:val="auto"/>
              </w:rPr>
            </w:pPr>
            <w:r>
              <w:rPr>
                <w:rFonts w:ascii="Arial" w:cs="Arial" w:eastAsia="Arial" w:hAnsi="Arial"/>
                <w:sz w:val="16"/>
                <w:szCs w:val="16"/>
                <w:color w:val="auto"/>
              </w:rPr>
              <w:t>Granted during the period</w:t>
            </w:r>
          </w:p>
        </w:tc>
        <w:tc>
          <w:tcPr>
            <w:tcW w:w="11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106,023</w:t>
            </w:r>
          </w:p>
        </w:tc>
        <w:tc>
          <w:tcPr>
            <w:tcW w:w="120" w:type="dxa"/>
            <w:vAlign w:val="bottom"/>
            <w:shd w:val="clear" w:color="auto" w:fill="E5FFFF"/>
          </w:tcPr>
          <w:p>
            <w:pPr>
              <w:spacing w:after="0"/>
              <w:rPr>
                <w:sz w:val="17"/>
                <w:szCs w:val="17"/>
                <w:color w:val="auto"/>
              </w:rPr>
            </w:pPr>
          </w:p>
        </w:tc>
        <w:tc>
          <w:tcPr>
            <w:tcW w:w="138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E5FFFF"/>
          </w:tcPr>
          <w:p>
            <w:pPr>
              <w:ind w:left="1080"/>
              <w:spacing w:after="0"/>
              <w:rPr>
                <w:sz w:val="20"/>
                <w:szCs w:val="20"/>
                <w:color w:val="auto"/>
              </w:rPr>
            </w:pPr>
            <w:r>
              <w:rPr>
                <w:rFonts w:ascii="Arial" w:cs="Arial" w:eastAsia="Arial" w:hAnsi="Arial"/>
                <w:sz w:val="16"/>
                <w:szCs w:val="16"/>
                <w:b w:val="1"/>
                <w:bCs w:val="1"/>
                <w:color w:val="auto"/>
              </w:rPr>
              <w:t>—</w:t>
            </w:r>
          </w:p>
        </w:tc>
        <w:tc>
          <w:tcPr>
            <w:tcW w:w="170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w:t>
            </w:r>
          </w:p>
        </w:tc>
        <w:tc>
          <w:tcPr>
            <w:tcW w:w="162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1,845</w:t>
            </w:r>
          </w:p>
        </w:tc>
        <w:tc>
          <w:tcPr>
            <w:tcW w:w="80" w:type="dxa"/>
            <w:vAlign w:val="bottom"/>
            <w:shd w:val="clear" w:color="auto" w:fill="E5FFFF"/>
          </w:tcPr>
          <w:p>
            <w:pPr>
              <w:spacing w:after="0"/>
              <w:rPr>
                <w:sz w:val="17"/>
                <w:szCs w:val="17"/>
                <w:color w:val="auto"/>
              </w:rPr>
            </w:pPr>
          </w:p>
        </w:tc>
      </w:tr>
      <w:tr>
        <w:trPr>
          <w:trHeight w:val="203"/>
        </w:trPr>
        <w:tc>
          <w:tcPr>
            <w:tcW w:w="4020" w:type="dxa"/>
            <w:vAlign w:val="bottom"/>
          </w:tcPr>
          <w:p>
            <w:pPr>
              <w:spacing w:after="0"/>
              <w:rPr>
                <w:sz w:val="20"/>
                <w:szCs w:val="20"/>
                <w:color w:val="auto"/>
              </w:rPr>
            </w:pPr>
            <w:r>
              <w:rPr>
                <w:rFonts w:ascii="Arial" w:cs="Arial" w:eastAsia="Arial" w:hAnsi="Arial"/>
                <w:sz w:val="16"/>
                <w:szCs w:val="16"/>
                <w:color w:val="auto"/>
              </w:rPr>
              <w:t>Vested during the period</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(207,819)</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ind w:left="1080"/>
              <w:spacing w:after="0"/>
              <w:rPr>
                <w:sz w:val="20"/>
                <w:szCs w:val="20"/>
                <w:color w:val="auto"/>
              </w:rPr>
            </w:pPr>
            <w:r>
              <w:rPr>
                <w:rFonts w:ascii="Arial" w:cs="Arial" w:eastAsia="Arial" w:hAnsi="Arial"/>
                <w:sz w:val="16"/>
                <w:szCs w:val="16"/>
                <w:b w:val="1"/>
                <w:bCs w:val="1"/>
                <w:color w:val="auto"/>
              </w:rPr>
              <w:t>—</w:t>
            </w:r>
          </w:p>
        </w:tc>
        <w:tc>
          <w:tcPr>
            <w:tcW w:w="1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700" w:type="dxa"/>
            <w:vAlign w:val="bottom"/>
            <w:gridSpan w:val="3"/>
          </w:tcPr>
          <w:p>
            <w:pPr>
              <w:jc w:val="right"/>
              <w:ind w:right="60"/>
              <w:spacing w:after="0"/>
              <w:rPr>
                <w:sz w:val="20"/>
                <w:szCs w:val="20"/>
                <w:color w:val="auto"/>
              </w:rPr>
            </w:pPr>
            <w:r>
              <w:rPr>
                <w:rFonts w:ascii="Arial" w:cs="Arial" w:eastAsia="Arial" w:hAnsi="Arial"/>
                <w:sz w:val="16"/>
                <w:szCs w:val="16"/>
                <w:color w:val="auto"/>
              </w:rPr>
              <w:t>(1,943)</w:t>
            </w:r>
          </w:p>
        </w:tc>
      </w:tr>
      <w:tr>
        <w:trPr>
          <w:trHeight w:val="203"/>
        </w:trPr>
        <w:tc>
          <w:tcPr>
            <w:tcW w:w="4020" w:type="dxa"/>
            <w:vAlign w:val="bottom"/>
            <w:shd w:val="clear" w:color="auto" w:fill="E5FFFF"/>
          </w:tcPr>
          <w:p>
            <w:pPr>
              <w:spacing w:after="0"/>
              <w:rPr>
                <w:sz w:val="20"/>
                <w:szCs w:val="20"/>
                <w:color w:val="auto"/>
              </w:rPr>
            </w:pPr>
            <w:r>
              <w:rPr>
                <w:rFonts w:ascii="Arial" w:cs="Arial" w:eastAsia="Arial" w:hAnsi="Arial"/>
                <w:sz w:val="16"/>
                <w:szCs w:val="16"/>
                <w:color w:val="auto"/>
              </w:rPr>
              <w:t>Forfeited during the period</w:t>
            </w:r>
          </w:p>
        </w:tc>
        <w:tc>
          <w:tcPr>
            <w:tcW w:w="126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(12,103)</w:t>
            </w:r>
          </w:p>
        </w:tc>
        <w:tc>
          <w:tcPr>
            <w:tcW w:w="138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E5FFFF"/>
          </w:tcPr>
          <w:p>
            <w:pPr>
              <w:ind w:left="1080"/>
              <w:spacing w:after="0"/>
              <w:rPr>
                <w:sz w:val="20"/>
                <w:szCs w:val="20"/>
                <w:color w:val="auto"/>
              </w:rPr>
            </w:pPr>
            <w:r>
              <w:rPr>
                <w:rFonts w:ascii="Arial" w:cs="Arial" w:eastAsia="Arial" w:hAnsi="Arial"/>
                <w:sz w:val="16"/>
                <w:szCs w:val="16"/>
                <w:color w:val="auto"/>
              </w:rPr>
              <w:t>—</w:t>
            </w:r>
          </w:p>
        </w:tc>
        <w:tc>
          <w:tcPr>
            <w:tcW w:w="170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w:t>
            </w:r>
          </w:p>
        </w:tc>
        <w:tc>
          <w:tcPr>
            <w:tcW w:w="1700" w:type="dxa"/>
            <w:vAlign w:val="bottom"/>
            <w:gridSpan w:val="3"/>
            <w:shd w:val="clear" w:color="auto" w:fill="E5FFFF"/>
          </w:tcPr>
          <w:p>
            <w:pPr>
              <w:jc w:val="right"/>
              <w:ind w:right="60"/>
              <w:spacing w:after="0"/>
              <w:rPr>
                <w:sz w:val="20"/>
                <w:szCs w:val="20"/>
                <w:color w:val="auto"/>
              </w:rPr>
            </w:pPr>
            <w:r>
              <w:rPr>
                <w:rFonts w:ascii="Arial" w:cs="Arial" w:eastAsia="Arial" w:hAnsi="Arial"/>
                <w:sz w:val="16"/>
                <w:szCs w:val="16"/>
                <w:color w:val="auto"/>
              </w:rPr>
              <w:t>(200)</w:t>
            </w:r>
          </w:p>
        </w:tc>
      </w:tr>
      <w:tr>
        <w:trPr>
          <w:trHeight w:val="236"/>
        </w:trPr>
        <w:tc>
          <w:tcPr>
            <w:tcW w:w="402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Outstanding as of September 30, 2019</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374,274</w:t>
            </w:r>
          </w:p>
        </w:tc>
        <w:tc>
          <w:tcPr>
            <w:tcW w:w="120" w:type="dxa"/>
            <w:vAlign w:val="bottom"/>
            <w:tcBorders>
              <w:bottom w:val="single" w:sz="8" w:color="E5FFFF"/>
            </w:tcBorders>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E5FFFF"/>
            </w:tcBorders>
          </w:tcPr>
          <w:p>
            <w:pPr>
              <w:spacing w:after="0"/>
              <w:rPr>
                <w:sz w:val="20"/>
                <w:szCs w:val="20"/>
                <w:color w:val="auto"/>
              </w:rPr>
            </w:pPr>
          </w:p>
        </w:tc>
        <w:tc>
          <w:tcPr>
            <w:tcW w:w="1240" w:type="dxa"/>
            <w:vAlign w:val="bottom"/>
            <w:tcBorders>
              <w:top w:val="single" w:sz="8" w:color="auto"/>
              <w:bottom w:val="single" w:sz="8" w:color="auto"/>
            </w:tcBorders>
          </w:tcPr>
          <w:p>
            <w:pPr>
              <w:ind w:left="1080"/>
              <w:spacing w:after="0"/>
              <w:rPr>
                <w:sz w:val="20"/>
                <w:szCs w:val="20"/>
                <w:color w:val="auto"/>
              </w:rPr>
            </w:pPr>
            <w:r>
              <w:rPr>
                <w:rFonts w:ascii="Arial" w:cs="Arial" w:eastAsia="Arial" w:hAnsi="Arial"/>
                <w:sz w:val="16"/>
                <w:szCs w:val="16"/>
                <w:b w:val="1"/>
                <w:bCs w:val="1"/>
                <w:color w:val="auto"/>
                <w:w w:val="87"/>
              </w:rPr>
              <w:t>—</w:t>
            </w:r>
          </w:p>
        </w:tc>
        <w:tc>
          <w:tcPr>
            <w:tcW w:w="120" w:type="dxa"/>
            <w:vAlign w:val="bottom"/>
            <w:tcBorders>
              <w:bottom w:val="single" w:sz="8" w:color="E5FFFF"/>
            </w:tcBorders>
          </w:tcPr>
          <w:p>
            <w:pPr>
              <w:spacing w:after="0"/>
              <w:rPr>
                <w:sz w:val="20"/>
                <w:szCs w:val="20"/>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1.43</w:t>
            </w:r>
          </w:p>
        </w:tc>
        <w:tc>
          <w:tcPr>
            <w:tcW w:w="100" w:type="dxa"/>
            <w:vAlign w:val="bottom"/>
            <w:tcBorders>
              <w:bottom w:val="single" w:sz="8" w:color="E5FFFF"/>
            </w:tcBorders>
          </w:tcPr>
          <w:p>
            <w:pPr>
              <w:spacing w:after="0"/>
              <w:rPr>
                <w:sz w:val="20"/>
                <w:szCs w:val="20"/>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6,110</w:t>
            </w:r>
          </w:p>
        </w:tc>
        <w:tc>
          <w:tcPr>
            <w:tcW w:w="20" w:type="dxa"/>
            <w:vAlign w:val="bottom"/>
            <w:tcBorders>
              <w:bottom w:val="single" w:sz="8" w:color="E5FFFF"/>
            </w:tcBorders>
          </w:tcPr>
          <w:p>
            <w:pPr>
              <w:spacing w:after="0"/>
              <w:rPr>
                <w:sz w:val="20"/>
                <w:szCs w:val="20"/>
                <w:color w:val="auto"/>
              </w:rPr>
            </w:pPr>
          </w:p>
        </w:tc>
        <w:tc>
          <w:tcPr>
            <w:tcW w:w="80" w:type="dxa"/>
            <w:vAlign w:val="bottom"/>
            <w:tcBorders>
              <w:bottom w:val="single" w:sz="8" w:color="E5FFFF"/>
            </w:tcBorders>
          </w:tcPr>
          <w:p>
            <w:pPr>
              <w:spacing w:after="0"/>
              <w:rPr>
                <w:sz w:val="20"/>
                <w:szCs w:val="20"/>
                <w:color w:val="auto"/>
              </w:rPr>
            </w:pPr>
          </w:p>
        </w:tc>
      </w:tr>
      <w:tr>
        <w:trPr>
          <w:trHeight w:val="156"/>
        </w:trPr>
        <w:tc>
          <w:tcPr>
            <w:tcW w:w="4020" w:type="dxa"/>
            <w:vAlign w:val="bottom"/>
            <w:shd w:val="clear" w:color="auto" w:fill="E5FFFF"/>
          </w:tcPr>
          <w:p>
            <w:pPr>
              <w:spacing w:after="0" w:line="156" w:lineRule="exact"/>
              <w:rPr>
                <w:sz w:val="20"/>
                <w:szCs w:val="20"/>
                <w:color w:val="auto"/>
              </w:rPr>
            </w:pPr>
            <w:r>
              <w:rPr>
                <w:rFonts w:ascii="Arial" w:cs="Arial" w:eastAsia="Arial" w:hAnsi="Arial"/>
                <w:sz w:val="16"/>
                <w:szCs w:val="16"/>
                <w:b w:val="1"/>
                <w:bCs w:val="1"/>
                <w:color w:val="auto"/>
              </w:rPr>
              <w:t>SARs</w:t>
            </w:r>
          </w:p>
        </w:tc>
        <w:tc>
          <w:tcPr>
            <w:tcW w:w="1140" w:type="dxa"/>
            <w:vAlign w:val="bottom"/>
            <w:shd w:val="clear" w:color="auto" w:fill="E5FFFF"/>
          </w:tcPr>
          <w:p>
            <w:pPr>
              <w:spacing w:after="0"/>
              <w:rPr>
                <w:sz w:val="13"/>
                <w:szCs w:val="13"/>
                <w:color w:val="auto"/>
              </w:rPr>
            </w:pPr>
          </w:p>
        </w:tc>
        <w:tc>
          <w:tcPr>
            <w:tcW w:w="120" w:type="dxa"/>
            <w:vAlign w:val="bottom"/>
            <w:shd w:val="clear" w:color="auto" w:fill="E5FFFF"/>
          </w:tcPr>
          <w:p>
            <w:pPr>
              <w:spacing w:after="0"/>
              <w:rPr>
                <w:sz w:val="13"/>
                <w:szCs w:val="13"/>
                <w:color w:val="auto"/>
              </w:rPr>
            </w:pPr>
          </w:p>
        </w:tc>
        <w:tc>
          <w:tcPr>
            <w:tcW w:w="1260" w:type="dxa"/>
            <w:vAlign w:val="bottom"/>
            <w:shd w:val="clear" w:color="auto" w:fill="E5FFFF"/>
          </w:tcPr>
          <w:p>
            <w:pPr>
              <w:spacing w:after="0"/>
              <w:rPr>
                <w:sz w:val="13"/>
                <w:szCs w:val="13"/>
                <w:color w:val="auto"/>
              </w:rPr>
            </w:pPr>
          </w:p>
        </w:tc>
        <w:tc>
          <w:tcPr>
            <w:tcW w:w="120" w:type="dxa"/>
            <w:vAlign w:val="bottom"/>
            <w:shd w:val="clear" w:color="auto" w:fill="E5FFFF"/>
          </w:tcPr>
          <w:p>
            <w:pPr>
              <w:spacing w:after="0"/>
              <w:rPr>
                <w:sz w:val="13"/>
                <w:szCs w:val="13"/>
                <w:color w:val="auto"/>
              </w:rPr>
            </w:pPr>
          </w:p>
        </w:tc>
        <w:tc>
          <w:tcPr>
            <w:tcW w:w="1240" w:type="dxa"/>
            <w:vAlign w:val="bottom"/>
            <w:shd w:val="clear" w:color="auto" w:fill="E5FFFF"/>
          </w:tcPr>
          <w:p>
            <w:pPr>
              <w:spacing w:after="0"/>
              <w:rPr>
                <w:sz w:val="13"/>
                <w:szCs w:val="13"/>
                <w:color w:val="auto"/>
              </w:rPr>
            </w:pPr>
          </w:p>
        </w:tc>
        <w:tc>
          <w:tcPr>
            <w:tcW w:w="120" w:type="dxa"/>
            <w:vAlign w:val="bottom"/>
            <w:shd w:val="clear" w:color="auto" w:fill="E5FFFF"/>
          </w:tcPr>
          <w:p>
            <w:pPr>
              <w:spacing w:after="0"/>
              <w:rPr>
                <w:sz w:val="13"/>
                <w:szCs w:val="13"/>
                <w:color w:val="auto"/>
              </w:rPr>
            </w:pPr>
          </w:p>
        </w:tc>
        <w:tc>
          <w:tcPr>
            <w:tcW w:w="1600" w:type="dxa"/>
            <w:vAlign w:val="bottom"/>
            <w:shd w:val="clear" w:color="auto" w:fill="E5FFFF"/>
          </w:tcPr>
          <w:p>
            <w:pPr>
              <w:spacing w:after="0"/>
              <w:rPr>
                <w:sz w:val="13"/>
                <w:szCs w:val="13"/>
                <w:color w:val="auto"/>
              </w:rPr>
            </w:pPr>
          </w:p>
        </w:tc>
        <w:tc>
          <w:tcPr>
            <w:tcW w:w="100" w:type="dxa"/>
            <w:vAlign w:val="bottom"/>
            <w:shd w:val="clear" w:color="auto" w:fill="E5FFFF"/>
          </w:tcPr>
          <w:p>
            <w:pPr>
              <w:spacing w:after="0"/>
              <w:rPr>
                <w:sz w:val="13"/>
                <w:szCs w:val="13"/>
                <w:color w:val="auto"/>
              </w:rPr>
            </w:pPr>
          </w:p>
        </w:tc>
        <w:tc>
          <w:tcPr>
            <w:tcW w:w="1600" w:type="dxa"/>
            <w:vAlign w:val="bottom"/>
            <w:shd w:val="clear" w:color="auto" w:fill="E5FFFF"/>
          </w:tcPr>
          <w:p>
            <w:pPr>
              <w:spacing w:after="0"/>
              <w:rPr>
                <w:sz w:val="13"/>
                <w:szCs w:val="13"/>
                <w:color w:val="auto"/>
              </w:rPr>
            </w:pPr>
          </w:p>
        </w:tc>
        <w:tc>
          <w:tcPr>
            <w:tcW w:w="20" w:type="dxa"/>
            <w:vAlign w:val="bottom"/>
            <w:shd w:val="clear" w:color="auto" w:fill="E5FFFF"/>
          </w:tcPr>
          <w:p>
            <w:pPr>
              <w:spacing w:after="0"/>
              <w:rPr>
                <w:sz w:val="13"/>
                <w:szCs w:val="13"/>
                <w:color w:val="auto"/>
              </w:rPr>
            </w:pPr>
          </w:p>
        </w:tc>
        <w:tc>
          <w:tcPr>
            <w:tcW w:w="80" w:type="dxa"/>
            <w:vAlign w:val="bottom"/>
            <w:shd w:val="clear" w:color="auto" w:fill="E5FFFF"/>
          </w:tcPr>
          <w:p>
            <w:pPr>
              <w:spacing w:after="0"/>
              <w:rPr>
                <w:sz w:val="13"/>
                <w:szCs w:val="13"/>
                <w:color w:val="auto"/>
              </w:rPr>
            </w:pPr>
          </w:p>
        </w:tc>
      </w:tr>
      <w:tr>
        <w:trPr>
          <w:trHeight w:val="203"/>
        </w:trPr>
        <w:tc>
          <w:tcPr>
            <w:tcW w:w="4020" w:type="dxa"/>
            <w:vAlign w:val="bottom"/>
          </w:tcPr>
          <w:p>
            <w:pPr>
              <w:spacing w:after="0"/>
              <w:rPr>
                <w:sz w:val="20"/>
                <w:szCs w:val="20"/>
                <w:color w:val="auto"/>
              </w:rPr>
            </w:pPr>
            <w:r>
              <w:rPr>
                <w:rFonts w:ascii="Arial" w:cs="Arial" w:eastAsia="Arial" w:hAnsi="Arial"/>
                <w:sz w:val="16"/>
                <w:szCs w:val="16"/>
                <w:b w:val="1"/>
                <w:bCs w:val="1"/>
                <w:color w:val="auto"/>
              </w:rPr>
              <w:t>Outstanding as of January 1, 2019</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2,372,163</w:t>
            </w:r>
          </w:p>
        </w:tc>
        <w:tc>
          <w:tcPr>
            <w:tcW w:w="120" w:type="dxa"/>
            <w:vAlign w:val="bottom"/>
          </w:tcPr>
          <w:p>
            <w:pPr>
              <w:spacing w:after="0"/>
              <w:rPr>
                <w:sz w:val="17"/>
                <w:szCs w:val="17"/>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14.51</w:t>
            </w:r>
          </w:p>
        </w:tc>
        <w:tc>
          <w:tcPr>
            <w:tcW w:w="1360" w:type="dxa"/>
            <w:vAlign w:val="bottom"/>
            <w:gridSpan w:val="2"/>
          </w:tcPr>
          <w:p>
            <w:pPr>
              <w:ind w:left="1080"/>
              <w:spacing w:after="0"/>
              <w:rPr>
                <w:sz w:val="20"/>
                <w:szCs w:val="20"/>
                <w:color w:val="auto"/>
              </w:rPr>
            </w:pPr>
            <w:r>
              <w:rPr>
                <w:rFonts w:ascii="Arial" w:cs="Arial" w:eastAsia="Arial" w:hAnsi="Arial"/>
                <w:sz w:val="16"/>
                <w:szCs w:val="16"/>
                <w:b w:val="1"/>
                <w:bCs w:val="1"/>
                <w:color w:val="auto"/>
              </w:rPr>
              <w:t>—</w:t>
            </w: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7.17</w:t>
            </w:r>
          </w:p>
        </w:tc>
        <w:tc>
          <w:tcPr>
            <w:tcW w:w="100" w:type="dxa"/>
            <w:vAlign w:val="bottom"/>
          </w:tcPr>
          <w:p>
            <w:pPr>
              <w:spacing w:after="0"/>
              <w:rPr>
                <w:sz w:val="17"/>
                <w:szCs w:val="17"/>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9,839</w:t>
            </w:r>
          </w:p>
        </w:tc>
        <w:tc>
          <w:tcPr>
            <w:tcW w:w="80" w:type="dxa"/>
            <w:vAlign w:val="bottom"/>
          </w:tcPr>
          <w:p>
            <w:pPr>
              <w:spacing w:after="0"/>
              <w:rPr>
                <w:sz w:val="17"/>
                <w:szCs w:val="17"/>
                <w:color w:val="auto"/>
              </w:rPr>
            </w:pPr>
          </w:p>
        </w:tc>
      </w:tr>
      <w:tr>
        <w:trPr>
          <w:trHeight w:val="203"/>
        </w:trPr>
        <w:tc>
          <w:tcPr>
            <w:tcW w:w="4020" w:type="dxa"/>
            <w:vAlign w:val="bottom"/>
            <w:shd w:val="clear" w:color="auto" w:fill="E5FFFF"/>
          </w:tcPr>
          <w:p>
            <w:pPr>
              <w:spacing w:after="0"/>
              <w:rPr>
                <w:sz w:val="20"/>
                <w:szCs w:val="20"/>
                <w:color w:val="auto"/>
              </w:rPr>
            </w:pPr>
            <w:r>
              <w:rPr>
                <w:rFonts w:ascii="Arial" w:cs="Arial" w:eastAsia="Arial" w:hAnsi="Arial"/>
                <w:sz w:val="16"/>
                <w:szCs w:val="16"/>
                <w:color w:val="auto"/>
              </w:rPr>
              <w:t>Granted during the period</w:t>
            </w:r>
          </w:p>
        </w:tc>
        <w:tc>
          <w:tcPr>
            <w:tcW w:w="11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326,454</w:t>
            </w:r>
          </w:p>
        </w:tc>
        <w:tc>
          <w:tcPr>
            <w:tcW w:w="120" w:type="dxa"/>
            <w:vAlign w:val="bottom"/>
            <w:shd w:val="clear" w:color="auto" w:fill="E5FFFF"/>
          </w:tcPr>
          <w:p>
            <w:pPr>
              <w:spacing w:after="0"/>
              <w:rPr>
                <w:sz w:val="17"/>
                <w:szCs w:val="17"/>
                <w:color w:val="auto"/>
              </w:rPr>
            </w:pPr>
          </w:p>
        </w:tc>
        <w:tc>
          <w:tcPr>
            <w:tcW w:w="138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E5FFFF"/>
          </w:tcPr>
          <w:p>
            <w:pPr>
              <w:ind w:left="1080"/>
              <w:spacing w:after="0"/>
              <w:rPr>
                <w:sz w:val="20"/>
                <w:szCs w:val="20"/>
                <w:color w:val="auto"/>
              </w:rPr>
            </w:pPr>
            <w:r>
              <w:rPr>
                <w:rFonts w:ascii="Arial" w:cs="Arial" w:eastAsia="Arial" w:hAnsi="Arial"/>
                <w:sz w:val="16"/>
                <w:szCs w:val="16"/>
                <w:b w:val="1"/>
                <w:bCs w:val="1"/>
                <w:color w:val="auto"/>
              </w:rPr>
              <w:t>—</w:t>
            </w:r>
          </w:p>
        </w:tc>
        <w:tc>
          <w:tcPr>
            <w:tcW w:w="170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w:t>
            </w:r>
          </w:p>
        </w:tc>
        <w:tc>
          <w:tcPr>
            <w:tcW w:w="162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1,845</w:t>
            </w:r>
          </w:p>
        </w:tc>
        <w:tc>
          <w:tcPr>
            <w:tcW w:w="80" w:type="dxa"/>
            <w:vAlign w:val="bottom"/>
            <w:shd w:val="clear" w:color="auto" w:fill="E5FFFF"/>
          </w:tcPr>
          <w:p>
            <w:pPr>
              <w:spacing w:after="0"/>
              <w:rPr>
                <w:sz w:val="17"/>
                <w:szCs w:val="17"/>
                <w:color w:val="auto"/>
              </w:rPr>
            </w:pPr>
          </w:p>
        </w:tc>
      </w:tr>
      <w:tr>
        <w:trPr>
          <w:trHeight w:val="203"/>
        </w:trPr>
        <w:tc>
          <w:tcPr>
            <w:tcW w:w="4020" w:type="dxa"/>
            <w:vAlign w:val="bottom"/>
          </w:tcPr>
          <w:p>
            <w:pPr>
              <w:spacing w:after="0"/>
              <w:rPr>
                <w:sz w:val="20"/>
                <w:szCs w:val="20"/>
                <w:color w:val="auto"/>
              </w:rPr>
            </w:pPr>
            <w:r>
              <w:rPr>
                <w:rFonts w:ascii="Arial" w:cs="Arial" w:eastAsia="Arial" w:hAnsi="Arial"/>
                <w:sz w:val="16"/>
                <w:szCs w:val="16"/>
                <w:color w:val="auto"/>
              </w:rPr>
              <w:t>Exercised during the period</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(5,454)</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ind w:left="880"/>
              <w:spacing w:after="0"/>
              <w:rPr>
                <w:sz w:val="20"/>
                <w:szCs w:val="20"/>
                <w:color w:val="auto"/>
              </w:rPr>
            </w:pPr>
            <w:r>
              <w:rPr>
                <w:rFonts w:ascii="Arial" w:cs="Arial" w:eastAsia="Arial" w:hAnsi="Arial"/>
                <w:sz w:val="16"/>
                <w:szCs w:val="16"/>
                <w:color w:val="auto"/>
              </w:rPr>
              <w:t>14.78</w:t>
            </w:r>
          </w:p>
        </w:tc>
        <w:tc>
          <w:tcPr>
            <w:tcW w:w="1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700" w:type="dxa"/>
            <w:vAlign w:val="bottom"/>
            <w:gridSpan w:val="3"/>
          </w:tcPr>
          <w:p>
            <w:pPr>
              <w:jc w:val="right"/>
              <w:ind w:right="60"/>
              <w:spacing w:after="0"/>
              <w:rPr>
                <w:sz w:val="20"/>
                <w:szCs w:val="20"/>
                <w:color w:val="auto"/>
              </w:rPr>
            </w:pPr>
            <w:r>
              <w:rPr>
                <w:rFonts w:ascii="Arial" w:cs="Arial" w:eastAsia="Arial" w:hAnsi="Arial"/>
                <w:sz w:val="16"/>
                <w:szCs w:val="16"/>
                <w:color w:val="auto"/>
              </w:rPr>
              <w:t>(13)</w:t>
            </w:r>
          </w:p>
        </w:tc>
      </w:tr>
      <w:tr>
        <w:trPr>
          <w:trHeight w:val="203"/>
        </w:trPr>
        <w:tc>
          <w:tcPr>
            <w:tcW w:w="4020" w:type="dxa"/>
            <w:vAlign w:val="bottom"/>
            <w:shd w:val="clear" w:color="auto" w:fill="E5FFFF"/>
          </w:tcPr>
          <w:p>
            <w:pPr>
              <w:spacing w:after="0"/>
              <w:rPr>
                <w:sz w:val="20"/>
                <w:szCs w:val="20"/>
                <w:color w:val="auto"/>
              </w:rPr>
            </w:pPr>
            <w:r>
              <w:rPr>
                <w:rFonts w:ascii="Arial" w:cs="Arial" w:eastAsia="Arial" w:hAnsi="Arial"/>
                <w:sz w:val="16"/>
                <w:szCs w:val="16"/>
                <w:color w:val="auto"/>
              </w:rPr>
              <w:t>Forfeited during the period</w:t>
            </w:r>
          </w:p>
        </w:tc>
        <w:tc>
          <w:tcPr>
            <w:tcW w:w="126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(25,333)</w:t>
            </w:r>
          </w:p>
        </w:tc>
        <w:tc>
          <w:tcPr>
            <w:tcW w:w="138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E5FFFF"/>
          </w:tcPr>
          <w:p>
            <w:pPr>
              <w:ind w:left="1080"/>
              <w:spacing w:after="0"/>
              <w:rPr>
                <w:sz w:val="20"/>
                <w:szCs w:val="20"/>
                <w:color w:val="auto"/>
              </w:rPr>
            </w:pPr>
            <w:r>
              <w:rPr>
                <w:rFonts w:ascii="Arial" w:cs="Arial" w:eastAsia="Arial" w:hAnsi="Arial"/>
                <w:sz w:val="16"/>
                <w:szCs w:val="16"/>
                <w:color w:val="auto"/>
              </w:rPr>
              <w:t>—</w:t>
            </w:r>
          </w:p>
        </w:tc>
        <w:tc>
          <w:tcPr>
            <w:tcW w:w="170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w:t>
            </w:r>
          </w:p>
        </w:tc>
        <w:tc>
          <w:tcPr>
            <w:tcW w:w="1700" w:type="dxa"/>
            <w:vAlign w:val="bottom"/>
            <w:gridSpan w:val="3"/>
            <w:shd w:val="clear" w:color="auto" w:fill="E5FFFF"/>
          </w:tcPr>
          <w:p>
            <w:pPr>
              <w:jc w:val="right"/>
              <w:ind w:right="60"/>
              <w:spacing w:after="0"/>
              <w:rPr>
                <w:sz w:val="20"/>
                <w:szCs w:val="20"/>
                <w:color w:val="auto"/>
              </w:rPr>
            </w:pPr>
            <w:r>
              <w:rPr>
                <w:rFonts w:ascii="Arial" w:cs="Arial" w:eastAsia="Arial" w:hAnsi="Arial"/>
                <w:sz w:val="16"/>
                <w:szCs w:val="16"/>
                <w:color w:val="auto"/>
              </w:rPr>
              <w:t>(141)</w:t>
            </w:r>
          </w:p>
        </w:tc>
      </w:tr>
      <w:tr>
        <w:trPr>
          <w:trHeight w:val="196"/>
        </w:trPr>
        <w:tc>
          <w:tcPr>
            <w:tcW w:w="4020" w:type="dxa"/>
            <w:vAlign w:val="bottom"/>
          </w:tcPr>
          <w:p>
            <w:pPr>
              <w:spacing w:after="0"/>
              <w:rPr>
                <w:sz w:val="20"/>
                <w:szCs w:val="20"/>
                <w:color w:val="auto"/>
              </w:rPr>
            </w:pPr>
            <w:r>
              <w:rPr>
                <w:rFonts w:ascii="Arial" w:cs="Arial" w:eastAsia="Arial" w:hAnsi="Arial"/>
                <w:sz w:val="16"/>
                <w:szCs w:val="16"/>
                <w:b w:val="1"/>
                <w:bCs w:val="1"/>
                <w:color w:val="auto"/>
              </w:rPr>
              <w:t>Outstanding as of September 30, 2019</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2,667,830</w:t>
            </w:r>
          </w:p>
        </w:tc>
        <w:tc>
          <w:tcPr>
            <w:tcW w:w="12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14.84</w:t>
            </w:r>
          </w:p>
        </w:tc>
        <w:tc>
          <w:tcPr>
            <w:tcW w:w="120" w:type="dxa"/>
            <w:vAlign w:val="bottom"/>
          </w:tcPr>
          <w:p>
            <w:pPr>
              <w:spacing w:after="0"/>
              <w:rPr>
                <w:sz w:val="17"/>
                <w:szCs w:val="17"/>
                <w:color w:val="auto"/>
              </w:rPr>
            </w:pPr>
          </w:p>
        </w:tc>
        <w:tc>
          <w:tcPr>
            <w:tcW w:w="1240" w:type="dxa"/>
            <w:vAlign w:val="bottom"/>
            <w:tcBorders>
              <w:top w:val="single" w:sz="8" w:color="auto"/>
              <w:bottom w:val="single" w:sz="8" w:color="auto"/>
            </w:tcBorders>
          </w:tcPr>
          <w:p>
            <w:pPr>
              <w:ind w:left="1080"/>
              <w:spacing w:after="0"/>
              <w:rPr>
                <w:sz w:val="20"/>
                <w:szCs w:val="20"/>
                <w:color w:val="auto"/>
              </w:rPr>
            </w:pPr>
            <w:r>
              <w:rPr>
                <w:rFonts w:ascii="Arial" w:cs="Arial" w:eastAsia="Arial" w:hAnsi="Arial"/>
                <w:sz w:val="16"/>
                <w:szCs w:val="16"/>
                <w:b w:val="1"/>
                <w:bCs w:val="1"/>
                <w:color w:val="auto"/>
                <w:w w:val="87"/>
              </w:rPr>
              <w:t>—</w:t>
            </w:r>
          </w:p>
        </w:tc>
        <w:tc>
          <w:tcPr>
            <w:tcW w:w="120" w:type="dxa"/>
            <w:vAlign w:val="bottom"/>
          </w:tcPr>
          <w:p>
            <w:pPr>
              <w:spacing w:after="0"/>
              <w:rPr>
                <w:sz w:val="17"/>
                <w:szCs w:val="17"/>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6.78</w:t>
            </w:r>
          </w:p>
        </w:tc>
        <w:tc>
          <w:tcPr>
            <w:tcW w:w="100" w:type="dxa"/>
            <w:vAlign w:val="bottom"/>
          </w:tcPr>
          <w:p>
            <w:pPr>
              <w:spacing w:after="0"/>
              <w:rPr>
                <w:sz w:val="17"/>
                <w:szCs w:val="17"/>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11,530</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40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2019, 1,945,881 SARs have vested but have not been exercised.</w:t>
      </w:r>
    </w:p>
    <w:p>
      <w:pPr>
        <w:spacing w:after="0" w:line="221"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On April 1, 2019, GasLog Partners granted to its executives 13,408 RCUs and 13,408 PCUs in accordance with the GasLog Partners’ Plan. The RCUs and PCUs will vest on April 1, 2022. The holders are entitled to cash distributions that will be accrued and settled on vesting.</w:t>
      </w:r>
    </w:p>
    <w:p>
      <w:pPr>
        <w:spacing w:after="0" w:line="155" w:lineRule="exact"/>
        <w:rPr>
          <w:sz w:val="20"/>
          <w:szCs w:val="20"/>
          <w:color w:val="auto"/>
        </w:rPr>
      </w:pPr>
    </w:p>
    <w:tbl>
      <w:tblPr>
        <w:tblLayout w:type="fixed"/>
        <w:tblInd w:w="980" w:type="dxa"/>
        <w:tblCellMar>
          <w:top w:w="0" w:type="dxa"/>
          <w:left w:w="0" w:type="dxa"/>
          <w:bottom w:w="0" w:type="dxa"/>
          <w:right w:w="0" w:type="dxa"/>
        </w:tblCellMar>
      </w:tblPr>
      <w:tr>
        <w:trPr>
          <w:trHeight w:val="203"/>
        </w:trPr>
        <w:tc>
          <w:tcPr>
            <w:tcW w:w="2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Fair value at</w:t>
            </w:r>
          </w:p>
        </w:tc>
      </w:tr>
      <w:tr>
        <w:trPr>
          <w:trHeight w:val="213"/>
        </w:trPr>
        <w:tc>
          <w:tcPr>
            <w:tcW w:w="2860" w:type="dxa"/>
            <w:vAlign w:val="bottom"/>
            <w:gridSpan w:val="2"/>
          </w:tcPr>
          <w:p>
            <w:pPr>
              <w:spacing w:after="0"/>
              <w:rPr>
                <w:sz w:val="20"/>
                <w:szCs w:val="20"/>
                <w:color w:val="auto"/>
              </w:rPr>
            </w:pPr>
            <w:r>
              <w:rPr>
                <w:rFonts w:ascii="Arial" w:cs="Arial" w:eastAsia="Arial" w:hAnsi="Arial"/>
                <w:sz w:val="16"/>
                <w:szCs w:val="16"/>
                <w:b w:val="1"/>
                <w:bCs w:val="1"/>
                <w:color w:val="auto"/>
              </w:rPr>
              <w:t>Awards</w:t>
            </w:r>
          </w:p>
        </w:tc>
        <w:tc>
          <w:tcPr>
            <w:tcW w:w="1620" w:type="dxa"/>
            <w:vAlign w:val="bottom"/>
            <w:gridSpan w:val="2"/>
          </w:tcPr>
          <w:p>
            <w:pPr>
              <w:ind w:left="400"/>
              <w:spacing w:after="0"/>
              <w:rPr>
                <w:sz w:val="20"/>
                <w:szCs w:val="20"/>
                <w:color w:val="auto"/>
              </w:rPr>
            </w:pPr>
            <w:r>
              <w:rPr>
                <w:rFonts w:ascii="Arial" w:cs="Arial" w:eastAsia="Arial" w:hAnsi="Arial"/>
                <w:sz w:val="16"/>
                <w:szCs w:val="16"/>
                <w:b w:val="1"/>
                <w:bCs w:val="1"/>
                <w:color w:val="auto"/>
              </w:rPr>
              <w:t>Number</w:t>
            </w:r>
          </w:p>
        </w:tc>
        <w:tc>
          <w:tcPr>
            <w:tcW w:w="16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Grant date</w:t>
            </w:r>
          </w:p>
        </w:tc>
        <w:tc>
          <w:tcPr>
            <w:tcW w:w="1580" w:type="dxa"/>
            <w:vAlign w:val="bottom"/>
            <w:gridSpan w:val="2"/>
          </w:tcPr>
          <w:p>
            <w:pPr>
              <w:ind w:left="280"/>
              <w:spacing w:after="0"/>
              <w:rPr>
                <w:sz w:val="20"/>
                <w:szCs w:val="20"/>
                <w:color w:val="auto"/>
              </w:rPr>
            </w:pPr>
            <w:r>
              <w:rPr>
                <w:rFonts w:ascii="Arial" w:cs="Arial" w:eastAsia="Arial" w:hAnsi="Arial"/>
                <w:sz w:val="16"/>
                <w:szCs w:val="16"/>
                <w:b w:val="1"/>
                <w:bCs w:val="1"/>
                <w:color w:val="auto"/>
              </w:rPr>
              <w:t>Expiry date</w:t>
            </w: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grant date</w:t>
            </w:r>
          </w:p>
        </w:tc>
      </w:tr>
      <w:tr>
        <w:trPr>
          <w:trHeight w:val="199"/>
        </w:trPr>
        <w:tc>
          <w:tcPr>
            <w:tcW w:w="276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color w:val="auto"/>
              </w:rPr>
              <w:t>RCUs</w:t>
            </w:r>
          </w:p>
        </w:tc>
        <w:tc>
          <w:tcPr>
            <w:tcW w:w="10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13,408</w:t>
            </w:r>
          </w:p>
        </w:tc>
        <w:tc>
          <w:tcPr>
            <w:tcW w:w="24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7"/>
              </w:rPr>
              <w:t>April 1, 2019</w:t>
            </w:r>
          </w:p>
        </w:tc>
        <w:tc>
          <w:tcPr>
            <w:tcW w:w="24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ind w:left="1160"/>
              <w:spacing w:after="0"/>
              <w:rPr>
                <w:sz w:val="20"/>
                <w:szCs w:val="20"/>
                <w:color w:val="auto"/>
              </w:rPr>
            </w:pPr>
            <w:r>
              <w:rPr>
                <w:rFonts w:ascii="Arial" w:cs="Arial" w:eastAsia="Arial" w:hAnsi="Arial"/>
                <w:sz w:val="16"/>
                <w:szCs w:val="16"/>
                <w:color w:val="auto"/>
                <w:w w:val="80"/>
              </w:rPr>
              <w:t>n/a</w:t>
            </w:r>
          </w:p>
        </w:tc>
        <w:tc>
          <w:tcPr>
            <w:tcW w:w="220" w:type="dxa"/>
            <w:vAlign w:val="bottom"/>
            <w:tcBorders>
              <w:top w:val="single" w:sz="8" w:color="E5FFFF"/>
            </w:tcBorders>
            <w:shd w:val="clear" w:color="auto" w:fill="E5FFFF"/>
          </w:tcPr>
          <w:p>
            <w:pPr>
              <w:spacing w:after="0"/>
              <w:rPr>
                <w:sz w:val="17"/>
                <w:szCs w:val="17"/>
                <w:color w:val="auto"/>
              </w:rPr>
            </w:pPr>
          </w:p>
        </w:tc>
        <w:tc>
          <w:tcPr>
            <w:tcW w:w="14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$22.99</w:t>
            </w:r>
          </w:p>
        </w:tc>
        <w:tc>
          <w:tcPr>
            <w:tcW w:w="20" w:type="dxa"/>
            <w:vAlign w:val="bottom"/>
          </w:tcPr>
          <w:p>
            <w:pPr>
              <w:spacing w:after="0"/>
              <w:rPr>
                <w:sz w:val="17"/>
                <w:szCs w:val="17"/>
                <w:color w:val="auto"/>
              </w:rPr>
            </w:pPr>
          </w:p>
        </w:tc>
      </w:tr>
      <w:tr>
        <w:trPr>
          <w:trHeight w:val="206"/>
        </w:trPr>
        <w:tc>
          <w:tcPr>
            <w:tcW w:w="2860" w:type="dxa"/>
            <w:vAlign w:val="bottom"/>
            <w:gridSpan w:val="2"/>
          </w:tcPr>
          <w:p>
            <w:pPr>
              <w:spacing w:after="0"/>
              <w:rPr>
                <w:sz w:val="20"/>
                <w:szCs w:val="20"/>
                <w:color w:val="auto"/>
              </w:rPr>
            </w:pPr>
            <w:r>
              <w:rPr>
                <w:rFonts w:ascii="Arial" w:cs="Arial" w:eastAsia="Arial" w:hAnsi="Arial"/>
                <w:sz w:val="16"/>
                <w:szCs w:val="16"/>
                <w:color w:val="auto"/>
              </w:rPr>
              <w:t>PCUs</w:t>
            </w:r>
          </w:p>
        </w:tc>
        <w:tc>
          <w:tcPr>
            <w:tcW w:w="1380" w:type="dxa"/>
            <w:vAlign w:val="bottom"/>
          </w:tcPr>
          <w:p>
            <w:pPr>
              <w:jc w:val="right"/>
              <w:spacing w:after="0"/>
              <w:rPr>
                <w:sz w:val="20"/>
                <w:szCs w:val="20"/>
                <w:color w:val="auto"/>
              </w:rPr>
            </w:pPr>
            <w:r>
              <w:rPr>
                <w:rFonts w:ascii="Arial" w:cs="Arial" w:eastAsia="Arial" w:hAnsi="Arial"/>
                <w:sz w:val="16"/>
                <w:szCs w:val="16"/>
                <w:color w:val="auto"/>
              </w:rPr>
              <w:t>13,408</w:t>
            </w:r>
          </w:p>
        </w:tc>
        <w:tc>
          <w:tcPr>
            <w:tcW w:w="240" w:type="dxa"/>
            <w:vAlign w:val="bottom"/>
          </w:tcPr>
          <w:p>
            <w:pPr>
              <w:spacing w:after="0"/>
              <w:rPr>
                <w:sz w:val="17"/>
                <w:szCs w:val="17"/>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6"/>
                <w:szCs w:val="16"/>
                <w:color w:val="auto"/>
                <w:w w:val="97"/>
              </w:rPr>
              <w:t>April 1, 2019</w:t>
            </w:r>
          </w:p>
        </w:tc>
        <w:tc>
          <w:tcPr>
            <w:tcW w:w="1580" w:type="dxa"/>
            <w:vAlign w:val="bottom"/>
            <w:gridSpan w:val="2"/>
          </w:tcPr>
          <w:p>
            <w:pPr>
              <w:ind w:left="1160"/>
              <w:spacing w:after="0"/>
              <w:rPr>
                <w:sz w:val="20"/>
                <w:szCs w:val="20"/>
                <w:color w:val="auto"/>
              </w:rPr>
            </w:pPr>
            <w:r>
              <w:rPr>
                <w:rFonts w:ascii="Arial" w:cs="Arial" w:eastAsia="Arial" w:hAnsi="Arial"/>
                <w:sz w:val="16"/>
                <w:szCs w:val="16"/>
                <w:color w:val="auto"/>
              </w:rPr>
              <w:t>n/a</w:t>
            </w:r>
          </w:p>
        </w:tc>
        <w:tc>
          <w:tcPr>
            <w:tcW w:w="1460" w:type="dxa"/>
            <w:vAlign w:val="bottom"/>
          </w:tcPr>
          <w:p>
            <w:pPr>
              <w:jc w:val="right"/>
              <w:spacing w:after="0"/>
              <w:rPr>
                <w:sz w:val="20"/>
                <w:szCs w:val="20"/>
                <w:color w:val="auto"/>
              </w:rPr>
            </w:pPr>
            <w:r>
              <w:rPr>
                <w:rFonts w:ascii="Arial" w:cs="Arial" w:eastAsia="Arial" w:hAnsi="Arial"/>
                <w:sz w:val="16"/>
                <w:szCs w:val="16"/>
                <w:color w:val="auto"/>
              </w:rPr>
              <w:t>$22.99</w:t>
            </w:r>
          </w:p>
        </w:tc>
        <w:tc>
          <w:tcPr>
            <w:tcW w:w="20" w:type="dxa"/>
            <w:vAlign w:val="bottom"/>
          </w:tcPr>
          <w:p>
            <w:pPr>
              <w:spacing w:after="0"/>
              <w:rPr>
                <w:sz w:val="17"/>
                <w:szCs w:val="17"/>
                <w:color w:val="auto"/>
              </w:rPr>
            </w:pPr>
          </w:p>
        </w:tc>
      </w:tr>
    </w:tbl>
    <w:p>
      <w:pPr>
        <w:spacing w:after="0" w:line="202" w:lineRule="exact"/>
        <w:rPr>
          <w:sz w:val="20"/>
          <w:szCs w:val="20"/>
          <w:color w:val="auto"/>
        </w:rPr>
      </w:pPr>
    </w:p>
    <w:p>
      <w:pPr>
        <w:ind w:right="100" w:firstLine="357"/>
        <w:spacing w:after="0" w:line="278" w:lineRule="auto"/>
        <w:rPr>
          <w:sz w:val="20"/>
          <w:szCs w:val="20"/>
          <w:color w:val="auto"/>
        </w:rPr>
      </w:pPr>
      <w:r>
        <w:rPr>
          <w:rFonts w:ascii="Arial" w:cs="Arial" w:eastAsia="Arial" w:hAnsi="Arial"/>
          <w:sz w:val="16"/>
          <w:szCs w:val="16"/>
          <w:color w:val="auto"/>
        </w:rPr>
        <w:t>In accordance with the terms of the GasLog Partners’ Plan, the awards will be settled in cash or in common units at the sole discretion of the board of directors or such committee as may be designated by the board to administer the GasLog Partners’ Plan. These awards have been treated as equity settled because the Partnership has no present obligation to settle them in cash.</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w:t>
      </w:r>
    </w:p>
    <w:p>
      <w:pPr>
        <w:spacing w:after="0" w:line="225" w:lineRule="exact"/>
        <w:rPr>
          <w:sz w:val="20"/>
          <w:szCs w:val="20"/>
          <w:color w:val="auto"/>
        </w:rPr>
      </w:pPr>
    </w:p>
    <w:p>
      <w:pPr>
        <w:ind w:right="100" w:firstLine="357"/>
        <w:spacing w:after="0" w:line="293" w:lineRule="auto"/>
        <w:rPr>
          <w:sz w:val="20"/>
          <w:szCs w:val="20"/>
          <w:color w:val="auto"/>
        </w:rPr>
      </w:pPr>
      <w:r>
        <w:rPr>
          <w:rFonts w:ascii="Arial" w:cs="Arial" w:eastAsia="Arial" w:hAnsi="Arial"/>
          <w:sz w:val="16"/>
          <w:szCs w:val="16"/>
          <w:color w:val="auto"/>
        </w:rPr>
        <w:t>The fair value of the RCUs and PCUs in accordance with the GasLog Partners’ Plan was determined by using the grant date closing price of $22.99 per common unit and was not further adjusted since the holders are entitled to cash distributions.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gridSpan w:val="2"/>
          </w:tcPr>
          <w:p>
            <w:pPr>
              <w:spacing w:after="0"/>
              <w:rPr>
                <w:sz w:val="20"/>
                <w:szCs w:val="20"/>
                <w:color w:val="auto"/>
              </w:rPr>
            </w:pPr>
            <w:r>
              <w:rPr>
                <w:rFonts w:ascii="Arial" w:cs="Arial" w:eastAsia="Arial" w:hAnsi="Arial"/>
                <w:sz w:val="16"/>
                <w:szCs w:val="16"/>
                <w:b w:val="1"/>
                <w:bCs w:val="1"/>
                <w:color w:val="auto"/>
              </w:rPr>
              <w:t>Movement in RCUs and PCUs during the period</w:t>
            </w: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405"/>
        </w:trPr>
        <w:tc>
          <w:tcPr>
            <w:tcW w:w="4700" w:type="dxa"/>
            <w:vAlign w:val="bottom"/>
            <w:gridSpan w:val="2"/>
          </w:tcPr>
          <w:p>
            <w:pPr>
              <w:ind w:left="340"/>
              <w:spacing w:after="0"/>
              <w:rPr>
                <w:sz w:val="20"/>
                <w:szCs w:val="20"/>
                <w:color w:val="auto"/>
              </w:rPr>
            </w:pPr>
            <w:r>
              <w:rPr>
                <w:rFonts w:ascii="Arial" w:cs="Arial" w:eastAsia="Arial" w:hAnsi="Arial"/>
                <w:sz w:val="16"/>
                <w:szCs w:val="16"/>
                <w:color w:val="auto"/>
              </w:rPr>
              <w:t>The summary of RCUs and PCUs is presented below:</w:t>
            </w: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97"/>
        </w:trPr>
        <w:tc>
          <w:tcPr>
            <w:tcW w:w="6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Weighted</w:t>
            </w: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66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Number of</w:t>
            </w: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average</w:t>
            </w:r>
          </w:p>
        </w:tc>
        <w:tc>
          <w:tcPr>
            <w:tcW w:w="1380" w:type="dxa"/>
            <w:vAlign w:val="bottom"/>
          </w:tcPr>
          <w:p>
            <w:pPr>
              <w:jc w:val="right"/>
              <w:ind w:right="259"/>
              <w:spacing w:after="0"/>
              <w:rPr>
                <w:sz w:val="20"/>
                <w:szCs w:val="20"/>
                <w:color w:val="auto"/>
              </w:rPr>
            </w:pPr>
            <w:r>
              <w:rPr>
                <w:rFonts w:ascii="Arial" w:cs="Arial" w:eastAsia="Arial" w:hAnsi="Arial"/>
                <w:sz w:val="16"/>
                <w:szCs w:val="16"/>
                <w:b w:val="1"/>
                <w:bCs w:val="1"/>
                <w:color w:val="auto"/>
              </w:rPr>
              <w:t>Aggregate</w:t>
            </w:r>
          </w:p>
        </w:tc>
        <w:tc>
          <w:tcPr>
            <w:tcW w:w="1000" w:type="dxa"/>
            <w:vAlign w:val="bottom"/>
          </w:tcPr>
          <w:p>
            <w:pPr>
              <w:spacing w:after="0"/>
              <w:rPr>
                <w:sz w:val="17"/>
                <w:szCs w:val="17"/>
                <w:color w:val="auto"/>
              </w:rPr>
            </w:pPr>
          </w:p>
        </w:tc>
      </w:tr>
      <w:tr>
        <w:trPr>
          <w:trHeight w:val="210"/>
        </w:trPr>
        <w:tc>
          <w:tcPr>
            <w:tcW w:w="66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20" w:type="dxa"/>
            <w:vAlign w:val="bottom"/>
            <w:gridSpan w:val="2"/>
          </w:tcPr>
          <w:p>
            <w:pPr>
              <w:jc w:val="right"/>
              <w:ind w:right="680"/>
              <w:spacing w:after="0"/>
              <w:rPr>
                <w:sz w:val="20"/>
                <w:szCs w:val="20"/>
                <w:color w:val="auto"/>
              </w:rPr>
            </w:pPr>
            <w:r>
              <w:rPr>
                <w:rFonts w:ascii="Arial" w:cs="Arial" w:eastAsia="Arial" w:hAnsi="Arial"/>
                <w:sz w:val="16"/>
                <w:szCs w:val="16"/>
                <w:b w:val="1"/>
                <w:bCs w:val="1"/>
                <w:color w:val="auto"/>
              </w:rPr>
              <w:t>awards</w:t>
            </w: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contractual life</w:t>
            </w:r>
          </w:p>
        </w:tc>
        <w:tc>
          <w:tcPr>
            <w:tcW w:w="1380" w:type="dxa"/>
            <w:vAlign w:val="bottom"/>
          </w:tcPr>
          <w:p>
            <w:pPr>
              <w:jc w:val="right"/>
              <w:ind w:right="279"/>
              <w:spacing w:after="0"/>
              <w:rPr>
                <w:sz w:val="20"/>
                <w:szCs w:val="20"/>
                <w:color w:val="auto"/>
              </w:rPr>
            </w:pPr>
            <w:r>
              <w:rPr>
                <w:rFonts w:ascii="Arial" w:cs="Arial" w:eastAsia="Arial" w:hAnsi="Arial"/>
                <w:sz w:val="16"/>
                <w:szCs w:val="16"/>
                <w:b w:val="1"/>
                <w:bCs w:val="1"/>
                <w:color w:val="auto"/>
              </w:rPr>
              <w:t>fair value</w:t>
            </w:r>
          </w:p>
        </w:tc>
        <w:tc>
          <w:tcPr>
            <w:tcW w:w="1000" w:type="dxa"/>
            <w:vAlign w:val="bottom"/>
          </w:tcPr>
          <w:p>
            <w:pPr>
              <w:spacing w:after="0"/>
              <w:rPr>
                <w:sz w:val="18"/>
                <w:szCs w:val="18"/>
                <w:color w:val="auto"/>
              </w:rPr>
            </w:pPr>
          </w:p>
        </w:tc>
      </w:tr>
      <w:tr>
        <w:trPr>
          <w:trHeight w:val="189"/>
        </w:trPr>
        <w:tc>
          <w:tcPr>
            <w:tcW w:w="660" w:type="dxa"/>
            <w:vAlign w:val="bottom"/>
          </w:tcPr>
          <w:p>
            <w:pPr>
              <w:spacing w:after="0"/>
              <w:rPr>
                <w:sz w:val="16"/>
                <w:szCs w:val="16"/>
                <w:color w:val="auto"/>
              </w:rPr>
            </w:pPr>
          </w:p>
        </w:tc>
        <w:tc>
          <w:tcPr>
            <w:tcW w:w="40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RCUs</w:t>
            </w:r>
          </w:p>
        </w:tc>
        <w:tc>
          <w:tcPr>
            <w:tcW w:w="1120" w:type="dxa"/>
            <w:vAlign w:val="bottom"/>
            <w:tcBorders>
              <w:top w:val="single" w:sz="8" w:color="E5FFFF"/>
            </w:tcBorders>
            <w:shd w:val="clear" w:color="auto" w:fill="E5FFFF"/>
          </w:tcPr>
          <w:p>
            <w:pPr>
              <w:spacing w:after="0"/>
              <w:rPr>
                <w:sz w:val="16"/>
                <w:szCs w:val="16"/>
                <w:color w:val="auto"/>
              </w:rPr>
            </w:pPr>
          </w:p>
        </w:tc>
        <w:tc>
          <w:tcPr>
            <w:tcW w:w="1360" w:type="dxa"/>
            <w:vAlign w:val="bottom"/>
            <w:tcBorders>
              <w:top w:val="single" w:sz="8" w:color="auto"/>
            </w:tcBorders>
            <w:shd w:val="clear" w:color="auto" w:fill="E5FFFF"/>
          </w:tcPr>
          <w:p>
            <w:pPr>
              <w:spacing w:after="0"/>
              <w:rPr>
                <w:sz w:val="16"/>
                <w:szCs w:val="16"/>
                <w:color w:val="auto"/>
              </w:rPr>
            </w:pPr>
          </w:p>
        </w:tc>
        <w:tc>
          <w:tcPr>
            <w:tcW w:w="260" w:type="dxa"/>
            <w:vAlign w:val="bottom"/>
            <w:tcBorders>
              <w:top w:val="single" w:sz="8" w:color="E5FFFF"/>
            </w:tcBorders>
            <w:shd w:val="clear" w:color="auto" w:fill="E5FFFF"/>
          </w:tcPr>
          <w:p>
            <w:pPr>
              <w:spacing w:after="0"/>
              <w:rPr>
                <w:sz w:val="16"/>
                <w:szCs w:val="16"/>
                <w:color w:val="auto"/>
              </w:rPr>
            </w:pPr>
          </w:p>
        </w:tc>
        <w:tc>
          <w:tcPr>
            <w:tcW w:w="1380" w:type="dxa"/>
            <w:vAlign w:val="bottom"/>
            <w:tcBorders>
              <w:top w:val="single" w:sz="8" w:color="auto"/>
            </w:tcBorders>
            <w:shd w:val="clear" w:color="auto" w:fill="E5FFFF"/>
          </w:tcPr>
          <w:p>
            <w:pPr>
              <w:spacing w:after="0"/>
              <w:rPr>
                <w:sz w:val="16"/>
                <w:szCs w:val="16"/>
                <w:color w:val="auto"/>
              </w:rPr>
            </w:pPr>
          </w:p>
        </w:tc>
        <w:tc>
          <w:tcPr>
            <w:tcW w:w="260" w:type="dxa"/>
            <w:vAlign w:val="bottom"/>
            <w:tcBorders>
              <w:top w:val="single" w:sz="8" w:color="E5FFFF"/>
            </w:tcBorders>
            <w:shd w:val="clear" w:color="auto" w:fill="E5FFFF"/>
          </w:tcPr>
          <w:p>
            <w:pPr>
              <w:spacing w:after="0"/>
              <w:rPr>
                <w:sz w:val="16"/>
                <w:szCs w:val="16"/>
                <w:color w:val="auto"/>
              </w:rPr>
            </w:pPr>
          </w:p>
        </w:tc>
        <w:tc>
          <w:tcPr>
            <w:tcW w:w="1380" w:type="dxa"/>
            <w:vAlign w:val="bottom"/>
            <w:tcBorders>
              <w:top w:val="single" w:sz="8" w:color="auto"/>
            </w:tcBorders>
            <w:shd w:val="clear" w:color="auto" w:fill="E5FFFF"/>
          </w:tcPr>
          <w:p>
            <w:pPr>
              <w:spacing w:after="0"/>
              <w:rPr>
                <w:sz w:val="16"/>
                <w:szCs w:val="16"/>
                <w:color w:val="auto"/>
              </w:rPr>
            </w:pPr>
          </w:p>
        </w:tc>
        <w:tc>
          <w:tcPr>
            <w:tcW w:w="1000" w:type="dxa"/>
            <w:vAlign w:val="bottom"/>
          </w:tcPr>
          <w:p>
            <w:pPr>
              <w:spacing w:after="0"/>
              <w:rPr>
                <w:sz w:val="16"/>
                <w:szCs w:val="16"/>
                <w:color w:val="auto"/>
              </w:rPr>
            </w:pPr>
          </w:p>
        </w:tc>
      </w:tr>
      <w:tr>
        <w:trPr>
          <w:trHeight w:val="203"/>
        </w:trPr>
        <w:tc>
          <w:tcPr>
            <w:tcW w:w="660" w:type="dxa"/>
            <w:vAlign w:val="bottom"/>
          </w:tcPr>
          <w:p>
            <w:pPr>
              <w:spacing w:after="0"/>
              <w:rPr>
                <w:sz w:val="17"/>
                <w:szCs w:val="17"/>
                <w:color w:val="auto"/>
              </w:rPr>
            </w:pPr>
          </w:p>
        </w:tc>
        <w:tc>
          <w:tcPr>
            <w:tcW w:w="4040" w:type="dxa"/>
            <w:vAlign w:val="bottom"/>
          </w:tcPr>
          <w:p>
            <w:pPr>
              <w:spacing w:after="0"/>
              <w:rPr>
                <w:sz w:val="20"/>
                <w:szCs w:val="20"/>
                <w:color w:val="auto"/>
              </w:rPr>
            </w:pPr>
            <w:r>
              <w:rPr>
                <w:rFonts w:ascii="Arial" w:cs="Arial" w:eastAsia="Arial" w:hAnsi="Arial"/>
                <w:sz w:val="16"/>
                <w:szCs w:val="16"/>
                <w:b w:val="1"/>
                <w:bCs w:val="1"/>
                <w:color w:val="auto"/>
              </w:rPr>
              <w:t>Outstanding as of January 1, 2019</w:t>
            </w:r>
          </w:p>
        </w:tc>
        <w:tc>
          <w:tcPr>
            <w:tcW w:w="274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rPr>
              <w:t>75,084</w:t>
            </w: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1.25</w:t>
            </w: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1,595</w:t>
            </w:r>
          </w:p>
        </w:tc>
        <w:tc>
          <w:tcPr>
            <w:tcW w:w="100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4040" w:type="dxa"/>
            <w:vAlign w:val="bottom"/>
            <w:shd w:val="clear" w:color="auto" w:fill="E5FFFF"/>
          </w:tcPr>
          <w:p>
            <w:pPr>
              <w:spacing w:after="0"/>
              <w:rPr>
                <w:sz w:val="20"/>
                <w:szCs w:val="20"/>
                <w:color w:val="auto"/>
              </w:rPr>
            </w:pPr>
            <w:r>
              <w:rPr>
                <w:rFonts w:ascii="Arial" w:cs="Arial" w:eastAsia="Arial" w:hAnsi="Arial"/>
                <w:sz w:val="16"/>
                <w:szCs w:val="16"/>
                <w:color w:val="auto"/>
              </w:rPr>
              <w:t>Granted during the period</w:t>
            </w:r>
          </w:p>
        </w:tc>
        <w:tc>
          <w:tcPr>
            <w:tcW w:w="2740" w:type="dxa"/>
            <w:vAlign w:val="bottom"/>
            <w:gridSpan w:val="3"/>
            <w:shd w:val="clear" w:color="auto" w:fill="E5FFFF"/>
          </w:tcPr>
          <w:p>
            <w:pPr>
              <w:jc w:val="right"/>
              <w:ind w:right="260"/>
              <w:spacing w:after="0"/>
              <w:rPr>
                <w:sz w:val="20"/>
                <w:szCs w:val="20"/>
                <w:color w:val="auto"/>
              </w:rPr>
            </w:pPr>
            <w:r>
              <w:rPr>
                <w:rFonts w:ascii="Arial" w:cs="Arial" w:eastAsia="Arial" w:hAnsi="Arial"/>
                <w:sz w:val="16"/>
                <w:szCs w:val="16"/>
                <w:color w:val="auto"/>
              </w:rPr>
              <w:t>13,408</w:t>
            </w:r>
          </w:p>
        </w:tc>
        <w:tc>
          <w:tcPr>
            <w:tcW w:w="1640" w:type="dxa"/>
            <w:vAlign w:val="bottom"/>
            <w:gridSpan w:val="2"/>
            <w:shd w:val="clear" w:color="auto" w:fill="E5FFFF"/>
          </w:tcPr>
          <w:p>
            <w:pPr>
              <w:jc w:val="right"/>
              <w:ind w:right="260"/>
              <w:spacing w:after="0"/>
              <w:rPr>
                <w:sz w:val="20"/>
                <w:szCs w:val="20"/>
                <w:color w:val="auto"/>
              </w:rPr>
            </w:pPr>
            <w:r>
              <w:rPr>
                <w:rFonts w:ascii="Arial" w:cs="Arial" w:eastAsia="Arial" w:hAnsi="Arial"/>
                <w:sz w:val="16"/>
                <w:szCs w:val="16"/>
                <w:color w:val="auto"/>
              </w:rPr>
              <w:t>—</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308</w:t>
            </w:r>
          </w:p>
        </w:tc>
        <w:tc>
          <w:tcPr>
            <w:tcW w:w="100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4040" w:type="dxa"/>
            <w:vAlign w:val="bottom"/>
          </w:tcPr>
          <w:p>
            <w:pPr>
              <w:spacing w:after="0"/>
              <w:rPr>
                <w:sz w:val="20"/>
                <w:szCs w:val="20"/>
                <w:color w:val="auto"/>
              </w:rPr>
            </w:pPr>
            <w:r>
              <w:rPr>
                <w:rFonts w:ascii="Arial" w:cs="Arial" w:eastAsia="Arial" w:hAnsi="Arial"/>
                <w:sz w:val="16"/>
                <w:szCs w:val="16"/>
                <w:color w:val="auto"/>
              </w:rPr>
              <w:t>Vested during the period</w:t>
            </w:r>
          </w:p>
        </w:tc>
        <w:tc>
          <w:tcPr>
            <w:tcW w:w="2740" w:type="dxa"/>
            <w:vAlign w:val="bottom"/>
            <w:gridSpan w:val="3"/>
          </w:tcPr>
          <w:p>
            <w:pPr>
              <w:jc w:val="right"/>
              <w:ind w:right="200"/>
              <w:spacing w:after="0"/>
              <w:rPr>
                <w:sz w:val="20"/>
                <w:szCs w:val="20"/>
                <w:color w:val="auto"/>
              </w:rPr>
            </w:pPr>
            <w:r>
              <w:rPr>
                <w:rFonts w:ascii="Arial" w:cs="Arial" w:eastAsia="Arial" w:hAnsi="Arial"/>
                <w:sz w:val="16"/>
                <w:szCs w:val="16"/>
                <w:color w:val="auto"/>
              </w:rPr>
              <w:t>(24,925)</w:t>
            </w:r>
          </w:p>
        </w:tc>
        <w:tc>
          <w:tcPr>
            <w:tcW w:w="16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(410)</w:t>
            </w:r>
          </w:p>
        </w:tc>
        <w:tc>
          <w:tcPr>
            <w:tcW w:w="100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404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Outstanding as of September 30, 2019</w:t>
            </w:r>
          </w:p>
        </w:tc>
        <w:tc>
          <w:tcPr>
            <w:tcW w:w="1120" w:type="dxa"/>
            <w:vAlign w:val="bottom"/>
            <w:tcBorders>
              <w:top w:val="single" w:sz="8" w:color="E5FFFF"/>
              <w:bottom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63,567</w:t>
            </w:r>
          </w:p>
        </w:tc>
        <w:tc>
          <w:tcPr>
            <w:tcW w:w="260" w:type="dxa"/>
            <w:vAlign w:val="bottom"/>
            <w:tcBorders>
              <w:top w:val="single" w:sz="8" w:color="E5FFFF"/>
              <w:bottom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1.32</w:t>
            </w:r>
          </w:p>
        </w:tc>
        <w:tc>
          <w:tcPr>
            <w:tcW w:w="260" w:type="dxa"/>
            <w:vAlign w:val="bottom"/>
            <w:tcBorders>
              <w:top w:val="single" w:sz="8" w:color="E5FFFF"/>
              <w:bottom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1,493</w:t>
            </w:r>
          </w:p>
        </w:tc>
        <w:tc>
          <w:tcPr>
            <w:tcW w:w="100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380"/>
        </w:trPr>
        <w:tc>
          <w:tcPr>
            <w:tcW w:w="6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740" w:type="dxa"/>
            <w:vAlign w:val="bottom"/>
            <w:gridSpan w:val="3"/>
          </w:tcPr>
          <w:p>
            <w:pPr>
              <w:jc w:val="right"/>
              <w:ind w:right="1580"/>
              <w:spacing w:after="0"/>
              <w:rPr>
                <w:sz w:val="20"/>
                <w:szCs w:val="20"/>
                <w:color w:val="auto"/>
              </w:rPr>
            </w:pPr>
            <w:r>
              <w:rPr>
                <w:rFonts w:ascii="Arial" w:cs="Arial" w:eastAsia="Arial" w:hAnsi="Arial"/>
                <w:sz w:val="16"/>
                <w:szCs w:val="16"/>
                <w:color w:val="auto"/>
              </w:rPr>
              <w:t>F-22</w:t>
            </w: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38"/>
        </w:trPr>
        <w:tc>
          <w:tcPr>
            <w:tcW w:w="660" w:type="dxa"/>
            <w:vAlign w:val="bottom"/>
            <w:tcBorders>
              <w:bottom w:val="single" w:sz="8" w:color="808080"/>
            </w:tcBorders>
          </w:tcPr>
          <w:p>
            <w:pPr>
              <w:spacing w:after="0"/>
              <w:rPr>
                <w:sz w:val="11"/>
                <w:szCs w:val="11"/>
                <w:color w:val="auto"/>
              </w:rPr>
            </w:pPr>
          </w:p>
        </w:tc>
        <w:tc>
          <w:tcPr>
            <w:tcW w:w="404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0" w:right="199" w:bottom="1440" w:gutter="0" w:footer="0" w:header="0"/>
        </w:sectPr>
      </w:pPr>
    </w:p>
    <w:bookmarkStart w:id="47" w:name="page48"/>
    <w:bookmarkEnd w:id="47"/>
    <w:tbl>
      <w:tblPr>
        <w:tblLayout w:type="fixed"/>
        <w:tblInd w:w="660" w:type="dxa"/>
        <w:tblCellMar>
          <w:top w:w="0" w:type="dxa"/>
          <w:left w:w="0" w:type="dxa"/>
          <w:bottom w:w="0" w:type="dxa"/>
          <w:right w:w="0" w:type="dxa"/>
        </w:tblCellMar>
      </w:tblPr>
      <w:tr>
        <w:trPr>
          <w:trHeight w:val="210"/>
        </w:trPr>
        <w:tc>
          <w:tcPr>
            <w:tcW w:w="5160" w:type="dxa"/>
            <w:vAlign w:val="bottom"/>
          </w:tcPr>
          <w:p>
            <w:pPr>
              <w:spacing w:after="0"/>
              <w:rPr>
                <w:sz w:val="20"/>
                <w:szCs w:val="20"/>
                <w:color w:val="auto"/>
              </w:rPr>
            </w:pPr>
            <w:r>
              <w:rPr>
                <w:rFonts w:ascii="Arial" w:cs="Arial" w:eastAsia="Arial" w:hAnsi="Arial"/>
                <w:sz w:val="16"/>
                <w:szCs w:val="16"/>
                <w:b w:val="1"/>
                <w:bCs w:val="1"/>
                <w:color w:val="auto"/>
              </w:rPr>
              <w:t>PCUs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9"/>
        </w:trPr>
        <w:tc>
          <w:tcPr>
            <w:tcW w:w="51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Outstanding as of January 1, 2019</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75,084</w:t>
            </w:r>
          </w:p>
        </w:tc>
        <w:tc>
          <w:tcPr>
            <w:tcW w:w="280" w:type="dxa"/>
            <w:vAlign w:val="bottom"/>
            <w:shd w:val="clear" w:color="auto" w:fill="E5FFFF"/>
          </w:tcPr>
          <w:p>
            <w:pPr>
              <w:spacing w:after="0"/>
              <w:rPr>
                <w:sz w:val="18"/>
                <w:szCs w:val="18"/>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1.25</w:t>
            </w:r>
          </w:p>
        </w:tc>
        <w:tc>
          <w:tcPr>
            <w:tcW w:w="280" w:type="dxa"/>
            <w:vAlign w:val="bottom"/>
            <w:shd w:val="clear" w:color="auto" w:fill="E5FFFF"/>
          </w:tcPr>
          <w:p>
            <w:pPr>
              <w:spacing w:after="0"/>
              <w:rPr>
                <w:sz w:val="18"/>
                <w:szCs w:val="18"/>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1,595</w:t>
            </w:r>
          </w:p>
        </w:tc>
      </w:tr>
      <w:tr>
        <w:trPr>
          <w:trHeight w:val="203"/>
        </w:trPr>
        <w:tc>
          <w:tcPr>
            <w:tcW w:w="5160" w:type="dxa"/>
            <w:vAlign w:val="bottom"/>
          </w:tcPr>
          <w:p>
            <w:pPr>
              <w:spacing w:after="0"/>
              <w:rPr>
                <w:sz w:val="20"/>
                <w:szCs w:val="20"/>
                <w:color w:val="auto"/>
              </w:rPr>
            </w:pPr>
            <w:r>
              <w:rPr>
                <w:rFonts w:ascii="Arial" w:cs="Arial" w:eastAsia="Arial" w:hAnsi="Arial"/>
                <w:sz w:val="16"/>
                <w:szCs w:val="16"/>
                <w:color w:val="auto"/>
              </w:rPr>
              <w:t>Granted during the period</w:t>
            </w:r>
          </w:p>
        </w:tc>
        <w:tc>
          <w:tcPr>
            <w:tcW w:w="1380" w:type="dxa"/>
            <w:vAlign w:val="bottom"/>
          </w:tcPr>
          <w:p>
            <w:pPr>
              <w:jc w:val="right"/>
              <w:spacing w:after="0"/>
              <w:rPr>
                <w:sz w:val="20"/>
                <w:szCs w:val="20"/>
                <w:color w:val="auto"/>
              </w:rPr>
            </w:pPr>
            <w:r>
              <w:rPr>
                <w:rFonts w:ascii="Arial" w:cs="Arial" w:eastAsia="Arial" w:hAnsi="Arial"/>
                <w:sz w:val="16"/>
                <w:szCs w:val="16"/>
                <w:color w:val="auto"/>
              </w:rPr>
              <w:t>13,408</w:t>
            </w:r>
          </w:p>
        </w:tc>
        <w:tc>
          <w:tcPr>
            <w:tcW w:w="280" w:type="dxa"/>
            <w:vAlign w:val="bottom"/>
          </w:tcPr>
          <w:p>
            <w:pPr>
              <w:spacing w:after="0"/>
              <w:rPr>
                <w:sz w:val="17"/>
                <w:szCs w:val="17"/>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308</w:t>
            </w:r>
          </w:p>
        </w:tc>
      </w:tr>
      <w:tr>
        <w:trPr>
          <w:trHeight w:val="203"/>
        </w:trPr>
        <w:tc>
          <w:tcPr>
            <w:tcW w:w="5160" w:type="dxa"/>
            <w:vAlign w:val="bottom"/>
            <w:shd w:val="clear" w:color="auto" w:fill="E5FFFF"/>
          </w:tcPr>
          <w:p>
            <w:pPr>
              <w:spacing w:after="0"/>
              <w:rPr>
                <w:sz w:val="20"/>
                <w:szCs w:val="20"/>
                <w:color w:val="auto"/>
              </w:rPr>
            </w:pPr>
            <w:r>
              <w:rPr>
                <w:rFonts w:ascii="Arial" w:cs="Arial" w:eastAsia="Arial" w:hAnsi="Arial"/>
                <w:sz w:val="16"/>
                <w:szCs w:val="16"/>
                <w:color w:val="auto"/>
              </w:rPr>
              <w:t>Vested during the period</w:t>
            </w:r>
          </w:p>
        </w:tc>
        <w:tc>
          <w:tcPr>
            <w:tcW w:w="166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(24,925)</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(410)</w:t>
            </w:r>
          </w:p>
        </w:tc>
      </w:tr>
      <w:tr>
        <w:trPr>
          <w:trHeight w:val="196"/>
        </w:trPr>
        <w:tc>
          <w:tcPr>
            <w:tcW w:w="5160" w:type="dxa"/>
            <w:vAlign w:val="bottom"/>
          </w:tcPr>
          <w:p>
            <w:pPr>
              <w:spacing w:after="0"/>
              <w:rPr>
                <w:sz w:val="20"/>
                <w:szCs w:val="20"/>
                <w:color w:val="auto"/>
              </w:rPr>
            </w:pPr>
            <w:r>
              <w:rPr>
                <w:rFonts w:ascii="Arial" w:cs="Arial" w:eastAsia="Arial" w:hAnsi="Arial"/>
                <w:sz w:val="16"/>
                <w:szCs w:val="16"/>
                <w:b w:val="1"/>
                <w:bCs w:val="1"/>
                <w:color w:val="auto"/>
              </w:rPr>
              <w:t>Outstanding as of September 30, 2019</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63,567</w:t>
            </w:r>
          </w:p>
        </w:tc>
        <w:tc>
          <w:tcPr>
            <w:tcW w:w="28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1.32</w:t>
            </w:r>
          </w:p>
        </w:tc>
        <w:tc>
          <w:tcPr>
            <w:tcW w:w="28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1,493</w:t>
            </w:r>
          </w:p>
        </w:tc>
      </w:tr>
      <w:tr>
        <w:trPr>
          <w:trHeight w:val="20"/>
        </w:trPr>
        <w:tc>
          <w:tcPr>
            <w:tcW w:w="51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April 2, 2019, 24,925 RCUs and 24,925 PCUs vested under the GasLog Partners’ Plan.</w:t>
      </w:r>
    </w:p>
    <w:p>
      <w:pPr>
        <w:spacing w:after="0" w:line="221" w:lineRule="exact"/>
        <w:rPr>
          <w:sz w:val="20"/>
          <w:szCs w:val="20"/>
          <w:color w:val="auto"/>
        </w:rPr>
      </w:pPr>
    </w:p>
    <w:p>
      <w:pPr>
        <w:ind w:right="160" w:firstLine="357"/>
        <w:spacing w:after="0" w:line="369" w:lineRule="auto"/>
        <w:rPr>
          <w:sz w:val="20"/>
          <w:szCs w:val="20"/>
          <w:color w:val="auto"/>
        </w:rPr>
      </w:pPr>
      <w:r>
        <w:rPr>
          <w:rFonts w:ascii="Arial" w:cs="Arial" w:eastAsia="Arial" w:hAnsi="Arial"/>
          <w:sz w:val="14"/>
          <w:szCs w:val="14"/>
          <w:color w:val="auto"/>
        </w:rPr>
        <w:t>The total expense recognized in respect of share-based compensation for the three and nine months ended September 30, 2019 was $1,141 and $3,728 (for the three and nine months ended September 30, 2018: $1,350 and $3,865). The total accrued cash distribution as of September 30, 2019 is $917 (December 31, 2018: $1,265).</w:t>
      </w: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 Earnings/(loss) per Share (“EPS”)</w:t>
      </w:r>
    </w:p>
    <w:p>
      <w:pPr>
        <w:spacing w:after="0" w:line="225" w:lineRule="exact"/>
        <w:rPr>
          <w:sz w:val="20"/>
          <w:szCs w:val="20"/>
          <w:color w:val="auto"/>
        </w:rPr>
      </w:pPr>
    </w:p>
    <w:p>
      <w:pPr>
        <w:ind w:firstLine="356"/>
        <w:spacing w:after="0" w:line="293" w:lineRule="auto"/>
        <w:rPr>
          <w:sz w:val="20"/>
          <w:szCs w:val="20"/>
          <w:color w:val="auto"/>
        </w:rPr>
      </w:pPr>
      <w:r>
        <w:rPr>
          <w:rFonts w:ascii="Arial" w:cs="Arial" w:eastAsia="Arial" w:hAnsi="Arial"/>
          <w:sz w:val="16"/>
          <w:szCs w:val="16"/>
          <w:color w:val="auto"/>
        </w:rPr>
        <w:t>Basic earnings/(loss) per share was calculated by dividing the net profit for the period attributable to the owners of the common shares by the weighted average number of common shares issued and outstanding during the period.</w:t>
      </w:r>
    </w:p>
    <w:p>
      <w:pPr>
        <w:spacing w:after="0" w:line="159" w:lineRule="exact"/>
        <w:rPr>
          <w:sz w:val="20"/>
          <w:szCs w:val="20"/>
          <w:color w:val="auto"/>
        </w:rPr>
      </w:pPr>
    </w:p>
    <w:p>
      <w:pPr>
        <w:ind w:right="60" w:firstLine="356"/>
        <w:spacing w:after="0" w:line="293" w:lineRule="auto"/>
        <w:rPr>
          <w:sz w:val="20"/>
          <w:szCs w:val="20"/>
          <w:color w:val="auto"/>
        </w:rPr>
      </w:pPr>
      <w:r>
        <w:rPr>
          <w:rFonts w:ascii="Arial" w:cs="Arial" w:eastAsia="Arial" w:hAnsi="Arial"/>
          <w:sz w:val="16"/>
          <w:szCs w:val="16"/>
          <w:color w:val="auto"/>
        </w:rPr>
        <w:t>Diluted earnings/(loss) per share is calculated by dividing the profit for the period attributable to the owners of the Group by the weighted average number of all potential ordinary shares assumed to have been converted into common shares, unless such potential ordinary shares have an antidilutive effect.</w:t>
      </w:r>
    </w:p>
    <w:p>
      <w:pPr>
        <w:spacing w:after="0" w:line="15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reflects the earnings/(loss) and share data used in the basic and diluted earnings per share computations: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3100" w:type="dxa"/>
            <w:vAlign w:val="bottom"/>
            <w:gridSpan w:val="4"/>
          </w:tcPr>
          <w:p>
            <w:pPr>
              <w:jc w:val="right"/>
              <w:ind w:right="579"/>
              <w:spacing w:after="0"/>
              <w:rPr>
                <w:sz w:val="20"/>
                <w:szCs w:val="20"/>
                <w:color w:val="auto"/>
              </w:rPr>
            </w:pPr>
            <w:r>
              <w:rPr>
                <w:rFonts w:ascii="Arial" w:cs="Arial" w:eastAsia="Arial" w:hAnsi="Arial"/>
                <w:sz w:val="16"/>
                <w:szCs w:val="16"/>
                <w:b w:val="1"/>
                <w:bCs w:val="1"/>
                <w:color w:val="auto"/>
              </w:rPr>
              <w:t>For the three months ended</w:t>
            </w:r>
          </w:p>
        </w:tc>
        <w:tc>
          <w:tcPr>
            <w:tcW w:w="0" w:type="dxa"/>
            <w:vAlign w:val="bottom"/>
          </w:tcPr>
          <w:p>
            <w:pPr>
              <w:spacing w:after="0"/>
              <w:rPr>
                <w:sz w:val="1"/>
                <w:szCs w:val="1"/>
                <w:color w:val="auto"/>
              </w:rPr>
            </w:pPr>
          </w:p>
        </w:tc>
      </w:tr>
      <w:tr>
        <w:trPr>
          <w:trHeight w:val="203"/>
        </w:trPr>
        <w:tc>
          <w:tcPr>
            <w:tcW w:w="7440" w:type="dxa"/>
            <w:vAlign w:val="bottom"/>
          </w:tcPr>
          <w:p>
            <w:pPr>
              <w:spacing w:after="0"/>
              <w:rPr>
                <w:sz w:val="17"/>
                <w:szCs w:val="17"/>
                <w:color w:val="auto"/>
              </w:rPr>
            </w:pPr>
          </w:p>
        </w:tc>
        <w:tc>
          <w:tcPr>
            <w:tcW w:w="170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September 30,</w:t>
            </w:r>
          </w:p>
        </w:tc>
        <w:tc>
          <w:tcPr>
            <w:tcW w:w="140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0"/>
        </w:trPr>
        <w:tc>
          <w:tcPr>
            <w:tcW w:w="744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34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440" w:type="dxa"/>
            <w:vAlign w:val="bottom"/>
            <w:shd w:val="clear" w:color="auto" w:fill="E5FFFF"/>
          </w:tcPr>
          <w:p>
            <w:pPr>
              <w:spacing w:after="0"/>
              <w:rPr>
                <w:sz w:val="20"/>
                <w:szCs w:val="20"/>
                <w:color w:val="auto"/>
              </w:rPr>
            </w:pPr>
            <w:r>
              <w:rPr>
                <w:rFonts w:ascii="Arial" w:cs="Arial" w:eastAsia="Arial" w:hAnsi="Arial"/>
                <w:sz w:val="16"/>
                <w:szCs w:val="16"/>
                <w:b w:val="1"/>
                <w:bCs w:val="1"/>
                <w:i w:val="1"/>
                <w:iCs w:val="1"/>
                <w:color w:val="auto"/>
              </w:rPr>
              <w:t>Basic earnings/(loss) per share</w:t>
            </w:r>
          </w:p>
        </w:tc>
        <w:tc>
          <w:tcPr>
            <w:tcW w:w="1360" w:type="dxa"/>
            <w:vAlign w:val="bottom"/>
            <w:shd w:val="clear" w:color="auto" w:fill="E5FFFF"/>
          </w:tcPr>
          <w:p>
            <w:pPr>
              <w:spacing w:after="0"/>
              <w:rPr>
                <w:sz w:val="16"/>
                <w:szCs w:val="16"/>
                <w:color w:val="auto"/>
              </w:rPr>
            </w:pPr>
          </w:p>
        </w:tc>
        <w:tc>
          <w:tcPr>
            <w:tcW w:w="340" w:type="dxa"/>
            <w:vAlign w:val="bottom"/>
            <w:shd w:val="clear" w:color="auto" w:fill="E5FFFF"/>
          </w:tcPr>
          <w:p>
            <w:pPr>
              <w:spacing w:after="0"/>
              <w:rPr>
                <w:sz w:val="16"/>
                <w:szCs w:val="16"/>
                <w:color w:val="auto"/>
              </w:rPr>
            </w:pPr>
          </w:p>
        </w:tc>
        <w:tc>
          <w:tcPr>
            <w:tcW w:w="1360" w:type="dxa"/>
            <w:vAlign w:val="bottom"/>
            <w:tcBorders>
              <w:right w:val="single" w:sz="8" w:color="E5FFFF"/>
            </w:tcBorders>
            <w:shd w:val="clear" w:color="auto" w:fill="E5FF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440" w:type="dxa"/>
            <w:vAlign w:val="bottom"/>
          </w:tcPr>
          <w:p>
            <w:pPr>
              <w:spacing w:after="0"/>
              <w:rPr>
                <w:sz w:val="20"/>
                <w:szCs w:val="20"/>
                <w:color w:val="auto"/>
              </w:rPr>
            </w:pPr>
            <w:r>
              <w:rPr>
                <w:rFonts w:ascii="Arial" w:cs="Arial" w:eastAsia="Arial" w:hAnsi="Arial"/>
                <w:sz w:val="16"/>
                <w:szCs w:val="16"/>
                <w:color w:val="auto"/>
              </w:rPr>
              <w:t>Profit/(loss) for the period attributable to owners of the Group</w:t>
            </w:r>
          </w:p>
        </w:tc>
        <w:tc>
          <w:tcPr>
            <w:tcW w:w="1700" w:type="dxa"/>
            <w:vAlign w:val="bottom"/>
            <w:gridSpan w:val="2"/>
          </w:tcPr>
          <w:p>
            <w:pPr>
              <w:jc w:val="right"/>
              <w:ind w:right="340"/>
              <w:spacing w:after="0"/>
              <w:rPr>
                <w:sz w:val="20"/>
                <w:szCs w:val="20"/>
                <w:color w:val="auto"/>
              </w:rPr>
            </w:pPr>
            <w:r>
              <w:rPr>
                <w:rFonts w:ascii="Arial" w:cs="Arial" w:eastAsia="Arial" w:hAnsi="Arial"/>
                <w:sz w:val="16"/>
                <w:szCs w:val="16"/>
                <w:color w:val="auto"/>
              </w:rPr>
              <w:t>18,214</w:t>
            </w:r>
          </w:p>
        </w:tc>
        <w:tc>
          <w:tcPr>
            <w:tcW w:w="1360" w:type="dxa"/>
            <w:vAlign w:val="bottom"/>
          </w:tcPr>
          <w:p>
            <w:pPr>
              <w:jc w:val="right"/>
              <w:spacing w:after="0"/>
              <w:rPr>
                <w:sz w:val="20"/>
                <w:szCs w:val="20"/>
                <w:color w:val="auto"/>
              </w:rPr>
            </w:pPr>
            <w:r>
              <w:rPr>
                <w:rFonts w:ascii="Arial" w:cs="Arial" w:eastAsia="Arial" w:hAnsi="Arial"/>
                <w:sz w:val="16"/>
                <w:szCs w:val="16"/>
                <w:color w:val="auto"/>
              </w:rPr>
              <w:t>(13,545)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E5FFFF"/>
          </w:tcPr>
          <w:p>
            <w:pPr>
              <w:spacing w:after="0"/>
              <w:rPr>
                <w:sz w:val="20"/>
                <w:szCs w:val="20"/>
                <w:color w:val="auto"/>
              </w:rPr>
            </w:pPr>
            <w:r>
              <w:rPr>
                <w:rFonts w:ascii="Arial" w:cs="Arial" w:eastAsia="Arial" w:hAnsi="Arial"/>
                <w:sz w:val="16"/>
                <w:szCs w:val="16"/>
                <w:color w:val="auto"/>
              </w:rPr>
              <w:t>Less:</w:t>
            </w:r>
          </w:p>
        </w:tc>
        <w:tc>
          <w:tcPr>
            <w:tcW w:w="136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360" w:type="dxa"/>
            <w:vAlign w:val="bottom"/>
            <w:tcBorders>
              <w:right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spacing w:after="0"/>
              <w:rPr>
                <w:sz w:val="20"/>
                <w:szCs w:val="20"/>
                <w:color w:val="auto"/>
              </w:rPr>
            </w:pPr>
            <w:r>
              <w:rPr>
                <w:rFonts w:ascii="Arial" w:cs="Arial" w:eastAsia="Arial" w:hAnsi="Arial"/>
                <w:sz w:val="16"/>
                <w:szCs w:val="16"/>
                <w:color w:val="auto"/>
              </w:rPr>
              <w:t>Dividend on preference shares</w:t>
            </w:r>
          </w:p>
        </w:tc>
        <w:tc>
          <w:tcPr>
            <w:tcW w:w="1700" w:type="dxa"/>
            <w:vAlign w:val="bottom"/>
            <w:gridSpan w:val="2"/>
          </w:tcPr>
          <w:p>
            <w:pPr>
              <w:jc w:val="right"/>
              <w:ind w:right="280"/>
              <w:spacing w:after="0"/>
              <w:rPr>
                <w:sz w:val="20"/>
                <w:szCs w:val="20"/>
                <w:color w:val="auto"/>
              </w:rPr>
            </w:pPr>
            <w:r>
              <w:rPr>
                <w:rFonts w:ascii="Arial" w:cs="Arial" w:eastAsia="Arial" w:hAnsi="Arial"/>
                <w:sz w:val="16"/>
                <w:szCs w:val="16"/>
                <w:color w:val="auto"/>
              </w:rPr>
              <w:t>(2,516)</w:t>
            </w:r>
          </w:p>
        </w:tc>
        <w:tc>
          <w:tcPr>
            <w:tcW w:w="1360" w:type="dxa"/>
            <w:vAlign w:val="bottom"/>
          </w:tcPr>
          <w:p>
            <w:pPr>
              <w:jc w:val="right"/>
              <w:spacing w:after="0"/>
              <w:rPr>
                <w:sz w:val="20"/>
                <w:szCs w:val="20"/>
                <w:color w:val="auto"/>
              </w:rPr>
            </w:pPr>
            <w:r>
              <w:rPr>
                <w:rFonts w:ascii="Arial" w:cs="Arial" w:eastAsia="Arial" w:hAnsi="Arial"/>
                <w:sz w:val="16"/>
                <w:szCs w:val="16"/>
                <w:color w:val="auto"/>
              </w:rPr>
              <w:t>(2,516)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Profit/(loss) for the period available to owners of the Group</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15,698</w:t>
            </w:r>
          </w:p>
        </w:tc>
        <w:tc>
          <w:tcPr>
            <w:tcW w:w="34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(16,061)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4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Weighted average number of shares outstanding, basic</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80,814,285</w:t>
            </w:r>
          </w:p>
        </w:tc>
        <w:tc>
          <w:tcPr>
            <w:tcW w:w="340" w:type="dxa"/>
            <w:vAlign w:val="bottom"/>
            <w:tcBorders>
              <w:bottom w:val="single" w:sz="8" w:color="E5FFFF"/>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80,861,350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4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Basic earnings/(loss) per share</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0.19</w:t>
            </w:r>
          </w:p>
        </w:tc>
        <w:tc>
          <w:tcPr>
            <w:tcW w:w="340" w:type="dxa"/>
            <w:vAlign w:val="bottom"/>
            <w:shd w:val="clear" w:color="auto" w:fill="E5FFFF"/>
          </w:tcPr>
          <w:p>
            <w:pPr>
              <w:spacing w:after="0"/>
              <w:rPr>
                <w:sz w:val="17"/>
                <w:szCs w:val="17"/>
                <w:color w:val="auto"/>
              </w:rPr>
            </w:pPr>
          </w:p>
        </w:tc>
        <w:tc>
          <w:tcPr>
            <w:tcW w:w="1360" w:type="dxa"/>
            <w:vAlign w:val="bottom"/>
            <w:tcBorders>
              <w:bottom w:val="single" w:sz="8" w:color="auto"/>
              <w:right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(0.20)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440" w:type="dxa"/>
            <w:vAlign w:val="bottom"/>
          </w:tcPr>
          <w:p>
            <w:pPr>
              <w:spacing w:after="0" w:line="183" w:lineRule="exact"/>
              <w:rPr>
                <w:sz w:val="20"/>
                <w:szCs w:val="20"/>
                <w:color w:val="auto"/>
              </w:rPr>
            </w:pPr>
            <w:r>
              <w:rPr>
                <w:rFonts w:ascii="Arial" w:cs="Arial" w:eastAsia="Arial" w:hAnsi="Arial"/>
                <w:sz w:val="16"/>
                <w:szCs w:val="16"/>
                <w:b w:val="1"/>
                <w:bCs w:val="1"/>
                <w:i w:val="1"/>
                <w:iCs w:val="1"/>
                <w:color w:val="auto"/>
              </w:rPr>
              <w:t>Diluted earnings/(loss) per share</w:t>
            </w:r>
          </w:p>
        </w:tc>
        <w:tc>
          <w:tcPr>
            <w:tcW w:w="1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7440" w:type="dxa"/>
            <w:vAlign w:val="bottom"/>
            <w:shd w:val="clear" w:color="auto" w:fill="E5FFFF"/>
          </w:tcPr>
          <w:p>
            <w:pPr>
              <w:spacing w:after="0"/>
              <w:rPr>
                <w:sz w:val="20"/>
                <w:szCs w:val="20"/>
                <w:color w:val="auto"/>
              </w:rPr>
            </w:pPr>
            <w:r>
              <w:rPr>
                <w:rFonts w:ascii="Arial" w:cs="Arial" w:eastAsia="Arial" w:hAnsi="Arial"/>
                <w:sz w:val="16"/>
                <w:szCs w:val="16"/>
                <w:color w:val="auto"/>
                <w:w w:val="98"/>
              </w:rPr>
              <w:t>Profit/(loss) for the period available to owners of the Group used in the calculation of diluted earnings/(loss)</w:t>
            </w:r>
          </w:p>
        </w:tc>
        <w:tc>
          <w:tcPr>
            <w:tcW w:w="1360" w:type="dxa"/>
            <w:vAlign w:val="bottom"/>
            <w:shd w:val="clear" w:color="auto" w:fill="E5FFFF"/>
          </w:tcPr>
          <w:p>
            <w:pPr>
              <w:spacing w:after="0"/>
              <w:rPr>
                <w:sz w:val="16"/>
                <w:szCs w:val="16"/>
                <w:color w:val="auto"/>
              </w:rPr>
            </w:pPr>
          </w:p>
        </w:tc>
        <w:tc>
          <w:tcPr>
            <w:tcW w:w="340" w:type="dxa"/>
            <w:vAlign w:val="bottom"/>
            <w:shd w:val="clear" w:color="auto" w:fill="E5FFFF"/>
          </w:tcPr>
          <w:p>
            <w:pPr>
              <w:spacing w:after="0"/>
              <w:rPr>
                <w:sz w:val="16"/>
                <w:szCs w:val="16"/>
                <w:color w:val="auto"/>
              </w:rPr>
            </w:pPr>
          </w:p>
        </w:tc>
        <w:tc>
          <w:tcPr>
            <w:tcW w:w="1360" w:type="dxa"/>
            <w:vAlign w:val="bottom"/>
            <w:tcBorders>
              <w:right w:val="single" w:sz="8" w:color="E5FFFF"/>
            </w:tcBorders>
            <w:shd w:val="clear" w:color="auto" w:fill="E5FF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440" w:type="dxa"/>
            <w:vAlign w:val="bottom"/>
            <w:shd w:val="clear" w:color="auto" w:fill="E5FFFF"/>
          </w:tcPr>
          <w:p>
            <w:pPr>
              <w:ind w:left="180"/>
              <w:spacing w:after="0"/>
              <w:rPr>
                <w:sz w:val="20"/>
                <w:szCs w:val="20"/>
                <w:color w:val="auto"/>
              </w:rPr>
            </w:pPr>
            <w:r>
              <w:rPr>
                <w:rFonts w:ascii="Arial" w:cs="Arial" w:eastAsia="Arial" w:hAnsi="Arial"/>
                <w:sz w:val="16"/>
                <w:szCs w:val="16"/>
                <w:color w:val="auto"/>
              </w:rPr>
              <w:t>per share</w:t>
            </w:r>
          </w:p>
        </w:tc>
        <w:tc>
          <w:tcPr>
            <w:tcW w:w="1700" w:type="dxa"/>
            <w:vAlign w:val="bottom"/>
            <w:gridSpan w:val="2"/>
            <w:shd w:val="clear" w:color="auto" w:fill="E5FFFF"/>
          </w:tcPr>
          <w:p>
            <w:pPr>
              <w:jc w:val="right"/>
              <w:ind w:right="340"/>
              <w:spacing w:after="0"/>
              <w:rPr>
                <w:sz w:val="20"/>
                <w:szCs w:val="20"/>
                <w:color w:val="auto"/>
              </w:rPr>
            </w:pPr>
            <w:r>
              <w:rPr>
                <w:rFonts w:ascii="Arial" w:cs="Arial" w:eastAsia="Arial" w:hAnsi="Arial"/>
                <w:sz w:val="16"/>
                <w:szCs w:val="16"/>
                <w:color w:val="auto"/>
              </w:rPr>
              <w:t>15,698</w:t>
            </w:r>
          </w:p>
        </w:tc>
        <w:tc>
          <w:tcPr>
            <w:tcW w:w="136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(16,061)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440" w:type="dxa"/>
            <w:vAlign w:val="bottom"/>
          </w:tcPr>
          <w:p>
            <w:pPr>
              <w:spacing w:after="0"/>
              <w:rPr>
                <w:sz w:val="20"/>
                <w:szCs w:val="20"/>
                <w:color w:val="auto"/>
              </w:rPr>
            </w:pPr>
            <w:r>
              <w:rPr>
                <w:rFonts w:ascii="Arial" w:cs="Arial" w:eastAsia="Arial" w:hAnsi="Arial"/>
                <w:sz w:val="16"/>
                <w:szCs w:val="16"/>
                <w:color w:val="auto"/>
              </w:rPr>
              <w:t>Weighted average number of shares outstanding, basic</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80,814,285</w:t>
            </w:r>
          </w:p>
        </w:tc>
        <w:tc>
          <w:tcPr>
            <w:tcW w:w="340" w:type="dxa"/>
            <w:vAlign w:val="bottom"/>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80,861,350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E5FFFF"/>
          </w:tcPr>
          <w:p>
            <w:pPr>
              <w:spacing w:after="0"/>
              <w:rPr>
                <w:sz w:val="20"/>
                <w:szCs w:val="20"/>
                <w:color w:val="auto"/>
              </w:rPr>
            </w:pPr>
            <w:r>
              <w:rPr>
                <w:rFonts w:ascii="Arial" w:cs="Arial" w:eastAsia="Arial" w:hAnsi="Arial"/>
                <w:sz w:val="16"/>
                <w:szCs w:val="16"/>
                <w:color w:val="auto"/>
              </w:rPr>
              <w:t>Dilutive potential ordinary shares</w:t>
            </w:r>
          </w:p>
        </w:tc>
        <w:tc>
          <w:tcPr>
            <w:tcW w:w="1700" w:type="dxa"/>
            <w:vAlign w:val="bottom"/>
            <w:gridSpan w:val="2"/>
            <w:shd w:val="clear" w:color="auto" w:fill="E5FFFF"/>
          </w:tcPr>
          <w:p>
            <w:pPr>
              <w:jc w:val="right"/>
              <w:ind w:right="340"/>
              <w:spacing w:after="0"/>
              <w:rPr>
                <w:sz w:val="20"/>
                <w:szCs w:val="20"/>
                <w:color w:val="auto"/>
              </w:rPr>
            </w:pPr>
            <w:r>
              <w:rPr>
                <w:rFonts w:ascii="Arial" w:cs="Arial" w:eastAsia="Arial" w:hAnsi="Arial"/>
                <w:sz w:val="16"/>
                <w:szCs w:val="16"/>
                <w:color w:val="auto"/>
              </w:rPr>
              <w:t>722,479</w:t>
            </w:r>
          </w:p>
        </w:tc>
        <w:tc>
          <w:tcPr>
            <w:tcW w:w="136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4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Weighted average number of shares used in the calculation of diluted earnings/(loss) per share</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81,536,764</w:t>
            </w:r>
          </w:p>
        </w:tc>
        <w:tc>
          <w:tcPr>
            <w:tcW w:w="340" w:type="dxa"/>
            <w:vAlign w:val="bottom"/>
            <w:tcBorders>
              <w:bottom w:val="single" w:sz="8" w:color="E5FFFF"/>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80,861,350</w:t>
            </w:r>
          </w:p>
        </w:tc>
        <w:tc>
          <w:tcPr>
            <w:tcW w:w="40" w:type="dxa"/>
            <w:vAlign w:val="bottom"/>
            <w:vMerge w:val="restart"/>
          </w:tcPr>
          <w:p>
            <w:pPr>
              <w:jc w:val="right"/>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196"/>
        </w:trPr>
        <w:tc>
          <w:tcPr>
            <w:tcW w:w="744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Diluted earnings/(loss) per share</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0.19</w:t>
            </w:r>
          </w:p>
        </w:tc>
        <w:tc>
          <w:tcPr>
            <w:tcW w:w="340" w:type="dxa"/>
            <w:vAlign w:val="bottom"/>
            <w:shd w:val="clear" w:color="auto" w:fill="E5FFFF"/>
          </w:tcPr>
          <w:p>
            <w:pPr>
              <w:spacing w:after="0"/>
              <w:rPr>
                <w:sz w:val="17"/>
                <w:szCs w:val="17"/>
                <w:color w:val="auto"/>
              </w:rPr>
            </w:pPr>
          </w:p>
        </w:tc>
        <w:tc>
          <w:tcPr>
            <w:tcW w:w="1360" w:type="dxa"/>
            <w:vAlign w:val="bottom"/>
            <w:tcBorders>
              <w:bottom w:val="single" w:sz="8" w:color="auto"/>
              <w:right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(0.20</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2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Basic earnings/(loss)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6654800" cy="1289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54800" cy="128905"/>
                    </a:xfrm>
                    <a:prstGeom prst="rect">
                      <a:avLst/>
                    </a:prstGeom>
                    <a:noFill/>
                  </pic:spPr>
                </pic:pic>
              </a:graphicData>
            </a:graphic>
          </wp:anchor>
        </w:drawing>
      </w:r>
    </w:p>
    <w:p>
      <w:pPr>
        <w:spacing w:after="0" w:line="2" w:lineRule="exact"/>
        <w:rPr>
          <w:sz w:val="20"/>
          <w:szCs w:val="20"/>
          <w:color w:val="auto"/>
        </w:rPr>
      </w:pPr>
    </w:p>
    <w:p>
      <w:pPr>
        <w:ind w:right="3000"/>
        <w:spacing w:after="0" w:line="264" w:lineRule="auto"/>
        <w:rPr>
          <w:sz w:val="20"/>
          <w:szCs w:val="20"/>
          <w:color w:val="auto"/>
        </w:rPr>
      </w:pPr>
      <w:r>
        <w:rPr>
          <w:rFonts w:ascii="Arial" w:cs="Arial" w:eastAsia="Arial" w:hAnsi="Arial"/>
          <w:sz w:val="16"/>
          <w:szCs w:val="16"/>
          <w:color w:val="auto"/>
        </w:rPr>
        <w:t>Profit/(loss) for the period attributable to owners of the Group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6654800"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654800" cy="12890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Dividend on preference shares</w:t>
      </w:r>
    </w:p>
    <w:p>
      <w:pPr>
        <w:spacing w:after="0" w:line="19" w:lineRule="exact"/>
        <w:rPr>
          <w:sz w:val="20"/>
          <w:szCs w:val="20"/>
          <w:color w:val="auto"/>
        </w:rPr>
      </w:pPr>
    </w:p>
    <w:p>
      <w:pPr>
        <w:ind w:right="3140"/>
        <w:spacing w:after="0" w:line="316" w:lineRule="auto"/>
        <w:rPr>
          <w:sz w:val="20"/>
          <w:szCs w:val="20"/>
          <w:color w:val="auto"/>
        </w:rPr>
      </w:pPr>
      <w:r>
        <w:rPr>
          <w:rFonts w:ascii="Arial" w:cs="Arial" w:eastAsia="Arial" w:hAnsi="Arial"/>
          <w:sz w:val="14"/>
          <w:szCs w:val="14"/>
          <w:color w:val="auto"/>
        </w:rPr>
        <w:t>Profit/(loss) for the period available to owners of the Group Weighted average number of shares outstanding,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665480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654800" cy="13716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Basic earnings/(loss)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665480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654800" cy="13716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Diluted earnings/(loss) per share</w:t>
      </w:r>
    </w:p>
    <w:p>
      <w:pPr>
        <w:spacing w:after="0" w:line="22" w:lineRule="exact"/>
        <w:rPr>
          <w:sz w:val="20"/>
          <w:szCs w:val="20"/>
          <w:color w:val="auto"/>
        </w:rPr>
      </w:pPr>
    </w:p>
    <w:p>
      <w:pPr>
        <w:ind w:left="180" w:hanging="181"/>
        <w:spacing w:after="0" w:line="264" w:lineRule="auto"/>
        <w:rPr>
          <w:sz w:val="20"/>
          <w:szCs w:val="20"/>
          <w:color w:val="auto"/>
        </w:rPr>
      </w:pPr>
      <w:r>
        <w:rPr>
          <w:rFonts w:ascii="Arial" w:cs="Arial" w:eastAsia="Arial" w:hAnsi="Arial"/>
          <w:sz w:val="16"/>
          <w:szCs w:val="16"/>
          <w:color w:val="auto"/>
        </w:rPr>
        <w:t>Profit/(loss) for the period available to owners of the Group used in the calculation of diluted earnings/(loss)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6654800" cy="2571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654800" cy="25717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Weighted average number of shares outstanding, basic</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Dilutive potential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6654800" cy="1289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54800" cy="128905"/>
                    </a:xfrm>
                    <a:prstGeom prst="rect">
                      <a:avLst/>
                    </a:prstGeom>
                    <a:noFill/>
                  </pic:spPr>
                </pic:pic>
              </a:graphicData>
            </a:graphic>
          </wp:anchor>
        </w:drawing>
      </w:r>
    </w:p>
    <w:p>
      <w:pPr>
        <w:spacing w:after="0" w:line="2" w:lineRule="exact"/>
        <w:rPr>
          <w:sz w:val="20"/>
          <w:szCs w:val="20"/>
          <w:color w:val="auto"/>
        </w:rPr>
      </w:pPr>
    </w:p>
    <w:p>
      <w:pPr>
        <w:ind w:right="900"/>
        <w:spacing w:after="0" w:line="306" w:lineRule="auto"/>
        <w:rPr>
          <w:sz w:val="20"/>
          <w:szCs w:val="20"/>
          <w:color w:val="auto"/>
        </w:rPr>
      </w:pPr>
      <w:r>
        <w:rPr>
          <w:rFonts w:ascii="Arial" w:cs="Arial" w:eastAsia="Arial" w:hAnsi="Arial"/>
          <w:sz w:val="16"/>
          <w:szCs w:val="16"/>
          <w:color w:val="auto"/>
        </w:rPr>
        <w:t xml:space="preserve">Weighted average number of shares used in the calculation of diluted earnings/(loss) per share </w:t>
      </w:r>
      <w:r>
        <w:rPr>
          <w:rFonts w:ascii="Arial" w:cs="Arial" w:eastAsia="Arial" w:hAnsi="Arial"/>
          <w:sz w:val="16"/>
          <w:szCs w:val="16"/>
          <w:b w:val="1"/>
          <w:bCs w:val="1"/>
          <w:color w:val="auto"/>
        </w:rPr>
        <w:t>Diluted earnings/(loss)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665480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65480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For the nine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70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September 30,</w:t>
            </w:r>
          </w:p>
        </w:tc>
        <w:tc>
          <w:tcPr>
            <w:tcW w:w="140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3"/>
        </w:trPr>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340" w:type="dxa"/>
            <w:vAlign w:val="bottom"/>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2"/>
        </w:trPr>
        <w:tc>
          <w:tcPr>
            <w:tcW w:w="1700" w:type="dxa"/>
            <w:vAlign w:val="bottom"/>
            <w:gridSpan w:val="2"/>
          </w:tcPr>
          <w:p>
            <w:pPr>
              <w:jc w:val="right"/>
              <w:ind w:right="340"/>
              <w:spacing w:after="0"/>
              <w:rPr>
                <w:sz w:val="20"/>
                <w:szCs w:val="20"/>
                <w:color w:val="auto"/>
              </w:rPr>
            </w:pPr>
            <w:r>
              <w:rPr>
                <w:rFonts w:ascii="Arial" w:cs="Arial" w:eastAsia="Arial" w:hAnsi="Arial"/>
                <w:sz w:val="16"/>
                <w:szCs w:val="16"/>
                <w:color w:val="auto"/>
              </w:rPr>
              <w:t>33,898</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(50,490)</w:t>
            </w:r>
          </w:p>
        </w:tc>
        <w:tc>
          <w:tcPr>
            <w:tcW w:w="0" w:type="dxa"/>
            <w:vAlign w:val="bottom"/>
          </w:tcPr>
          <w:p>
            <w:pPr>
              <w:spacing w:after="0"/>
              <w:rPr>
                <w:sz w:val="1"/>
                <w:szCs w:val="1"/>
                <w:color w:val="auto"/>
              </w:rPr>
            </w:pPr>
          </w:p>
        </w:tc>
      </w:tr>
      <w:tr>
        <w:trPr>
          <w:trHeight w:val="408"/>
        </w:trPr>
        <w:tc>
          <w:tcPr>
            <w:tcW w:w="1700" w:type="dxa"/>
            <w:vAlign w:val="bottom"/>
            <w:gridSpan w:val="2"/>
          </w:tcPr>
          <w:p>
            <w:pPr>
              <w:jc w:val="right"/>
              <w:ind w:right="280"/>
              <w:spacing w:after="0"/>
              <w:rPr>
                <w:sz w:val="20"/>
                <w:szCs w:val="20"/>
                <w:color w:val="auto"/>
              </w:rPr>
            </w:pPr>
            <w:r>
              <w:rPr>
                <w:rFonts w:ascii="Arial" w:cs="Arial" w:eastAsia="Arial" w:hAnsi="Arial"/>
                <w:sz w:val="16"/>
                <w:szCs w:val="16"/>
                <w:color w:val="auto"/>
              </w:rPr>
              <w:t>(7,548)</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(7,547)</w:t>
            </w:r>
          </w:p>
        </w:tc>
        <w:tc>
          <w:tcPr>
            <w:tcW w:w="0" w:type="dxa"/>
            <w:vAlign w:val="bottom"/>
          </w:tcPr>
          <w:p>
            <w:pPr>
              <w:spacing w:after="0"/>
              <w:rPr>
                <w:sz w:val="1"/>
                <w:szCs w:val="1"/>
                <w:color w:val="auto"/>
              </w:rPr>
            </w:pPr>
          </w:p>
        </w:tc>
      </w:tr>
      <w:tr>
        <w:trPr>
          <w:trHeight w:val="199"/>
        </w:trPr>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26,350</w:t>
            </w:r>
          </w:p>
        </w:tc>
        <w:tc>
          <w:tcPr>
            <w:tcW w:w="34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(58,037)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80,777,386</w:t>
            </w:r>
          </w:p>
        </w:tc>
        <w:tc>
          <w:tcPr>
            <w:tcW w:w="340" w:type="dxa"/>
            <w:vAlign w:val="bottom"/>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80,844,836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0.33</w:t>
            </w:r>
          </w:p>
        </w:tc>
        <w:tc>
          <w:tcPr>
            <w:tcW w:w="340" w:type="dxa"/>
            <w:vAlign w:val="bottom"/>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(0.72)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5"/>
        </w:trPr>
        <w:tc>
          <w:tcPr>
            <w:tcW w:w="1700" w:type="dxa"/>
            <w:vAlign w:val="bottom"/>
            <w:gridSpan w:val="2"/>
          </w:tcPr>
          <w:p>
            <w:pPr>
              <w:jc w:val="right"/>
              <w:ind w:right="340"/>
              <w:spacing w:after="0"/>
              <w:rPr>
                <w:sz w:val="20"/>
                <w:szCs w:val="20"/>
                <w:color w:val="auto"/>
              </w:rPr>
            </w:pPr>
            <w:r>
              <w:rPr>
                <w:rFonts w:ascii="Arial" w:cs="Arial" w:eastAsia="Arial" w:hAnsi="Arial"/>
                <w:sz w:val="16"/>
                <w:szCs w:val="16"/>
                <w:color w:val="auto"/>
              </w:rPr>
              <w:t>26,350</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(58,037)</w:t>
            </w:r>
          </w:p>
        </w:tc>
        <w:tc>
          <w:tcPr>
            <w:tcW w:w="0" w:type="dxa"/>
            <w:vAlign w:val="bottom"/>
          </w:tcPr>
          <w:p>
            <w:pPr>
              <w:spacing w:after="0"/>
              <w:rPr>
                <w:sz w:val="1"/>
                <w:szCs w:val="1"/>
                <w:color w:val="auto"/>
              </w:rPr>
            </w:pPr>
          </w:p>
        </w:tc>
      </w:tr>
      <w:tr>
        <w:trPr>
          <w:trHeight w:val="189"/>
        </w:trPr>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80,777,386</w:t>
            </w:r>
          </w:p>
        </w:tc>
        <w:tc>
          <w:tcPr>
            <w:tcW w:w="340" w:type="dxa"/>
            <w:vAlign w:val="bottom"/>
          </w:tcPr>
          <w:p>
            <w:pPr>
              <w:spacing w:after="0"/>
              <w:rPr>
                <w:sz w:val="16"/>
                <w:szCs w:val="16"/>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80,844,836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700" w:type="dxa"/>
            <w:vAlign w:val="bottom"/>
            <w:gridSpan w:val="2"/>
          </w:tcPr>
          <w:p>
            <w:pPr>
              <w:jc w:val="right"/>
              <w:ind w:right="340"/>
              <w:spacing w:after="0"/>
              <w:rPr>
                <w:sz w:val="20"/>
                <w:szCs w:val="20"/>
                <w:color w:val="auto"/>
              </w:rPr>
            </w:pPr>
            <w:r>
              <w:rPr>
                <w:rFonts w:ascii="Arial" w:cs="Arial" w:eastAsia="Arial" w:hAnsi="Arial"/>
                <w:sz w:val="16"/>
                <w:szCs w:val="16"/>
                <w:color w:val="auto"/>
              </w:rPr>
              <w:t>749,050</w:t>
            </w:r>
          </w:p>
        </w:tc>
        <w:tc>
          <w:tcPr>
            <w:tcW w:w="14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81,526,436</w:t>
            </w:r>
          </w:p>
        </w:tc>
        <w:tc>
          <w:tcPr>
            <w:tcW w:w="34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80,844,836</w:t>
            </w:r>
          </w:p>
        </w:tc>
        <w:tc>
          <w:tcPr>
            <w:tcW w:w="40" w:type="dxa"/>
            <w:vAlign w:val="bottom"/>
            <w:vMerge w:val="restart"/>
          </w:tcPr>
          <w:p>
            <w:pPr>
              <w:jc w:val="right"/>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196"/>
        </w:trPr>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0.32</w:t>
            </w:r>
          </w:p>
        </w:tc>
        <w:tc>
          <w:tcPr>
            <w:tcW w:w="3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(0.72</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ectPr>
          <w:pgSz w:w="11900" w:h="16838" w:orient="portrait"/>
          <w:cols w:equalWidth="0" w:num="2">
            <w:col w:w="7020" w:space="420"/>
            <w:col w:w="3980"/>
          </w:cols>
          <w:pgMar w:left="240" w:top="328" w:right="239" w:bottom="1440" w:gutter="0" w:footer="0" w:header="0"/>
          <w:type w:val="continuous"/>
        </w:sectPr>
      </w:pPr>
    </w:p>
    <w:p>
      <w:pPr>
        <w:ind w:right="80" w:firstLine="423"/>
        <w:spacing w:after="0" w:line="293" w:lineRule="auto"/>
        <w:rPr>
          <w:sz w:val="20"/>
          <w:szCs w:val="20"/>
          <w:color w:val="auto"/>
        </w:rPr>
      </w:pPr>
      <w:r>
        <w:rPr>
          <w:rFonts w:ascii="Arial" w:cs="Arial" w:eastAsia="Arial" w:hAnsi="Arial"/>
          <w:sz w:val="16"/>
          <w:szCs w:val="16"/>
          <w:color w:val="auto"/>
        </w:rPr>
        <w:t>The Group excluded the dilutive effect of 2,667,830 SARs and 374,274 RSUs (September 30, 2018: 971,911 SARs and 0 RSUs) in calculating diluted EPS for the three and nine months ended September 30, 2019, as they were anti-dilutive.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6"/>
          <w:szCs w:val="16"/>
          <w:b w:val="1"/>
          <w:bCs w:val="1"/>
          <w:color w:val="auto"/>
        </w:rPr>
        <w:t>20. Subsequent Events</w:t>
      </w:r>
    </w:p>
    <w:p>
      <w:pPr>
        <w:spacing w:after="0" w:line="225" w:lineRule="exact"/>
        <w:rPr>
          <w:sz w:val="20"/>
          <w:szCs w:val="20"/>
          <w:color w:val="auto"/>
        </w:rPr>
      </w:pPr>
    </w:p>
    <w:p>
      <w:pPr>
        <w:ind w:firstLine="383"/>
        <w:spacing w:after="0" w:line="293" w:lineRule="auto"/>
        <w:rPr>
          <w:sz w:val="20"/>
          <w:szCs w:val="20"/>
          <w:color w:val="auto"/>
        </w:rPr>
      </w:pPr>
      <w:r>
        <w:rPr>
          <w:rFonts w:ascii="Arial" w:cs="Arial" w:eastAsia="Arial" w:hAnsi="Arial"/>
          <w:sz w:val="16"/>
          <w:szCs w:val="16"/>
          <w:color w:val="auto"/>
        </w:rPr>
        <w:t>On November 5, 2019, the board of directors declared a quarterly cash dividend of $0.15 per common share payable on November 21, 2019 to shareholders of record as of November 15, 2019.</w:t>
      </w:r>
    </w:p>
    <w:p>
      <w:pPr>
        <w:spacing w:after="0" w:line="15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00"/>
      </w:cols>
      <w:pgMar w:left="240" w:top="32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decimal"/>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1)"/>
      <w:numFmt w:val="lowerLetter"/>
      <w:start w:val="2"/>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lowerLetter"/>
      <w:start w:val="1"/>
    </w:lvl>
  </w:abstractNum>
  <w:abstractNum w:abstractNumId="16">
    <w:nsid w:val="436C6125"/>
    <w:multiLevelType w:val="hybridMultilevel"/>
    <w:lvl w:ilvl="0">
      <w:lvlJc w:val="left"/>
      <w:lvlText w:val="(%1)"/>
      <w:numFmt w:val="lowerLetter"/>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lowerLetter"/>
      <w:start w:val="1"/>
    </w:lvl>
  </w:abstractNum>
  <w:abstractNum w:abstractNumId="21">
    <w:nsid w:val="2D1D5AE9"/>
    <w:multiLevelType w:val="hybridMultilevel"/>
    <w:lvl w:ilvl="0">
      <w:lvlJc w:val="left"/>
      <w:lvlText w:val="(%1)"/>
      <w:numFmt w:val="lowerLetter"/>
      <w:start w:val="2"/>
    </w:lvl>
  </w:abstractNum>
  <w:abstractNum w:abstractNumId="22">
    <w:nsid w:val="6763845E"/>
    <w:multiLevelType w:val="hybridMultilevel"/>
    <w:lvl w:ilvl="0">
      <w:lvlJc w:val="left"/>
      <w:lvlText w:val="(%1)"/>
      <w:numFmt w:val="lowerLetter"/>
      <w:start w:val="3"/>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2019-12-04T22:29:36Z</dcterms:created>
  <dcterms:modified xsi:type="dcterms:W3CDTF">2019-12-04T22:29:36Z</dcterms:modified>
</cp:coreProperties>
</file>